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cs="宋体"/>
          <w:b/>
          <w:bCs/>
          <w:sz w:val="52"/>
          <w:highlight w:val="none"/>
        </w:rPr>
      </w:pPr>
      <w:bookmarkStart w:id="0" w:name="_Toc217446030"/>
      <w:bookmarkStart w:id="1" w:name="_Toc183682338"/>
      <w:r>
        <w:rPr>
          <w:rFonts w:hint="eastAsia" w:ascii="宋体" w:hAnsi="宋体" w:cs="宋体"/>
          <w:b/>
          <w:bCs/>
          <w:sz w:val="44"/>
          <w:szCs w:val="44"/>
          <w:highlight w:val="none"/>
        </w:rPr>
        <w:t>广西双科建设工程咨询有限公司</w:t>
      </w:r>
    </w:p>
    <w:p>
      <w:pPr>
        <w:jc w:val="center"/>
        <w:rPr>
          <w:rFonts w:hint="eastAsia" w:ascii="宋体" w:hAnsi="宋体" w:cs="宋体"/>
          <w:b/>
          <w:bCs/>
          <w:sz w:val="36"/>
          <w:szCs w:val="36"/>
          <w:highlight w:val="none"/>
        </w:rPr>
      </w:pPr>
    </w:p>
    <w:p>
      <w:pPr>
        <w:spacing w:after="120"/>
        <w:ind w:firstLine="404"/>
        <w:rPr>
          <w:rFonts w:hint="eastAsia" w:ascii="宋体" w:hAnsi="宋体" w:cs="宋体"/>
          <w:b/>
          <w:bCs/>
          <w:sz w:val="10"/>
          <w:highlight w:val="none"/>
        </w:rPr>
      </w:pPr>
      <w:r>
        <w:rPr>
          <w:rFonts w:ascii="宋体" w:hAnsi="宋体" w:cs="宋体"/>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57785</wp:posOffset>
                </wp:positionV>
                <wp:extent cx="6282055" cy="0"/>
                <wp:effectExtent l="0" t="19050" r="4445" b="19050"/>
                <wp:wrapNone/>
                <wp:docPr id="3" name="直接连接符 3"/>
                <wp:cNvGraphicFramePr/>
                <a:graphic xmlns:a="http://schemas.openxmlformats.org/drawingml/2006/main">
                  <a:graphicData uri="http://schemas.microsoft.com/office/word/2010/wordprocessingShape">
                    <wps:wsp>
                      <wps:cNvCnPr/>
                      <wps:spPr>
                        <a:xfrm flipV="1">
                          <a:off x="0" y="0"/>
                          <a:ext cx="6282055" cy="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22.8pt;margin-top:4.55pt;height:0pt;width:494.65pt;z-index:251659264;mso-width-relative:page;mso-height-relative:page;" filled="f" stroked="t" coordsize="21600,21600" o:gfxdata="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X2pfNUAAAAHAQAADwAAAAAAAAABACAAAAAiAAAAZHJzL2Rvd25yZXYueG1sUEsBAhQA&#10;FAAAAAgAh07iQLPXrv31AQAA4wMAAA4AAAAAAAAAAQAgAAAAJAEAAGRycy9lMm9Eb2MueG1sUEsF&#10;BgAAAAAGAAYAWQEAAIsFAAAAAA==&#10;">
                <v:fill on="f" focussize="0,0"/>
                <v:stroke weight="2.25pt" color="#000000" joinstyle="round"/>
                <v:imagedata o:title=""/>
                <o:lock v:ext="edit" aspectratio="f"/>
              </v:line>
            </w:pict>
          </mc:Fallback>
        </mc:AlternateContent>
      </w:r>
      <w:r>
        <w:rPr>
          <w:rFonts w:hint="eastAsia" w:ascii="宋体" w:hAnsi="宋体" w:cs="宋体"/>
          <w:b/>
          <w:bCs/>
          <w:sz w:val="10"/>
          <w:highlight w:val="none"/>
        </w:rPr>
        <w:t xml:space="preserve">                                                                                                                                                                                       </w:t>
      </w:r>
    </w:p>
    <w:p>
      <w:pPr>
        <w:spacing w:before="120" w:beforeLines="50" w:line="360" w:lineRule="auto"/>
        <w:jc w:val="center"/>
        <w:rPr>
          <w:rFonts w:hint="eastAsia" w:ascii="宋体" w:hAnsi="宋体"/>
          <w:sz w:val="52"/>
          <w:szCs w:val="52"/>
          <w:highlight w:val="none"/>
        </w:rPr>
      </w:pPr>
    </w:p>
    <w:p>
      <w:pPr>
        <w:spacing w:before="120" w:beforeLines="50" w:line="360" w:lineRule="auto"/>
        <w:jc w:val="center"/>
        <w:rPr>
          <w:rFonts w:hint="eastAsia" w:ascii="仿宋_GB2312" w:hAnsi="宋体" w:eastAsia="仿宋_GB2312"/>
          <w:b/>
          <w:sz w:val="48"/>
          <w:szCs w:val="48"/>
          <w:highlight w:val="none"/>
        </w:rPr>
      </w:pPr>
    </w:p>
    <w:p>
      <w:pPr>
        <w:spacing w:before="120" w:beforeLines="50" w:line="360" w:lineRule="auto"/>
        <w:jc w:val="center"/>
        <w:rPr>
          <w:rFonts w:hint="eastAsia" w:ascii="仿宋_GB2312" w:hAnsi="宋体" w:eastAsia="仿宋_GB2312"/>
          <w:b/>
          <w:sz w:val="48"/>
          <w:szCs w:val="48"/>
          <w:highlight w:val="none"/>
        </w:rPr>
      </w:pPr>
    </w:p>
    <w:p>
      <w:pPr>
        <w:snapToGrid w:val="0"/>
        <w:spacing w:before="120" w:beforeLines="50" w:line="360" w:lineRule="auto"/>
        <w:jc w:val="center"/>
        <w:rPr>
          <w:rFonts w:hint="eastAsia" w:ascii="STXinwei" w:hAnsi="宋体" w:eastAsia="STXinwei"/>
          <w:color w:val="000000"/>
          <w:sz w:val="120"/>
          <w:szCs w:val="120"/>
          <w:highlight w:val="none"/>
        </w:rPr>
      </w:pPr>
      <w:r>
        <w:rPr>
          <w:rFonts w:hint="eastAsia" w:ascii="STXinwei" w:hAnsi="宋体" w:eastAsia="STXinwei"/>
          <w:color w:val="000000"/>
          <w:sz w:val="120"/>
          <w:szCs w:val="120"/>
          <w:highlight w:val="none"/>
        </w:rPr>
        <w:t>招 标 文 件</w:t>
      </w:r>
    </w:p>
    <w:p>
      <w:pPr>
        <w:snapToGrid w:val="0"/>
        <w:spacing w:before="120" w:beforeLines="50" w:line="360" w:lineRule="auto"/>
        <w:rPr>
          <w:rFonts w:hint="eastAsia" w:ascii="仿宋_GB2312" w:hAnsi="宋体" w:eastAsia="仿宋_GB2312"/>
          <w:sz w:val="30"/>
          <w:szCs w:val="72"/>
          <w:highlight w:val="none"/>
        </w:rPr>
      </w:pPr>
    </w:p>
    <w:p>
      <w:pPr>
        <w:snapToGrid w:val="0"/>
        <w:spacing w:before="120" w:beforeLines="50" w:line="360" w:lineRule="auto"/>
        <w:rPr>
          <w:rFonts w:hint="eastAsia" w:ascii="仿宋_GB2312" w:hAnsi="宋体" w:eastAsia="仿宋_GB2312"/>
          <w:sz w:val="30"/>
          <w:szCs w:val="72"/>
          <w:highlight w:val="none"/>
        </w:rPr>
      </w:pPr>
    </w:p>
    <w:p>
      <w:pPr>
        <w:pStyle w:val="29"/>
        <w:snapToGrid w:val="0"/>
        <w:spacing w:before="50" w:after="120" w:line="360" w:lineRule="auto"/>
        <w:ind w:firstLine="1193" w:firstLineChars="396"/>
        <w:rPr>
          <w:rFonts w:hint="eastAsia" w:ascii="仿宋_GB2312" w:hAnsi="宋体" w:eastAsia="仿宋_GB2312"/>
          <w:b/>
          <w:bCs/>
          <w:w w:val="95"/>
          <w:sz w:val="30"/>
          <w:szCs w:val="30"/>
          <w:highlight w:val="none"/>
        </w:rPr>
      </w:pPr>
      <w:r>
        <w:rPr>
          <w:rFonts w:hint="eastAsia" w:ascii="仿宋_GB2312" w:hAnsi="宋体" w:eastAsia="仿宋_GB2312"/>
          <w:b/>
          <w:bCs/>
          <w:sz w:val="30"/>
          <w:szCs w:val="30"/>
          <w:highlight w:val="none"/>
        </w:rPr>
        <w:t>项目</w:t>
      </w:r>
      <w:r>
        <w:rPr>
          <w:rFonts w:hint="eastAsia" w:ascii="仿宋_GB2312" w:hAnsi="宋体" w:eastAsia="仿宋_GB2312"/>
          <w:b/>
          <w:bCs/>
          <w:w w:val="95"/>
          <w:sz w:val="30"/>
          <w:szCs w:val="30"/>
          <w:highlight w:val="none"/>
        </w:rPr>
        <w:t>名称</w:t>
      </w:r>
      <w:r>
        <w:rPr>
          <w:rFonts w:hint="eastAsia" w:ascii="仿宋_GB2312" w:hAnsi="宋体" w:eastAsia="仿宋_GB2312"/>
          <w:b/>
          <w:bCs/>
          <w:sz w:val="30"/>
          <w:szCs w:val="30"/>
          <w:highlight w:val="none"/>
        </w:rPr>
        <w:t>：</w:t>
      </w:r>
      <w:bookmarkStart w:id="2" w:name="OLE_LINK8"/>
      <w:r>
        <w:rPr>
          <w:rFonts w:hint="eastAsia" w:ascii="仿宋_GB2312" w:hAnsi="宋体" w:eastAsia="仿宋_GB2312"/>
          <w:b/>
          <w:bCs/>
          <w:w w:val="95"/>
          <w:sz w:val="30"/>
          <w:szCs w:val="30"/>
          <w:highlight w:val="none"/>
        </w:rPr>
        <w:t>2025年广西边海无线电监测网能力提升项目（重）</w:t>
      </w:r>
      <w:bookmarkEnd w:id="2"/>
    </w:p>
    <w:p>
      <w:pPr>
        <w:snapToGrid w:val="0"/>
        <w:spacing w:before="120" w:beforeLines="50" w:line="360" w:lineRule="auto"/>
        <w:ind w:firstLine="1145" w:firstLineChars="400"/>
        <w:rPr>
          <w:rFonts w:hint="eastAsia" w:ascii="仿宋_GB2312" w:hAnsi="宋体" w:eastAsia="仿宋_GB2312"/>
          <w:sz w:val="30"/>
          <w:szCs w:val="72"/>
          <w:highlight w:val="none"/>
          <w:lang w:eastAsia="zh-CN"/>
        </w:rPr>
      </w:pPr>
      <w:r>
        <w:rPr>
          <w:rFonts w:hint="eastAsia" w:ascii="仿宋_GB2312" w:hAnsi="宋体" w:eastAsia="仿宋_GB2312" w:cs="Courier New"/>
          <w:b/>
          <w:bCs/>
          <w:w w:val="95"/>
          <w:sz w:val="30"/>
          <w:szCs w:val="30"/>
          <w:highlight w:val="none"/>
        </w:rPr>
        <w:t>项目</w:t>
      </w:r>
      <w:r>
        <w:rPr>
          <w:rFonts w:hint="eastAsia" w:ascii="仿宋_GB2312" w:hAnsi="宋体" w:eastAsia="仿宋_GB2312"/>
          <w:b/>
          <w:bCs/>
          <w:sz w:val="30"/>
          <w:szCs w:val="30"/>
          <w:highlight w:val="none"/>
        </w:rPr>
        <w:t>编号</w:t>
      </w:r>
      <w:r>
        <w:rPr>
          <w:rFonts w:hint="eastAsia" w:ascii="仿宋_GB2312" w:hAnsi="宋体" w:eastAsia="仿宋_GB2312" w:cs="Courier New"/>
          <w:b/>
          <w:bCs/>
          <w:w w:val="95"/>
          <w:sz w:val="30"/>
          <w:szCs w:val="30"/>
          <w:highlight w:val="none"/>
        </w:rPr>
        <w:t>：GXZC2025-G1-002956-SKGS</w:t>
      </w:r>
    </w:p>
    <w:p>
      <w:pPr>
        <w:pStyle w:val="29"/>
        <w:snapToGrid w:val="0"/>
        <w:spacing w:before="50" w:after="120" w:line="360" w:lineRule="auto"/>
        <w:ind w:firstLine="1125" w:firstLineChars="393"/>
        <w:rPr>
          <w:rFonts w:hint="eastAsia" w:ascii="仿宋_GB2312" w:hAnsi="宋体" w:eastAsia="仿宋_GB2312"/>
          <w:b/>
          <w:bCs/>
          <w:w w:val="95"/>
          <w:sz w:val="30"/>
          <w:szCs w:val="30"/>
          <w:highlight w:val="none"/>
        </w:rPr>
      </w:pPr>
      <w:r>
        <w:rPr>
          <w:rFonts w:hint="eastAsia" w:ascii="仿宋_GB2312" w:hAnsi="宋体" w:eastAsia="仿宋_GB2312"/>
          <w:b/>
          <w:bCs/>
          <w:w w:val="95"/>
          <w:sz w:val="30"/>
          <w:szCs w:val="30"/>
          <w:highlight w:val="none"/>
        </w:rPr>
        <w:t>采 购 人：广西壮族自治区工业和信息化厅</w:t>
      </w:r>
    </w:p>
    <w:p>
      <w:pPr>
        <w:pStyle w:val="29"/>
        <w:snapToGrid w:val="0"/>
        <w:spacing w:before="50" w:after="120" w:line="360" w:lineRule="auto"/>
        <w:ind w:firstLine="1125" w:firstLineChars="393"/>
        <w:rPr>
          <w:rFonts w:hint="eastAsia" w:ascii="仿宋_GB2312" w:hAnsi="宋体" w:eastAsia="仿宋_GB2312"/>
          <w:b/>
          <w:bCs/>
          <w:w w:val="95"/>
          <w:sz w:val="30"/>
          <w:szCs w:val="30"/>
          <w:highlight w:val="none"/>
        </w:rPr>
      </w:pPr>
      <w:r>
        <w:rPr>
          <w:rFonts w:hint="eastAsia" w:ascii="仿宋_GB2312" w:hAnsi="宋体" w:eastAsia="仿宋_GB2312"/>
          <w:b/>
          <w:bCs/>
          <w:w w:val="95"/>
          <w:sz w:val="30"/>
          <w:szCs w:val="30"/>
          <w:highlight w:val="none"/>
        </w:rPr>
        <w:t>采购代理机构：广西双科建设工程咨询有限公司</w:t>
      </w:r>
    </w:p>
    <w:p>
      <w:pPr>
        <w:pStyle w:val="29"/>
        <w:snapToGrid w:val="0"/>
        <w:spacing w:before="50" w:after="120" w:line="360" w:lineRule="auto"/>
        <w:jc w:val="center"/>
        <w:rPr>
          <w:rFonts w:hint="eastAsia" w:ascii="仿宋_GB2312" w:hAnsi="宋体" w:eastAsia="仿宋_GB2312"/>
          <w:b/>
          <w:bCs/>
          <w:w w:val="95"/>
          <w:sz w:val="30"/>
          <w:szCs w:val="30"/>
          <w:highlight w:val="none"/>
        </w:rPr>
      </w:pPr>
      <w:r>
        <w:rPr>
          <w:rFonts w:hint="eastAsia" w:ascii="仿宋_GB2312" w:hAnsi="宋体" w:eastAsia="仿宋_GB2312"/>
          <w:b/>
          <w:bCs/>
          <w:w w:val="95"/>
          <w:sz w:val="30"/>
          <w:szCs w:val="30"/>
          <w:highlight w:val="none"/>
        </w:rPr>
        <w:t>2025年</w:t>
      </w:r>
      <w:r>
        <w:rPr>
          <w:rFonts w:hint="eastAsia" w:ascii="仿宋_GB2312" w:hAnsi="宋体" w:eastAsia="仿宋_GB2312"/>
          <w:b/>
          <w:bCs/>
          <w:w w:val="95"/>
          <w:sz w:val="30"/>
          <w:szCs w:val="30"/>
          <w:highlight w:val="none"/>
          <w:lang w:val="en-US" w:eastAsia="zh-CN"/>
        </w:rPr>
        <w:t>10</w:t>
      </w:r>
      <w:r>
        <w:rPr>
          <w:rFonts w:hint="eastAsia" w:ascii="仿宋_GB2312" w:hAnsi="宋体" w:eastAsia="仿宋_GB2312"/>
          <w:b/>
          <w:bCs/>
          <w:w w:val="95"/>
          <w:sz w:val="30"/>
          <w:szCs w:val="30"/>
          <w:highlight w:val="none"/>
        </w:rPr>
        <w:t>月</w:t>
      </w:r>
      <w:r>
        <w:rPr>
          <w:rFonts w:hint="eastAsia" w:ascii="仿宋_GB2312" w:hAnsi="宋体" w:eastAsia="仿宋_GB2312"/>
          <w:b/>
          <w:bCs/>
          <w:w w:val="95"/>
          <w:sz w:val="30"/>
          <w:szCs w:val="30"/>
          <w:highlight w:val="none"/>
          <w:lang w:val="en-US" w:eastAsia="zh-CN"/>
        </w:rPr>
        <w:t>11</w:t>
      </w:r>
      <w:r>
        <w:rPr>
          <w:rFonts w:hint="eastAsia" w:ascii="仿宋_GB2312" w:hAnsi="宋体" w:eastAsia="仿宋_GB2312"/>
          <w:b/>
          <w:bCs/>
          <w:w w:val="95"/>
          <w:sz w:val="30"/>
          <w:szCs w:val="30"/>
          <w:highlight w:val="none"/>
        </w:rPr>
        <w:t>日</w:t>
      </w:r>
    </w:p>
    <w:p>
      <w:pPr>
        <w:widowControl/>
        <w:jc w:val="left"/>
        <w:rPr>
          <w:sz w:val="32"/>
          <w:szCs w:val="32"/>
          <w:highlight w:val="none"/>
        </w:rPr>
      </w:pPr>
      <w:bookmarkStart w:id="3" w:name="_Toc6931"/>
      <w:r>
        <w:rPr>
          <w:sz w:val="32"/>
          <w:szCs w:val="32"/>
          <w:highlight w:val="none"/>
        </w:rPr>
        <w:br w:type="page"/>
      </w:r>
    </w:p>
    <w:p>
      <w:pPr>
        <w:pStyle w:val="29"/>
        <w:snapToGrid w:val="0"/>
        <w:spacing w:before="120" w:beforeLines="50" w:after="120" w:afterLines="50" w:line="360" w:lineRule="auto"/>
        <w:jc w:val="center"/>
        <w:rPr>
          <w:rFonts w:ascii="Times New Roman" w:hAnsi="Times New Roman" w:cs="Times New Roman"/>
          <w:b/>
          <w:sz w:val="36"/>
          <w:szCs w:val="36"/>
          <w:highlight w:val="none"/>
        </w:rPr>
      </w:pPr>
      <w:r>
        <w:rPr>
          <w:rFonts w:hint="eastAsia" w:ascii="Times New Roman" w:hAnsi="Times New Roman" w:cs="Times New Roman"/>
          <w:b/>
          <w:sz w:val="36"/>
          <w:szCs w:val="36"/>
          <w:highlight w:val="none"/>
        </w:rPr>
        <w:t>目    录</w:t>
      </w:r>
      <w:bookmarkEnd w:id="3"/>
    </w:p>
    <w:p>
      <w:pPr>
        <w:pStyle w:val="36"/>
        <w:tabs>
          <w:tab w:val="right" w:leader="dot" w:pos="9354"/>
          <w:tab w:val="clear" w:pos="8398"/>
        </w:tabs>
        <w:spacing w:line="360" w:lineRule="auto"/>
        <w:rPr>
          <w:rFonts w:ascii="Times New Roman" w:hAnsi="Times New Roman"/>
          <w:b w:val="0"/>
          <w:bCs w:val="0"/>
          <w:highlight w:val="none"/>
        </w:rPr>
      </w:pPr>
      <w:r>
        <w:rPr>
          <w:rFonts w:ascii="Times New Roman" w:hAnsi="Times New Roman"/>
          <w:b w:val="0"/>
          <w:bCs w:val="0"/>
          <w:highlight w:val="none"/>
        </w:rPr>
        <w:fldChar w:fldCharType="begin"/>
      </w:r>
      <w:r>
        <w:rPr>
          <w:rStyle w:val="61"/>
          <w:rFonts w:ascii="Times New Roman" w:hAnsi="Times New Roman"/>
          <w:b w:val="0"/>
          <w:bCs w:val="0"/>
          <w:color w:val="auto"/>
          <w:highlight w:val="none"/>
        </w:rPr>
        <w:instrText xml:space="preserve"> TOC \o "1-1" \h \z \u </w:instrText>
      </w:r>
      <w:r>
        <w:rPr>
          <w:rFonts w:ascii="Times New Roman" w:hAnsi="Times New Roman"/>
          <w:b w:val="0"/>
          <w:bCs w:val="0"/>
          <w:highlight w:val="none"/>
        </w:rPr>
        <w:fldChar w:fldCharType="separate"/>
      </w:r>
      <w:r>
        <w:rPr>
          <w:highlight w:val="none"/>
        </w:rPr>
        <w:fldChar w:fldCharType="begin"/>
      </w:r>
      <w:r>
        <w:rPr>
          <w:highlight w:val="none"/>
        </w:rPr>
        <w:instrText xml:space="preserve"> HYPERLINK \l "_Toc2923" </w:instrText>
      </w:r>
      <w:r>
        <w:rPr>
          <w:highlight w:val="none"/>
        </w:rPr>
        <w:fldChar w:fldCharType="separate"/>
      </w:r>
      <w:r>
        <w:rPr>
          <w:rFonts w:ascii="Times New Roman" w:hAnsi="Times New Roman"/>
          <w:b w:val="0"/>
          <w:bCs w:val="0"/>
          <w:highlight w:val="none"/>
        </w:rPr>
        <w:t>第一章  招标公告</w:t>
      </w:r>
      <w:r>
        <w:rPr>
          <w:rFonts w:ascii="Times New Roman" w:hAnsi="Times New Roman"/>
          <w:b w:val="0"/>
          <w:bCs w:val="0"/>
          <w:highlight w:val="none"/>
        </w:rPr>
        <w:tab/>
      </w:r>
      <w:r>
        <w:rPr>
          <w:rFonts w:ascii="Times New Roman" w:hAnsi="Times New Roman"/>
          <w:b w:val="0"/>
          <w:bCs w:val="0"/>
          <w:highlight w:val="none"/>
        </w:rPr>
        <w:fldChar w:fldCharType="begin"/>
      </w:r>
      <w:r>
        <w:rPr>
          <w:rFonts w:ascii="Times New Roman" w:hAnsi="Times New Roman"/>
          <w:b w:val="0"/>
          <w:bCs w:val="0"/>
          <w:highlight w:val="none"/>
        </w:rPr>
        <w:instrText xml:space="preserve"> PAGEREF _Toc2923 </w:instrText>
      </w:r>
      <w:r>
        <w:rPr>
          <w:rFonts w:ascii="Times New Roman" w:hAnsi="Times New Roman"/>
          <w:b w:val="0"/>
          <w:bCs w:val="0"/>
          <w:highlight w:val="none"/>
        </w:rPr>
        <w:fldChar w:fldCharType="separate"/>
      </w:r>
      <w:r>
        <w:rPr>
          <w:rFonts w:ascii="Times New Roman" w:hAnsi="Times New Roman"/>
          <w:b w:val="0"/>
          <w:bCs w:val="0"/>
          <w:highlight w:val="none"/>
        </w:rPr>
        <w:t>2</w:t>
      </w:r>
      <w:r>
        <w:rPr>
          <w:rFonts w:ascii="Times New Roman" w:hAnsi="Times New Roman"/>
          <w:b w:val="0"/>
          <w:bCs w:val="0"/>
          <w:highlight w:val="none"/>
        </w:rPr>
        <w:fldChar w:fldCharType="end"/>
      </w:r>
      <w:r>
        <w:rPr>
          <w:rFonts w:ascii="Times New Roman" w:hAnsi="Times New Roman"/>
          <w:b w:val="0"/>
          <w:bCs w:val="0"/>
          <w:highlight w:val="none"/>
        </w:rPr>
        <w:fldChar w:fldCharType="end"/>
      </w:r>
    </w:p>
    <w:p>
      <w:pPr>
        <w:pStyle w:val="36"/>
        <w:tabs>
          <w:tab w:val="right" w:leader="dot" w:pos="9354"/>
          <w:tab w:val="clear" w:pos="8398"/>
        </w:tabs>
        <w:spacing w:line="360" w:lineRule="auto"/>
        <w:rPr>
          <w:rFonts w:ascii="Times New Roman" w:hAnsi="Times New Roman"/>
          <w:b w:val="0"/>
          <w:bCs w:val="0"/>
          <w:highlight w:val="none"/>
        </w:rPr>
      </w:pPr>
      <w:r>
        <w:rPr>
          <w:highlight w:val="none"/>
        </w:rPr>
        <w:fldChar w:fldCharType="begin"/>
      </w:r>
      <w:r>
        <w:rPr>
          <w:highlight w:val="none"/>
        </w:rPr>
        <w:instrText xml:space="preserve"> HYPERLINK \l "_Toc19628" </w:instrText>
      </w:r>
      <w:r>
        <w:rPr>
          <w:highlight w:val="none"/>
        </w:rPr>
        <w:fldChar w:fldCharType="separate"/>
      </w:r>
      <w:r>
        <w:rPr>
          <w:rFonts w:ascii="Times New Roman" w:hAnsi="Times New Roman"/>
          <w:b w:val="0"/>
          <w:bCs w:val="0"/>
          <w:highlight w:val="none"/>
        </w:rPr>
        <w:t>第二章  采购需求</w:t>
      </w:r>
      <w:bookmarkStart w:id="276" w:name="_GoBack"/>
      <w:bookmarkEnd w:id="276"/>
      <w:r>
        <w:rPr>
          <w:rFonts w:ascii="Times New Roman" w:hAnsi="Times New Roman"/>
          <w:b w:val="0"/>
          <w:bCs w:val="0"/>
          <w:highlight w:val="none"/>
        </w:rPr>
        <w:tab/>
      </w:r>
      <w:r>
        <w:rPr>
          <w:rFonts w:ascii="Times New Roman" w:hAnsi="Times New Roman"/>
          <w:b w:val="0"/>
          <w:bCs w:val="0"/>
          <w:highlight w:val="none"/>
        </w:rPr>
        <w:fldChar w:fldCharType="begin"/>
      </w:r>
      <w:r>
        <w:rPr>
          <w:rFonts w:ascii="Times New Roman" w:hAnsi="Times New Roman"/>
          <w:b w:val="0"/>
          <w:bCs w:val="0"/>
          <w:highlight w:val="none"/>
        </w:rPr>
        <w:instrText xml:space="preserve"> PAGEREF _Toc19628 </w:instrText>
      </w:r>
      <w:r>
        <w:rPr>
          <w:rFonts w:ascii="Times New Roman" w:hAnsi="Times New Roman"/>
          <w:b w:val="0"/>
          <w:bCs w:val="0"/>
          <w:highlight w:val="none"/>
        </w:rPr>
        <w:fldChar w:fldCharType="separate"/>
      </w:r>
      <w:r>
        <w:rPr>
          <w:rFonts w:ascii="Times New Roman" w:hAnsi="Times New Roman"/>
          <w:b w:val="0"/>
          <w:bCs w:val="0"/>
          <w:highlight w:val="none"/>
        </w:rPr>
        <w:t>6</w:t>
      </w:r>
      <w:r>
        <w:rPr>
          <w:rFonts w:ascii="Times New Roman" w:hAnsi="Times New Roman"/>
          <w:b w:val="0"/>
          <w:bCs w:val="0"/>
          <w:highlight w:val="none"/>
        </w:rPr>
        <w:fldChar w:fldCharType="end"/>
      </w:r>
      <w:r>
        <w:rPr>
          <w:rFonts w:ascii="Times New Roman" w:hAnsi="Times New Roman"/>
          <w:b w:val="0"/>
          <w:bCs w:val="0"/>
          <w:highlight w:val="none"/>
        </w:rPr>
        <w:fldChar w:fldCharType="end"/>
      </w:r>
    </w:p>
    <w:p>
      <w:pPr>
        <w:pStyle w:val="36"/>
        <w:tabs>
          <w:tab w:val="right" w:leader="dot" w:pos="9354"/>
          <w:tab w:val="clear" w:pos="8398"/>
        </w:tabs>
        <w:spacing w:line="360" w:lineRule="auto"/>
        <w:rPr>
          <w:rFonts w:ascii="Times New Roman" w:hAnsi="Times New Roman"/>
          <w:b w:val="0"/>
          <w:bCs w:val="0"/>
          <w:highlight w:val="none"/>
        </w:rPr>
      </w:pPr>
      <w:r>
        <w:rPr>
          <w:highlight w:val="none"/>
        </w:rPr>
        <w:fldChar w:fldCharType="begin"/>
      </w:r>
      <w:r>
        <w:rPr>
          <w:highlight w:val="none"/>
        </w:rPr>
        <w:instrText xml:space="preserve"> HYPERLINK \l "_Toc25856" </w:instrText>
      </w:r>
      <w:r>
        <w:rPr>
          <w:highlight w:val="none"/>
        </w:rPr>
        <w:fldChar w:fldCharType="separate"/>
      </w:r>
      <w:r>
        <w:rPr>
          <w:rFonts w:ascii="Times New Roman" w:hAnsi="Times New Roman"/>
          <w:b w:val="0"/>
          <w:bCs w:val="0"/>
          <w:highlight w:val="none"/>
        </w:rPr>
        <w:t>第三章  供应商须知</w:t>
      </w:r>
      <w:r>
        <w:rPr>
          <w:rFonts w:ascii="Times New Roman" w:hAnsi="Times New Roman"/>
          <w:b w:val="0"/>
          <w:bCs w:val="0"/>
          <w:highlight w:val="none"/>
        </w:rPr>
        <w:tab/>
      </w:r>
      <w:r>
        <w:rPr>
          <w:rFonts w:ascii="Times New Roman" w:hAnsi="Times New Roman"/>
          <w:b w:val="0"/>
          <w:bCs w:val="0"/>
          <w:highlight w:val="none"/>
        </w:rPr>
        <w:fldChar w:fldCharType="begin"/>
      </w:r>
      <w:r>
        <w:rPr>
          <w:rFonts w:ascii="Times New Roman" w:hAnsi="Times New Roman"/>
          <w:b w:val="0"/>
          <w:bCs w:val="0"/>
          <w:highlight w:val="none"/>
        </w:rPr>
        <w:instrText xml:space="preserve"> PAGEREF _Toc25856 </w:instrText>
      </w:r>
      <w:r>
        <w:rPr>
          <w:rFonts w:ascii="Times New Roman" w:hAnsi="Times New Roman"/>
          <w:b w:val="0"/>
          <w:bCs w:val="0"/>
          <w:highlight w:val="none"/>
        </w:rPr>
        <w:fldChar w:fldCharType="separate"/>
      </w:r>
      <w:r>
        <w:rPr>
          <w:rFonts w:ascii="Times New Roman" w:hAnsi="Times New Roman"/>
          <w:b w:val="0"/>
          <w:bCs w:val="0"/>
          <w:highlight w:val="none"/>
        </w:rPr>
        <w:t>24</w:t>
      </w:r>
      <w:r>
        <w:rPr>
          <w:rFonts w:ascii="Times New Roman" w:hAnsi="Times New Roman"/>
          <w:b w:val="0"/>
          <w:bCs w:val="0"/>
          <w:highlight w:val="none"/>
        </w:rPr>
        <w:fldChar w:fldCharType="end"/>
      </w:r>
      <w:r>
        <w:rPr>
          <w:rFonts w:ascii="Times New Roman" w:hAnsi="Times New Roman"/>
          <w:b w:val="0"/>
          <w:bCs w:val="0"/>
          <w:highlight w:val="none"/>
        </w:rPr>
        <w:fldChar w:fldCharType="end"/>
      </w:r>
    </w:p>
    <w:p>
      <w:pPr>
        <w:pStyle w:val="36"/>
        <w:tabs>
          <w:tab w:val="right" w:leader="dot" w:pos="9354"/>
          <w:tab w:val="clear" w:pos="8398"/>
        </w:tabs>
        <w:spacing w:line="360" w:lineRule="auto"/>
        <w:rPr>
          <w:rFonts w:ascii="Times New Roman" w:hAnsi="Times New Roman"/>
          <w:b w:val="0"/>
          <w:bCs w:val="0"/>
          <w:highlight w:val="none"/>
        </w:rPr>
      </w:pPr>
      <w:r>
        <w:rPr>
          <w:highlight w:val="none"/>
        </w:rPr>
        <w:fldChar w:fldCharType="begin"/>
      </w:r>
      <w:r>
        <w:rPr>
          <w:highlight w:val="none"/>
        </w:rPr>
        <w:instrText xml:space="preserve"> HYPERLINK \l "_Toc3819" </w:instrText>
      </w:r>
      <w:r>
        <w:rPr>
          <w:highlight w:val="none"/>
        </w:rPr>
        <w:fldChar w:fldCharType="separate"/>
      </w:r>
      <w:r>
        <w:rPr>
          <w:rFonts w:ascii="Times New Roman" w:hAnsi="Times New Roman"/>
          <w:b w:val="0"/>
          <w:bCs w:val="0"/>
          <w:highlight w:val="none"/>
        </w:rPr>
        <w:t>第四章  评标方法及评标标准</w:t>
      </w:r>
      <w:r>
        <w:rPr>
          <w:rFonts w:ascii="Times New Roman" w:hAnsi="Times New Roman"/>
          <w:b w:val="0"/>
          <w:bCs w:val="0"/>
          <w:highlight w:val="none"/>
        </w:rPr>
        <w:tab/>
      </w:r>
      <w:r>
        <w:rPr>
          <w:rFonts w:ascii="Times New Roman" w:hAnsi="Times New Roman"/>
          <w:b w:val="0"/>
          <w:bCs w:val="0"/>
          <w:highlight w:val="none"/>
        </w:rPr>
        <w:fldChar w:fldCharType="begin"/>
      </w:r>
      <w:r>
        <w:rPr>
          <w:rFonts w:ascii="Times New Roman" w:hAnsi="Times New Roman"/>
          <w:b w:val="0"/>
          <w:bCs w:val="0"/>
          <w:highlight w:val="none"/>
        </w:rPr>
        <w:instrText xml:space="preserve"> PAGEREF _Toc3819 </w:instrText>
      </w:r>
      <w:r>
        <w:rPr>
          <w:rFonts w:ascii="Times New Roman" w:hAnsi="Times New Roman"/>
          <w:b w:val="0"/>
          <w:bCs w:val="0"/>
          <w:highlight w:val="none"/>
        </w:rPr>
        <w:fldChar w:fldCharType="separate"/>
      </w:r>
      <w:r>
        <w:rPr>
          <w:rFonts w:ascii="Times New Roman" w:hAnsi="Times New Roman"/>
          <w:b w:val="0"/>
          <w:bCs w:val="0"/>
          <w:highlight w:val="none"/>
        </w:rPr>
        <w:t>49</w:t>
      </w:r>
      <w:r>
        <w:rPr>
          <w:rFonts w:ascii="Times New Roman" w:hAnsi="Times New Roman"/>
          <w:b w:val="0"/>
          <w:bCs w:val="0"/>
          <w:highlight w:val="none"/>
        </w:rPr>
        <w:fldChar w:fldCharType="end"/>
      </w:r>
      <w:r>
        <w:rPr>
          <w:rFonts w:ascii="Times New Roman" w:hAnsi="Times New Roman"/>
          <w:b w:val="0"/>
          <w:bCs w:val="0"/>
          <w:highlight w:val="none"/>
        </w:rPr>
        <w:fldChar w:fldCharType="end"/>
      </w:r>
    </w:p>
    <w:p>
      <w:pPr>
        <w:pStyle w:val="36"/>
        <w:tabs>
          <w:tab w:val="right" w:leader="dot" w:pos="9354"/>
          <w:tab w:val="clear" w:pos="8398"/>
        </w:tabs>
        <w:spacing w:line="360" w:lineRule="auto"/>
        <w:rPr>
          <w:rFonts w:ascii="Times New Roman" w:hAnsi="Times New Roman"/>
          <w:b w:val="0"/>
          <w:bCs w:val="0"/>
          <w:highlight w:val="none"/>
        </w:rPr>
      </w:pPr>
      <w:r>
        <w:rPr>
          <w:highlight w:val="none"/>
        </w:rPr>
        <w:fldChar w:fldCharType="begin"/>
      </w:r>
      <w:r>
        <w:rPr>
          <w:highlight w:val="none"/>
        </w:rPr>
        <w:instrText xml:space="preserve"> HYPERLINK \l "_Toc25316" </w:instrText>
      </w:r>
      <w:r>
        <w:rPr>
          <w:highlight w:val="none"/>
        </w:rPr>
        <w:fldChar w:fldCharType="separate"/>
      </w:r>
      <w:r>
        <w:rPr>
          <w:rFonts w:ascii="Times New Roman" w:hAnsi="Times New Roman"/>
          <w:b w:val="0"/>
          <w:bCs w:val="0"/>
          <w:highlight w:val="none"/>
        </w:rPr>
        <w:t>第五章  合同主要条款格式</w:t>
      </w:r>
      <w:r>
        <w:rPr>
          <w:rFonts w:ascii="Times New Roman" w:hAnsi="Times New Roman"/>
          <w:b w:val="0"/>
          <w:bCs w:val="0"/>
          <w:highlight w:val="none"/>
        </w:rPr>
        <w:tab/>
      </w:r>
      <w:r>
        <w:rPr>
          <w:rFonts w:ascii="Times New Roman" w:hAnsi="Times New Roman"/>
          <w:b w:val="0"/>
          <w:bCs w:val="0"/>
          <w:highlight w:val="none"/>
        </w:rPr>
        <w:fldChar w:fldCharType="begin"/>
      </w:r>
      <w:r>
        <w:rPr>
          <w:rFonts w:ascii="Times New Roman" w:hAnsi="Times New Roman"/>
          <w:b w:val="0"/>
          <w:bCs w:val="0"/>
          <w:highlight w:val="none"/>
        </w:rPr>
        <w:instrText xml:space="preserve"> PAGEREF _Toc25316 </w:instrText>
      </w:r>
      <w:r>
        <w:rPr>
          <w:rFonts w:ascii="Times New Roman" w:hAnsi="Times New Roman"/>
          <w:b w:val="0"/>
          <w:bCs w:val="0"/>
          <w:highlight w:val="none"/>
        </w:rPr>
        <w:fldChar w:fldCharType="separate"/>
      </w:r>
      <w:r>
        <w:rPr>
          <w:rFonts w:ascii="Times New Roman" w:hAnsi="Times New Roman"/>
          <w:b w:val="0"/>
          <w:bCs w:val="0"/>
          <w:highlight w:val="none"/>
        </w:rPr>
        <w:t>63</w:t>
      </w:r>
      <w:r>
        <w:rPr>
          <w:rFonts w:ascii="Times New Roman" w:hAnsi="Times New Roman"/>
          <w:b w:val="0"/>
          <w:bCs w:val="0"/>
          <w:highlight w:val="none"/>
        </w:rPr>
        <w:fldChar w:fldCharType="end"/>
      </w:r>
      <w:r>
        <w:rPr>
          <w:rFonts w:ascii="Times New Roman" w:hAnsi="Times New Roman"/>
          <w:b w:val="0"/>
          <w:bCs w:val="0"/>
          <w:highlight w:val="none"/>
        </w:rPr>
        <w:fldChar w:fldCharType="end"/>
      </w:r>
    </w:p>
    <w:p>
      <w:pPr>
        <w:pStyle w:val="36"/>
        <w:tabs>
          <w:tab w:val="right" w:leader="dot" w:pos="9354"/>
          <w:tab w:val="clear" w:pos="8398"/>
        </w:tabs>
        <w:spacing w:line="360" w:lineRule="auto"/>
        <w:rPr>
          <w:rFonts w:ascii="Times New Roman" w:hAnsi="Times New Roman"/>
          <w:b w:val="0"/>
          <w:bCs w:val="0"/>
          <w:highlight w:val="none"/>
        </w:rPr>
      </w:pPr>
      <w:r>
        <w:rPr>
          <w:highlight w:val="none"/>
        </w:rPr>
        <w:fldChar w:fldCharType="begin"/>
      </w:r>
      <w:r>
        <w:rPr>
          <w:highlight w:val="none"/>
        </w:rPr>
        <w:instrText xml:space="preserve"> HYPERLINK \l "_Toc12927" </w:instrText>
      </w:r>
      <w:r>
        <w:rPr>
          <w:highlight w:val="none"/>
        </w:rPr>
        <w:fldChar w:fldCharType="separate"/>
      </w:r>
      <w:r>
        <w:rPr>
          <w:rFonts w:ascii="Times New Roman" w:hAnsi="Times New Roman"/>
          <w:b w:val="0"/>
          <w:bCs w:val="0"/>
          <w:highlight w:val="none"/>
        </w:rPr>
        <w:t>第六章  投标文件格式</w:t>
      </w:r>
      <w:r>
        <w:rPr>
          <w:rFonts w:ascii="Times New Roman" w:hAnsi="Times New Roman"/>
          <w:b w:val="0"/>
          <w:bCs w:val="0"/>
          <w:highlight w:val="none"/>
        </w:rPr>
        <w:tab/>
      </w:r>
      <w:r>
        <w:rPr>
          <w:rFonts w:ascii="Times New Roman" w:hAnsi="Times New Roman"/>
          <w:b w:val="0"/>
          <w:bCs w:val="0"/>
          <w:highlight w:val="none"/>
        </w:rPr>
        <w:fldChar w:fldCharType="begin"/>
      </w:r>
      <w:r>
        <w:rPr>
          <w:rFonts w:ascii="Times New Roman" w:hAnsi="Times New Roman"/>
          <w:b w:val="0"/>
          <w:bCs w:val="0"/>
          <w:highlight w:val="none"/>
        </w:rPr>
        <w:instrText xml:space="preserve"> PAGEREF _Toc12927 </w:instrText>
      </w:r>
      <w:r>
        <w:rPr>
          <w:rFonts w:ascii="Times New Roman" w:hAnsi="Times New Roman"/>
          <w:b w:val="0"/>
          <w:bCs w:val="0"/>
          <w:highlight w:val="none"/>
        </w:rPr>
        <w:fldChar w:fldCharType="separate"/>
      </w:r>
      <w:r>
        <w:rPr>
          <w:rFonts w:ascii="Times New Roman" w:hAnsi="Times New Roman"/>
          <w:b w:val="0"/>
          <w:bCs w:val="0"/>
          <w:highlight w:val="none"/>
        </w:rPr>
        <w:t>72</w:t>
      </w:r>
      <w:r>
        <w:rPr>
          <w:rFonts w:ascii="Times New Roman" w:hAnsi="Times New Roman"/>
          <w:b w:val="0"/>
          <w:bCs w:val="0"/>
          <w:highlight w:val="none"/>
        </w:rPr>
        <w:fldChar w:fldCharType="end"/>
      </w:r>
      <w:r>
        <w:rPr>
          <w:rFonts w:ascii="Times New Roman" w:hAnsi="Times New Roman"/>
          <w:b w:val="0"/>
          <w:bCs w:val="0"/>
          <w:highlight w:val="none"/>
        </w:rPr>
        <w:fldChar w:fldCharType="end"/>
      </w:r>
    </w:p>
    <w:p>
      <w:pPr>
        <w:pStyle w:val="36"/>
        <w:spacing w:line="360" w:lineRule="auto"/>
        <w:rPr>
          <w:rFonts w:ascii="Times New Roman" w:hAnsi="Times New Roman"/>
          <w:highlight w:val="none"/>
        </w:rPr>
      </w:pPr>
      <w:r>
        <w:rPr>
          <w:rFonts w:ascii="Times New Roman" w:hAnsi="Times New Roman"/>
          <w:b w:val="0"/>
          <w:bCs w:val="0"/>
          <w:highlight w:val="none"/>
        </w:rPr>
        <w:fldChar w:fldCharType="end"/>
      </w:r>
    </w:p>
    <w:p>
      <w:pPr>
        <w:spacing w:before="120" w:beforeLines="50" w:line="480" w:lineRule="exact"/>
        <w:rPr>
          <w:sz w:val="30"/>
          <w:highlight w:val="none"/>
        </w:rPr>
        <w:sectPr>
          <w:headerReference r:id="rId3" w:type="first"/>
          <w:footerReference r:id="rId5" w:type="first"/>
          <w:footerReference r:id="rId4" w:type="default"/>
          <w:pgSz w:w="11906" w:h="16838"/>
          <w:pgMar w:top="1440" w:right="1800" w:bottom="1440" w:left="1800" w:header="851" w:footer="992" w:gutter="0"/>
          <w:pgNumType w:start="0"/>
          <w:cols w:space="720" w:num="1"/>
          <w:titlePg/>
          <w:docGrid w:linePitch="312" w:charSpace="0"/>
        </w:sectPr>
      </w:pPr>
    </w:p>
    <w:p>
      <w:pPr>
        <w:pStyle w:val="29"/>
        <w:snapToGrid w:val="0"/>
        <w:spacing w:before="82" w:beforeLines="25" w:after="82" w:afterLines="25" w:line="360" w:lineRule="auto"/>
        <w:jc w:val="center"/>
        <w:outlineLvl w:val="0"/>
        <w:rPr>
          <w:rFonts w:ascii="Times New Roman" w:hAnsi="Times New Roman" w:cs="Times New Roman"/>
          <w:b/>
          <w:sz w:val="36"/>
          <w:szCs w:val="36"/>
          <w:highlight w:val="none"/>
        </w:rPr>
      </w:pPr>
      <w:bookmarkStart w:id="4" w:name="_Toc254970489"/>
      <w:bookmarkStart w:id="5" w:name="_Toc254970630"/>
      <w:bookmarkStart w:id="6" w:name="_Toc2923"/>
      <w:bookmarkStart w:id="7" w:name="OLE_LINK2"/>
      <w:r>
        <w:rPr>
          <w:rFonts w:hint="eastAsia" w:ascii="Times New Roman" w:hAnsi="Times New Roman" w:cs="Times New Roman"/>
          <w:b/>
          <w:sz w:val="36"/>
          <w:szCs w:val="36"/>
          <w:highlight w:val="none"/>
        </w:rPr>
        <w:t>第一章  招标公告</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szCs w:val="21"/>
          <w:highlight w:val="none"/>
        </w:rPr>
      </w:pPr>
      <w:r>
        <w:rPr>
          <w:rFonts w:hint="eastAsia" w:ascii="宋体" w:hAnsi="宋体"/>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highlight w:val="none"/>
        </w:rPr>
      </w:pPr>
      <w:r>
        <w:rPr>
          <w:rFonts w:hint="eastAsia" w:ascii="宋体" w:hAnsi="宋体"/>
          <w:szCs w:val="21"/>
          <w:highlight w:val="none"/>
          <w:u w:val="single"/>
        </w:rPr>
        <w:t>2025年广西边海无线电监测网能力提升项目（重）</w:t>
      </w:r>
      <w:r>
        <w:rPr>
          <w:rFonts w:hint="eastAsia" w:ascii="宋体" w:hAnsi="宋体"/>
          <w:szCs w:val="21"/>
          <w:highlight w:val="none"/>
        </w:rPr>
        <w:t>招标项目的潜在投标人应在</w:t>
      </w:r>
      <w:r>
        <w:rPr>
          <w:rFonts w:hint="eastAsia" w:ascii="宋体" w:hAnsi="宋体"/>
          <w:szCs w:val="21"/>
          <w:highlight w:val="none"/>
          <w:u w:val="single"/>
        </w:rPr>
        <w:t>广西政府采购云平台（https://www.gcy.zfcg.gxzf.gov.cn/）</w:t>
      </w:r>
      <w:r>
        <w:rPr>
          <w:rFonts w:hint="eastAsia" w:ascii="宋体" w:hAnsi="宋体"/>
          <w:szCs w:val="21"/>
          <w:highlight w:val="none"/>
        </w:rPr>
        <w:t>获取招标文件，并于</w:t>
      </w:r>
      <w:r>
        <w:rPr>
          <w:rFonts w:hint="eastAsia" w:ascii="宋体" w:hAnsi="宋体"/>
          <w:szCs w:val="21"/>
          <w:highlight w:val="none"/>
          <w:u w:val="single"/>
        </w:rPr>
        <w:t>2025年</w:t>
      </w:r>
      <w:r>
        <w:rPr>
          <w:rFonts w:hint="eastAsia" w:ascii="宋体" w:hAnsi="宋体"/>
          <w:szCs w:val="21"/>
          <w:highlight w:val="none"/>
          <w:u w:val="single"/>
          <w:lang w:val="en-US" w:eastAsia="zh-CN"/>
        </w:rPr>
        <w:t>11</w:t>
      </w:r>
      <w:r>
        <w:rPr>
          <w:rFonts w:hint="eastAsia" w:ascii="宋体" w:hAnsi="宋体"/>
          <w:szCs w:val="21"/>
          <w:highlight w:val="none"/>
          <w:u w:val="single"/>
        </w:rPr>
        <w:t>月</w:t>
      </w:r>
      <w:r>
        <w:rPr>
          <w:rFonts w:hint="eastAsia" w:ascii="宋体" w:hAnsi="宋体"/>
          <w:szCs w:val="21"/>
          <w:highlight w:val="none"/>
          <w:u w:val="single"/>
          <w:lang w:val="en-US" w:eastAsia="zh-CN"/>
        </w:rPr>
        <w:t>3</w:t>
      </w:r>
      <w:r>
        <w:rPr>
          <w:rFonts w:hint="eastAsia" w:ascii="宋体" w:hAnsi="宋体"/>
          <w:szCs w:val="21"/>
          <w:highlight w:val="none"/>
          <w:u w:val="single"/>
        </w:rPr>
        <w:t>日09时3</w:t>
      </w:r>
      <w:r>
        <w:rPr>
          <w:rFonts w:ascii="宋体" w:hAnsi="宋体"/>
          <w:szCs w:val="21"/>
          <w:highlight w:val="none"/>
          <w:u w:val="single"/>
        </w:rPr>
        <w:t>0</w:t>
      </w:r>
      <w:r>
        <w:rPr>
          <w:rFonts w:hint="eastAsia" w:ascii="宋体" w:hAnsi="宋体"/>
          <w:szCs w:val="21"/>
          <w:highlight w:val="none"/>
          <w:u w:val="single"/>
        </w:rPr>
        <w:t>分</w:t>
      </w:r>
      <w:r>
        <w:rPr>
          <w:rFonts w:hint="eastAsia" w:ascii="宋体" w:hAnsi="宋体"/>
          <w:bCs/>
          <w:szCs w:val="21"/>
          <w:highlight w:val="none"/>
        </w:rPr>
        <w:t>（北京时间）前递交投标</w:t>
      </w:r>
      <w:r>
        <w:rPr>
          <w:rFonts w:ascii="宋体" w:hAnsi="宋体"/>
          <w:bCs/>
          <w:szCs w:val="21"/>
          <w:highlight w:val="none"/>
        </w:rPr>
        <w:t>文件</w:t>
      </w:r>
      <w:r>
        <w:rPr>
          <w:rFonts w:hint="eastAsia" w:ascii="宋体" w:hAnsi="宋体"/>
          <w:szCs w:val="21"/>
          <w:highlight w:val="none"/>
        </w:rPr>
        <w:t>。</w:t>
      </w:r>
    </w:p>
    <w:p>
      <w:pPr>
        <w:spacing w:line="360" w:lineRule="auto"/>
        <w:outlineLvl w:val="1"/>
        <w:rPr>
          <w:rFonts w:hint="eastAsia" w:ascii="黑体" w:hAnsi="黑体" w:eastAsia="黑体"/>
          <w:b/>
          <w:bCs/>
          <w:sz w:val="24"/>
          <w:highlight w:val="none"/>
        </w:rPr>
      </w:pPr>
      <w:bookmarkStart w:id="8" w:name="_Toc35393790"/>
      <w:bookmarkStart w:id="9" w:name="_Toc28359079"/>
      <w:bookmarkStart w:id="10" w:name="_Toc35393621"/>
      <w:bookmarkStart w:id="11" w:name="_Toc28359002"/>
      <w:bookmarkStart w:id="12" w:name="_Hlk24379207"/>
      <w:r>
        <w:rPr>
          <w:rFonts w:hint="eastAsia" w:ascii="黑体" w:hAnsi="黑体" w:eastAsia="黑体"/>
          <w:b/>
          <w:bCs/>
          <w:sz w:val="24"/>
          <w:highlight w:val="none"/>
        </w:rPr>
        <w:t>一、项目基本情</w:t>
      </w:r>
      <w:bookmarkEnd w:id="8"/>
      <w:bookmarkEnd w:id="9"/>
      <w:bookmarkEnd w:id="10"/>
      <w:bookmarkEnd w:id="11"/>
      <w:r>
        <w:rPr>
          <w:rFonts w:hint="eastAsia" w:ascii="黑体" w:hAnsi="黑体" w:eastAsia="黑体"/>
          <w:b/>
          <w:bCs/>
          <w:sz w:val="24"/>
          <w:highlight w:val="none"/>
        </w:rPr>
        <w:t>况</w:t>
      </w:r>
    </w:p>
    <w:p>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项目编号：GXZC2025-G1-002956-SKGS</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项目名称：2025年广西边海无线电监测网能力提升项目（重）</w:t>
      </w:r>
    </w:p>
    <w:bookmarkEnd w:id="12"/>
    <w:p>
      <w:pPr>
        <w:spacing w:line="360" w:lineRule="auto"/>
        <w:ind w:firstLine="420" w:firstLineChars="200"/>
        <w:rPr>
          <w:rFonts w:hint="eastAsia" w:ascii="宋体" w:hAnsi="宋体"/>
          <w:szCs w:val="21"/>
          <w:highlight w:val="none"/>
        </w:rPr>
      </w:pPr>
      <w:r>
        <w:rPr>
          <w:rFonts w:hint="eastAsia" w:ascii="宋体" w:hAnsi="宋体"/>
          <w:szCs w:val="21"/>
          <w:highlight w:val="none"/>
        </w:rPr>
        <w:t>预算总金额（元）：</w:t>
      </w:r>
      <w:r>
        <w:rPr>
          <w:rFonts w:ascii="宋体" w:hAnsi="宋体"/>
          <w:szCs w:val="21"/>
          <w:highlight w:val="none"/>
        </w:rPr>
        <w:t>7500</w:t>
      </w:r>
      <w:r>
        <w:rPr>
          <w:rFonts w:hint="eastAsia" w:ascii="宋体" w:hAnsi="宋体"/>
          <w:szCs w:val="21"/>
          <w:highlight w:val="none"/>
        </w:rPr>
        <w:t>000</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采购需求：</w:t>
      </w:r>
    </w:p>
    <w:p>
      <w:pPr>
        <w:spacing w:line="360" w:lineRule="auto"/>
        <w:ind w:firstLine="420" w:firstLineChars="200"/>
        <w:rPr>
          <w:rFonts w:hint="eastAsia" w:ascii="宋体" w:hAnsi="宋体"/>
          <w:color w:val="FF0000"/>
          <w:szCs w:val="21"/>
          <w:highlight w:val="none"/>
        </w:rPr>
      </w:pPr>
      <w:bookmarkStart w:id="13" w:name="OLE_LINK71"/>
      <w:bookmarkStart w:id="14" w:name="OLE_LINK69"/>
      <w:r>
        <w:rPr>
          <w:rFonts w:hint="eastAsia" w:ascii="宋体" w:hAnsi="宋体"/>
          <w:color w:val="FF0000"/>
          <w:szCs w:val="21"/>
          <w:highlight w:val="none"/>
        </w:rPr>
        <w:t>标项一</w:t>
      </w:r>
      <w:bookmarkEnd w:id="13"/>
      <w:bookmarkEnd w:id="14"/>
      <w:r>
        <w:rPr>
          <w:rFonts w:hint="eastAsia" w:ascii="宋体" w:hAnsi="宋体"/>
          <w:color w:val="FF0000"/>
          <w:szCs w:val="21"/>
          <w:highlight w:val="none"/>
        </w:rPr>
        <w:t>（A分标）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标项名称：</w:t>
      </w:r>
      <w:bookmarkStart w:id="15" w:name="OLE_LINK54"/>
      <w:r>
        <w:rPr>
          <w:rFonts w:hint="eastAsia" w:ascii="宋体" w:hAnsi="宋体"/>
          <w:szCs w:val="21"/>
          <w:highlight w:val="none"/>
        </w:rPr>
        <w:t>报废旧站原址新建二类无线电监测固定站</w:t>
      </w:r>
      <w:bookmarkEnd w:id="15"/>
    </w:p>
    <w:p>
      <w:pPr>
        <w:spacing w:line="360" w:lineRule="auto"/>
        <w:ind w:firstLine="420" w:firstLineChars="200"/>
        <w:rPr>
          <w:rFonts w:hint="eastAsia" w:ascii="宋体" w:hAnsi="宋体"/>
          <w:szCs w:val="21"/>
          <w:highlight w:val="none"/>
        </w:rPr>
      </w:pPr>
      <w:r>
        <w:rPr>
          <w:rFonts w:hint="eastAsia" w:ascii="宋体" w:hAnsi="宋体"/>
          <w:szCs w:val="21"/>
          <w:highlight w:val="none"/>
        </w:rPr>
        <w:t>数量：1套</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预算金额（元）：2500000</w:t>
      </w:r>
    </w:p>
    <w:p>
      <w:pPr>
        <w:spacing w:line="360" w:lineRule="auto"/>
        <w:ind w:firstLine="420" w:firstLineChars="200"/>
        <w:rPr>
          <w:rFonts w:hint="eastAsia" w:ascii="宋体" w:hAnsi="宋体"/>
          <w:szCs w:val="21"/>
          <w:highlight w:val="none"/>
        </w:rPr>
      </w:pPr>
      <w:r>
        <w:rPr>
          <w:rFonts w:hint="eastAsia" w:ascii="宋体" w:hAnsi="宋体"/>
          <w:szCs w:val="21"/>
          <w:highlight w:val="none"/>
        </w:rPr>
        <w:t>简要规格描述或项目基本概况介绍、用途：需采购</w:t>
      </w:r>
      <w:bookmarkStart w:id="16" w:name="OLE_LINK50"/>
      <w:r>
        <w:rPr>
          <w:rFonts w:hint="eastAsia" w:ascii="宋体" w:hAnsi="宋体"/>
          <w:szCs w:val="21"/>
          <w:highlight w:val="none"/>
        </w:rPr>
        <w:t>报废旧站原址新建二类无线电监测固定站（崇左-龙州站）1</w:t>
      </w:r>
      <w:bookmarkEnd w:id="16"/>
      <w:r>
        <w:rPr>
          <w:rFonts w:hint="eastAsia" w:ascii="宋体" w:hAnsi="宋体"/>
          <w:szCs w:val="21"/>
          <w:highlight w:val="none"/>
        </w:rPr>
        <w:t>套，具体详见招标文件“第二章 采购需求”。</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最高限价（元）：2500000</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bookmarkStart w:id="17" w:name="OLE_LINK64"/>
      <w:r>
        <w:rPr>
          <w:rFonts w:hint="eastAsia" w:ascii="宋体" w:hAnsi="宋体"/>
          <w:color w:val="000000" w:themeColor="text1"/>
          <w:szCs w:val="21"/>
          <w:highlight w:val="none"/>
          <w14:textFill>
            <w14:solidFill>
              <w14:schemeClr w14:val="tx1"/>
            </w14:solidFill>
          </w14:textFill>
        </w:rPr>
        <w:t>合同履约期限：</w:t>
      </w:r>
      <w:bookmarkStart w:id="18" w:name="OLE_LINK9"/>
      <w:r>
        <w:rPr>
          <w:rFonts w:hint="eastAsia" w:ascii="宋体" w:hAnsi="宋体"/>
          <w:color w:val="000000" w:themeColor="text1"/>
          <w:szCs w:val="21"/>
          <w:highlight w:val="none"/>
          <w14:textFill>
            <w14:solidFill>
              <w14:schemeClr w14:val="tx1"/>
            </w14:solidFill>
          </w14:textFill>
        </w:rPr>
        <w:t>2026年2月1日前完成出厂验收，2026年3月15日前完成合同验收，直至完成初步验收及竣工验收。</w:t>
      </w:r>
      <w:bookmarkEnd w:id="18"/>
    </w:p>
    <w:bookmarkEnd w:id="17"/>
    <w:p>
      <w:pPr>
        <w:spacing w:line="360" w:lineRule="auto"/>
        <w:ind w:firstLine="420" w:firstLineChars="200"/>
        <w:rPr>
          <w:rFonts w:hint="eastAsia" w:ascii="宋体" w:hAnsi="宋体"/>
          <w:szCs w:val="21"/>
          <w:highlight w:val="none"/>
        </w:rPr>
      </w:pPr>
      <w:r>
        <w:rPr>
          <w:rFonts w:hint="eastAsia" w:ascii="宋体" w:hAnsi="宋体"/>
          <w:szCs w:val="21"/>
          <w:highlight w:val="none"/>
        </w:rPr>
        <w:t>本标项（否）接受联合体投标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备注：/</w:t>
      </w:r>
    </w:p>
    <w:p>
      <w:pPr>
        <w:spacing w:line="360" w:lineRule="auto"/>
        <w:ind w:firstLine="420" w:firstLineChars="200"/>
        <w:rPr>
          <w:rFonts w:hint="eastAsia" w:ascii="宋体" w:hAnsi="宋体"/>
          <w:color w:val="FF0000"/>
          <w:szCs w:val="21"/>
          <w:highlight w:val="none"/>
        </w:rPr>
      </w:pPr>
      <w:bookmarkStart w:id="19" w:name="OLE_LINK70"/>
      <w:r>
        <w:rPr>
          <w:rFonts w:hint="eastAsia" w:ascii="宋体" w:hAnsi="宋体"/>
          <w:color w:val="FF0000"/>
          <w:szCs w:val="21"/>
          <w:highlight w:val="none"/>
        </w:rPr>
        <w:t>标项二</w:t>
      </w:r>
      <w:bookmarkEnd w:id="19"/>
      <w:r>
        <w:rPr>
          <w:rFonts w:hint="eastAsia" w:ascii="宋体" w:hAnsi="宋体"/>
          <w:color w:val="FF0000"/>
          <w:szCs w:val="21"/>
          <w:highlight w:val="none"/>
        </w:rPr>
        <w:t>（B分标）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标项名称：报废旧站原址新建二类无线电监测固定站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数量：1套</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预算金额（元）：2500000</w:t>
      </w:r>
    </w:p>
    <w:p>
      <w:pPr>
        <w:spacing w:line="360" w:lineRule="auto"/>
        <w:ind w:firstLine="420" w:firstLineChars="200"/>
        <w:rPr>
          <w:rFonts w:hint="eastAsia" w:ascii="宋体" w:hAnsi="宋体"/>
          <w:szCs w:val="21"/>
          <w:highlight w:val="none"/>
        </w:rPr>
      </w:pPr>
      <w:r>
        <w:rPr>
          <w:rFonts w:hint="eastAsia" w:ascii="宋体" w:hAnsi="宋体"/>
          <w:szCs w:val="21"/>
          <w:highlight w:val="none"/>
        </w:rPr>
        <w:t>简要规格描述或项目基本概况介绍、用途：需采购报废旧站原址新建二类无线电监测固定站（钦州-蓝天丽都站）1套，具体详见招标文件“第二章 采购需求”。</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最高限价（元）：2500000</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合同履约期限：</w:t>
      </w:r>
      <w:bookmarkStart w:id="20" w:name="OLE_LINK66"/>
      <w:r>
        <w:rPr>
          <w:rFonts w:hint="eastAsia" w:ascii="宋体" w:hAnsi="宋体"/>
          <w:color w:val="000000" w:themeColor="text1"/>
          <w:szCs w:val="21"/>
          <w:highlight w:val="none"/>
          <w14:textFill>
            <w14:solidFill>
              <w14:schemeClr w14:val="tx1"/>
            </w14:solidFill>
          </w14:textFill>
        </w:rPr>
        <w:t>2026年2月1日前完成出厂验收，2026年3月15日前完成合同验收，直至完成初步验收及竣工验收。</w:t>
      </w:r>
      <w:bookmarkEnd w:id="20"/>
    </w:p>
    <w:p>
      <w:pPr>
        <w:spacing w:line="360" w:lineRule="auto"/>
        <w:ind w:firstLine="420" w:firstLineChars="200"/>
        <w:rPr>
          <w:rFonts w:hint="eastAsia" w:ascii="宋体" w:hAnsi="宋体"/>
          <w:szCs w:val="21"/>
          <w:highlight w:val="none"/>
        </w:rPr>
      </w:pPr>
      <w:r>
        <w:rPr>
          <w:rFonts w:hint="eastAsia" w:ascii="宋体" w:hAnsi="宋体"/>
          <w:szCs w:val="21"/>
          <w:highlight w:val="none"/>
        </w:rPr>
        <w:t>本标项（否）接受联合体投标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备注：/</w:t>
      </w:r>
    </w:p>
    <w:p>
      <w:pPr>
        <w:spacing w:line="360" w:lineRule="auto"/>
        <w:ind w:firstLine="420" w:firstLineChars="200"/>
        <w:rPr>
          <w:rFonts w:hint="eastAsia" w:ascii="宋体" w:hAnsi="宋体"/>
          <w:color w:val="FF0000"/>
          <w:szCs w:val="21"/>
          <w:highlight w:val="none"/>
        </w:rPr>
      </w:pPr>
      <w:r>
        <w:rPr>
          <w:rFonts w:hint="eastAsia" w:ascii="宋体" w:hAnsi="宋体"/>
          <w:color w:val="FF0000"/>
          <w:szCs w:val="21"/>
          <w:highlight w:val="none"/>
        </w:rPr>
        <w:t>标项三（C分标）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标项名称：报废旧站原址新建二类无线电监测固定站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数量：1套</w:t>
      </w:r>
    </w:p>
    <w:p>
      <w:pPr>
        <w:spacing w:line="360" w:lineRule="auto"/>
        <w:ind w:firstLine="420" w:firstLineChars="200"/>
        <w:rPr>
          <w:rFonts w:hint="eastAsia" w:ascii="宋体" w:hAnsi="宋体"/>
          <w:szCs w:val="21"/>
          <w:highlight w:val="none"/>
        </w:rPr>
      </w:pPr>
      <w:r>
        <w:rPr>
          <w:rFonts w:hint="eastAsia" w:ascii="宋体" w:hAnsi="宋体"/>
          <w:szCs w:val="21"/>
          <w:highlight w:val="none"/>
        </w:rPr>
        <w:t>预算金额（元）：2500000</w:t>
      </w:r>
    </w:p>
    <w:p>
      <w:pPr>
        <w:spacing w:line="360" w:lineRule="auto"/>
        <w:ind w:firstLine="420" w:firstLineChars="200"/>
        <w:rPr>
          <w:rFonts w:hint="eastAsia" w:ascii="宋体" w:hAnsi="宋体"/>
          <w:szCs w:val="21"/>
          <w:highlight w:val="none"/>
        </w:rPr>
      </w:pPr>
      <w:r>
        <w:rPr>
          <w:rFonts w:hint="eastAsia" w:ascii="宋体" w:hAnsi="宋体"/>
          <w:szCs w:val="21"/>
          <w:highlight w:val="none"/>
        </w:rPr>
        <w:t>简要规格描述或项目基本概况介绍、用途：需采购报废旧站原址新建二类无线电监测固定站（防城港-峒中口岸里火通道站）1套，具体详见招标文件</w:t>
      </w:r>
      <w:bookmarkStart w:id="21" w:name="OLE_LINK10"/>
      <w:r>
        <w:rPr>
          <w:rFonts w:hint="eastAsia" w:ascii="宋体" w:hAnsi="宋体"/>
          <w:szCs w:val="21"/>
          <w:highlight w:val="none"/>
        </w:rPr>
        <w:t>“第二章 采购需求”</w:t>
      </w:r>
      <w:bookmarkEnd w:id="21"/>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最高限价</w:t>
      </w:r>
      <w:bookmarkStart w:id="22" w:name="OLE_LINK6"/>
      <w:r>
        <w:rPr>
          <w:rFonts w:hint="eastAsia" w:ascii="宋体" w:hAnsi="宋体"/>
          <w:szCs w:val="21"/>
          <w:highlight w:val="none"/>
        </w:rPr>
        <w:t>（元）</w:t>
      </w:r>
      <w:bookmarkEnd w:id="22"/>
      <w:r>
        <w:rPr>
          <w:rFonts w:hint="eastAsia" w:ascii="宋体" w:hAnsi="宋体"/>
          <w:szCs w:val="21"/>
          <w:highlight w:val="none"/>
        </w:rPr>
        <w:t>：2500000</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合同履约期限：2026年2月1日前完成出厂验收，2026年3月15日前完成合同验收，直至完成初步验收及竣工验收。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本标项（否）接受联合体投标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备注：/</w:t>
      </w:r>
    </w:p>
    <w:p>
      <w:pPr>
        <w:spacing w:line="360" w:lineRule="auto"/>
        <w:outlineLvl w:val="1"/>
        <w:rPr>
          <w:rFonts w:hint="eastAsia" w:ascii="黑体" w:hAnsi="黑体" w:eastAsia="黑体"/>
          <w:b/>
          <w:bCs/>
          <w:sz w:val="24"/>
          <w:highlight w:val="none"/>
        </w:rPr>
      </w:pPr>
      <w:bookmarkStart w:id="23" w:name="_Toc35393791"/>
      <w:bookmarkStart w:id="24" w:name="_Toc28359003"/>
      <w:bookmarkStart w:id="25" w:name="_Toc28359080"/>
      <w:bookmarkStart w:id="26" w:name="_Toc35393622"/>
      <w:r>
        <w:rPr>
          <w:rFonts w:hint="eastAsia" w:ascii="黑体" w:hAnsi="黑体" w:eastAsia="黑体"/>
          <w:b/>
          <w:bCs/>
          <w:sz w:val="24"/>
          <w:highlight w:val="none"/>
        </w:rPr>
        <w:t>二、</w:t>
      </w:r>
      <w:bookmarkEnd w:id="23"/>
      <w:bookmarkEnd w:id="24"/>
      <w:bookmarkEnd w:id="25"/>
      <w:bookmarkEnd w:id="26"/>
      <w:r>
        <w:rPr>
          <w:rFonts w:hint="eastAsia" w:ascii="黑体" w:hAnsi="黑体" w:eastAsia="黑体"/>
          <w:b/>
          <w:bCs/>
          <w:sz w:val="24"/>
          <w:highlight w:val="none"/>
        </w:rPr>
        <w:t>申请人的资格要求</w:t>
      </w:r>
    </w:p>
    <w:p>
      <w:pPr>
        <w:spacing w:line="360" w:lineRule="auto"/>
        <w:ind w:firstLine="420" w:firstLineChars="200"/>
        <w:rPr>
          <w:rFonts w:hint="eastAsia" w:ascii="宋体" w:hAnsi="宋体"/>
          <w:szCs w:val="21"/>
          <w:highlight w:val="none"/>
        </w:rPr>
      </w:pPr>
      <w:bookmarkStart w:id="27" w:name="_Hlk51746371"/>
      <w:r>
        <w:rPr>
          <w:rFonts w:hint="eastAsia" w:ascii="宋体" w:hAnsi="宋体"/>
          <w:szCs w:val="21"/>
          <w:highlight w:val="none"/>
        </w:rPr>
        <w:t>1.满足《中华人民共和国政府采购法》第二十二条规定；</w:t>
      </w:r>
    </w:p>
    <w:p>
      <w:pPr>
        <w:spacing w:line="360" w:lineRule="auto"/>
        <w:ind w:firstLine="420" w:firstLineChars="200"/>
        <w:rPr>
          <w:rFonts w:hint="eastAsia" w:ascii="宋体" w:hAnsi="宋体"/>
          <w:szCs w:val="21"/>
          <w:highlight w:val="none"/>
        </w:rPr>
      </w:pPr>
      <w:bookmarkStart w:id="28" w:name="OLE_LINK24"/>
      <w:bookmarkStart w:id="29" w:name="_Toc28359081"/>
      <w:bookmarkStart w:id="30" w:name="_Toc28359004"/>
      <w:r>
        <w:rPr>
          <w:rFonts w:ascii="宋体" w:hAnsi="宋体"/>
          <w:szCs w:val="21"/>
          <w:highlight w:val="none"/>
        </w:rPr>
        <w:t>2</w:t>
      </w:r>
      <w:r>
        <w:rPr>
          <w:rFonts w:hint="eastAsia" w:ascii="宋体" w:hAnsi="宋体"/>
          <w:szCs w:val="21"/>
          <w:highlight w:val="none"/>
        </w:rPr>
        <w:t>.</w:t>
      </w:r>
      <w:bookmarkStart w:id="31" w:name="OLE_LINK30"/>
      <w:r>
        <w:rPr>
          <w:rFonts w:hint="eastAsia" w:ascii="宋体" w:hAnsi="宋体"/>
          <w:szCs w:val="21"/>
          <w:highlight w:val="none"/>
        </w:rPr>
        <w:t>落实政府采购政策需满足的资格要求</w:t>
      </w:r>
      <w:bookmarkEnd w:id="31"/>
      <w:r>
        <w:rPr>
          <w:rFonts w:hint="eastAsia" w:ascii="宋体" w:hAnsi="宋体"/>
          <w:szCs w:val="21"/>
          <w:highlight w:val="none"/>
        </w:rPr>
        <w:t>：</w:t>
      </w:r>
      <w:bookmarkStart w:id="32" w:name="OLE_LINK23"/>
      <w:r>
        <w:rPr>
          <w:rFonts w:hint="eastAsia" w:ascii="宋体" w:hAnsi="宋体"/>
          <w:szCs w:val="21"/>
          <w:highlight w:val="none"/>
        </w:rPr>
        <w:t>无。</w:t>
      </w:r>
      <w:bookmarkEnd w:id="32"/>
    </w:p>
    <w:p>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3.本项目的特定资格要求：</w:t>
      </w:r>
      <w:bookmarkEnd w:id="27"/>
    </w:p>
    <w:p>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（1）单位负责人为同一人或者存在直接控股、管理关系的不同供应商，不得参加同一合同项下的政府采购活动。</w:t>
      </w:r>
      <w:r>
        <w:rPr>
          <w:rFonts w:hint="eastAsia"/>
          <w:highlight w:val="none"/>
        </w:rPr>
        <w:t>除单一来源采购项目外，为采购项目提供整体设计、规范编制或者项目管理、监理、检测等服务的供应商，不得再参加该采购项目的其他采购活动。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w:t>
      </w:r>
      <w:bookmarkStart w:id="33" w:name="OLE_LINK29"/>
      <w:r>
        <w:rPr>
          <w:rFonts w:hint="eastAsia" w:ascii="宋体" w:hAnsi="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bookmarkEnd w:id="33"/>
    </w:p>
    <w:bookmarkEnd w:id="28"/>
    <w:p>
      <w:pPr>
        <w:spacing w:line="360" w:lineRule="auto"/>
        <w:outlineLvl w:val="1"/>
        <w:rPr>
          <w:rFonts w:hint="eastAsia" w:ascii="黑体" w:hAnsi="黑体" w:eastAsia="黑体"/>
          <w:b/>
          <w:bCs/>
          <w:sz w:val="24"/>
          <w:highlight w:val="none"/>
        </w:rPr>
      </w:pPr>
      <w:bookmarkStart w:id="34" w:name="_Toc35393792"/>
      <w:bookmarkStart w:id="35" w:name="_Toc35393623"/>
      <w:r>
        <w:rPr>
          <w:rFonts w:hint="eastAsia" w:ascii="黑体" w:hAnsi="黑体" w:eastAsia="黑体"/>
          <w:b/>
          <w:bCs/>
          <w:sz w:val="24"/>
          <w:highlight w:val="none"/>
        </w:rPr>
        <w:t>三、获取招标文件</w:t>
      </w:r>
      <w:bookmarkEnd w:id="29"/>
      <w:bookmarkEnd w:id="30"/>
      <w:bookmarkEnd w:id="34"/>
      <w:bookmarkEnd w:id="35"/>
    </w:p>
    <w:p>
      <w:pPr>
        <w:spacing w:line="360" w:lineRule="auto"/>
        <w:ind w:firstLine="540"/>
        <w:rPr>
          <w:rFonts w:hint="eastAsia" w:ascii="宋体" w:hAnsi="宋体" w:cs="宋体"/>
          <w:bCs/>
          <w:kern w:val="0"/>
          <w:szCs w:val="21"/>
          <w:highlight w:val="none"/>
        </w:rPr>
      </w:pPr>
      <w:r>
        <w:rPr>
          <w:rFonts w:hint="eastAsia" w:ascii="宋体" w:hAnsi="宋体" w:cs="宋体"/>
          <w:bCs/>
          <w:kern w:val="0"/>
          <w:szCs w:val="21"/>
          <w:highlight w:val="none"/>
        </w:rPr>
        <w:t>时间：</w:t>
      </w:r>
      <w:r>
        <w:rPr>
          <w:rFonts w:hint="eastAsia" w:ascii="宋体" w:hAnsi="宋体" w:cs="宋体"/>
          <w:bCs/>
          <w:kern w:val="0"/>
          <w:szCs w:val="21"/>
          <w:highlight w:val="none"/>
          <w:u w:val="single"/>
        </w:rPr>
        <w:t>2025年</w:t>
      </w:r>
      <w:r>
        <w:rPr>
          <w:rFonts w:hint="eastAsia" w:ascii="宋体" w:hAnsi="宋体" w:cs="宋体"/>
          <w:bCs/>
          <w:kern w:val="0"/>
          <w:szCs w:val="21"/>
          <w:highlight w:val="none"/>
          <w:u w:val="single"/>
          <w:lang w:val="en-US" w:eastAsia="zh-CN"/>
        </w:rPr>
        <w:t>10</w:t>
      </w:r>
      <w:r>
        <w:rPr>
          <w:rFonts w:hint="eastAsia" w:ascii="宋体" w:hAnsi="宋体" w:cs="宋体"/>
          <w:bCs/>
          <w:kern w:val="0"/>
          <w:szCs w:val="21"/>
          <w:highlight w:val="none"/>
          <w:u w:val="single"/>
        </w:rPr>
        <w:t>月</w:t>
      </w:r>
      <w:r>
        <w:rPr>
          <w:rFonts w:hint="eastAsia" w:ascii="宋体" w:hAnsi="宋体" w:cs="宋体"/>
          <w:bCs/>
          <w:kern w:val="0"/>
          <w:szCs w:val="21"/>
          <w:highlight w:val="none"/>
          <w:u w:val="single"/>
          <w:lang w:val="en-US" w:eastAsia="zh-CN"/>
        </w:rPr>
        <w:t>11</w:t>
      </w:r>
      <w:r>
        <w:rPr>
          <w:rFonts w:hint="eastAsia" w:ascii="宋体" w:hAnsi="宋体" w:cs="宋体"/>
          <w:bCs/>
          <w:kern w:val="0"/>
          <w:szCs w:val="21"/>
          <w:highlight w:val="none"/>
          <w:u w:val="single"/>
        </w:rPr>
        <w:t>日</w:t>
      </w:r>
      <w:r>
        <w:rPr>
          <w:rFonts w:hint="eastAsia" w:ascii="宋体" w:hAnsi="宋体" w:cs="宋体"/>
          <w:bCs/>
          <w:kern w:val="0"/>
          <w:szCs w:val="21"/>
          <w:highlight w:val="none"/>
        </w:rPr>
        <w:t>至</w:t>
      </w:r>
      <w:r>
        <w:rPr>
          <w:rFonts w:hint="eastAsia" w:ascii="宋体" w:hAnsi="宋体" w:cs="宋体"/>
          <w:bCs/>
          <w:kern w:val="0"/>
          <w:szCs w:val="21"/>
          <w:highlight w:val="none"/>
          <w:u w:val="single"/>
        </w:rPr>
        <w:t>2025年</w:t>
      </w:r>
      <w:r>
        <w:rPr>
          <w:rFonts w:hint="eastAsia" w:ascii="宋体" w:hAnsi="宋体" w:cs="宋体"/>
          <w:bCs/>
          <w:kern w:val="0"/>
          <w:szCs w:val="21"/>
          <w:highlight w:val="none"/>
          <w:u w:val="single"/>
          <w:lang w:val="en-US" w:eastAsia="zh-CN"/>
        </w:rPr>
        <w:t>10</w:t>
      </w:r>
      <w:r>
        <w:rPr>
          <w:rFonts w:hint="eastAsia" w:ascii="宋体" w:hAnsi="宋体" w:cs="宋体"/>
          <w:bCs/>
          <w:kern w:val="0"/>
          <w:szCs w:val="21"/>
          <w:highlight w:val="none"/>
          <w:u w:val="single"/>
        </w:rPr>
        <w:t>月</w:t>
      </w:r>
      <w:r>
        <w:rPr>
          <w:rFonts w:hint="eastAsia" w:ascii="宋体" w:hAnsi="宋体" w:cs="宋体"/>
          <w:bCs/>
          <w:kern w:val="0"/>
          <w:szCs w:val="21"/>
          <w:highlight w:val="none"/>
          <w:u w:val="single"/>
          <w:lang w:val="en-US" w:eastAsia="zh-CN"/>
        </w:rPr>
        <w:t>17</w:t>
      </w:r>
      <w:r>
        <w:rPr>
          <w:rFonts w:hint="eastAsia" w:ascii="宋体" w:hAnsi="宋体" w:cs="宋体"/>
          <w:bCs/>
          <w:kern w:val="0"/>
          <w:szCs w:val="21"/>
          <w:highlight w:val="none"/>
          <w:u w:val="single"/>
        </w:rPr>
        <w:t>日</w:t>
      </w:r>
      <w:r>
        <w:rPr>
          <w:rFonts w:hint="eastAsia" w:ascii="宋体" w:hAnsi="宋体" w:cs="宋体"/>
          <w:bCs/>
          <w:kern w:val="0"/>
          <w:szCs w:val="21"/>
          <w:highlight w:val="none"/>
        </w:rPr>
        <w:t>，每天上午00:00至12:00 ，下午12:00至23:59（北京时间，法定节假日除外）</w:t>
      </w:r>
    </w:p>
    <w:p>
      <w:pPr>
        <w:spacing w:line="360" w:lineRule="auto"/>
        <w:ind w:firstLine="540"/>
        <w:rPr>
          <w:rFonts w:hint="eastAsia" w:ascii="宋体" w:hAnsi="宋体" w:cs="宋体"/>
          <w:bCs/>
          <w:kern w:val="0"/>
          <w:szCs w:val="21"/>
          <w:highlight w:val="none"/>
        </w:rPr>
      </w:pPr>
      <w:r>
        <w:rPr>
          <w:rFonts w:hint="eastAsia" w:ascii="宋体" w:hAnsi="宋体" w:cs="宋体"/>
          <w:bCs/>
          <w:kern w:val="0"/>
          <w:szCs w:val="21"/>
          <w:highlight w:val="none"/>
        </w:rPr>
        <w:t>地点：广西政府采购云平台（https://www.gcy.zfcg.gxzf.gov.cn/）</w:t>
      </w:r>
    </w:p>
    <w:p>
      <w:pPr>
        <w:spacing w:line="360" w:lineRule="auto"/>
        <w:ind w:firstLine="540"/>
        <w:rPr>
          <w:rFonts w:hint="eastAsia" w:ascii="宋体" w:hAnsi="宋体" w:cs="宋体"/>
          <w:bCs/>
          <w:kern w:val="0"/>
          <w:szCs w:val="21"/>
          <w:highlight w:val="none"/>
        </w:rPr>
      </w:pPr>
      <w:r>
        <w:rPr>
          <w:rFonts w:hint="eastAsia" w:ascii="宋体" w:hAnsi="宋体" w:cs="宋体"/>
          <w:bCs/>
          <w:kern w:val="0"/>
          <w:szCs w:val="21"/>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pPr>
        <w:spacing w:line="360" w:lineRule="auto"/>
        <w:ind w:firstLine="540"/>
        <w:rPr>
          <w:rFonts w:hint="eastAsia" w:ascii="宋体" w:hAnsi="宋体" w:cs="宋体"/>
          <w:szCs w:val="21"/>
          <w:highlight w:val="none"/>
        </w:rPr>
      </w:pPr>
      <w:r>
        <w:rPr>
          <w:rFonts w:hint="eastAsia" w:ascii="宋体" w:hAnsi="宋体" w:cs="宋体"/>
          <w:bCs/>
          <w:kern w:val="0"/>
          <w:szCs w:val="21"/>
          <w:highlight w:val="none"/>
        </w:rPr>
        <w:t>售价（元）：0</w:t>
      </w:r>
    </w:p>
    <w:p>
      <w:pPr>
        <w:spacing w:line="360" w:lineRule="auto"/>
        <w:outlineLvl w:val="1"/>
        <w:rPr>
          <w:rFonts w:hint="eastAsia" w:ascii="黑体" w:hAnsi="黑体" w:eastAsia="黑体"/>
          <w:b/>
          <w:bCs/>
          <w:sz w:val="24"/>
          <w:highlight w:val="none"/>
        </w:rPr>
      </w:pPr>
      <w:bookmarkStart w:id="36" w:name="_Toc28359005"/>
      <w:bookmarkStart w:id="37" w:name="_Toc28359082"/>
      <w:bookmarkStart w:id="38" w:name="_Toc35393624"/>
      <w:bookmarkStart w:id="39" w:name="_Toc35393793"/>
      <w:r>
        <w:rPr>
          <w:rFonts w:hint="eastAsia" w:ascii="黑体" w:hAnsi="黑体" w:eastAsia="黑体"/>
          <w:b/>
          <w:bCs/>
          <w:sz w:val="24"/>
          <w:highlight w:val="none"/>
        </w:rPr>
        <w:t>四、提交投标文件</w:t>
      </w:r>
      <w:bookmarkEnd w:id="36"/>
      <w:bookmarkEnd w:id="37"/>
      <w:r>
        <w:rPr>
          <w:rFonts w:hint="eastAsia" w:ascii="黑体" w:hAnsi="黑体" w:eastAsia="黑体"/>
          <w:b/>
          <w:bCs/>
          <w:sz w:val="24"/>
          <w:highlight w:val="none"/>
        </w:rPr>
        <w:t>截止时间、开标时间和地点</w:t>
      </w:r>
      <w:bookmarkEnd w:id="38"/>
      <w:bookmarkEnd w:id="39"/>
    </w:p>
    <w:p>
      <w:pPr>
        <w:spacing w:line="360" w:lineRule="auto"/>
        <w:ind w:firstLine="420" w:firstLineChars="200"/>
        <w:rPr>
          <w:rFonts w:hint="eastAsia" w:ascii="宋体" w:hAnsi="宋体" w:cs="宋体"/>
          <w:szCs w:val="21"/>
          <w:highlight w:val="none"/>
        </w:rPr>
      </w:pPr>
      <w:bookmarkStart w:id="40" w:name="_Toc35393625"/>
      <w:bookmarkStart w:id="41" w:name="_Toc28359084"/>
      <w:bookmarkStart w:id="42" w:name="_Toc35393794"/>
      <w:bookmarkStart w:id="43" w:name="_Toc28359007"/>
      <w:r>
        <w:rPr>
          <w:rFonts w:hint="eastAsia" w:ascii="宋体" w:hAnsi="宋体"/>
          <w:bCs/>
          <w:szCs w:val="21"/>
          <w:highlight w:val="none"/>
        </w:rPr>
        <w:t>提交投标文件截止时间：</w:t>
      </w:r>
      <w:bookmarkStart w:id="44" w:name="_Hlk85632302"/>
      <w:r>
        <w:rPr>
          <w:rFonts w:hint="eastAsia" w:ascii="宋体" w:hAnsi="宋体"/>
          <w:bCs/>
          <w:szCs w:val="21"/>
          <w:highlight w:val="none"/>
        </w:rPr>
        <w:t>2025年</w:t>
      </w:r>
      <w:r>
        <w:rPr>
          <w:rFonts w:hint="eastAsia" w:ascii="宋体" w:hAnsi="宋体"/>
          <w:bCs/>
          <w:szCs w:val="21"/>
          <w:highlight w:val="none"/>
          <w:lang w:val="en-US" w:eastAsia="zh-CN"/>
        </w:rPr>
        <w:t>11</w:t>
      </w:r>
      <w:r>
        <w:rPr>
          <w:rFonts w:hint="eastAsia" w:ascii="宋体" w:hAnsi="宋体"/>
          <w:bCs/>
          <w:szCs w:val="21"/>
          <w:highlight w:val="none"/>
        </w:rPr>
        <w:t>月</w:t>
      </w:r>
      <w:r>
        <w:rPr>
          <w:rFonts w:hint="eastAsia" w:ascii="宋体" w:hAnsi="宋体"/>
          <w:bCs/>
          <w:szCs w:val="21"/>
          <w:highlight w:val="none"/>
          <w:lang w:val="en-US" w:eastAsia="zh-CN"/>
        </w:rPr>
        <w:t>3</w:t>
      </w:r>
      <w:r>
        <w:rPr>
          <w:rFonts w:hint="eastAsia" w:ascii="宋体" w:hAnsi="宋体"/>
          <w:bCs/>
          <w:szCs w:val="21"/>
          <w:highlight w:val="none"/>
        </w:rPr>
        <w:t>日09时30分</w:t>
      </w:r>
      <w:bookmarkEnd w:id="44"/>
      <w:r>
        <w:rPr>
          <w:rFonts w:hint="eastAsia" w:ascii="宋体" w:hAnsi="宋体"/>
          <w:bCs/>
          <w:szCs w:val="21"/>
          <w:highlight w:val="none"/>
        </w:rPr>
        <w:t>（北京时间）</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rPr>
        <w:t>投标</w:t>
      </w:r>
      <w:r>
        <w:rPr>
          <w:rFonts w:hint="eastAsia" w:ascii="宋体" w:hAnsi="宋体"/>
          <w:szCs w:val="21"/>
          <w:highlight w:val="none"/>
        </w:rPr>
        <w:t>地点（网址）：本项目为全流程电子化政府采购项目，没有现场递交投标文件及现场开标环节，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开标时间：2025年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3</w:t>
      </w:r>
      <w:r>
        <w:rPr>
          <w:rFonts w:hint="eastAsia" w:ascii="宋体" w:hAnsi="宋体"/>
          <w:szCs w:val="21"/>
          <w:highlight w:val="none"/>
        </w:rPr>
        <w:t>日0</w:t>
      </w:r>
      <w:r>
        <w:rPr>
          <w:rFonts w:hint="eastAsia" w:ascii="宋体" w:hAnsi="宋体"/>
          <w:bCs/>
          <w:szCs w:val="21"/>
          <w:highlight w:val="none"/>
        </w:rPr>
        <w:t>9时30分（北京时间）</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开标地点：本项目将在广西政府采购云平台（https://www.gcy.zfcg.gxzf.gov.cn/）电子开标大厅解密、开标。</w:t>
      </w:r>
    </w:p>
    <w:p>
      <w:pPr>
        <w:spacing w:line="360" w:lineRule="auto"/>
        <w:outlineLvl w:val="1"/>
        <w:rPr>
          <w:rFonts w:hint="eastAsia" w:ascii="黑体" w:hAnsi="黑体" w:eastAsia="黑体"/>
          <w:b/>
          <w:bCs/>
          <w:sz w:val="24"/>
          <w:highlight w:val="none"/>
        </w:rPr>
      </w:pPr>
      <w:r>
        <w:rPr>
          <w:rFonts w:hint="eastAsia" w:ascii="黑体" w:hAnsi="黑体" w:eastAsia="黑体"/>
          <w:b/>
          <w:bCs/>
          <w:sz w:val="24"/>
          <w:highlight w:val="none"/>
        </w:rPr>
        <w:t>五、公告期限</w:t>
      </w:r>
      <w:bookmarkEnd w:id="40"/>
      <w:bookmarkEnd w:id="41"/>
      <w:bookmarkEnd w:id="42"/>
      <w:bookmarkEnd w:id="43"/>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pPr>
        <w:spacing w:line="360" w:lineRule="auto"/>
        <w:outlineLvl w:val="1"/>
        <w:rPr>
          <w:rFonts w:hint="eastAsia" w:ascii="黑体" w:hAnsi="黑体" w:eastAsia="黑体"/>
          <w:b/>
          <w:bCs/>
          <w:sz w:val="24"/>
          <w:highlight w:val="none"/>
        </w:rPr>
      </w:pPr>
      <w:bookmarkStart w:id="45" w:name="_Toc35393795"/>
      <w:bookmarkStart w:id="46" w:name="_Toc35393626"/>
      <w:r>
        <w:rPr>
          <w:rFonts w:hint="eastAsia" w:ascii="黑体" w:hAnsi="黑体" w:eastAsia="黑体"/>
          <w:b/>
          <w:bCs/>
          <w:sz w:val="24"/>
          <w:highlight w:val="none"/>
        </w:rPr>
        <w:t>六、其他补充事宜</w:t>
      </w:r>
      <w:bookmarkEnd w:id="45"/>
      <w:bookmarkEnd w:id="46"/>
    </w:p>
    <w:p>
      <w:pPr>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投标保证金</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（1）本项目需要缴纳</w:t>
      </w:r>
      <w:bookmarkStart w:id="47" w:name="OLE_LINK15"/>
      <w:r>
        <w:rPr>
          <w:rFonts w:hint="eastAsia" w:ascii="宋体" w:hAnsi="宋体"/>
          <w:szCs w:val="21"/>
          <w:highlight w:val="none"/>
        </w:rPr>
        <w:t>投标保证金</w:t>
      </w:r>
      <w:bookmarkEnd w:id="47"/>
      <w:r>
        <w:rPr>
          <w:rFonts w:hint="eastAsia" w:ascii="宋体" w:hAnsi="宋体"/>
          <w:szCs w:val="21"/>
          <w:highlight w:val="none"/>
        </w:rPr>
        <w:t>，具体金额如下：</w:t>
      </w:r>
    </w:p>
    <w:p>
      <w:pPr>
        <w:pStyle w:val="205"/>
        <w:spacing w:line="360" w:lineRule="auto"/>
        <w:rPr>
          <w:rFonts w:hint="eastAsia" w:ascii="宋体" w:hAnsi="宋体" w:cs="宋体"/>
          <w:kern w:val="0"/>
          <w:szCs w:val="21"/>
          <w:highlight w:val="none"/>
        </w:rPr>
      </w:pPr>
      <w:bookmarkStart w:id="48" w:name="OLE_LINK72"/>
      <w:r>
        <w:rPr>
          <w:rFonts w:hint="eastAsia" w:ascii="宋体" w:hAnsi="宋体" w:cs="宋体"/>
          <w:kern w:val="0"/>
          <w:szCs w:val="21"/>
          <w:highlight w:val="none"/>
        </w:rPr>
        <w:t>标项一（A分标）</w:t>
      </w:r>
      <w:bookmarkEnd w:id="48"/>
      <w:r>
        <w:rPr>
          <w:rFonts w:hint="eastAsia" w:ascii="宋体" w:hAnsi="宋体" w:cs="宋体"/>
          <w:kern w:val="0"/>
          <w:szCs w:val="21"/>
          <w:highlight w:val="none"/>
        </w:rPr>
        <w:t>投标保证金</w:t>
      </w:r>
      <w:bookmarkStart w:id="49" w:name="OLE_LINK13"/>
      <w:r>
        <w:rPr>
          <w:rFonts w:hint="eastAsia" w:ascii="宋体" w:hAnsi="宋体" w:cs="宋体"/>
          <w:kern w:val="0"/>
          <w:szCs w:val="21"/>
          <w:highlight w:val="none"/>
        </w:rPr>
        <w:t>金额</w:t>
      </w:r>
      <w:bookmarkEnd w:id="49"/>
      <w:r>
        <w:rPr>
          <w:rFonts w:hint="eastAsia" w:ascii="宋体" w:hAnsi="宋体" w:cs="宋体"/>
          <w:kern w:val="0"/>
          <w:szCs w:val="21"/>
          <w:highlight w:val="none"/>
        </w:rPr>
        <w:t>：人民币大写贰万伍仟元整（</w:t>
      </w:r>
      <w:bookmarkStart w:id="50" w:name="OLE_LINK12"/>
      <w:r>
        <w:rPr>
          <w:rFonts w:hint="eastAsia" w:ascii="宋体" w:hAnsi="宋体" w:cs="宋体"/>
          <w:kern w:val="0"/>
          <w:szCs w:val="21"/>
          <w:highlight w:val="none"/>
        </w:rPr>
        <w:t>¥</w:t>
      </w:r>
      <w:bookmarkEnd w:id="50"/>
      <w:r>
        <w:rPr>
          <w:rFonts w:hint="eastAsia" w:ascii="宋体" w:hAnsi="宋体" w:cs="宋体"/>
          <w:kern w:val="0"/>
          <w:szCs w:val="21"/>
          <w:highlight w:val="none"/>
        </w:rPr>
        <w:t>25000.00元）。</w:t>
      </w:r>
    </w:p>
    <w:p>
      <w:pPr>
        <w:spacing w:line="360" w:lineRule="auto"/>
        <w:ind w:firstLine="420" w:firstLineChars="200"/>
        <w:rPr>
          <w:rFonts w:hint="eastAsia" w:ascii="宋体" w:hAnsi="宋体" w:cs="宋体"/>
          <w:kern w:val="0"/>
          <w:szCs w:val="21"/>
          <w:highlight w:val="none"/>
        </w:rPr>
      </w:pPr>
      <w:bookmarkStart w:id="51" w:name="OLE_LINK11"/>
      <w:r>
        <w:rPr>
          <w:rFonts w:hint="eastAsia" w:ascii="宋体" w:hAnsi="宋体" w:cs="宋体"/>
          <w:kern w:val="0"/>
          <w:szCs w:val="21"/>
          <w:highlight w:val="none"/>
        </w:rPr>
        <w:t>标项二（B分标）投标保证金金额：人民币大写贰万伍仟元整（¥25000.00元）。</w:t>
      </w:r>
    </w:p>
    <w:bookmarkEnd w:id="51"/>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标项三（C分标）投标保证金金额：人民币大写贰万伍仟元整（¥25000.00元）。</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（2）投标保证金交纳方式：详见招标文件“第三章 供应商须知前附表”。</w:t>
      </w:r>
    </w:p>
    <w:p>
      <w:pPr>
        <w:spacing w:line="360" w:lineRule="auto"/>
        <w:ind w:firstLine="420" w:firstLineChars="200"/>
        <w:rPr>
          <w:rFonts w:hint="eastAsia" w:ascii="宋体" w:hAnsi="宋体"/>
          <w:szCs w:val="21"/>
          <w:highlight w:val="none"/>
        </w:rPr>
      </w:pPr>
      <w:bookmarkStart w:id="52" w:name="_Hlk37429585"/>
      <w:r>
        <w:rPr>
          <w:rFonts w:hint="eastAsia" w:ascii="宋体" w:hAnsi="宋体"/>
          <w:szCs w:val="21"/>
          <w:highlight w:val="none"/>
        </w:rPr>
        <w:t>2</w:t>
      </w:r>
      <w:r>
        <w:rPr>
          <w:rFonts w:ascii="宋体" w:hAnsi="宋体"/>
          <w:szCs w:val="21"/>
          <w:highlight w:val="none"/>
        </w:rPr>
        <w:t>.</w:t>
      </w:r>
      <w:bookmarkStart w:id="53" w:name="_Hlk37429595"/>
      <w:r>
        <w:rPr>
          <w:rFonts w:hint="eastAsia" w:ascii="宋体" w:hAnsi="宋体"/>
          <w:szCs w:val="21"/>
          <w:highlight w:val="none"/>
        </w:rPr>
        <w:t>网上查询地址：</w:t>
      </w:r>
      <w:bookmarkEnd w:id="52"/>
      <w:r>
        <w:rPr>
          <w:rFonts w:hint="eastAsia" w:ascii="宋体" w:hAnsi="宋体" w:cs="宋体"/>
          <w:kern w:val="0"/>
          <w:szCs w:val="21"/>
          <w:highlight w:val="none"/>
        </w:rPr>
        <w:t>www.ccgp.gov.cn（中国政府采购网）、zfcg.gxzf.gov.cn（广西壮族自治区政府采购网）、gxggzy.gxzf.gov.cn（广西壮族自治区公共资源交易中心）。</w:t>
      </w:r>
    </w:p>
    <w:bookmarkEnd w:id="53"/>
    <w:p>
      <w:pPr>
        <w:spacing w:line="360" w:lineRule="auto"/>
        <w:ind w:firstLine="420" w:firstLineChars="200"/>
        <w:rPr>
          <w:rFonts w:hint="eastAsia" w:ascii="宋体" w:hAnsi="宋体"/>
          <w:szCs w:val="21"/>
          <w:highlight w:val="none"/>
        </w:rPr>
      </w:pPr>
      <w:bookmarkStart w:id="54" w:name="_Hlk37429674"/>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本项目需要落实的政府采购政策</w:t>
      </w:r>
    </w:p>
    <w:p>
      <w:pPr>
        <w:pStyle w:val="205"/>
        <w:spacing w:line="360" w:lineRule="auto"/>
        <w:rPr>
          <w:rFonts w:hint="eastAsia" w:ascii="宋体" w:hAnsi="宋体" w:cs="宋体"/>
          <w:kern w:val="0"/>
          <w:szCs w:val="21"/>
          <w:highlight w:val="none"/>
        </w:rPr>
      </w:pPr>
      <w:r>
        <w:rPr>
          <w:rFonts w:hint="eastAsia" w:ascii="宋体" w:hAnsi="宋体" w:cs="宋体"/>
          <w:kern w:val="0"/>
          <w:szCs w:val="21"/>
          <w:highlight w:val="none"/>
        </w:rPr>
        <w:t>（1）政府采购促进中小企业发展。</w:t>
      </w:r>
    </w:p>
    <w:p>
      <w:pPr>
        <w:pStyle w:val="205"/>
        <w:spacing w:line="360" w:lineRule="auto"/>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pPr>
        <w:pStyle w:val="205"/>
        <w:spacing w:line="360" w:lineRule="auto"/>
        <w:rPr>
          <w:rFonts w:hint="eastAsia"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pPr>
        <w:pStyle w:val="205"/>
        <w:spacing w:line="360" w:lineRule="auto"/>
        <w:rPr>
          <w:rFonts w:hint="eastAsia" w:ascii="宋体" w:hAnsi="宋体" w:cs="宋体"/>
          <w:kern w:val="0"/>
          <w:szCs w:val="21"/>
          <w:highlight w:val="none"/>
        </w:rPr>
      </w:pPr>
      <w:r>
        <w:rPr>
          <w:rFonts w:hint="eastAsia" w:ascii="宋体" w:hAnsi="宋体" w:cs="宋体"/>
          <w:kern w:val="0"/>
          <w:szCs w:val="21"/>
          <w:highlight w:val="none"/>
        </w:rPr>
        <w:t>（4）政府采购促进残疾人就业政策。</w:t>
      </w:r>
    </w:p>
    <w:p>
      <w:pPr>
        <w:pStyle w:val="205"/>
        <w:spacing w:line="360" w:lineRule="auto"/>
        <w:rPr>
          <w:rFonts w:hint="eastAsia" w:ascii="宋体" w:hAnsi="宋体" w:cs="宋体"/>
          <w:kern w:val="0"/>
          <w:szCs w:val="21"/>
          <w:highlight w:val="none"/>
        </w:rPr>
      </w:pPr>
      <w:r>
        <w:rPr>
          <w:rFonts w:hint="eastAsia" w:ascii="宋体" w:hAnsi="宋体" w:cs="宋体"/>
          <w:kern w:val="0"/>
          <w:szCs w:val="21"/>
          <w:highlight w:val="none"/>
        </w:rPr>
        <w:t>（5）政府采购支持监狱企业发展。</w:t>
      </w:r>
      <w:bookmarkEnd w:id="54"/>
    </w:p>
    <w:p>
      <w:pPr>
        <w:spacing w:line="360" w:lineRule="auto"/>
        <w:ind w:firstLine="420" w:firstLineChars="200"/>
        <w:rPr>
          <w:rFonts w:hint="eastAsia" w:ascii="宋体" w:hAnsi="宋体"/>
          <w:szCs w:val="21"/>
          <w:highlight w:val="none"/>
        </w:rPr>
      </w:pPr>
      <w:r>
        <w:rPr>
          <w:rFonts w:hint="eastAsia" w:ascii="宋体" w:hAnsi="宋体"/>
          <w:szCs w:val="21"/>
          <w:highlight w:val="none"/>
        </w:rPr>
        <w:t>4.注意事项：</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未进行网上注册并办理数字证书（CA认证）的供应商将无法参与本项目政府采购活动，潜在供应商应当在投标截止时间前，完成政采云平台上的CA数字证书办理及投标文件的提交。完成CA数字证书办理预计7日左右，建议各供应商抓紧时间办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（3）CA证书在线解密：投标人投标时，需携带制作投标文件时用来加密的有效数字证书（CA认证）登录广西政府采购云平台电子开标大厅现场按规定时间对加密的投标文件进行解密。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360" w:lineRule="auto"/>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监督部门</w:t>
      </w:r>
    </w:p>
    <w:p>
      <w:pPr>
        <w:pStyle w:val="205"/>
        <w:spacing w:line="360" w:lineRule="auto"/>
        <w:rPr>
          <w:rFonts w:hint="eastAsia" w:ascii="宋体" w:hAnsi="宋体" w:cs="宋体"/>
          <w:kern w:val="0"/>
          <w:szCs w:val="21"/>
          <w:highlight w:val="none"/>
        </w:rPr>
      </w:pPr>
      <w:r>
        <w:rPr>
          <w:rFonts w:hint="eastAsia" w:ascii="宋体" w:hAnsi="宋体" w:cs="宋体"/>
          <w:kern w:val="0"/>
          <w:szCs w:val="21"/>
          <w:highlight w:val="none"/>
        </w:rPr>
        <w:t>名    称：</w:t>
      </w:r>
      <w:r>
        <w:rPr>
          <w:rFonts w:hint="eastAsia" w:ascii="宋体" w:hAnsi="宋体" w:cs="宋体"/>
          <w:kern w:val="0"/>
          <w:szCs w:val="21"/>
          <w:highlight w:val="none"/>
          <w:u w:val="single"/>
        </w:rPr>
        <w:t>广西壮族自治区财政厅政府采购监督管理处</w:t>
      </w:r>
    </w:p>
    <w:p>
      <w:pPr>
        <w:pStyle w:val="205"/>
        <w:spacing w:line="360" w:lineRule="auto"/>
        <w:rPr>
          <w:rFonts w:hint="eastAsia" w:ascii="宋体" w:hAnsi="宋体" w:cs="宋体"/>
          <w:kern w:val="0"/>
          <w:szCs w:val="21"/>
          <w:highlight w:val="none"/>
          <w:u w:val="single"/>
        </w:rPr>
      </w:pPr>
      <w:r>
        <w:rPr>
          <w:rFonts w:hint="eastAsia" w:ascii="宋体" w:hAnsi="宋体" w:cs="宋体"/>
          <w:kern w:val="0"/>
          <w:szCs w:val="21"/>
          <w:highlight w:val="none"/>
        </w:rPr>
        <w:t xml:space="preserve">电 </w:t>
      </w:r>
      <w:r>
        <w:rPr>
          <w:rFonts w:ascii="宋体" w:hAnsi="宋体" w:cs="宋体"/>
          <w:kern w:val="0"/>
          <w:szCs w:val="21"/>
          <w:highlight w:val="none"/>
        </w:rPr>
        <w:t xml:space="preserve">   </w:t>
      </w:r>
      <w:r>
        <w:rPr>
          <w:rFonts w:hint="eastAsia" w:ascii="宋体" w:hAnsi="宋体" w:cs="宋体"/>
          <w:kern w:val="0"/>
          <w:szCs w:val="21"/>
          <w:highlight w:val="none"/>
        </w:rPr>
        <w:t>话：</w:t>
      </w:r>
      <w:bookmarkStart w:id="55" w:name="_Toc35393627"/>
      <w:bookmarkStart w:id="56" w:name="_Toc28359008"/>
      <w:bookmarkStart w:id="57" w:name="_Toc35393796"/>
      <w:bookmarkStart w:id="58" w:name="_Toc28359085"/>
      <w:r>
        <w:rPr>
          <w:rFonts w:ascii="宋体" w:hAnsi="宋体" w:cs="宋体"/>
          <w:kern w:val="0"/>
          <w:szCs w:val="21"/>
          <w:highlight w:val="none"/>
          <w:u w:val="single"/>
        </w:rPr>
        <w:t>0771-5331544</w:t>
      </w:r>
    </w:p>
    <w:p>
      <w:pPr>
        <w:spacing w:line="360" w:lineRule="auto"/>
        <w:outlineLvl w:val="1"/>
        <w:rPr>
          <w:rFonts w:hint="eastAsia" w:ascii="黑体" w:hAnsi="黑体" w:eastAsia="黑体"/>
          <w:b/>
          <w:bCs/>
          <w:sz w:val="24"/>
          <w:highlight w:val="none"/>
        </w:rPr>
      </w:pPr>
      <w:r>
        <w:rPr>
          <w:rFonts w:hint="eastAsia" w:ascii="黑体" w:hAnsi="黑体" w:eastAsia="黑体"/>
          <w:b/>
          <w:bCs/>
          <w:sz w:val="24"/>
          <w:highlight w:val="none"/>
        </w:rPr>
        <w:t>七、对本次采购提出询问，请按以下方式联系</w:t>
      </w:r>
      <w:bookmarkEnd w:id="55"/>
      <w:bookmarkEnd w:id="56"/>
      <w:bookmarkEnd w:id="57"/>
      <w:bookmarkEnd w:id="58"/>
    </w:p>
    <w:p>
      <w:pPr>
        <w:spacing w:line="360" w:lineRule="auto"/>
        <w:jc w:val="left"/>
        <w:rPr>
          <w:rFonts w:hint="eastAsia" w:ascii="宋体" w:hAnsi="宋体"/>
          <w:szCs w:val="21"/>
          <w:highlight w:val="none"/>
        </w:rPr>
      </w:pPr>
      <w:r>
        <w:rPr>
          <w:rFonts w:hint="eastAsia" w:ascii="宋体" w:hAnsi="宋体" w:cs="宋体"/>
          <w:szCs w:val="21"/>
          <w:highlight w:val="none"/>
        </w:rPr>
        <w:t>　　　1.采购人信息</w:t>
      </w:r>
    </w:p>
    <w:p>
      <w:pPr>
        <w:spacing w:line="360" w:lineRule="auto"/>
        <w:ind w:firstLine="630" w:firstLineChars="300"/>
        <w:rPr>
          <w:rFonts w:hint="eastAsia" w:ascii="宋体" w:hAnsi="宋体"/>
          <w:szCs w:val="21"/>
          <w:highlight w:val="none"/>
        </w:rPr>
      </w:pPr>
      <w:r>
        <w:rPr>
          <w:rFonts w:hint="eastAsia" w:ascii="宋体" w:hAnsi="宋体"/>
          <w:szCs w:val="21"/>
          <w:highlight w:val="none"/>
        </w:rPr>
        <w:t>名    称：</w:t>
      </w:r>
      <w:bookmarkStart w:id="59" w:name="OLE_LINK84"/>
      <w:r>
        <w:rPr>
          <w:kern w:val="0"/>
          <w:szCs w:val="21"/>
          <w:highlight w:val="none"/>
        </w:rPr>
        <w:t>广西壮族自治区工业和信息化厅</w:t>
      </w:r>
      <w:bookmarkEnd w:id="59"/>
    </w:p>
    <w:p>
      <w:pPr>
        <w:spacing w:line="360" w:lineRule="auto"/>
        <w:ind w:firstLine="630" w:firstLineChars="300"/>
        <w:rPr>
          <w:rFonts w:hint="eastAsia" w:ascii="宋体" w:hAnsi="宋体"/>
          <w:szCs w:val="21"/>
          <w:highlight w:val="none"/>
        </w:rPr>
      </w:pPr>
      <w:r>
        <w:rPr>
          <w:rFonts w:hint="eastAsia" w:ascii="宋体" w:hAnsi="宋体"/>
          <w:szCs w:val="21"/>
          <w:highlight w:val="none"/>
        </w:rPr>
        <w:t>地    址：</w:t>
      </w:r>
      <w:r>
        <w:rPr>
          <w:rFonts w:hint="eastAsia"/>
          <w:kern w:val="0"/>
          <w:szCs w:val="21"/>
          <w:highlight w:val="none"/>
        </w:rPr>
        <w:t>广西南宁市民族大道113号</w:t>
      </w:r>
    </w:p>
    <w:p>
      <w:pPr>
        <w:spacing w:line="360" w:lineRule="auto"/>
        <w:ind w:firstLine="630" w:firstLineChars="300"/>
        <w:rPr>
          <w:rFonts w:hint="eastAsia" w:ascii="宋体" w:hAnsi="宋体"/>
          <w:szCs w:val="21"/>
          <w:highlight w:val="none"/>
        </w:rPr>
      </w:pPr>
      <w:r>
        <w:rPr>
          <w:rFonts w:hint="eastAsia" w:ascii="宋体" w:hAnsi="宋体"/>
          <w:szCs w:val="21"/>
          <w:highlight w:val="none"/>
        </w:rPr>
        <w:t>项目联系人：申立军</w:t>
      </w:r>
    </w:p>
    <w:p>
      <w:pPr>
        <w:spacing w:line="360" w:lineRule="auto"/>
        <w:ind w:firstLine="630" w:firstLineChars="300"/>
        <w:rPr>
          <w:rFonts w:hint="eastAsia" w:ascii="宋体" w:hAnsi="宋体"/>
          <w:szCs w:val="21"/>
          <w:highlight w:val="none"/>
        </w:rPr>
      </w:pPr>
      <w:r>
        <w:rPr>
          <w:rFonts w:hint="eastAsia" w:ascii="宋体" w:hAnsi="宋体"/>
          <w:szCs w:val="21"/>
          <w:highlight w:val="none"/>
        </w:rPr>
        <w:t>项目联系方式：</w:t>
      </w:r>
      <w:bookmarkStart w:id="60" w:name="_Toc28359009"/>
      <w:bookmarkStart w:id="61" w:name="_Toc28359086"/>
      <w:r>
        <w:rPr>
          <w:rFonts w:hint="eastAsia" w:ascii="宋体" w:hAnsi="宋体"/>
          <w:szCs w:val="21"/>
          <w:highlight w:val="none"/>
        </w:rPr>
        <w:t>0771-2182380</w:t>
      </w:r>
    </w:p>
    <w:p>
      <w:pPr>
        <w:spacing w:line="360" w:lineRule="auto"/>
        <w:ind w:firstLine="630" w:firstLineChars="300"/>
        <w:rPr>
          <w:rFonts w:hint="eastAsia" w:ascii="宋体" w:hAnsi="宋体"/>
          <w:szCs w:val="21"/>
          <w:highlight w:val="none"/>
        </w:rPr>
      </w:pPr>
      <w:r>
        <w:rPr>
          <w:rFonts w:hint="eastAsia" w:ascii="宋体" w:hAnsi="宋体" w:cs="宋体"/>
          <w:szCs w:val="21"/>
          <w:highlight w:val="none"/>
        </w:rPr>
        <w:t>2.采购代理机构信息</w:t>
      </w:r>
      <w:bookmarkEnd w:id="60"/>
      <w:bookmarkEnd w:id="61"/>
    </w:p>
    <w:p>
      <w:pPr>
        <w:spacing w:line="360" w:lineRule="auto"/>
        <w:ind w:firstLine="630" w:firstLineChars="300"/>
        <w:rPr>
          <w:rFonts w:hint="eastAsia" w:ascii="宋体" w:hAnsi="宋体"/>
          <w:szCs w:val="21"/>
          <w:highlight w:val="none"/>
        </w:rPr>
      </w:pPr>
      <w:bookmarkStart w:id="62" w:name="_Toc28359087"/>
      <w:bookmarkStart w:id="63" w:name="_Toc28359010"/>
      <w:bookmarkStart w:id="64" w:name="OLE_LINK95"/>
      <w:r>
        <w:rPr>
          <w:rFonts w:hint="eastAsia" w:ascii="宋体" w:hAnsi="宋体"/>
          <w:szCs w:val="21"/>
          <w:highlight w:val="none"/>
        </w:rPr>
        <w:t>名    称：广西双科建设工程咨询有限公司</w:t>
      </w:r>
    </w:p>
    <w:p>
      <w:pPr>
        <w:spacing w:line="360" w:lineRule="auto"/>
        <w:ind w:firstLine="630" w:firstLineChars="300"/>
        <w:rPr>
          <w:rFonts w:hint="eastAsia" w:ascii="宋体" w:hAnsi="宋体"/>
          <w:szCs w:val="21"/>
          <w:highlight w:val="none"/>
        </w:rPr>
      </w:pPr>
      <w:r>
        <w:rPr>
          <w:rFonts w:hint="eastAsia" w:ascii="宋体" w:hAnsi="宋体"/>
          <w:szCs w:val="21"/>
          <w:highlight w:val="none"/>
        </w:rPr>
        <w:t>地　　址：</w:t>
      </w:r>
      <w:bookmarkStart w:id="65" w:name="OLE_LINK3"/>
      <w:r>
        <w:rPr>
          <w:rFonts w:hint="eastAsia" w:ascii="宋体" w:hAnsi="宋体"/>
          <w:szCs w:val="21"/>
          <w:highlight w:val="none"/>
        </w:rPr>
        <w:t>广西南宁市青秀区凤岭北路111号南宁国际旅游中心C座28楼</w:t>
      </w:r>
    </w:p>
    <w:bookmarkEnd w:id="62"/>
    <w:bookmarkEnd w:id="63"/>
    <w:bookmarkEnd w:id="65"/>
    <w:p>
      <w:pPr>
        <w:spacing w:line="360" w:lineRule="auto"/>
        <w:ind w:firstLine="630" w:firstLineChars="300"/>
        <w:rPr>
          <w:rFonts w:hint="eastAsia" w:ascii="宋体" w:hAnsi="宋体"/>
          <w:szCs w:val="21"/>
          <w:highlight w:val="none"/>
        </w:rPr>
      </w:pPr>
      <w:bookmarkStart w:id="66" w:name="OLE_LINK16"/>
      <w:r>
        <w:rPr>
          <w:rFonts w:hint="eastAsia" w:ascii="宋体" w:hAnsi="宋体"/>
          <w:szCs w:val="21"/>
          <w:highlight w:val="none"/>
        </w:rPr>
        <w:t>项目联系人：陆家语</w:t>
      </w:r>
    </w:p>
    <w:p>
      <w:pPr>
        <w:spacing w:line="360" w:lineRule="auto"/>
        <w:ind w:firstLine="630" w:firstLineChars="300"/>
        <w:rPr>
          <w:b/>
          <w:sz w:val="32"/>
          <w:szCs w:val="32"/>
          <w:highlight w:val="none"/>
        </w:rPr>
      </w:pPr>
      <w:r>
        <w:rPr>
          <w:rFonts w:hint="eastAsia" w:ascii="宋体" w:hAnsi="宋体"/>
          <w:szCs w:val="21"/>
          <w:highlight w:val="none"/>
        </w:rPr>
        <w:t>项目联系方式：</w:t>
      </w:r>
      <w:bookmarkEnd w:id="4"/>
      <w:bookmarkEnd w:id="5"/>
      <w:bookmarkEnd w:id="6"/>
      <w:bookmarkStart w:id="67" w:name="OLE_LINK65"/>
      <w:bookmarkStart w:id="68" w:name="_Toc19628"/>
      <w:r>
        <w:rPr>
          <w:rFonts w:hint="eastAsia" w:ascii="宋体" w:hAnsi="宋体"/>
          <w:szCs w:val="21"/>
          <w:highlight w:val="none"/>
        </w:rPr>
        <w:t>18077797322、15307868806</w:t>
      </w:r>
      <w:bookmarkEnd w:id="7"/>
      <w:bookmarkEnd w:id="64"/>
      <w:bookmarkEnd w:id="66"/>
      <w:bookmarkEnd w:id="67"/>
      <w:r>
        <w:rPr>
          <w:b/>
          <w:sz w:val="32"/>
          <w:szCs w:val="32"/>
          <w:highlight w:val="none"/>
        </w:rPr>
        <w:br w:type="page"/>
      </w:r>
    </w:p>
    <w:p>
      <w:pPr>
        <w:pStyle w:val="29"/>
        <w:snapToGrid w:val="0"/>
        <w:spacing w:before="82" w:beforeLines="25" w:after="82" w:afterLines="25" w:line="360" w:lineRule="auto"/>
        <w:jc w:val="center"/>
        <w:outlineLvl w:val="0"/>
        <w:rPr>
          <w:rFonts w:ascii="Times New Roman" w:hAnsi="Times New Roman" w:cs="Times New Roman"/>
          <w:b/>
          <w:sz w:val="36"/>
          <w:szCs w:val="36"/>
          <w:highlight w:val="none"/>
        </w:rPr>
      </w:pPr>
      <w:bookmarkStart w:id="69" w:name="OLE_LINK53"/>
      <w:bookmarkStart w:id="70" w:name="OLE_LINK56"/>
      <w:r>
        <w:rPr>
          <w:rFonts w:hint="eastAsia" w:ascii="Times New Roman" w:hAnsi="Times New Roman" w:cs="Times New Roman"/>
          <w:b/>
          <w:sz w:val="36"/>
          <w:szCs w:val="36"/>
          <w:highlight w:val="none"/>
        </w:rPr>
        <w:t>第二章  采购需求</w:t>
      </w:r>
      <w:bookmarkEnd w:id="68"/>
      <w:bookmarkEnd w:id="69"/>
    </w:p>
    <w:bookmarkEnd w:id="70"/>
    <w:p>
      <w:pPr>
        <w:widowControl/>
        <w:spacing w:before="40" w:after="40" w:line="360" w:lineRule="auto"/>
        <w:jc w:val="left"/>
        <w:rPr>
          <w:rFonts w:hint="eastAsia" w:ascii="宋体" w:hAnsi="宋体" w:cs="宋体"/>
          <w:szCs w:val="21"/>
          <w:highlight w:val="none"/>
        </w:rPr>
      </w:pPr>
      <w:r>
        <w:rPr>
          <w:rFonts w:hint="eastAsia" w:ascii="宋体" w:hAnsi="宋体" w:cs="宋体"/>
          <w:szCs w:val="21"/>
          <w:highlight w:val="none"/>
        </w:rPr>
        <w:t>说明：</w:t>
      </w:r>
    </w:p>
    <w:p>
      <w:pPr>
        <w:widowControl/>
        <w:spacing w:before="40" w:after="40" w:line="360" w:lineRule="auto"/>
        <w:jc w:val="left"/>
        <w:rPr>
          <w:rFonts w:hint="eastAsia" w:ascii="宋体" w:hAnsi="宋体" w:cs="宋体"/>
          <w:szCs w:val="21"/>
          <w:highlight w:val="none"/>
        </w:rPr>
      </w:pPr>
      <w:r>
        <w:rPr>
          <w:rFonts w:hint="eastAsia" w:ascii="宋体" w:hAnsi="宋体" w:cs="宋体"/>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台式计算机、便携式计算机、平板式微型计算机、激光打印机、针式打印机、液晶显示器、制冷压缩机、空调机组、专用制冷、空调设备、镇流器、空调机、电热水器、普通照明用双端荧光灯、电视设备，视频设备、以及便器、水嘴等政府强制采购节能产品），如本项目包含的配套货物属于品目清单内标注“★”的产品时，</w:t>
      </w:r>
      <w:r>
        <w:rPr>
          <w:rFonts w:hint="eastAsia" w:ascii="宋体" w:hAnsi="宋体" w:cs="宋体"/>
          <w:b/>
          <w:bCs/>
          <w:szCs w:val="21"/>
          <w:highlight w:val="none"/>
        </w:rPr>
        <w:t>投标人的投标货物必须使用政府强制采购的节能产品，否则投标文件作无效处理。</w:t>
      </w:r>
      <w:bookmarkStart w:id="71" w:name="OLE_LINK79"/>
      <w:r>
        <w:rPr>
          <w:rFonts w:hint="eastAsia" w:ascii="宋体" w:hAnsi="宋体" w:cs="宋体"/>
          <w:szCs w:val="21"/>
          <w:highlight w:val="none"/>
        </w:rPr>
        <w:t>如本项目包含的货物属于品目清单内非标注“★”的产品时，应优先采购，具体详见“第四章  评标方法及评标标准”。</w:t>
      </w:r>
    </w:p>
    <w:bookmarkEnd w:id="71"/>
    <w:p>
      <w:pPr>
        <w:widowControl/>
        <w:spacing w:before="40" w:after="40" w:line="360" w:lineRule="auto"/>
        <w:jc w:val="left"/>
        <w:rPr>
          <w:rFonts w:hint="eastAsia" w:ascii="宋体" w:hAnsi="宋体" w:cs="宋体"/>
          <w:b/>
          <w:bCs/>
          <w:szCs w:val="21"/>
          <w:highlight w:val="none"/>
        </w:rPr>
      </w:pPr>
      <w:r>
        <w:rPr>
          <w:rFonts w:hint="eastAsia" w:ascii="宋体" w:hAnsi="宋体" w:cs="宋体"/>
          <w:b/>
          <w:bCs/>
          <w:szCs w:val="21"/>
          <w:highlight w:val="none"/>
        </w:rPr>
        <w:t>2.“实质性要求”是指招标文件中已经指明不满足则投标无效的条款，或者不能负偏离的条款，或者采购需求中带“▲”的条款。</w:t>
      </w:r>
    </w:p>
    <w:p>
      <w:pPr>
        <w:widowControl/>
        <w:spacing w:before="40" w:after="40" w:line="360" w:lineRule="auto"/>
        <w:jc w:val="left"/>
        <w:rPr>
          <w:rFonts w:hint="eastAsia" w:ascii="宋体" w:hAnsi="宋体" w:cs="宋体"/>
          <w:szCs w:val="21"/>
          <w:highlight w:val="none"/>
        </w:rPr>
      </w:pPr>
      <w:r>
        <w:rPr>
          <w:rFonts w:hint="eastAsia" w:ascii="宋体" w:hAnsi="宋体" w:cs="宋体"/>
          <w:szCs w:val="21"/>
          <w:highlight w:val="none"/>
        </w:rPr>
        <w:t>3.采购需求中出现的品牌、型号或者生产供应商仅起参考作用，不属于指定品牌、型号或者生产供应商的情形。供应商可参照或者选用其他相当的品牌、型号或者生产供应商替代。</w:t>
      </w:r>
    </w:p>
    <w:p>
      <w:pPr>
        <w:widowControl/>
        <w:spacing w:before="40" w:after="40" w:line="360" w:lineRule="auto"/>
        <w:jc w:val="left"/>
        <w:rPr>
          <w:rFonts w:hint="eastAsia" w:ascii="宋体" w:hAnsi="宋体" w:cs="宋体"/>
          <w:szCs w:val="21"/>
          <w:highlight w:val="none"/>
        </w:rPr>
      </w:pPr>
      <w:bookmarkStart w:id="72" w:name="OLE_LINK80"/>
      <w:r>
        <w:rPr>
          <w:rFonts w:hint="eastAsia" w:ascii="宋体" w:hAnsi="宋体" w:cs="宋体"/>
          <w:szCs w:val="21"/>
          <w:highlight w:val="none"/>
        </w:rPr>
        <w:t>4.投标人必须自行为其投标产品侵犯他人的知识产权或者专利成果的行为承担相应法律责任。</w:t>
      </w:r>
    </w:p>
    <w:bookmarkEnd w:id="72"/>
    <w:p>
      <w:pPr>
        <w:widowControl/>
        <w:spacing w:before="40" w:after="40" w:line="360" w:lineRule="auto"/>
        <w:jc w:val="left"/>
        <w:rPr>
          <w:rFonts w:hint="eastAsia" w:ascii="宋体" w:hAnsi="宋体" w:cs="宋体"/>
          <w:b/>
          <w:bCs/>
          <w:szCs w:val="21"/>
          <w:highlight w:val="none"/>
        </w:rPr>
      </w:pPr>
      <w:r>
        <w:rPr>
          <w:rFonts w:hint="eastAsia" w:ascii="宋体" w:hAnsi="宋体" w:cs="宋体"/>
          <w:b/>
          <w:bCs/>
          <w:szCs w:val="21"/>
          <w:highlight w:val="none"/>
        </w:rPr>
        <w:t>5.本项目标的所属行业：工业（包括采矿业，制造业，电力、热力、燃气及水生产和供应业），行业划型标准为：</w:t>
      </w:r>
      <w:r>
        <w:rPr>
          <w:rFonts w:hint="eastAsia" w:ascii="宋体" w:hAnsi="宋体" w:cs="宋体"/>
          <w:szCs w:val="21"/>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widowControl/>
        <w:spacing w:before="40" w:after="40" w:line="360" w:lineRule="auto"/>
        <w:jc w:val="left"/>
        <w:rPr>
          <w:rFonts w:hint="eastAsia" w:ascii="宋体" w:hAnsi="宋体" w:cs="宋体"/>
          <w:b/>
          <w:bCs/>
          <w:szCs w:val="21"/>
          <w:highlight w:val="none"/>
        </w:rPr>
      </w:pPr>
      <w:r>
        <w:rPr>
          <w:rFonts w:hint="eastAsia" w:ascii="宋体" w:hAnsi="宋体" w:cs="宋体"/>
          <w:b/>
          <w:bCs/>
          <w:szCs w:val="21"/>
          <w:highlight w:val="none"/>
        </w:rPr>
        <w:t>6.本项目核心产品：</w:t>
      </w:r>
    </w:p>
    <w:p>
      <w:pPr>
        <w:widowControl/>
        <w:spacing w:before="40" w:after="40" w:line="360" w:lineRule="auto"/>
        <w:jc w:val="left"/>
        <w:rPr>
          <w:rFonts w:hint="eastAsia" w:ascii="宋体" w:hAnsi="宋体" w:cs="宋体"/>
          <w:szCs w:val="21"/>
          <w:highlight w:val="none"/>
        </w:rPr>
      </w:pPr>
      <w:bookmarkStart w:id="73" w:name="OLE_LINK45"/>
      <w:r>
        <w:rPr>
          <w:rFonts w:hint="eastAsia" w:ascii="宋体" w:hAnsi="宋体" w:cs="宋体"/>
          <w:szCs w:val="21"/>
          <w:highlight w:val="none"/>
        </w:rPr>
        <w:t>（1）</w:t>
      </w:r>
      <w:bookmarkStart w:id="74" w:name="OLE_LINK47"/>
      <w:r>
        <w:rPr>
          <w:rFonts w:hint="eastAsia" w:ascii="宋体" w:hAnsi="宋体" w:cs="宋体"/>
          <w:szCs w:val="21"/>
          <w:highlight w:val="none"/>
        </w:rPr>
        <w:t>A分标</w:t>
      </w:r>
      <w:bookmarkEnd w:id="74"/>
      <w:r>
        <w:rPr>
          <w:rFonts w:hint="eastAsia" w:ascii="宋体" w:hAnsi="宋体" w:cs="宋体"/>
          <w:szCs w:val="21"/>
          <w:highlight w:val="none"/>
        </w:rPr>
        <w:t>的</w:t>
      </w:r>
      <w:bookmarkStart w:id="75" w:name="OLE_LINK44"/>
      <w:r>
        <w:rPr>
          <w:rFonts w:hint="eastAsia" w:ascii="宋体" w:hAnsi="宋体" w:cs="宋体"/>
          <w:szCs w:val="21"/>
          <w:highlight w:val="none"/>
        </w:rPr>
        <w:t>核心产品</w:t>
      </w:r>
      <w:bookmarkEnd w:id="75"/>
      <w:r>
        <w:rPr>
          <w:rFonts w:hint="eastAsia" w:ascii="宋体" w:hAnsi="宋体" w:cs="宋体"/>
          <w:szCs w:val="21"/>
          <w:highlight w:val="none"/>
        </w:rPr>
        <w:t>：</w:t>
      </w:r>
      <w:r>
        <w:rPr>
          <w:rFonts w:hint="eastAsia" w:ascii="宋体" w:hAnsi="宋体" w:cs="宋体"/>
          <w:szCs w:val="21"/>
          <w:highlight w:val="none"/>
          <w:u w:val="single"/>
        </w:rPr>
        <w:t xml:space="preserve"> 监测接收机、无线电测向机 </w:t>
      </w:r>
      <w:r>
        <w:rPr>
          <w:rFonts w:hint="eastAsia" w:ascii="宋体" w:hAnsi="宋体" w:cs="宋体"/>
          <w:szCs w:val="21"/>
          <w:highlight w:val="none"/>
        </w:rPr>
        <w:t>。</w:t>
      </w:r>
    </w:p>
    <w:bookmarkEnd w:id="73"/>
    <w:p>
      <w:pPr>
        <w:widowControl/>
        <w:spacing w:before="40" w:after="40" w:line="360" w:lineRule="auto"/>
        <w:jc w:val="left"/>
        <w:rPr>
          <w:rFonts w:hint="eastAsia" w:ascii="宋体" w:hAnsi="宋体" w:cs="宋体"/>
          <w:szCs w:val="21"/>
          <w:highlight w:val="none"/>
        </w:rPr>
      </w:pPr>
      <w:r>
        <w:rPr>
          <w:rFonts w:hint="eastAsia" w:ascii="宋体" w:hAnsi="宋体" w:cs="宋体"/>
          <w:szCs w:val="21"/>
          <w:highlight w:val="none"/>
        </w:rPr>
        <w:t>（2）B分标的核心产品：</w:t>
      </w:r>
      <w:r>
        <w:rPr>
          <w:rFonts w:hint="eastAsia" w:ascii="宋体" w:hAnsi="宋体" w:cs="宋体"/>
          <w:szCs w:val="21"/>
          <w:highlight w:val="none"/>
          <w:u w:val="single"/>
        </w:rPr>
        <w:t xml:space="preserve"> 监测接收机、无线电测向机 </w:t>
      </w:r>
      <w:r>
        <w:rPr>
          <w:rFonts w:hint="eastAsia" w:ascii="宋体" w:hAnsi="宋体" w:cs="宋体"/>
          <w:szCs w:val="21"/>
          <w:highlight w:val="none"/>
        </w:rPr>
        <w:t>。</w:t>
      </w:r>
    </w:p>
    <w:p>
      <w:pPr>
        <w:widowControl/>
        <w:spacing w:before="40" w:after="40" w:line="360" w:lineRule="auto"/>
        <w:jc w:val="left"/>
        <w:rPr>
          <w:rFonts w:hint="eastAsia" w:ascii="宋体" w:hAnsi="宋体" w:cs="宋体"/>
          <w:szCs w:val="21"/>
          <w:highlight w:val="none"/>
        </w:rPr>
      </w:pPr>
      <w:r>
        <w:rPr>
          <w:rFonts w:hint="eastAsia" w:ascii="宋体" w:hAnsi="宋体" w:cs="宋体"/>
          <w:szCs w:val="21"/>
          <w:highlight w:val="none"/>
        </w:rPr>
        <w:t>（3）C分标的核心产品：</w:t>
      </w:r>
      <w:r>
        <w:rPr>
          <w:rFonts w:hint="eastAsia" w:ascii="宋体" w:hAnsi="宋体" w:cs="宋体"/>
          <w:szCs w:val="21"/>
          <w:highlight w:val="none"/>
          <w:u w:val="single"/>
        </w:rPr>
        <w:t xml:space="preserve"> 监测接收机、无线电测向机 </w:t>
      </w:r>
      <w:r>
        <w:rPr>
          <w:rFonts w:hint="eastAsia" w:ascii="宋体" w:hAnsi="宋体" w:cs="宋体"/>
          <w:szCs w:val="21"/>
          <w:highlight w:val="none"/>
        </w:rPr>
        <w:t>。</w:t>
      </w:r>
    </w:p>
    <w:p>
      <w:pPr>
        <w:widowControl/>
        <w:spacing w:before="40" w:after="40" w:line="360" w:lineRule="auto"/>
        <w:jc w:val="left"/>
        <w:rPr>
          <w:rFonts w:hint="eastAsia" w:ascii="宋体" w:hAnsi="宋体" w:cs="宋体"/>
          <w:szCs w:val="21"/>
          <w:highlight w:val="none"/>
        </w:rPr>
      </w:pPr>
      <w:bookmarkStart w:id="76" w:name="OLE_LINK81"/>
      <w:r>
        <w:rPr>
          <w:rFonts w:hint="eastAsia" w:ascii="宋体" w:hAnsi="宋体" w:cs="宋体"/>
          <w:szCs w:val="21"/>
          <w:highlight w:val="none"/>
        </w:rPr>
        <w:t>7.进口产品说明：本项目货物不接受进口产品（即通过中国海关报关验放进入中国境内且产自关境外的产品）参与竞标，</w:t>
      </w:r>
      <w:r>
        <w:rPr>
          <w:rFonts w:hint="eastAsia" w:ascii="宋体" w:hAnsi="宋体" w:cs="宋体"/>
          <w:b/>
          <w:bCs/>
          <w:szCs w:val="21"/>
          <w:highlight w:val="none"/>
        </w:rPr>
        <w:t>如有进口产品参与投标的，其投标文件按无效处理。</w:t>
      </w:r>
    </w:p>
    <w:bookmarkEnd w:id="76"/>
    <w:p>
      <w:pPr>
        <w:pStyle w:val="3"/>
        <w:widowControl/>
        <w:spacing w:before="40" w:after="40"/>
        <w:rPr>
          <w:rFonts w:ascii="Times New Roman" w:hAnsi="Times New Roman" w:eastAsia="宋体" w:cs="宋体"/>
          <w:sz w:val="24"/>
          <w:szCs w:val="24"/>
          <w:highlight w:val="none"/>
        </w:rPr>
      </w:pPr>
      <w:bookmarkStart w:id="77" w:name="OLE_LINK49"/>
      <w:r>
        <w:rPr>
          <w:rFonts w:hint="eastAsia" w:ascii="Times New Roman" w:hAnsi="Times New Roman" w:eastAsia="宋体" w:cs="宋体"/>
          <w:sz w:val="24"/>
          <w:szCs w:val="24"/>
          <w:highlight w:val="none"/>
        </w:rPr>
        <w:t>采购需求</w:t>
      </w:r>
      <w:bookmarkStart w:id="78" w:name="OLE_LINK78"/>
      <w:r>
        <w:rPr>
          <w:rFonts w:hint="eastAsia" w:ascii="Times New Roman" w:hAnsi="Times New Roman" w:eastAsia="宋体" w:cs="宋体"/>
          <w:sz w:val="24"/>
          <w:szCs w:val="24"/>
          <w:highlight w:val="none"/>
        </w:rPr>
        <w:t>（适用所有分标）</w:t>
      </w:r>
      <w:bookmarkEnd w:id="78"/>
      <w:r>
        <w:rPr>
          <w:rFonts w:hint="eastAsia" w:ascii="Times New Roman" w:hAnsi="Times New Roman" w:eastAsia="宋体" w:cs="宋体"/>
          <w:sz w:val="24"/>
          <w:szCs w:val="24"/>
          <w:highlight w:val="none"/>
        </w:rPr>
        <w:t>：</w:t>
      </w:r>
    </w:p>
    <w:p>
      <w:pPr>
        <w:spacing w:before="82" w:beforeLines="25" w:after="82" w:afterLines="25" w:line="360" w:lineRule="auto"/>
        <w:outlineLvl w:val="2"/>
        <w:rPr>
          <w:rFonts w:cs="宋体"/>
          <w:b/>
          <w:bCs/>
          <w:sz w:val="24"/>
          <w:highlight w:val="none"/>
        </w:rPr>
      </w:pPr>
      <w:bookmarkStart w:id="79" w:name="OLE_LINK48"/>
      <w:r>
        <w:rPr>
          <w:rFonts w:hint="eastAsia" w:cs="宋体"/>
          <w:b/>
          <w:bCs/>
          <w:sz w:val="24"/>
          <w:highlight w:val="none"/>
        </w:rPr>
        <w:t>一、技术要求</w:t>
      </w:r>
    </w:p>
    <w:bookmarkEnd w:id="79"/>
    <w:p>
      <w:pPr>
        <w:pStyle w:val="340"/>
        <w:spacing w:line="400" w:lineRule="exact"/>
        <w:ind w:firstLine="420"/>
        <w:rPr>
          <w:rFonts w:hint="eastAsia" w:ascii="宋体" w:hAnsi="宋体" w:cs="宋体"/>
          <w:szCs w:val="21"/>
          <w:highlight w:val="none"/>
        </w:rPr>
      </w:pPr>
      <w:r>
        <w:rPr>
          <w:rFonts w:hint="eastAsia" w:ascii="宋体" w:hAnsi="宋体" w:cs="宋体"/>
          <w:szCs w:val="21"/>
          <w:highlight w:val="none"/>
        </w:rPr>
        <w:t>本项目报废旧站原址新建固定监测站的功能和技术指标均应满足《省级无线电监测设施建设规范和技术要求（试行）》（国无办〔2019〕3号）中规定的二类固定监测站功能和技术指标要求。</w:t>
      </w:r>
    </w:p>
    <w:p>
      <w:pPr>
        <w:pStyle w:val="340"/>
        <w:spacing w:line="4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▲本项目为边海站点，综合考虑国防、海事及民用等需求，本期监测频率上限扩展到不低于18GHz。</w:t>
      </w:r>
    </w:p>
    <w:p>
      <w:pPr>
        <w:pStyle w:val="340"/>
        <w:spacing w:line="400" w:lineRule="exact"/>
        <w:ind w:firstLine="420"/>
        <w:rPr>
          <w:rFonts w:hint="eastAsia" w:ascii="宋体" w:hAnsi="宋体" w:cs="宋体"/>
          <w:szCs w:val="21"/>
          <w:highlight w:val="none"/>
        </w:rPr>
      </w:pPr>
      <w:r>
        <w:rPr>
          <w:rFonts w:hint="eastAsia" w:ascii="宋体" w:hAnsi="宋体" w:cs="宋体"/>
          <w:szCs w:val="21"/>
          <w:highlight w:val="none"/>
        </w:rPr>
        <w:t>新建系统由监测测向系统以及工控机、远程控制单元、配套机柜、联网设备、供电系统、环境监控、视频监控等组成。</w:t>
      </w:r>
    </w:p>
    <w:p>
      <w:pPr>
        <w:pStyle w:val="340"/>
        <w:spacing w:line="400" w:lineRule="exact"/>
        <w:ind w:firstLine="420"/>
        <w:rPr>
          <w:rFonts w:hint="eastAsia" w:ascii="宋体" w:hAnsi="宋体" w:cs="宋体"/>
          <w:szCs w:val="21"/>
          <w:highlight w:val="none"/>
        </w:rPr>
      </w:pPr>
      <w:r>
        <w:rPr>
          <w:rFonts w:hint="eastAsia" w:ascii="宋体" w:hAnsi="宋体" w:cs="宋体"/>
          <w:szCs w:val="21"/>
          <w:highlight w:val="none"/>
        </w:rPr>
        <w:t>新建监测测向系统包括：多通道测向机、数字宽带监测接收机，测向天线、监测天线组（监测天线由垂直监测天线和水平监测天线组成）。</w:t>
      </w:r>
    </w:p>
    <w:p>
      <w:pPr>
        <w:pStyle w:val="340"/>
        <w:spacing w:line="400" w:lineRule="exact"/>
        <w:ind w:firstLine="420"/>
        <w:rPr>
          <w:rFonts w:hint="eastAsia" w:ascii="宋体" w:hAnsi="宋体" w:cs="宋体"/>
          <w:szCs w:val="21"/>
          <w:highlight w:val="none"/>
        </w:rPr>
      </w:pPr>
      <w:r>
        <w:rPr>
          <w:rFonts w:hint="eastAsia" w:ascii="宋体" w:hAnsi="宋体" w:cs="宋体"/>
          <w:szCs w:val="21"/>
          <w:highlight w:val="none"/>
        </w:rPr>
        <w:t>原监测测向设备和天馈、配套等设施进行拆除，除利旧设备外均运送到建设方指定地点存放。本期项目机房、塔桅、土建、地网等监测站配套设施由建设方或第三方提供，其中为满足安装要求而进行的室内外改造由承建单位负责。</w:t>
      </w:r>
    </w:p>
    <w:p>
      <w:pPr>
        <w:pStyle w:val="6"/>
        <w:spacing w:before="0" w:after="0" w:line="400" w:lineRule="exact"/>
        <w:rPr>
          <w:rFonts w:hint="eastAsia" w:ascii="宋体" w:hAnsi="宋体" w:cs="宋体"/>
          <w:sz w:val="21"/>
          <w:szCs w:val="21"/>
          <w:highlight w:val="none"/>
        </w:rPr>
      </w:pPr>
      <w:bookmarkStart w:id="80" w:name="_Toc26924"/>
      <w:r>
        <w:rPr>
          <w:rFonts w:hint="eastAsia" w:ascii="宋体" w:hAnsi="宋体" w:cs="宋体"/>
          <w:sz w:val="21"/>
          <w:szCs w:val="21"/>
          <w:highlight w:val="none"/>
        </w:rPr>
        <w:t>（一）</w:t>
      </w:r>
      <w:bookmarkEnd w:id="77"/>
      <w:bookmarkEnd w:id="80"/>
      <w:bookmarkStart w:id="81" w:name="_Toc254970490"/>
      <w:bookmarkStart w:id="82" w:name="_Toc254970631"/>
      <w:r>
        <w:rPr>
          <w:rFonts w:hint="eastAsia" w:ascii="宋体" w:hAnsi="宋体" w:cs="宋体"/>
          <w:sz w:val="21"/>
          <w:szCs w:val="21"/>
          <w:highlight w:val="none"/>
        </w:rPr>
        <w:t>系统组成和架构</w:t>
      </w:r>
    </w:p>
    <w:p>
      <w:pPr>
        <w:pStyle w:val="340"/>
        <w:spacing w:line="400" w:lineRule="exact"/>
        <w:ind w:firstLine="420"/>
        <w:rPr>
          <w:rFonts w:hint="eastAsia" w:ascii="宋体" w:hAnsi="宋体" w:cs="宋体"/>
          <w:szCs w:val="21"/>
          <w:highlight w:val="none"/>
        </w:rPr>
      </w:pPr>
      <w:r>
        <w:rPr>
          <w:rFonts w:hint="eastAsia" w:ascii="宋体" w:hAnsi="宋体" w:cs="宋体"/>
          <w:szCs w:val="21"/>
          <w:highlight w:val="none"/>
        </w:rPr>
        <w:t>根据《省级无线电监测设施建设规范和技术要求（试行）》（国无办〔2019〕3号）对二类固定监测站的设备配置要求，结合本项目的实际状况，本固定监测站建设总体上可以分为监测测向系统和配套设施两大部分，其中：</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监测测向系统包括：</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1、天馈单元。包括测向天线阵、监测天线组、专用监测系统天线，以及天线安装附件（馈线、接头、避雷器等）、室外控制箱和天线控制器（因不同厂商的监测测向设备差异，室外控制箱和天线控制器结合需求配置）；</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2、监测测向接收处理单元。包括数字宽带监测接收机、无线电测向机、广播电视信号监测设备；</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配套设施包括：</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1、控制和网络系统。主要包括工控机、交换机、监测测向设备远程开关机控制等设备，用于设备控制和联网。</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2、配电系统包括市电的引入（市电配电箱）、UPS、蓄电池和UPS配电等；</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3、动环监控系统包括市电、UPS、蓄电池等电源监控，漏水、温湿度等环境监测，烟雾、温度探测器等消防监控，空调远程控制等。</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4、远程监控系统主要包含铁塔基座、天线以及机房室内外的视频监控，也可用于远程监控设备的运行状况等。</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5、机房环境及配套主要包括机房室内外改造（其中机房地面需进行防静电处理）、防雷接地、通风空调、消防、照明、安防（门禁）以及其他可能需要的设施（如走线架等）。</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drawing>
          <wp:anchor distT="0" distB="0" distL="114300" distR="114300" simplePos="0" relativeHeight="251660288" behindDoc="0" locked="0" layoutInCell="1" allowOverlap="1">
            <wp:simplePos x="0" y="0"/>
            <wp:positionH relativeFrom="column">
              <wp:posOffset>-95885</wp:posOffset>
            </wp:positionH>
            <wp:positionV relativeFrom="paragraph">
              <wp:posOffset>940435</wp:posOffset>
            </wp:positionV>
            <wp:extent cx="5271770" cy="4196080"/>
            <wp:effectExtent l="0" t="0" r="5080" b="1397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5271770" cy="4196080"/>
                    </a:xfrm>
                    <a:prstGeom prst="rect">
                      <a:avLst/>
                    </a:prstGeom>
                    <a:noFill/>
                    <a:ln>
                      <a:noFill/>
                    </a:ln>
                  </pic:spPr>
                </pic:pic>
              </a:graphicData>
            </a:graphic>
          </wp:anchor>
        </w:drawing>
      </w:r>
      <w:r>
        <w:rPr>
          <w:rFonts w:hint="eastAsia" w:ascii="宋体" w:hAnsi="宋体" w:cs="宋体"/>
          <w:szCs w:val="21"/>
          <w:highlight w:val="none"/>
        </w:rPr>
        <w:t>无线电监测固定监测站应配置GNSS设备，用以提供时间和频率基准。GNSS系统应支持北斗系统，其他系统可选。</w:t>
      </w:r>
    </w:p>
    <w:p>
      <w:pPr>
        <w:pStyle w:val="9"/>
        <w:spacing w:line="400" w:lineRule="exact"/>
        <w:ind w:firstLine="0"/>
        <w:jc w:val="center"/>
        <w:rPr>
          <w:rFonts w:hint="eastAsia" w:ascii="宋体" w:hAnsi="宋体" w:cs="宋体"/>
          <w:szCs w:val="21"/>
          <w:highlight w:val="none"/>
        </w:rPr>
      </w:pPr>
    </w:p>
    <w:p>
      <w:pPr>
        <w:pStyle w:val="9"/>
        <w:spacing w:line="400" w:lineRule="exact"/>
        <w:ind w:firstLine="0"/>
        <w:jc w:val="center"/>
        <w:rPr>
          <w:rFonts w:hint="eastAsia" w:ascii="宋体" w:hAnsi="宋体" w:cs="宋体"/>
          <w:szCs w:val="21"/>
          <w:highlight w:val="none"/>
        </w:rPr>
      </w:pPr>
      <w:r>
        <w:rPr>
          <w:rFonts w:hint="eastAsia" w:ascii="宋体" w:hAnsi="宋体" w:cs="宋体"/>
          <w:szCs w:val="21"/>
          <w:highlight w:val="none"/>
        </w:rPr>
        <w:t>图-</w:t>
      </w:r>
      <w:r>
        <w:rPr>
          <w:rFonts w:hint="eastAsia" w:ascii="宋体" w:hAnsi="宋体" w:cs="宋体"/>
          <w:szCs w:val="21"/>
          <w:highlight w:val="none"/>
        </w:rPr>
        <w:fldChar w:fldCharType="begin"/>
      </w:r>
      <w:r>
        <w:rPr>
          <w:rFonts w:hint="eastAsia" w:ascii="宋体" w:hAnsi="宋体" w:cs="宋体"/>
          <w:szCs w:val="21"/>
          <w:highlight w:val="none"/>
        </w:rPr>
        <w:instrText xml:space="preserve"> SEQ 图 \* ARABIC \s 2 </w:instrText>
      </w:r>
      <w:r>
        <w:rPr>
          <w:rFonts w:hint="eastAsia" w:ascii="宋体" w:hAnsi="宋体" w:cs="宋体"/>
          <w:szCs w:val="21"/>
          <w:highlight w:val="none"/>
        </w:rPr>
        <w:fldChar w:fldCharType="separate"/>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二类无线电监测固定站建设架构示意图</w:t>
      </w:r>
    </w:p>
    <w:p>
      <w:pPr>
        <w:pStyle w:val="6"/>
        <w:spacing w:before="0" w:after="0" w:line="400" w:lineRule="exact"/>
        <w:rPr>
          <w:rFonts w:hint="eastAsia" w:ascii="宋体" w:hAnsi="宋体" w:cs="宋体"/>
          <w:sz w:val="21"/>
          <w:szCs w:val="21"/>
          <w:highlight w:val="none"/>
        </w:rPr>
      </w:pPr>
      <w:bookmarkStart w:id="83" w:name="_Toc10325"/>
      <w:bookmarkStart w:id="84" w:name="_Toc21255"/>
      <w:r>
        <w:rPr>
          <w:rFonts w:hint="eastAsia" w:ascii="宋体" w:hAnsi="宋体" w:cs="宋体"/>
          <w:sz w:val="21"/>
          <w:szCs w:val="21"/>
          <w:highlight w:val="none"/>
        </w:rPr>
        <w:t>（二）系统功能</w:t>
      </w:r>
      <w:bookmarkEnd w:id="83"/>
      <w:bookmarkEnd w:id="84"/>
    </w:p>
    <w:p>
      <w:pPr>
        <w:pStyle w:val="8"/>
        <w:spacing w:before="0" w:after="0" w:line="400" w:lineRule="exact"/>
        <w:rPr>
          <w:rFonts w:hint="eastAsia" w:ascii="宋体" w:hAnsi="宋体" w:eastAsia="宋体" w:cs="宋体"/>
          <w:b/>
          <w:bCs/>
          <w:sz w:val="21"/>
          <w:szCs w:val="21"/>
          <w:highlight w:val="none"/>
        </w:rPr>
      </w:pPr>
      <w:bookmarkStart w:id="85" w:name="_Toc108515773"/>
      <w:r>
        <w:rPr>
          <w:rFonts w:hint="eastAsia" w:ascii="宋体" w:hAnsi="宋体" w:eastAsia="宋体" w:cs="宋体"/>
          <w:b/>
          <w:bCs/>
          <w:sz w:val="21"/>
          <w:szCs w:val="21"/>
          <w:highlight w:val="none"/>
        </w:rPr>
        <w:t>基础监测功能</w:t>
      </w:r>
      <w:bookmarkEnd w:id="85"/>
    </w:p>
    <w:p>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1、ITU测量功能</w:t>
      </w:r>
    </w:p>
    <w:p>
      <w:pPr>
        <w:pStyle w:val="9"/>
        <w:numPr>
          <w:ilvl w:val="0"/>
          <w:numId w:val="1"/>
        </w:numPr>
        <w:tabs>
          <w:tab w:val="left" w:pos="-1440"/>
        </w:tabs>
        <w:spacing w:line="400" w:lineRule="exact"/>
        <w:ind w:left="0" w:firstLine="359" w:firstLineChars="171"/>
        <w:rPr>
          <w:rFonts w:hint="eastAsia" w:ascii="宋体" w:hAnsi="宋体" w:cs="宋体"/>
          <w:szCs w:val="21"/>
          <w:highlight w:val="none"/>
        </w:rPr>
      </w:pPr>
      <w:r>
        <w:rPr>
          <w:rFonts w:hint="eastAsia" w:ascii="宋体" w:hAnsi="宋体" w:cs="宋体"/>
          <w:szCs w:val="21"/>
          <w:highlight w:val="none"/>
        </w:rPr>
        <w:t>全面满足ITU建议的相关参数测量（频率、电平、频偏、场强、功率通量密度、占用带宽、调制度、脉冲、频率使用率、无用发射、信号分析和发射机识别等）的规范要求，可实时监测、测量和存储空中无线电信号的频率、场强、频偏、调制度、带宽等技术参数。</w:t>
      </w:r>
    </w:p>
    <w:p>
      <w:pPr>
        <w:pStyle w:val="9"/>
        <w:numPr>
          <w:ilvl w:val="0"/>
          <w:numId w:val="1"/>
        </w:numPr>
        <w:tabs>
          <w:tab w:val="left" w:pos="-1440"/>
        </w:tabs>
        <w:spacing w:line="400" w:lineRule="exact"/>
        <w:ind w:left="0" w:firstLine="359" w:firstLineChars="171"/>
        <w:rPr>
          <w:rFonts w:hint="eastAsia" w:ascii="宋体" w:hAnsi="宋体" w:cs="宋体"/>
          <w:szCs w:val="21"/>
          <w:highlight w:val="none"/>
        </w:rPr>
      </w:pPr>
      <w:r>
        <w:rPr>
          <w:rFonts w:hint="eastAsia" w:ascii="宋体" w:hAnsi="宋体" w:cs="宋体"/>
          <w:szCs w:val="21"/>
          <w:highlight w:val="none"/>
        </w:rPr>
        <w:t>测量结果可以以图形的方式显示，并生成测量结果统计列表（不限于Word、Excel格式）。</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2、单频测量</w:t>
      </w:r>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对某个已知频率信号进行详细测量，包括其中频频谱、ITU建议的测量参数，以图形方式显示测量结果，并生成测量结果统计报表。可实时监测、测量和存储电台的频率、信号电平、场强、频差等技术参数。</w:t>
      </w:r>
    </w:p>
    <w:p>
      <w:pPr>
        <w:spacing w:line="400" w:lineRule="exact"/>
        <w:ind w:firstLine="361" w:firstLineChars="171"/>
        <w:rPr>
          <w:rFonts w:hint="eastAsia" w:ascii="宋体" w:hAnsi="宋体" w:cs="宋体"/>
          <w:szCs w:val="21"/>
          <w:highlight w:val="none"/>
        </w:rPr>
      </w:pPr>
      <w:r>
        <w:rPr>
          <w:rFonts w:hint="eastAsia" w:ascii="宋体" w:hAnsi="宋体" w:cs="宋体"/>
          <w:b/>
          <w:bCs/>
          <w:szCs w:val="21"/>
          <w:highlight w:val="none"/>
        </w:rPr>
        <w:t>3、全景扫描（P-SCAN）</w:t>
      </w:r>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支持用户设定范围的一个宽带频段进行快速的扫描测量、频段使用评估，显示系统工作频率范围的实时动态频谱，测量频率可与样本库信息或台站数据库进行比对，支持触发测量，以找出该频段内的无线电信号，并确定它们的频率、电平、场强等技术参数。</w:t>
      </w:r>
    </w:p>
    <w:p>
      <w:pPr>
        <w:pStyle w:val="9"/>
        <w:spacing w:line="400" w:lineRule="exact"/>
        <w:ind w:left="359" w:leftChars="171" w:firstLine="0"/>
        <w:rPr>
          <w:rFonts w:hint="eastAsia" w:ascii="宋体" w:hAnsi="宋体" w:cs="宋体"/>
          <w:szCs w:val="21"/>
          <w:highlight w:val="none"/>
        </w:rPr>
      </w:pPr>
      <w:r>
        <w:rPr>
          <w:rFonts w:hint="eastAsia" w:ascii="宋体" w:hAnsi="宋体" w:cs="宋体"/>
          <w:b/>
          <w:bCs/>
          <w:szCs w:val="21"/>
          <w:highlight w:val="none"/>
        </w:rPr>
        <w:t>4、频段扫描（F-SCAN）</w:t>
      </w:r>
    </w:p>
    <w:p>
      <w:pPr>
        <w:pStyle w:val="9"/>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对某一频段内的频率进行监测，测量频率可与样本库信息或台站数据库进行比对，支持触发测量，以找出该频段内的无线电信号，并确定它们的频率、电平、场强等技术参数。</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5、离散/频率表扫描</w:t>
      </w:r>
    </w:p>
    <w:p>
      <w:pPr>
        <w:pStyle w:val="207"/>
        <w:spacing w:line="400" w:lineRule="exact"/>
        <w:ind w:firstLine="359" w:firstLineChars="171"/>
        <w:rPr>
          <w:rFonts w:hint="eastAsia" w:ascii="宋体" w:hAnsi="宋体" w:eastAsia="宋体" w:cs="宋体"/>
          <w:sz w:val="21"/>
          <w:szCs w:val="21"/>
          <w:highlight w:val="none"/>
        </w:rPr>
      </w:pPr>
      <w:r>
        <w:rPr>
          <w:rFonts w:hint="eastAsia" w:ascii="宋体" w:hAnsi="宋体" w:eastAsia="宋体" w:cs="宋体"/>
          <w:sz w:val="21"/>
          <w:szCs w:val="21"/>
          <w:highlight w:val="none"/>
        </w:rPr>
        <w:t>对多个已知的离散频点或频率表实时进行扫描监测，以考察这些频率的工作参数是否符合标准。根据指定的频率表进行循环轮流扫描测量。测量频率可与样本库信息或台站数据库进行比对，对于异常的信号，根据需要转入单频ITU测量等功能，监测数据可以保存回放。用户可对感兴趣的频点进行设置，输出测量结果。此功能应具备测量时间参数设置，在实际应用场景中，可根据不同的业务需求进行灵活配置。</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6、数字荧光谱功能</w:t>
      </w:r>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具备数字荧光谱功能，可捕获弱小信号、查看掩盖在信号中稳定的小信号，以及观察同频信号非同时发射概率等。</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7、干扰互调计算</w:t>
      </w:r>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背景干扰搜索测量与自动分析或人工置频分析，以互调干扰分析为主，并产生干扰分析结果。</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8、扫描信号管理</w:t>
      </w:r>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完成对扫描信号的处理，根据人工判断对信号进行分类、编辑、合并、干扰互调分析等。</w:t>
      </w:r>
    </w:p>
    <w:p>
      <w:pPr>
        <w:pStyle w:val="8"/>
        <w:spacing w:before="0" w:after="0" w:line="400" w:lineRule="exact"/>
        <w:rPr>
          <w:rFonts w:hint="eastAsia" w:ascii="宋体" w:hAnsi="宋体" w:eastAsia="宋体" w:cs="宋体"/>
          <w:b/>
          <w:bCs/>
          <w:sz w:val="21"/>
          <w:szCs w:val="21"/>
          <w:highlight w:val="none"/>
        </w:rPr>
      </w:pPr>
      <w:bookmarkStart w:id="86" w:name="_Toc108515774"/>
      <w:r>
        <w:rPr>
          <w:rFonts w:hint="eastAsia" w:ascii="宋体" w:hAnsi="宋体" w:eastAsia="宋体" w:cs="宋体"/>
          <w:b/>
          <w:bCs/>
          <w:sz w:val="21"/>
          <w:szCs w:val="21"/>
          <w:highlight w:val="none"/>
        </w:rPr>
        <w:t>测向定位功能</w:t>
      </w:r>
      <w:bookmarkEnd w:id="86"/>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可以实现垂直/水平极化的单频点测向、宽带测向、多站交会及利用历史测向数据虚拟交会定位。利用测向数据回放功能可以对过去不少于24小时内出现过的干扰信号测向定位。</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1、单频测向</w:t>
      </w:r>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支持对某个已知信号进行测向，同时观察它的中频频谱和幅度－时间图形，并统计在测量时间内的示向度概率值。支持同频多源信号分离测向、对同一个频率的多通道测向，同时观察分离显示的各通道同频信号示向度图形，统计在测量时间内的示向度概率值，支持在地图上同时展示多个通道信号测向的示向线。</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2、宽带测向</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1）支持设定频率及带宽范围内的所有频率点进行信号搜索测向，提供实时宽带测向功能，对突发和跳频信号进行快速测向；</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2）支持显示实时示向度、实时频谱、瀑布图；</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3）支持用户设定门限对测向结果进行过滤；</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4）所有数据可以存储和回放；</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5）支持设置时间积分，支持测量时的报表输出（Word、Excel等格式）。</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3、联合测向</w:t>
      </w:r>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支持多个台站设备对某个已知信号进行测向操作，同时观察它的中频频谱和幅度－时间图形，并统计在测量时间内的示向度概率值。支持手动和自动测向、测向驻留时间、交点计算定位区域、实时绘制示向线开关的设置。</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4、交会定位</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1）能够控制多个具有单频测向能力的固定、移动监测站进行交会，支持对每个设备单独设置参数；</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2）能够在地图上显示每个监测站的示向线；</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3）支持添加虚拟监测站参与定位；</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4）支持记录测向结果和位置，用于添加虚拟监测站，实现单站多地点分时交会；</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5）能够在地图上显示交点计算定位区域；</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6）所有数据可以存储和回放；</w:t>
      </w:r>
    </w:p>
    <w:p>
      <w:pPr>
        <w:pStyle w:val="9"/>
        <w:spacing w:line="400" w:lineRule="exact"/>
        <w:ind w:left="359" w:leftChars="171" w:firstLine="0"/>
        <w:rPr>
          <w:rFonts w:hint="eastAsia" w:ascii="宋体" w:hAnsi="宋体" w:cs="宋体"/>
          <w:szCs w:val="21"/>
          <w:highlight w:val="none"/>
        </w:rPr>
      </w:pPr>
      <w:r>
        <w:rPr>
          <w:rFonts w:hint="eastAsia" w:ascii="宋体" w:hAnsi="宋体" w:cs="宋体"/>
          <w:szCs w:val="21"/>
          <w:highlight w:val="none"/>
        </w:rPr>
        <w:t>7）支持测量时的报表输出（Word、Excel等格式）。</w:t>
      </w:r>
    </w:p>
    <w:p>
      <w:pPr>
        <w:pStyle w:val="8"/>
        <w:spacing w:before="0" w:after="0"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广播电视信号监测功能</w:t>
      </w:r>
    </w:p>
    <w:p>
      <w:pPr>
        <w:pStyle w:val="7"/>
        <w:spacing w:before="0" w:beforeLines="0" w:line="400" w:lineRule="exact"/>
        <w:ind w:firstLine="359" w:firstLineChars="171"/>
        <w:rPr>
          <w:rFonts w:hint="eastAsia" w:ascii="宋体" w:hAnsi="宋体" w:cs="宋体"/>
          <w:sz w:val="21"/>
          <w:szCs w:val="21"/>
          <w:highlight w:val="none"/>
          <w:lang w:val="en-US"/>
        </w:rPr>
      </w:pPr>
      <w:r>
        <w:rPr>
          <w:rFonts w:hint="eastAsia" w:ascii="宋体" w:hAnsi="宋体" w:cs="宋体"/>
          <w:sz w:val="21"/>
          <w:szCs w:val="21"/>
          <w:highlight w:val="none"/>
          <w:lang w:val="en-US"/>
        </w:rPr>
        <w:t>支持当前境内外（越南）在用所有电视频段，具备搜索电视台信号，并具备对PAL-D/DTMB/DVB-T/DVB-T2/CDR等各类制式电视/数字广播信号进行解析的功能，能够还原其连续图像和语音，实现对播出电视信号的图像监视及声音监听，图像和声音输出可通过LAN口传输至工控机或服务器进行存储。具备声音关键字识别提取及文字显示的告警能力。可查看电视信号特征（如一帧电视图像截图）。可对电视台站数据进行保存，形成电视台站数据库。</w:t>
      </w:r>
    </w:p>
    <w:p>
      <w:pPr>
        <w:pStyle w:val="7"/>
        <w:spacing w:before="0" w:beforeLines="0" w:line="400" w:lineRule="exact"/>
        <w:ind w:firstLine="359" w:firstLineChars="171"/>
        <w:rPr>
          <w:rFonts w:hint="eastAsia" w:ascii="宋体" w:hAnsi="宋体" w:cs="宋体"/>
          <w:sz w:val="21"/>
          <w:szCs w:val="21"/>
          <w:highlight w:val="none"/>
          <w:lang w:val="en-US"/>
        </w:rPr>
      </w:pPr>
      <w:r>
        <w:rPr>
          <w:rFonts w:hint="eastAsia" w:ascii="宋体" w:hAnsi="宋体" w:cs="宋体"/>
          <w:sz w:val="21"/>
          <w:szCs w:val="21"/>
          <w:highlight w:val="none"/>
          <w:lang w:val="en-US"/>
        </w:rPr>
        <w:t>可对监视过程中发现的电视信号进行存储、录像、录音，并支持信号回放，本地声音和图像录制存储时间不少于24小时。</w:t>
      </w:r>
    </w:p>
    <w:p>
      <w:pPr>
        <w:pStyle w:val="8"/>
        <w:spacing w:before="0" w:after="0" w:line="400" w:lineRule="exact"/>
        <w:rPr>
          <w:rFonts w:hint="eastAsia" w:ascii="宋体" w:hAnsi="宋体" w:eastAsia="宋体" w:cs="宋体"/>
          <w:sz w:val="21"/>
          <w:szCs w:val="21"/>
          <w:highlight w:val="none"/>
        </w:rPr>
      </w:pPr>
      <w:bookmarkStart w:id="87" w:name="_Toc19183"/>
      <w:r>
        <w:rPr>
          <w:rFonts w:hint="eastAsia" w:ascii="宋体" w:hAnsi="宋体" w:eastAsia="宋体" w:cs="宋体"/>
          <w:sz w:val="21"/>
          <w:szCs w:val="21"/>
          <w:highlight w:val="none"/>
        </w:rPr>
        <w:t>公众移动通信基站监测解码功能</w:t>
      </w:r>
      <w:bookmarkEnd w:id="87"/>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具有公众移动通信信号（2G/3G/4G/5G）的测试能力，支持国内各种移动通信制式类似广播信道等参数的解码，包括：GSM，CDMA，EVDO，WCDMA，TD-SCDMA，TD-LTE，FDD-LTE，5G等。覆盖国内现有所有移动通信制式的所有频段，实现公众移动通信信号监管手段信息化。</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支持国内GSM、CDMA、EVDO、WCDMA、TD-SCDMA、TD-LTE、FDD-LTE等各种制式的所有频段移动通信信号接收和解码能力，能够对指定区域，通过电子地图展示出公众移动通信频率、基站和不明基站（含伪基站）的使用及信号分布情况，掌握不同运营商、不同网络制式（2G/3G/4G）基站的情况，如类别、制式、频率、运营商、信道号、场强、基站识别码、蜂窝小区号、位置区域码、经纬度等，实现公众移动通信信号监管手段信息化。</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具备5G基站信号和参数分析功能，可同时监测移动、联通、电信等运营商的5G信号，获得基站同步信号块中PBCH、SSS、PSS信道相关参数；具备5G基站GSCN号的自动获取功能；具备5G频率使用统计功能，分析各5G信道频率占用度，具备5G信号数据回放功能。</w:t>
      </w:r>
    </w:p>
    <w:p>
      <w:pPr>
        <w:pStyle w:val="8"/>
        <w:spacing w:before="0" w:after="0" w:line="400" w:lineRule="exact"/>
        <w:rPr>
          <w:rFonts w:hint="eastAsia" w:ascii="宋体" w:hAnsi="宋体" w:eastAsia="宋体" w:cs="宋体"/>
          <w:sz w:val="21"/>
          <w:szCs w:val="21"/>
          <w:highlight w:val="none"/>
        </w:rPr>
      </w:pPr>
      <w:bookmarkStart w:id="88" w:name="_Toc108515775"/>
      <w:r>
        <w:rPr>
          <w:rFonts w:hint="eastAsia" w:ascii="宋体" w:hAnsi="宋体" w:eastAsia="宋体" w:cs="宋体"/>
          <w:sz w:val="21"/>
          <w:szCs w:val="21"/>
          <w:highlight w:val="none"/>
        </w:rPr>
        <w:t>业务功能</w:t>
      </w:r>
      <w:bookmarkEnd w:id="88"/>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监测站业务功能可结合无线电管理一体化平台的相关应用系统共同实现。</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1、信号监听</w:t>
      </w:r>
    </w:p>
    <w:p>
      <w:pPr>
        <w:pStyle w:val="7"/>
        <w:spacing w:before="0" w:beforeLines="0" w:line="400" w:lineRule="exact"/>
        <w:ind w:firstLine="359" w:firstLineChars="171"/>
        <w:rPr>
          <w:rFonts w:hint="eastAsia" w:ascii="宋体" w:hAnsi="宋体" w:cs="宋体"/>
          <w:sz w:val="21"/>
          <w:szCs w:val="21"/>
          <w:highlight w:val="none"/>
        </w:rPr>
      </w:pPr>
      <w:r>
        <w:rPr>
          <w:rFonts w:hint="eastAsia" w:ascii="宋体" w:hAnsi="宋体" w:cs="宋体"/>
          <w:sz w:val="21"/>
          <w:szCs w:val="21"/>
          <w:highlight w:val="none"/>
        </w:rPr>
        <w:t>支持对单个或多个频点进行录音，信号录音实时显示频谱图和当前信号的音频波形，</w:t>
      </w:r>
      <w:r>
        <w:rPr>
          <w:rFonts w:hint="eastAsia" w:ascii="宋体" w:hAnsi="宋体" w:cs="宋体"/>
          <w:sz w:val="21"/>
          <w:szCs w:val="21"/>
          <w:highlight w:val="none"/>
          <w:lang w:val="en-US"/>
        </w:rPr>
        <w:t>支持</w:t>
      </w:r>
      <w:r>
        <w:rPr>
          <w:rFonts w:hint="eastAsia" w:ascii="宋体" w:hAnsi="宋体" w:cs="宋体"/>
          <w:sz w:val="21"/>
          <w:szCs w:val="21"/>
          <w:highlight w:val="none"/>
        </w:rPr>
        <w:t>频段监听、频表监听和频点监听。显示当前录音的长度、录音时间等记录，支持音频播放。</w:t>
      </w:r>
    </w:p>
    <w:p>
      <w:pPr>
        <w:pStyle w:val="7"/>
        <w:spacing w:before="0" w:beforeLines="0" w:line="400" w:lineRule="exact"/>
        <w:ind w:firstLine="359" w:firstLineChars="171"/>
        <w:rPr>
          <w:rFonts w:hint="eastAsia" w:ascii="宋体" w:hAnsi="宋体" w:cs="宋体"/>
          <w:sz w:val="21"/>
          <w:szCs w:val="21"/>
          <w:highlight w:val="none"/>
        </w:rPr>
      </w:pPr>
      <w:r>
        <w:rPr>
          <w:rFonts w:hint="eastAsia" w:ascii="宋体" w:hAnsi="宋体" w:cs="宋体"/>
          <w:sz w:val="21"/>
          <w:szCs w:val="21"/>
          <w:highlight w:val="none"/>
        </w:rPr>
        <w:t>支持录音门限设置，信号强度超过门限进行录音。</w:t>
      </w:r>
    </w:p>
    <w:p>
      <w:pPr>
        <w:widowControl/>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2、频谱评估功能</w:t>
      </w:r>
    </w:p>
    <w:p>
      <w:pPr>
        <w:pStyle w:val="7"/>
        <w:spacing w:before="0" w:beforeLines="0" w:line="400" w:lineRule="exact"/>
        <w:ind w:firstLine="359" w:firstLineChars="171"/>
        <w:rPr>
          <w:rFonts w:hint="eastAsia" w:ascii="宋体" w:hAnsi="宋体" w:cs="宋体"/>
          <w:sz w:val="21"/>
          <w:szCs w:val="21"/>
          <w:highlight w:val="none"/>
        </w:rPr>
      </w:pPr>
      <w:r>
        <w:rPr>
          <w:rFonts w:hint="eastAsia" w:ascii="宋体" w:hAnsi="宋体" w:cs="宋体"/>
          <w:sz w:val="21"/>
          <w:szCs w:val="21"/>
          <w:highlight w:val="none"/>
          <w:lang w:val="en-US"/>
        </w:rPr>
        <w:t>支持国家要求的频谱评估数据的采集、存储和导出，自动完成频谱评估测试和统计工作并生成符合频谱评估测试要求的文件（报表）。支持对电磁环境进行测量（根据用户定义任务），并作为最低优先级任务，能够对用户定义的任务进行测量，测量结果可以存储，可以分析。</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3、信号数据统计分析功能</w:t>
      </w:r>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支持国家要求的日报、月报统计分析，能够按照标准格式提供信道和频段占用度日报、月报。</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4、数据存储和分析功能</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1）支持对所有监测数据的存储，可对监测原始数据无失真回放。支持区分因地理位置不同带来的测量误差，使测量更准确。</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2）支持对存储的监测数据、任务记录进行管理、查询、导入导出；对存储的监测结果数据进行打印浏览，对原始数据的回放分析；建立文件数据库。</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3）数据回放的过程中支持对回放进度进行控制，数据展示的内容包括数据图表和监测参数。支持对24小时内出现的干扰信号的数据自动保存，并可测向定位。</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4）支持监测数据分析、定位数据分析、音频数据分析、日报分析、月报分析等，具备自动日月报功能。</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5）支持基础监测数据库，具备台站数据分析功能和计划任务功能。</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5、台站库关联功能</w:t>
      </w:r>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支持导入本地台站库，支持在电子地图上显示台站基本信息，支持按照电子地图的比例进行聚合显示。</w:t>
      </w:r>
    </w:p>
    <w:p>
      <w:pPr>
        <w:spacing w:line="400" w:lineRule="exact"/>
        <w:ind w:firstLine="359" w:firstLineChars="171"/>
        <w:rPr>
          <w:rFonts w:hint="eastAsia" w:ascii="宋体" w:hAnsi="宋体" w:cs="宋体"/>
          <w:szCs w:val="21"/>
          <w:highlight w:val="none"/>
        </w:rPr>
      </w:pPr>
      <w:r>
        <w:rPr>
          <w:rFonts w:hint="eastAsia" w:ascii="宋体" w:hAnsi="宋体" w:cs="宋体"/>
          <w:szCs w:val="21"/>
          <w:highlight w:val="none"/>
        </w:rPr>
        <w:t>支持按照不同类型的台站显示不同的图标。</w:t>
      </w:r>
    </w:p>
    <w:p>
      <w:pPr>
        <w:pStyle w:val="8"/>
        <w:spacing w:before="0" w:after="0" w:line="400" w:lineRule="exact"/>
        <w:rPr>
          <w:rFonts w:hint="eastAsia" w:ascii="宋体" w:hAnsi="宋体" w:eastAsia="宋体" w:cs="宋体"/>
          <w:sz w:val="21"/>
          <w:szCs w:val="21"/>
          <w:highlight w:val="none"/>
        </w:rPr>
      </w:pPr>
      <w:bookmarkStart w:id="89" w:name="_Toc108515776"/>
      <w:r>
        <w:rPr>
          <w:rFonts w:hint="eastAsia" w:ascii="宋体" w:hAnsi="宋体" w:eastAsia="宋体" w:cs="宋体"/>
          <w:sz w:val="21"/>
          <w:szCs w:val="21"/>
          <w:highlight w:val="none"/>
        </w:rPr>
        <w:t>信号分析和识别</w:t>
      </w:r>
    </w:p>
    <w:p>
      <w:pPr>
        <w:pStyle w:val="7"/>
        <w:spacing w:before="0" w:beforeLines="0" w:line="400" w:lineRule="exact"/>
        <w:ind w:firstLine="420"/>
        <w:rPr>
          <w:rFonts w:hint="eastAsia" w:ascii="宋体" w:hAnsi="宋体" w:cs="宋体"/>
          <w:sz w:val="21"/>
          <w:szCs w:val="21"/>
          <w:highlight w:val="none"/>
        </w:rPr>
      </w:pPr>
      <w:r>
        <w:rPr>
          <w:rFonts w:hint="eastAsia" w:ascii="宋体" w:hAnsi="宋体" w:cs="宋体"/>
          <w:sz w:val="21"/>
          <w:szCs w:val="21"/>
          <w:highlight w:val="none"/>
        </w:rPr>
        <w:t>具有解调和监听AM、FM、CW、USB、LSB模拟调制信号的能力，支持BPSK、QPSK、8PSK、π/4DQPSK、2FSK、4FSK等数字调制信号解调。</w:t>
      </w:r>
    </w:p>
    <w:p>
      <w:pPr>
        <w:pStyle w:val="7"/>
        <w:spacing w:before="0" w:beforeLines="0" w:line="400" w:lineRule="exact"/>
        <w:ind w:firstLine="420"/>
        <w:rPr>
          <w:rFonts w:hint="eastAsia" w:ascii="宋体" w:hAnsi="宋体" w:cs="宋体"/>
          <w:sz w:val="21"/>
          <w:szCs w:val="21"/>
          <w:highlight w:val="none"/>
        </w:rPr>
      </w:pPr>
      <w:r>
        <w:rPr>
          <w:rFonts w:hint="eastAsia" w:ascii="宋体" w:hAnsi="宋体" w:cs="宋体"/>
          <w:sz w:val="21"/>
          <w:szCs w:val="21"/>
          <w:highlight w:val="none"/>
        </w:rPr>
        <w:t>支持DMR、DPMR、NXDN主流数字对讲标准通信协议解析，提供PDT、TETRA数字集群解析功能。可自动对已知数字对讲机信号进行调制识别和解调，同时提供诸如实时频谱、IQ、星座图、波形图等显示。</w:t>
      </w:r>
    </w:p>
    <w:p>
      <w:pPr>
        <w:pStyle w:val="7"/>
        <w:spacing w:before="0" w:beforeLines="0" w:line="400" w:lineRule="exact"/>
        <w:ind w:firstLine="420"/>
        <w:rPr>
          <w:rFonts w:hint="eastAsia" w:ascii="宋体" w:hAnsi="宋体" w:cs="宋体"/>
          <w:sz w:val="21"/>
          <w:szCs w:val="21"/>
          <w:highlight w:val="none"/>
        </w:rPr>
      </w:pPr>
      <w:r>
        <w:rPr>
          <w:rFonts w:hint="eastAsia" w:ascii="宋体" w:hAnsi="宋体" w:cs="宋体"/>
          <w:sz w:val="21"/>
          <w:szCs w:val="21"/>
          <w:highlight w:val="none"/>
        </w:rPr>
        <w:t>可识别的调制类型不少于CW、AW、FM、2ASK、2FSK、4FSK、8FSK、MSK、BPSK、QPSK、0QPSK、π/4DQPSK、8PSK、16QAM、64QAM。</w:t>
      </w:r>
    </w:p>
    <w:p>
      <w:pPr>
        <w:pStyle w:val="7"/>
        <w:spacing w:before="0" w:beforeLines="0" w:line="400" w:lineRule="exact"/>
        <w:ind w:firstLine="420"/>
        <w:rPr>
          <w:rFonts w:hint="eastAsia" w:ascii="宋体" w:hAnsi="宋体" w:cs="宋体"/>
          <w:sz w:val="21"/>
          <w:szCs w:val="21"/>
          <w:highlight w:val="none"/>
        </w:rPr>
      </w:pPr>
      <w:r>
        <w:rPr>
          <w:rFonts w:hint="eastAsia" w:ascii="宋体" w:hAnsi="宋体" w:cs="宋体"/>
          <w:sz w:val="21"/>
          <w:szCs w:val="21"/>
          <w:highlight w:val="none"/>
        </w:rPr>
        <w:t>支持GSM、TETRA、调频广播、CDMA、FDD-LTE、TD-LTE等传输系统识别。</w:t>
      </w:r>
    </w:p>
    <w:p>
      <w:pPr>
        <w:pStyle w:val="8"/>
        <w:spacing w:before="0" w:after="0"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电子地图功能</w:t>
      </w:r>
      <w:bookmarkEnd w:id="89"/>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1）提供站址周边二维电子地图；支持互联网免费图源，支持用户从互联网下载地图后更新；</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2）可将台站数据库中的台站显示在电子地图上，可以选择性地显示某一种或多种业务的台站，也可以显示台站查询的结果；</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3）能够集成和调用国家无线电监测中心的地理信息平台和电子地图数据，并实现无缝对接；地理信息平台和电子地图数据集成调用应符合国家无线电监测中心有关规范和要求，具备无级放大、缩小、滚动、漫游、测距、半径测量等功能，可用于测向、定位、电磁兼容分析和导航；地理信息数据应支持国家监测中心电子地图数据格式，可通过人工输入多个测试点的经纬度及示向信息实现虚拟交汇；</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4）能够与地理信息平台结合实现台站综合查询，可在地图上按业务类型、按频段等多种方式分类展现及显示台站查询的结果；支持在电子地图上标识被测发射台位置信息，支持从电子地图触发测量任务；</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5）电子地图数据来源及安全处理技术基本要求应符合国家相关标准规范。</w:t>
      </w:r>
    </w:p>
    <w:p>
      <w:pPr>
        <w:pStyle w:val="8"/>
        <w:spacing w:before="0" w:after="0" w:line="400" w:lineRule="exact"/>
        <w:rPr>
          <w:rFonts w:hint="eastAsia" w:ascii="宋体" w:hAnsi="宋体" w:eastAsia="宋体" w:cs="宋体"/>
          <w:sz w:val="21"/>
          <w:szCs w:val="21"/>
          <w:highlight w:val="none"/>
        </w:rPr>
      </w:pPr>
      <w:bookmarkStart w:id="90" w:name="_Toc108515777"/>
      <w:r>
        <w:rPr>
          <w:rFonts w:hint="eastAsia" w:ascii="宋体" w:hAnsi="宋体" w:eastAsia="宋体" w:cs="宋体"/>
          <w:sz w:val="21"/>
          <w:szCs w:val="21"/>
          <w:highlight w:val="none"/>
        </w:rPr>
        <w:t>系统联网和设备管理功能</w:t>
      </w:r>
      <w:bookmarkEnd w:id="90"/>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系统具备遥控功能，可实现监测测向设施的远程遥控和开关机等操作。</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监测站软件具有系统自检的功能。</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系统符合《超短波监测管理服务接口规范》及《超短波监测管理一体化平台技术规范》，具备原子服务协议的监测应用接口，能够接入无线电管理一体化平台。能够融入已建监测网中，实现与原固定站进行交互式监测、交叉定位，能够实现网内资源的统一管理、协同工作。</w:t>
      </w:r>
    </w:p>
    <w:p>
      <w:pPr>
        <w:pStyle w:val="8"/>
        <w:spacing w:before="0" w:after="0" w:line="400" w:lineRule="exact"/>
        <w:rPr>
          <w:rFonts w:hint="eastAsia" w:ascii="宋体" w:hAnsi="宋体" w:eastAsia="宋体" w:cs="宋体"/>
          <w:sz w:val="21"/>
          <w:szCs w:val="21"/>
          <w:highlight w:val="none"/>
        </w:rPr>
      </w:pPr>
      <w:bookmarkStart w:id="91" w:name="_Toc108515778"/>
      <w:r>
        <w:rPr>
          <w:rFonts w:hint="eastAsia" w:ascii="宋体" w:hAnsi="宋体" w:eastAsia="宋体" w:cs="宋体"/>
          <w:sz w:val="21"/>
          <w:szCs w:val="21"/>
          <w:highlight w:val="none"/>
        </w:rPr>
        <w:t>任务管理功能</w:t>
      </w:r>
      <w:bookmarkEnd w:id="91"/>
    </w:p>
    <w:p>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1、日常任务管理功能</w:t>
      </w:r>
    </w:p>
    <w:p>
      <w:pPr>
        <w:tabs>
          <w:tab w:val="left" w:pos="540"/>
        </w:tabs>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支持对用户日常所</w:t>
      </w:r>
      <w:r>
        <w:rPr>
          <w:rFonts w:hint="eastAsia" w:ascii="宋体" w:hAnsi="宋体" w:cs="宋体"/>
          <w:szCs w:val="21"/>
          <w:highlight w:val="none"/>
        </w:rPr>
        <w:t>进行</w:t>
      </w:r>
      <w:r>
        <w:rPr>
          <w:rFonts w:hint="eastAsia" w:ascii="宋体" w:hAnsi="宋体" w:cs="宋体"/>
          <w:kern w:val="0"/>
          <w:szCs w:val="21"/>
          <w:highlight w:val="none"/>
        </w:rPr>
        <w:t>的实时监测情况的任务信息进行管理，方便用户查看相关信息。用户可以指派任务给网络内其它客户端立即或某一时间（计划任务）执行指定的工作，方便控制中心的任务的统一调度。</w:t>
      </w:r>
    </w:p>
    <w:p>
      <w:pPr>
        <w:pStyle w:val="207"/>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支持用户设定定时任务，系统按照设定时间和规律进行自动执行，将测量的数据和结果进行存储，然后可以回放。</w:t>
      </w:r>
    </w:p>
    <w:p>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2、监测和测向任务实时并行</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系统支持监测和测向实时并行，支持同时执行多项监测、测向任务（同类型业务或不同类型业务，至少能够同时完成1个测向+1个监测任务），当设备已有任务在执行时，新来的任务排队执行。</w:t>
      </w:r>
    </w:p>
    <w:p>
      <w:pPr>
        <w:pStyle w:val="9"/>
        <w:spacing w:line="400" w:lineRule="exact"/>
        <w:ind w:firstLineChars="200"/>
        <w:rPr>
          <w:rFonts w:hint="eastAsia" w:ascii="宋体" w:hAnsi="宋体" w:cs="宋体"/>
          <w:szCs w:val="21"/>
          <w:highlight w:val="none"/>
        </w:rPr>
      </w:pPr>
      <w:r>
        <w:rPr>
          <w:rFonts w:hint="eastAsia" w:ascii="宋体" w:hAnsi="宋体" w:cs="宋体"/>
          <w:szCs w:val="21"/>
          <w:highlight w:val="none"/>
        </w:rPr>
        <w:t>无人值守情况下，可以按照预先设置的指定集合，自动完成所有任务。</w:t>
      </w:r>
    </w:p>
    <w:p>
      <w:pPr>
        <w:pStyle w:val="8"/>
        <w:spacing w:before="0" w:after="0" w:line="400" w:lineRule="exact"/>
        <w:rPr>
          <w:rFonts w:hint="eastAsia" w:ascii="宋体" w:hAnsi="宋体" w:eastAsia="宋体" w:cs="宋体"/>
          <w:sz w:val="21"/>
          <w:szCs w:val="21"/>
          <w:highlight w:val="none"/>
        </w:rPr>
      </w:pPr>
      <w:bookmarkStart w:id="92" w:name="_Toc108515779"/>
      <w:r>
        <w:rPr>
          <w:rFonts w:hint="eastAsia" w:ascii="宋体" w:hAnsi="宋体" w:eastAsia="宋体" w:cs="宋体"/>
          <w:sz w:val="21"/>
          <w:szCs w:val="21"/>
          <w:highlight w:val="none"/>
        </w:rPr>
        <w:t>其他功能</w:t>
      </w:r>
      <w:bookmarkEnd w:id="92"/>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1、数据库管理</w:t>
      </w:r>
    </w:p>
    <w:p>
      <w:pPr>
        <w:pStyle w:val="7"/>
        <w:spacing w:before="0" w:beforeLines="0" w:line="400" w:lineRule="exact"/>
        <w:ind w:firstLine="359" w:firstLineChars="171"/>
        <w:rPr>
          <w:rFonts w:hint="eastAsia" w:ascii="宋体" w:hAnsi="宋体" w:cs="宋体"/>
          <w:sz w:val="21"/>
          <w:szCs w:val="21"/>
          <w:highlight w:val="none"/>
        </w:rPr>
      </w:pPr>
      <w:r>
        <w:rPr>
          <w:rFonts w:hint="eastAsia" w:ascii="宋体" w:hAnsi="宋体" w:cs="宋体"/>
          <w:sz w:val="21"/>
          <w:szCs w:val="21"/>
          <w:highlight w:val="none"/>
        </w:rPr>
        <w:t>支持《超短波频段监测管理数据库结构技术规范》；支持手动数据备份和定时自动数据备份；数据还原。</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2、辅助工具</w:t>
      </w:r>
    </w:p>
    <w:p>
      <w:pPr>
        <w:pStyle w:val="7"/>
        <w:spacing w:before="0" w:beforeLines="0" w:line="400" w:lineRule="exact"/>
        <w:ind w:firstLine="359" w:firstLineChars="171"/>
        <w:rPr>
          <w:rFonts w:hint="eastAsia" w:ascii="宋体" w:hAnsi="宋体" w:cs="宋体"/>
          <w:sz w:val="21"/>
          <w:szCs w:val="21"/>
          <w:highlight w:val="none"/>
        </w:rPr>
      </w:pPr>
      <w:r>
        <w:rPr>
          <w:rFonts w:hint="eastAsia" w:ascii="宋体" w:hAnsi="宋体" w:cs="宋体"/>
          <w:sz w:val="21"/>
          <w:szCs w:val="21"/>
          <w:highlight w:val="none"/>
        </w:rPr>
        <w:t>1）互调分析：提供互调分析工具实现互调分析计算。</w:t>
      </w:r>
    </w:p>
    <w:p>
      <w:pPr>
        <w:pStyle w:val="7"/>
        <w:spacing w:before="0" w:beforeLines="0" w:line="400" w:lineRule="exact"/>
        <w:ind w:firstLine="359" w:firstLineChars="171"/>
        <w:rPr>
          <w:rFonts w:hint="eastAsia" w:ascii="宋体" w:hAnsi="宋体" w:cs="宋体"/>
          <w:sz w:val="21"/>
          <w:szCs w:val="21"/>
          <w:highlight w:val="none"/>
        </w:rPr>
      </w:pPr>
      <w:r>
        <w:rPr>
          <w:rFonts w:hint="eastAsia" w:ascii="宋体" w:hAnsi="宋体" w:cs="宋体"/>
          <w:sz w:val="21"/>
          <w:szCs w:val="21"/>
          <w:highlight w:val="none"/>
        </w:rPr>
        <w:t>2）方位距离计算：计算两个经纬度点之间的距离。</w:t>
      </w:r>
    </w:p>
    <w:p>
      <w:pPr>
        <w:pStyle w:val="7"/>
        <w:spacing w:before="0" w:beforeLines="0" w:line="400" w:lineRule="exact"/>
        <w:ind w:firstLine="359" w:firstLineChars="171"/>
        <w:rPr>
          <w:rFonts w:hint="eastAsia" w:ascii="宋体" w:hAnsi="宋体" w:cs="宋体"/>
          <w:sz w:val="21"/>
          <w:szCs w:val="21"/>
          <w:highlight w:val="none"/>
        </w:rPr>
      </w:pPr>
      <w:r>
        <w:rPr>
          <w:rFonts w:hint="eastAsia" w:ascii="宋体" w:hAnsi="宋体" w:cs="宋体"/>
          <w:sz w:val="21"/>
          <w:szCs w:val="21"/>
          <w:highlight w:val="none"/>
        </w:rPr>
        <w:t>3）单位换算：提供dBuv、dBm、dBw等之间的单位换算。</w:t>
      </w:r>
    </w:p>
    <w:p>
      <w:pPr>
        <w:spacing w:line="400" w:lineRule="exact"/>
        <w:ind w:firstLine="361" w:firstLineChars="171"/>
        <w:rPr>
          <w:rFonts w:hint="eastAsia" w:ascii="宋体" w:hAnsi="宋体" w:cs="宋体"/>
          <w:b/>
          <w:bCs/>
          <w:szCs w:val="21"/>
          <w:highlight w:val="none"/>
        </w:rPr>
      </w:pPr>
      <w:r>
        <w:rPr>
          <w:rFonts w:hint="eastAsia" w:ascii="宋体" w:hAnsi="宋体" w:cs="宋体"/>
          <w:b/>
          <w:bCs/>
          <w:szCs w:val="21"/>
          <w:highlight w:val="none"/>
        </w:rPr>
        <w:t>3、权限管理</w:t>
      </w:r>
    </w:p>
    <w:p>
      <w:pPr>
        <w:pStyle w:val="7"/>
        <w:spacing w:before="0" w:beforeLines="0" w:line="400" w:lineRule="exact"/>
        <w:ind w:firstLine="359" w:firstLineChars="171"/>
        <w:rPr>
          <w:rFonts w:hint="eastAsia" w:ascii="宋体" w:hAnsi="宋体" w:cs="宋体"/>
          <w:sz w:val="21"/>
          <w:szCs w:val="21"/>
          <w:highlight w:val="none"/>
        </w:rPr>
      </w:pPr>
      <w:r>
        <w:rPr>
          <w:rFonts w:hint="eastAsia" w:ascii="宋体" w:hAnsi="宋体" w:cs="宋体"/>
          <w:sz w:val="21"/>
          <w:szCs w:val="21"/>
          <w:highlight w:val="none"/>
        </w:rPr>
        <w:t>1）用户管理：支持用户进行新建、删除、修改用户信息。</w:t>
      </w:r>
    </w:p>
    <w:p>
      <w:pPr>
        <w:pStyle w:val="7"/>
        <w:spacing w:before="0" w:beforeLines="0" w:line="400" w:lineRule="exact"/>
        <w:ind w:firstLine="359" w:firstLineChars="171"/>
        <w:rPr>
          <w:rFonts w:hint="eastAsia" w:ascii="宋体" w:hAnsi="宋体" w:cs="宋体"/>
          <w:sz w:val="21"/>
          <w:szCs w:val="21"/>
          <w:highlight w:val="none"/>
        </w:rPr>
      </w:pPr>
      <w:r>
        <w:rPr>
          <w:rFonts w:hint="eastAsia" w:ascii="宋体" w:hAnsi="宋体" w:cs="宋体"/>
          <w:sz w:val="21"/>
          <w:szCs w:val="21"/>
          <w:highlight w:val="none"/>
        </w:rPr>
        <w:t>2）角色管理：支持用户进行新建、删除、管理用户权限。</w:t>
      </w:r>
    </w:p>
    <w:p>
      <w:pPr>
        <w:pStyle w:val="6"/>
        <w:spacing w:before="0" w:after="0" w:line="400" w:lineRule="exact"/>
        <w:rPr>
          <w:rFonts w:hint="eastAsia" w:ascii="宋体" w:hAnsi="宋体" w:cs="宋体"/>
          <w:sz w:val="21"/>
          <w:szCs w:val="21"/>
          <w:highlight w:val="none"/>
        </w:rPr>
      </w:pPr>
      <w:bookmarkStart w:id="93" w:name="_Toc21896"/>
      <w:bookmarkStart w:id="94" w:name="_Toc4693"/>
      <w:bookmarkStart w:id="95" w:name="_Toc108515780"/>
      <w:r>
        <w:rPr>
          <w:rFonts w:hint="eastAsia" w:ascii="宋体" w:hAnsi="宋体" w:cs="宋体"/>
          <w:sz w:val="21"/>
          <w:szCs w:val="21"/>
          <w:highlight w:val="none"/>
        </w:rPr>
        <w:t>（三）监测测向系统方案</w:t>
      </w:r>
      <w:bookmarkEnd w:id="93"/>
      <w:bookmarkEnd w:id="94"/>
      <w:bookmarkEnd w:id="95"/>
    </w:p>
    <w:p>
      <w:pPr>
        <w:pStyle w:val="8"/>
        <w:spacing w:before="0" w:after="0" w:line="400" w:lineRule="exact"/>
        <w:rPr>
          <w:rFonts w:hint="eastAsia" w:ascii="宋体" w:hAnsi="宋体" w:eastAsia="宋体" w:cs="宋体"/>
          <w:sz w:val="21"/>
          <w:szCs w:val="21"/>
          <w:highlight w:val="none"/>
        </w:rPr>
      </w:pPr>
      <w:bookmarkStart w:id="96" w:name="_Toc108515782"/>
      <w:r>
        <w:rPr>
          <w:rFonts w:hint="eastAsia" w:ascii="宋体" w:hAnsi="宋体" w:eastAsia="宋体" w:cs="宋体"/>
          <w:sz w:val="21"/>
          <w:szCs w:val="21"/>
          <w:highlight w:val="none"/>
        </w:rPr>
        <w:t>监测系统方案</w:t>
      </w:r>
      <w:bookmarkEnd w:id="96"/>
    </w:p>
    <w:p>
      <w:pPr>
        <w:pStyle w:val="7"/>
        <w:spacing w:before="0" w:beforeLines="0" w:line="400" w:lineRule="exact"/>
        <w:ind w:firstLine="420"/>
        <w:rPr>
          <w:rFonts w:hint="eastAsia"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sz w:val="21"/>
          <w:szCs w:val="21"/>
          <w:highlight w:val="none"/>
          <w:lang w:val="en-US"/>
        </w:rPr>
        <w:t>本项目新增宽带监测接收机1台，包含：配套天线、安装和控制配套设施（馈线、天馈线防雷接地、室外控制箱（如需要）、天线控制器（如需要）等）；另配置1台广播电视声</w:t>
      </w:r>
      <w:r>
        <w:rPr>
          <w:rFonts w:hint="eastAsia" w:ascii="宋体" w:hAnsi="宋体" w:cs="宋体"/>
          <w:color w:val="000000" w:themeColor="text1"/>
          <w:sz w:val="21"/>
          <w:szCs w:val="21"/>
          <w:highlight w:val="none"/>
          <w:lang w:val="en-US"/>
          <w14:textFill>
            <w14:solidFill>
              <w14:schemeClr w14:val="tx1"/>
            </w14:solidFill>
          </w14:textFill>
        </w:rPr>
        <w:t>音及图像信号监测设备及配套天线，实现广播电视信号图像和声音的监测。</w:t>
      </w:r>
    </w:p>
    <w:p>
      <w:pPr>
        <w:pStyle w:val="7"/>
        <w:spacing w:before="0" w:beforeLines="0" w:line="400" w:lineRule="exact"/>
        <w:ind w:firstLine="420"/>
        <w:rPr>
          <w:rFonts w:hint="eastAsia"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14:textFill>
            <w14:solidFill>
              <w14:schemeClr w14:val="tx1"/>
            </w14:solidFill>
          </w14:textFill>
        </w:rPr>
        <w:t>▲1）频率范围：20MHz~18GHz；</w:t>
      </w:r>
    </w:p>
    <w:p>
      <w:pPr>
        <w:pStyle w:val="7"/>
        <w:spacing w:before="0" w:beforeLines="0" w:line="400" w:lineRule="exact"/>
        <w:ind w:firstLine="420"/>
        <w:rPr>
          <w:rFonts w:hint="eastAsia"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14:textFill>
            <w14:solidFill>
              <w14:schemeClr w14:val="tx1"/>
            </w14:solidFill>
          </w14:textFill>
        </w:rPr>
        <w:t>▲2）频率稳定度（0~45℃）：≦±1×10</w:t>
      </w:r>
      <w:r>
        <w:rPr>
          <w:rFonts w:hint="eastAsia" w:ascii="宋体" w:hAnsi="宋体" w:cs="宋体"/>
          <w:color w:val="000000" w:themeColor="text1"/>
          <w:sz w:val="21"/>
          <w:szCs w:val="21"/>
          <w:highlight w:val="none"/>
          <w:vertAlign w:val="superscript"/>
          <w:lang w:val="en-US"/>
          <w14:textFill>
            <w14:solidFill>
              <w14:schemeClr w14:val="tx1"/>
            </w14:solidFill>
          </w14:textFill>
        </w:rPr>
        <w:t>-7</w:t>
      </w:r>
      <w:r>
        <w:rPr>
          <w:rFonts w:hint="eastAsia" w:ascii="宋体" w:hAnsi="宋体" w:cs="宋体"/>
          <w:color w:val="000000" w:themeColor="text1"/>
          <w:sz w:val="21"/>
          <w:szCs w:val="21"/>
          <w:highlight w:val="none"/>
          <w:lang w:val="en-US"/>
          <w14:textFill>
            <w14:solidFill>
              <w14:schemeClr w14:val="tx1"/>
            </w14:solidFill>
          </w14:textFill>
        </w:rPr>
        <w:t>；</w:t>
      </w:r>
    </w:p>
    <w:p>
      <w:pPr>
        <w:pStyle w:val="7"/>
        <w:spacing w:before="0" w:beforeLines="0" w:line="400" w:lineRule="exact"/>
        <w:ind w:firstLine="420"/>
        <w:rPr>
          <w:rFonts w:hint="eastAsia" w:ascii="宋体" w:hAnsi="宋体" w:cs="宋体"/>
          <w:color w:val="FF0000"/>
          <w:sz w:val="21"/>
          <w:szCs w:val="21"/>
          <w:highlight w:val="none"/>
          <w:lang w:val="en-US"/>
        </w:rPr>
      </w:pPr>
      <w:r>
        <w:rPr>
          <w:rFonts w:hint="eastAsia" w:ascii="宋体" w:hAnsi="宋体" w:cs="宋体"/>
          <w:sz w:val="21"/>
          <w:szCs w:val="21"/>
          <w:highlight w:val="none"/>
          <w:lang w:val="en-US"/>
        </w:rPr>
        <w:t>3）</w:t>
      </w:r>
      <w:r>
        <w:rPr>
          <w:rFonts w:hint="eastAsia" w:ascii="宋体" w:hAnsi="宋体"/>
          <w:sz w:val="21"/>
          <w:szCs w:val="21"/>
          <w:highlight w:val="none"/>
          <w:lang w:val="en-US" w:bidi="ar"/>
        </w:rPr>
        <w:t>#</w:t>
      </w:r>
      <w:r>
        <w:rPr>
          <w:rFonts w:hint="eastAsia" w:ascii="宋体" w:hAnsi="宋体" w:cs="宋体"/>
          <w:color w:val="FF0000"/>
          <w:sz w:val="21"/>
          <w:szCs w:val="21"/>
          <w:highlight w:val="none"/>
          <w:lang w:val="en-US"/>
        </w:rPr>
        <w:t>噪声系数：≦15dB（20</w:t>
      </w:r>
      <w:r>
        <w:rPr>
          <w:rFonts w:hint="eastAsia" w:ascii="宋体" w:hAnsi="宋体" w:cs="宋体"/>
          <w:bCs/>
          <w:color w:val="FF0000"/>
          <w:sz w:val="21"/>
          <w:szCs w:val="21"/>
          <w:highlight w:val="none"/>
          <w:lang w:val="en-US"/>
        </w:rPr>
        <w:t>~</w:t>
      </w:r>
      <w:r>
        <w:rPr>
          <w:rFonts w:hint="eastAsia" w:ascii="宋体" w:hAnsi="宋体" w:cs="宋体"/>
          <w:color w:val="FF0000"/>
          <w:sz w:val="21"/>
          <w:szCs w:val="21"/>
          <w:highlight w:val="none"/>
          <w:lang w:val="en-US"/>
        </w:rPr>
        <w:t>6000MHz），</w:t>
      </w:r>
    </w:p>
    <w:p>
      <w:pPr>
        <w:pStyle w:val="7"/>
        <w:spacing w:before="0" w:beforeLines="0" w:line="400" w:lineRule="exact"/>
        <w:ind w:firstLine="1785" w:firstLineChars="850"/>
        <w:rPr>
          <w:rFonts w:hint="eastAsia" w:ascii="宋体" w:hAnsi="宋体" w:cs="宋体"/>
          <w:color w:val="FF0000"/>
          <w:sz w:val="21"/>
          <w:szCs w:val="21"/>
          <w:highlight w:val="none"/>
          <w:lang w:val="en-US"/>
        </w:rPr>
      </w:pPr>
      <w:r>
        <w:rPr>
          <w:rFonts w:hint="eastAsia" w:ascii="宋体" w:hAnsi="宋体" w:cs="宋体"/>
          <w:color w:val="FF0000"/>
          <w:sz w:val="21"/>
          <w:szCs w:val="21"/>
          <w:highlight w:val="none"/>
          <w:lang w:val="en-US"/>
        </w:rPr>
        <w:t>≦20dB(6</w:t>
      </w:r>
      <w:r>
        <w:rPr>
          <w:rFonts w:hint="eastAsia" w:ascii="宋体" w:hAnsi="宋体" w:cs="宋体"/>
          <w:bCs/>
          <w:color w:val="FF0000"/>
          <w:sz w:val="21"/>
          <w:szCs w:val="21"/>
          <w:highlight w:val="none"/>
          <w:lang w:val="en-US"/>
        </w:rPr>
        <w:t>~</w:t>
      </w:r>
      <w:r>
        <w:rPr>
          <w:rFonts w:hint="eastAsia" w:ascii="宋体" w:hAnsi="宋体" w:cs="宋体"/>
          <w:color w:val="FF0000"/>
          <w:sz w:val="21"/>
          <w:szCs w:val="21"/>
          <w:highlight w:val="none"/>
          <w:lang w:val="en-US"/>
        </w:rPr>
        <w:t>18GHz)；</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4）最小频率分辨率：≦1Hz；</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5）</w:t>
      </w:r>
      <w:r>
        <w:rPr>
          <w:rFonts w:ascii="宋体" w:hAnsi="宋体"/>
          <w:sz w:val="21"/>
          <w:szCs w:val="21"/>
          <w:highlight w:val="none"/>
          <w:lang w:bidi="ar"/>
        </w:rPr>
        <w:t>#</w:t>
      </w:r>
      <w:r>
        <w:rPr>
          <w:rFonts w:hint="eastAsia" w:ascii="宋体" w:hAnsi="宋体" w:cs="宋体"/>
          <w:color w:val="FF0000"/>
          <w:sz w:val="21"/>
          <w:szCs w:val="21"/>
          <w:highlight w:val="none"/>
          <w:lang w:val="en-US"/>
        </w:rPr>
        <w:t>实时中频带宽：≧100MHz，多档可调；</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6）相位噪声：≦-</w:t>
      </w:r>
      <w:r>
        <w:rPr>
          <w:rFonts w:hint="eastAsia" w:ascii="宋体" w:hAnsi="宋体" w:cs="宋体"/>
          <w:bCs/>
          <w:sz w:val="21"/>
          <w:szCs w:val="21"/>
          <w:highlight w:val="none"/>
          <w:lang w:val="en-US"/>
        </w:rPr>
        <w:t>115</w:t>
      </w:r>
      <w:r>
        <w:rPr>
          <w:rFonts w:hint="eastAsia" w:ascii="宋体" w:hAnsi="宋体" w:cs="宋体"/>
          <w:sz w:val="21"/>
          <w:szCs w:val="21"/>
          <w:highlight w:val="none"/>
          <w:lang w:val="en-US"/>
        </w:rPr>
        <w:t>dBc/Hz@10kHz（fc=1GHz）；</w:t>
      </w:r>
    </w:p>
    <w:p>
      <w:pPr>
        <w:spacing w:line="400" w:lineRule="exact"/>
        <w:ind w:firstLine="420" w:firstLineChars="200"/>
        <w:jc w:val="left"/>
        <w:rPr>
          <w:rFonts w:hint="eastAsia" w:ascii="宋体" w:hAnsi="宋体" w:cs="宋体"/>
          <w:bCs/>
          <w:color w:val="FF0000"/>
          <w:kern w:val="0"/>
          <w:szCs w:val="21"/>
          <w:highlight w:val="none"/>
        </w:rPr>
      </w:pPr>
      <w:r>
        <w:rPr>
          <w:rFonts w:hint="eastAsia" w:ascii="宋体" w:hAnsi="宋体" w:cs="宋体"/>
          <w:szCs w:val="21"/>
          <w:highlight w:val="none"/>
        </w:rPr>
        <w:t>7）</w:t>
      </w:r>
      <w:r>
        <w:rPr>
          <w:rFonts w:hint="eastAsia" w:ascii="宋体" w:hAnsi="宋体"/>
          <w:szCs w:val="21"/>
          <w:highlight w:val="none"/>
          <w:lang w:bidi="ar"/>
        </w:rPr>
        <w:t>#</w:t>
      </w:r>
      <w:r>
        <w:rPr>
          <w:rFonts w:hint="eastAsia" w:ascii="宋体" w:hAnsi="宋体" w:cs="宋体"/>
          <w:color w:val="FF0000"/>
          <w:szCs w:val="21"/>
          <w:highlight w:val="none"/>
        </w:rPr>
        <w:t>监测灵敏度： ≦</w:t>
      </w:r>
      <w:r>
        <w:rPr>
          <w:rFonts w:hint="eastAsia" w:ascii="宋体" w:hAnsi="宋体" w:cs="宋体"/>
          <w:bCs/>
          <w:color w:val="FF0000"/>
          <w:kern w:val="0"/>
          <w:szCs w:val="21"/>
          <w:highlight w:val="none"/>
        </w:rPr>
        <w:t>10dBμV/m （20~3000MHz），</w:t>
      </w:r>
    </w:p>
    <w:p>
      <w:pPr>
        <w:spacing w:line="400" w:lineRule="exact"/>
        <w:ind w:firstLine="2100" w:firstLineChars="1000"/>
        <w:jc w:val="left"/>
        <w:rPr>
          <w:rFonts w:hint="eastAsia" w:ascii="宋体" w:hAnsi="宋体" w:cs="宋体"/>
          <w:bCs/>
          <w:color w:val="FF0000"/>
          <w:kern w:val="0"/>
          <w:szCs w:val="21"/>
          <w:highlight w:val="none"/>
        </w:rPr>
      </w:pPr>
      <w:r>
        <w:rPr>
          <w:rFonts w:hint="eastAsia" w:ascii="宋体" w:hAnsi="宋体" w:cs="宋体"/>
          <w:color w:val="FF0000"/>
          <w:szCs w:val="21"/>
          <w:highlight w:val="none"/>
        </w:rPr>
        <w:t>≦</w:t>
      </w:r>
      <w:r>
        <w:rPr>
          <w:rFonts w:hint="eastAsia" w:ascii="宋体" w:hAnsi="宋体" w:cs="宋体"/>
          <w:bCs/>
          <w:color w:val="FF0000"/>
          <w:kern w:val="0"/>
          <w:szCs w:val="21"/>
          <w:highlight w:val="none"/>
        </w:rPr>
        <w:t>15dBμV/m (3~8GHz)，</w:t>
      </w:r>
    </w:p>
    <w:p>
      <w:pPr>
        <w:pStyle w:val="7"/>
        <w:spacing w:before="0" w:beforeLines="0" w:line="400" w:lineRule="exact"/>
        <w:ind w:firstLine="2100" w:firstLineChars="1000"/>
        <w:rPr>
          <w:rFonts w:hint="eastAsia" w:ascii="宋体" w:hAnsi="宋体" w:cs="宋体"/>
          <w:sz w:val="21"/>
          <w:szCs w:val="21"/>
          <w:highlight w:val="none"/>
          <w:lang w:val="en-US"/>
        </w:rPr>
      </w:pPr>
      <w:r>
        <w:rPr>
          <w:rFonts w:hint="eastAsia" w:ascii="宋体" w:hAnsi="宋体" w:cs="宋体"/>
          <w:color w:val="FF0000"/>
          <w:sz w:val="21"/>
          <w:szCs w:val="21"/>
          <w:highlight w:val="none"/>
          <w:lang w:val="en-US"/>
        </w:rPr>
        <w:t>≦</w:t>
      </w:r>
      <w:r>
        <w:rPr>
          <w:rFonts w:hint="eastAsia" w:ascii="宋体" w:hAnsi="宋体" w:cs="宋体"/>
          <w:bCs/>
          <w:color w:val="FF0000"/>
          <w:sz w:val="21"/>
          <w:szCs w:val="21"/>
          <w:highlight w:val="none"/>
          <w:lang w:val="en-US"/>
        </w:rPr>
        <w:t>20dB</w:t>
      </w:r>
      <w:r>
        <w:rPr>
          <w:rFonts w:hint="eastAsia" w:ascii="宋体" w:hAnsi="宋体" w:cs="宋体"/>
          <w:bCs/>
          <w:color w:val="FF0000"/>
          <w:sz w:val="21"/>
          <w:szCs w:val="21"/>
          <w:highlight w:val="none"/>
        </w:rPr>
        <w:t>μ</w:t>
      </w:r>
      <w:r>
        <w:rPr>
          <w:rFonts w:hint="eastAsia" w:ascii="宋体" w:hAnsi="宋体" w:cs="宋体"/>
          <w:bCs/>
          <w:color w:val="FF0000"/>
          <w:sz w:val="21"/>
          <w:szCs w:val="21"/>
          <w:highlight w:val="none"/>
          <w:lang w:val="en-US"/>
        </w:rPr>
        <w:t>V/m(8~18GHz)；</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8）二阶截断点：≧60dBm（低失真模式）；</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9）三阶截断点：≧20dBm（低失真模式）；</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10）中频/镜频抑制：≧90dB（20MHz~18GHz）；</w:t>
      </w:r>
    </w:p>
    <w:p>
      <w:pPr>
        <w:pStyle w:val="7"/>
        <w:spacing w:before="0" w:beforeLines="0" w:line="400" w:lineRule="exact"/>
        <w:ind w:firstLine="360"/>
        <w:rPr>
          <w:rFonts w:hint="eastAsia" w:ascii="宋体" w:hAnsi="宋体" w:cs="宋体"/>
          <w:color w:val="000000" w:themeColor="text1"/>
          <w:sz w:val="21"/>
          <w:szCs w:val="21"/>
          <w:highlight w:val="none"/>
          <w:lang w:val="en-US"/>
          <w14:textFill>
            <w14:solidFill>
              <w14:schemeClr w14:val="tx1"/>
            </w14:solidFill>
          </w14:textFill>
        </w:rPr>
      </w:pPr>
      <w:r>
        <w:rPr>
          <w:rStyle w:val="342"/>
          <w:rFonts w:hint="default" w:cs="Arial"/>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lang w:val="en-US"/>
          <w14:textFill>
            <w14:solidFill>
              <w14:schemeClr w14:val="tx1"/>
            </w14:solidFill>
          </w14:textFill>
        </w:rPr>
        <w:t>11）解调带宽：100Hz~40MHz或更高，多档可选；</w:t>
      </w:r>
    </w:p>
    <w:p>
      <w:pPr>
        <w:pStyle w:val="7"/>
        <w:spacing w:before="0" w:beforeLines="0" w:line="400" w:lineRule="exact"/>
        <w:ind w:firstLine="420"/>
        <w:rPr>
          <w:rFonts w:hint="eastAsia" w:ascii="宋体" w:hAnsi="宋体" w:cs="宋体"/>
          <w:color w:val="FF0000"/>
          <w:sz w:val="21"/>
          <w:szCs w:val="21"/>
          <w:highlight w:val="none"/>
          <w:lang w:val="en-US"/>
        </w:rPr>
      </w:pPr>
      <w:r>
        <w:rPr>
          <w:rFonts w:hint="eastAsia" w:ascii="宋体" w:hAnsi="宋体" w:cs="宋体"/>
          <w:sz w:val="21"/>
          <w:szCs w:val="21"/>
          <w:highlight w:val="none"/>
          <w:lang w:val="en-US"/>
        </w:rPr>
        <w:t>12）</w:t>
      </w:r>
      <w:r>
        <w:rPr>
          <w:rFonts w:ascii="宋体" w:hAnsi="宋体"/>
          <w:sz w:val="21"/>
          <w:szCs w:val="21"/>
          <w:highlight w:val="none"/>
          <w:lang w:bidi="ar"/>
        </w:rPr>
        <w:t>#</w:t>
      </w:r>
      <w:r>
        <w:rPr>
          <w:rFonts w:hint="eastAsia" w:ascii="宋体" w:hAnsi="宋体" w:cs="宋体"/>
          <w:color w:val="FF0000"/>
          <w:sz w:val="21"/>
          <w:szCs w:val="21"/>
          <w:highlight w:val="none"/>
          <w:lang w:val="en-US"/>
        </w:rPr>
        <w:t>扫描速度：≧100GHz/s（全景扫描，25kHz步进）；</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13）监测系统频率测量精度：≦0.1ppm；</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14）调整测量能力：AM、FM、CW、ASK、PSK、DPSK、QAM、FSK、MSK等。</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监测天线建议配置包括低频段垂直极化监测天线、高频段垂直极化监测天线、SHF频段垂直极化监测天线和水平极化监测天线（监测天线的具体配置需要结合设备提供商设备需求、天线塔的实际状况在项目具体实施中进行配置），各天线的主要技术指标要求如下：</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1、低频段垂直极化监测天线</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1）频率范围：20MHz</w:t>
      </w:r>
      <w:r>
        <w:rPr>
          <w:rFonts w:hint="eastAsia" w:ascii="宋体" w:hAnsi="宋体" w:cs="宋体"/>
          <w:bCs/>
          <w:sz w:val="21"/>
          <w:szCs w:val="21"/>
          <w:highlight w:val="none"/>
          <w:lang w:val="en-US"/>
        </w:rPr>
        <w:t>~</w:t>
      </w:r>
      <w:r>
        <w:rPr>
          <w:rFonts w:hint="eastAsia" w:ascii="宋体" w:hAnsi="宋体" w:cs="宋体"/>
          <w:sz w:val="21"/>
          <w:szCs w:val="21"/>
          <w:highlight w:val="none"/>
          <w:lang w:val="en-US"/>
        </w:rPr>
        <w:t>1300MHz；</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2）极化方式：垂直极化；</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3）电压驻波比：≦2.5（典型值）；</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4）输入阻抗：50Ω。</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2、高频段垂直极化监测天线</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1）频率范围：1300MHz</w:t>
      </w:r>
      <w:r>
        <w:rPr>
          <w:rFonts w:hint="eastAsia" w:ascii="宋体" w:hAnsi="宋体" w:cs="宋体"/>
          <w:bCs/>
          <w:sz w:val="21"/>
          <w:szCs w:val="21"/>
          <w:highlight w:val="none"/>
          <w:lang w:val="en-US"/>
        </w:rPr>
        <w:t>~</w:t>
      </w:r>
      <w:r>
        <w:rPr>
          <w:rFonts w:hint="eastAsia" w:ascii="宋体" w:hAnsi="宋体" w:cs="宋体"/>
          <w:sz w:val="21"/>
          <w:szCs w:val="21"/>
          <w:highlight w:val="none"/>
          <w:lang w:val="en-US"/>
        </w:rPr>
        <w:t>8GHz；</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2）极化方式：垂直极化；</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3）电压驻波比：≦2.5（典型值）；</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4）输入阻抗：50Ω。</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3、SHF频段垂直极化监测天线</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1）频率范围：8</w:t>
      </w:r>
      <w:r>
        <w:rPr>
          <w:rFonts w:hint="eastAsia" w:ascii="宋体" w:hAnsi="宋体" w:cs="宋体"/>
          <w:bCs/>
          <w:sz w:val="21"/>
          <w:szCs w:val="21"/>
          <w:highlight w:val="none"/>
          <w:lang w:val="en-US"/>
        </w:rPr>
        <w:t>~</w:t>
      </w:r>
      <w:r>
        <w:rPr>
          <w:rFonts w:hint="eastAsia" w:ascii="宋体" w:hAnsi="宋体" w:cs="宋体"/>
          <w:sz w:val="21"/>
          <w:szCs w:val="21"/>
          <w:highlight w:val="none"/>
          <w:lang w:val="en-US"/>
        </w:rPr>
        <w:t>18GHz；</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2）极化方式：垂直极化；</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3）电压驻波比：≦2.5（典型值）；</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4）输入阻抗：50Ω。</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4、水平极化监测天线</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1）工作频率40MHz</w:t>
      </w:r>
      <w:r>
        <w:rPr>
          <w:rFonts w:hint="eastAsia" w:ascii="宋体" w:hAnsi="宋体" w:cs="宋体"/>
          <w:bCs/>
          <w:sz w:val="21"/>
          <w:szCs w:val="21"/>
          <w:highlight w:val="none"/>
          <w:lang w:val="en-US"/>
        </w:rPr>
        <w:t>~</w:t>
      </w:r>
      <w:r>
        <w:rPr>
          <w:rFonts w:hint="eastAsia" w:ascii="宋体" w:hAnsi="宋体" w:cs="宋体"/>
          <w:sz w:val="21"/>
          <w:szCs w:val="21"/>
          <w:highlight w:val="none"/>
          <w:lang w:val="en-US"/>
        </w:rPr>
        <w:t>1300MHz；</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2）极化方式：水平极化；</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3）电压驻波比：≦2.5（典型值）；</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4）阻抗：50Ω。</w:t>
      </w:r>
    </w:p>
    <w:p>
      <w:pPr>
        <w:pStyle w:val="8"/>
        <w:spacing w:before="0" w:after="0" w:line="400" w:lineRule="exact"/>
        <w:rPr>
          <w:rFonts w:hint="eastAsia" w:ascii="宋体" w:hAnsi="宋体" w:eastAsia="宋体" w:cs="宋体"/>
          <w:sz w:val="21"/>
          <w:szCs w:val="21"/>
          <w:highlight w:val="none"/>
        </w:rPr>
      </w:pPr>
      <w:bookmarkStart w:id="97" w:name="_Toc108515783"/>
      <w:r>
        <w:rPr>
          <w:rFonts w:hint="eastAsia" w:ascii="宋体" w:hAnsi="宋体" w:eastAsia="宋体" w:cs="宋体"/>
          <w:sz w:val="21"/>
          <w:szCs w:val="21"/>
          <w:highlight w:val="none"/>
        </w:rPr>
        <w:t>测向系统方案</w:t>
      </w:r>
      <w:bookmarkEnd w:id="97"/>
    </w:p>
    <w:p>
      <w:pPr>
        <w:pStyle w:val="9"/>
        <w:spacing w:line="400" w:lineRule="exact"/>
        <w:rPr>
          <w:rFonts w:hint="eastAsia" w:ascii="宋体" w:hAnsi="宋体" w:cs="宋体"/>
          <w:szCs w:val="21"/>
          <w:highlight w:val="none"/>
        </w:rPr>
      </w:pPr>
      <w:r>
        <w:rPr>
          <w:rFonts w:hint="eastAsia" w:ascii="宋体" w:hAnsi="宋体" w:cs="宋体"/>
          <w:szCs w:val="21"/>
          <w:highlight w:val="none"/>
        </w:rPr>
        <w:t>监测站的测向单元包括1台不低于3通道的宽带测向机、配套双极化测向天线以及其他配套设施，本项目测向系统应支持不少于相关干涉仪及空间谱估计两种测向体制，可实现不少于3个同频信号的分离能力，系统主要技术指标要求如下：</w:t>
      </w:r>
    </w:p>
    <w:p>
      <w:pPr>
        <w:pStyle w:val="341"/>
        <w:numPr>
          <w:ilvl w:val="0"/>
          <w:numId w:val="2"/>
        </w:numPr>
        <w:spacing w:line="400" w:lineRule="exact"/>
        <w:ind w:left="0" w:firstLine="560" w:firstLineChars="0"/>
        <w:rPr>
          <w:rFonts w:hint="eastAsia" w:ascii="宋体" w:hAnsi="宋体" w:cs="宋体"/>
          <w:color w:val="000000" w:themeColor="text1"/>
          <w:szCs w:val="21"/>
          <w:highlight w:val="none"/>
          <w14:textFill>
            <w14:solidFill>
              <w14:schemeClr w14:val="tx1"/>
            </w14:solidFill>
          </w14:textFill>
        </w:rPr>
      </w:pPr>
      <w:r>
        <w:rPr>
          <w:rStyle w:val="342"/>
          <w:rFonts w:hint="default" w:cs="Arial"/>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频率范围：20MHz~8000MHz（垂直极化），</w:t>
      </w:r>
    </w:p>
    <w:p>
      <w:pPr>
        <w:pStyle w:val="7"/>
        <w:autoSpaceDE/>
        <w:autoSpaceDN/>
        <w:spacing w:before="0" w:beforeLines="0" w:line="400" w:lineRule="exact"/>
        <w:ind w:firstLine="2047" w:firstLineChars="975"/>
        <w:rPr>
          <w:rFonts w:hint="eastAsia"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14:textFill>
            <w14:solidFill>
              <w14:schemeClr w14:val="tx1"/>
            </w14:solidFill>
          </w14:textFill>
        </w:rPr>
        <w:t>40MHz~1300MHz（水平极化）；</w:t>
      </w:r>
    </w:p>
    <w:p>
      <w:pPr>
        <w:pStyle w:val="341"/>
        <w:numPr>
          <w:ilvl w:val="0"/>
          <w:numId w:val="2"/>
        </w:numPr>
        <w:spacing w:line="400" w:lineRule="exact"/>
        <w:ind w:left="0" w:firstLine="560" w:firstLineChars="0"/>
        <w:rPr>
          <w:rFonts w:hint="eastAsia" w:ascii="宋体" w:hAnsi="宋体" w:cs="宋体"/>
          <w:color w:val="FF0000"/>
          <w:szCs w:val="21"/>
          <w:highlight w:val="none"/>
        </w:rPr>
      </w:pPr>
      <w:r>
        <w:rPr>
          <w:rFonts w:ascii="宋体" w:hAnsi="宋体"/>
          <w:szCs w:val="21"/>
          <w:highlight w:val="none"/>
          <w:lang w:bidi="ar"/>
        </w:rPr>
        <w:t>#</w:t>
      </w:r>
      <w:r>
        <w:rPr>
          <w:rFonts w:hint="eastAsia" w:ascii="宋体" w:hAnsi="宋体" w:cs="宋体"/>
          <w:color w:val="FF0000"/>
          <w:szCs w:val="21"/>
          <w:highlight w:val="none"/>
        </w:rPr>
        <w:t>同频信号分离个数：≧3个；</w:t>
      </w:r>
    </w:p>
    <w:p>
      <w:pPr>
        <w:pStyle w:val="341"/>
        <w:numPr>
          <w:ilvl w:val="0"/>
          <w:numId w:val="2"/>
        </w:numPr>
        <w:spacing w:line="400" w:lineRule="exact"/>
        <w:ind w:left="0" w:firstLine="560" w:firstLineChars="0"/>
        <w:rPr>
          <w:rFonts w:hint="eastAsia" w:ascii="宋体" w:hAnsi="宋体" w:cs="宋体"/>
          <w:color w:val="FF0000"/>
          <w:szCs w:val="21"/>
          <w:highlight w:val="none"/>
        </w:rPr>
      </w:pPr>
      <w:r>
        <w:rPr>
          <w:rFonts w:ascii="宋体" w:hAnsi="宋体"/>
          <w:szCs w:val="21"/>
          <w:highlight w:val="none"/>
          <w:lang w:bidi="ar"/>
        </w:rPr>
        <w:t>#</w:t>
      </w:r>
      <w:r>
        <w:rPr>
          <w:rFonts w:hint="eastAsia" w:ascii="宋体" w:hAnsi="宋体" w:cs="宋体"/>
          <w:color w:val="FF0000"/>
          <w:szCs w:val="21"/>
          <w:highlight w:val="none"/>
        </w:rPr>
        <w:t>宽带测向实时带宽：≧40MHz；</w:t>
      </w:r>
    </w:p>
    <w:p>
      <w:pPr>
        <w:pStyle w:val="341"/>
        <w:numPr>
          <w:ilvl w:val="0"/>
          <w:numId w:val="2"/>
        </w:numPr>
        <w:spacing w:line="400" w:lineRule="exact"/>
        <w:ind w:left="0" w:firstLine="560" w:firstLineChars="0"/>
        <w:rPr>
          <w:rFonts w:hint="eastAsia" w:ascii="宋体" w:hAnsi="宋体" w:cs="宋体"/>
          <w:color w:val="FF0000"/>
          <w:szCs w:val="21"/>
          <w:highlight w:val="none"/>
        </w:rPr>
      </w:pPr>
      <w:r>
        <w:rPr>
          <w:rFonts w:ascii="宋体" w:hAnsi="宋体"/>
          <w:szCs w:val="21"/>
          <w:highlight w:val="none"/>
          <w:lang w:bidi="ar"/>
        </w:rPr>
        <w:t>#</w:t>
      </w:r>
      <w:r>
        <w:rPr>
          <w:rFonts w:hint="eastAsia" w:ascii="宋体" w:hAnsi="宋体" w:cs="宋体"/>
          <w:color w:val="FF0000"/>
          <w:szCs w:val="21"/>
          <w:highlight w:val="none"/>
        </w:rPr>
        <w:t>测向时效：≦1ms（单次突发信号）；</w:t>
      </w:r>
    </w:p>
    <w:p>
      <w:pPr>
        <w:pStyle w:val="341"/>
        <w:numPr>
          <w:ilvl w:val="0"/>
          <w:numId w:val="2"/>
        </w:numPr>
        <w:spacing w:line="400" w:lineRule="exact"/>
        <w:ind w:left="0" w:firstLine="560" w:firstLineChars="0"/>
        <w:rPr>
          <w:rFonts w:hint="eastAsia" w:ascii="宋体" w:hAnsi="宋体" w:cs="宋体"/>
          <w:szCs w:val="21"/>
          <w:highlight w:val="none"/>
        </w:rPr>
      </w:pPr>
      <w:r>
        <w:rPr>
          <w:rFonts w:hint="eastAsia" w:ascii="宋体" w:hAnsi="宋体" w:cs="宋体"/>
          <w:szCs w:val="21"/>
          <w:highlight w:val="none"/>
        </w:rPr>
        <w:t>最小同频信号分辨角度：≦20°（D/λ&gt;1）；</w:t>
      </w:r>
    </w:p>
    <w:p>
      <w:pPr>
        <w:pStyle w:val="341"/>
        <w:numPr>
          <w:ilvl w:val="0"/>
          <w:numId w:val="2"/>
        </w:numPr>
        <w:spacing w:line="400" w:lineRule="exact"/>
        <w:ind w:left="0" w:firstLine="560" w:firstLineChars="0"/>
        <w:rPr>
          <w:rFonts w:hint="eastAsia" w:ascii="宋体" w:hAnsi="宋体" w:cs="宋体"/>
          <w:color w:val="FF0000"/>
          <w:szCs w:val="21"/>
          <w:highlight w:val="none"/>
        </w:rPr>
      </w:pPr>
      <w:r>
        <w:rPr>
          <w:rFonts w:ascii="宋体" w:hAnsi="宋体"/>
          <w:szCs w:val="21"/>
          <w:highlight w:val="none"/>
          <w:lang w:bidi="ar"/>
        </w:rPr>
        <w:t>#</w:t>
      </w:r>
      <w:r>
        <w:rPr>
          <w:rFonts w:hint="eastAsia" w:ascii="宋体" w:hAnsi="宋体" w:cs="宋体"/>
          <w:color w:val="FF0000"/>
          <w:szCs w:val="21"/>
          <w:highlight w:val="none"/>
        </w:rPr>
        <w:t>测向灵敏度：≦15dBμV/m（20MHz~3000MHz），</w:t>
      </w:r>
    </w:p>
    <w:p>
      <w:pPr>
        <w:pStyle w:val="7"/>
        <w:spacing w:before="0" w:beforeLines="0" w:line="400" w:lineRule="exact"/>
        <w:ind w:firstLine="2310" w:firstLineChars="1100"/>
        <w:rPr>
          <w:rFonts w:hint="eastAsia" w:ascii="宋体" w:hAnsi="宋体" w:cs="宋体"/>
          <w:color w:val="FF0000"/>
          <w:sz w:val="21"/>
          <w:szCs w:val="21"/>
          <w:highlight w:val="none"/>
          <w:lang w:val="en-US"/>
        </w:rPr>
      </w:pPr>
      <w:r>
        <w:rPr>
          <w:rFonts w:hint="eastAsia" w:ascii="宋体" w:hAnsi="宋体" w:cs="宋体"/>
          <w:color w:val="FF0000"/>
          <w:sz w:val="21"/>
          <w:szCs w:val="21"/>
          <w:highlight w:val="none"/>
          <w:lang w:val="en-US"/>
        </w:rPr>
        <w:t>≦20dBμV/m(3GHz~8GHz)；</w:t>
      </w:r>
    </w:p>
    <w:p>
      <w:pPr>
        <w:pStyle w:val="341"/>
        <w:numPr>
          <w:ilvl w:val="0"/>
          <w:numId w:val="2"/>
        </w:numPr>
        <w:spacing w:line="400" w:lineRule="exact"/>
        <w:ind w:left="0" w:firstLine="560" w:firstLineChars="0"/>
        <w:rPr>
          <w:rFonts w:hint="eastAsia" w:ascii="宋体" w:hAnsi="宋体" w:cs="宋体"/>
          <w:color w:val="000000" w:themeColor="text1"/>
          <w:szCs w:val="21"/>
          <w:highlight w:val="none"/>
          <w14:textFill>
            <w14:solidFill>
              <w14:schemeClr w14:val="tx1"/>
            </w14:solidFill>
          </w14:textFill>
        </w:rPr>
      </w:pPr>
      <w:r>
        <w:rPr>
          <w:rStyle w:val="342"/>
          <w:rFonts w:hint="default" w:cs="Arial"/>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测向精度：≦1.5°R.M.S（无反射环境，20MHz~3GHz），</w:t>
      </w:r>
    </w:p>
    <w:p>
      <w:pPr>
        <w:pStyle w:val="7"/>
        <w:spacing w:before="0" w:beforeLines="0" w:line="400" w:lineRule="exact"/>
        <w:ind w:firstLine="2100" w:firstLineChars="1000"/>
        <w:rPr>
          <w:rFonts w:hint="eastAsia"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14:textFill>
            <w14:solidFill>
              <w14:schemeClr w14:val="tx1"/>
            </w14:solidFill>
          </w14:textFill>
        </w:rPr>
        <w:t>≦2°R.M.S（无反射环境，3GHz~8GHz）；</w:t>
      </w:r>
    </w:p>
    <w:p>
      <w:pPr>
        <w:pStyle w:val="341"/>
        <w:numPr>
          <w:ilvl w:val="0"/>
          <w:numId w:val="2"/>
        </w:numPr>
        <w:spacing w:line="400" w:lineRule="exact"/>
        <w:ind w:left="0" w:firstLine="560" w:firstLineChars="0"/>
        <w:rPr>
          <w:rFonts w:hint="eastAsia" w:ascii="宋体" w:hAnsi="宋体" w:cs="宋体"/>
          <w:szCs w:val="21"/>
          <w:highlight w:val="none"/>
        </w:rPr>
      </w:pPr>
      <w:r>
        <w:rPr>
          <w:rFonts w:hint="eastAsia" w:ascii="宋体" w:hAnsi="宋体" w:cs="宋体"/>
          <w:szCs w:val="21"/>
          <w:highlight w:val="none"/>
        </w:rPr>
        <w:t>测向体制：支持不少于空间谱估计、相关干涉仪无线电测向体制。</w:t>
      </w:r>
    </w:p>
    <w:p>
      <w:pPr>
        <w:pStyle w:val="6"/>
        <w:spacing w:before="0" w:after="0" w:line="400" w:lineRule="exact"/>
        <w:rPr>
          <w:rFonts w:hint="eastAsia" w:ascii="宋体" w:hAnsi="宋体" w:cs="宋体"/>
          <w:sz w:val="21"/>
          <w:szCs w:val="21"/>
          <w:highlight w:val="none"/>
        </w:rPr>
      </w:pPr>
      <w:bookmarkStart w:id="98" w:name="_Toc22526"/>
      <w:bookmarkStart w:id="99" w:name="_Toc5959"/>
      <w:bookmarkStart w:id="100" w:name="_Toc30371"/>
      <w:bookmarkStart w:id="101" w:name="_Toc26467"/>
      <w:bookmarkStart w:id="102" w:name="_Toc8205"/>
      <w:bookmarkStart w:id="103" w:name="_Toc32184"/>
      <w:bookmarkStart w:id="104" w:name="_Toc23455"/>
      <w:bookmarkStart w:id="105" w:name="_Toc30820"/>
      <w:bookmarkStart w:id="106" w:name="_Toc874"/>
      <w:bookmarkStart w:id="107" w:name="_Toc21195"/>
      <w:r>
        <w:rPr>
          <w:rFonts w:hint="eastAsia" w:ascii="宋体" w:hAnsi="宋体" w:cs="宋体"/>
          <w:sz w:val="21"/>
          <w:szCs w:val="21"/>
          <w:highlight w:val="none"/>
        </w:rPr>
        <w:t>（四）配套</w:t>
      </w:r>
      <w:bookmarkEnd w:id="98"/>
      <w:bookmarkEnd w:id="99"/>
      <w:bookmarkEnd w:id="100"/>
      <w:bookmarkEnd w:id="101"/>
      <w:bookmarkEnd w:id="102"/>
      <w:r>
        <w:rPr>
          <w:rFonts w:hint="eastAsia" w:ascii="宋体" w:hAnsi="宋体" w:cs="宋体"/>
          <w:sz w:val="21"/>
          <w:szCs w:val="21"/>
          <w:highlight w:val="none"/>
        </w:rPr>
        <w:t>设施方案</w:t>
      </w:r>
      <w:bookmarkEnd w:id="103"/>
      <w:bookmarkEnd w:id="104"/>
      <w:bookmarkEnd w:id="105"/>
      <w:bookmarkEnd w:id="106"/>
      <w:bookmarkEnd w:id="107"/>
    </w:p>
    <w:p>
      <w:pPr>
        <w:pStyle w:val="8"/>
        <w:spacing w:before="0" w:after="0" w:line="400" w:lineRule="exact"/>
        <w:rPr>
          <w:rFonts w:hint="eastAsia" w:ascii="宋体" w:hAnsi="宋体" w:eastAsia="宋体" w:cs="宋体"/>
          <w:sz w:val="21"/>
          <w:szCs w:val="21"/>
          <w:highlight w:val="none"/>
        </w:rPr>
      </w:pPr>
      <w:bookmarkStart w:id="108" w:name="_Toc23419"/>
      <w:bookmarkStart w:id="109" w:name="_Toc4886"/>
      <w:bookmarkStart w:id="110" w:name="_Toc15175"/>
      <w:r>
        <w:rPr>
          <w:rFonts w:hint="eastAsia" w:ascii="宋体" w:hAnsi="宋体" w:eastAsia="宋体" w:cs="宋体"/>
          <w:sz w:val="21"/>
          <w:szCs w:val="21"/>
          <w:highlight w:val="none"/>
        </w:rPr>
        <w:t>监测站遥控遥测系统</w:t>
      </w:r>
      <w:bookmarkEnd w:id="108"/>
      <w:bookmarkEnd w:id="109"/>
      <w:bookmarkEnd w:id="110"/>
    </w:p>
    <w:p>
      <w:pPr>
        <w:pStyle w:val="7"/>
        <w:spacing w:before="0" w:beforeLines="0" w:line="400" w:lineRule="exact"/>
        <w:ind w:firstLine="420"/>
        <w:rPr>
          <w:rFonts w:hint="eastAsia" w:ascii="宋体" w:hAnsi="宋体" w:cs="宋体"/>
          <w:sz w:val="21"/>
          <w:szCs w:val="21"/>
          <w:highlight w:val="none"/>
        </w:rPr>
      </w:pPr>
      <w:r>
        <w:rPr>
          <w:rFonts w:hint="eastAsia" w:ascii="宋体" w:hAnsi="宋体" w:cs="宋体"/>
          <w:sz w:val="21"/>
          <w:szCs w:val="21"/>
          <w:highlight w:val="none"/>
        </w:rPr>
        <w:t>监测站需配套系统软件安装计算机（为提高系统稳定性，本项目采用高性能工控机），并利用工控机实现监测及测向系统的本地控制和采集数据的分析等功能。</w:t>
      </w:r>
    </w:p>
    <w:p>
      <w:pPr>
        <w:pStyle w:val="7"/>
        <w:spacing w:before="0" w:beforeLines="0" w:line="400" w:lineRule="exact"/>
        <w:ind w:firstLine="420"/>
        <w:rPr>
          <w:rFonts w:hint="eastAsia" w:ascii="宋体" w:hAnsi="宋体" w:cs="宋体"/>
          <w:sz w:val="21"/>
          <w:szCs w:val="21"/>
          <w:highlight w:val="none"/>
        </w:rPr>
      </w:pPr>
      <w:r>
        <w:rPr>
          <w:rFonts w:hint="eastAsia" w:ascii="宋体" w:hAnsi="宋体" w:cs="宋体"/>
          <w:sz w:val="21"/>
          <w:szCs w:val="21"/>
          <w:highlight w:val="none"/>
        </w:rPr>
        <w:t>遥控遥测系统定时对环境参数（温度、湿度、电压、电流）进行采集，并把相关数据上报计算机进行处理。</w:t>
      </w:r>
    </w:p>
    <w:p>
      <w:pPr>
        <w:pStyle w:val="7"/>
        <w:spacing w:before="0" w:beforeLines="0" w:line="400" w:lineRule="exact"/>
        <w:ind w:firstLine="420"/>
        <w:rPr>
          <w:rFonts w:hint="eastAsia" w:ascii="宋体" w:hAnsi="宋体" w:cs="宋体"/>
          <w:sz w:val="21"/>
          <w:szCs w:val="21"/>
          <w:highlight w:val="none"/>
        </w:rPr>
      </w:pPr>
      <w:r>
        <w:rPr>
          <w:rFonts w:hint="eastAsia" w:ascii="宋体" w:hAnsi="宋体" w:cs="宋体"/>
          <w:sz w:val="21"/>
          <w:szCs w:val="21"/>
          <w:highlight w:val="none"/>
        </w:rPr>
        <w:t>监测站应具备远程开关机功能，监测中心的控制终端通过网络向无人值守站的遥控遥测模块发送命令和数据，命令和数据包括了功能代码和握手数据，遥控遥测模块检测到数据有效后，根据功能定义执行相应的操作。遥控开关机的各项功能设计应尽可能避免误操作。</w:t>
      </w:r>
    </w:p>
    <w:p>
      <w:pPr>
        <w:pStyle w:val="7"/>
        <w:spacing w:before="0" w:beforeLines="0" w:line="400" w:lineRule="exact"/>
        <w:ind w:firstLine="420"/>
        <w:rPr>
          <w:rFonts w:hint="eastAsia" w:ascii="宋体" w:hAnsi="宋体" w:cs="宋体"/>
          <w:sz w:val="21"/>
          <w:szCs w:val="21"/>
          <w:highlight w:val="none"/>
        </w:rPr>
      </w:pPr>
      <w:r>
        <w:rPr>
          <w:rFonts w:hint="eastAsia" w:ascii="宋体" w:hAnsi="宋体" w:cs="宋体"/>
          <w:sz w:val="21"/>
          <w:szCs w:val="21"/>
          <w:highlight w:val="none"/>
        </w:rPr>
        <w:t>本项目在监测站配置一台高性能工控机和一台远程遥控遥测设备（实现远程开关机、监测数据采集传输控制等），并配套远程控制管理软件和环境监控软件。</w:t>
      </w:r>
    </w:p>
    <w:p>
      <w:pPr>
        <w:pStyle w:val="7"/>
        <w:spacing w:before="0" w:beforeLines="0" w:line="400" w:lineRule="exact"/>
        <w:ind w:firstLine="420"/>
        <w:rPr>
          <w:rFonts w:hint="eastAsia" w:ascii="宋体" w:hAnsi="宋体" w:cs="宋体"/>
          <w:sz w:val="21"/>
          <w:szCs w:val="21"/>
          <w:highlight w:val="none"/>
        </w:rPr>
      </w:pPr>
      <w:r>
        <w:rPr>
          <w:rFonts w:hint="eastAsia" w:ascii="宋体" w:hAnsi="宋体" w:cs="宋体"/>
          <w:sz w:val="21"/>
          <w:szCs w:val="21"/>
          <w:highlight w:val="none"/>
        </w:rPr>
        <w:t>监测站需配套网络设备以实现与监控中心的联网。本项目中，独立设置的监测站通过租用电信运营商VPN链路实现与监控中心的互联互通。</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主要技术指标要求如下：</w:t>
      </w:r>
    </w:p>
    <w:p>
      <w:pPr>
        <w:pStyle w:val="259"/>
        <w:spacing w:before="0" w:beforeAutospacing="0" w:after="0" w:afterAutospacing="0" w:line="400" w:lineRule="exact"/>
        <w:rPr>
          <w:rFonts w:hint="eastAsia" w:ascii="宋体" w:hAnsi="宋体" w:cs="宋体"/>
          <w:bCs/>
          <w:szCs w:val="21"/>
          <w:highlight w:val="none"/>
        </w:rPr>
      </w:pPr>
      <w:r>
        <w:rPr>
          <w:rFonts w:hint="eastAsia" w:ascii="宋体" w:hAnsi="宋体" w:cs="宋体"/>
          <w:bCs/>
          <w:szCs w:val="21"/>
          <w:highlight w:val="none"/>
        </w:rPr>
        <w:t>1、工控机</w:t>
      </w:r>
    </w:p>
    <w:p>
      <w:pPr>
        <w:pStyle w:val="259"/>
        <w:spacing w:before="0" w:beforeAutospacing="0" w:after="0" w:afterAutospacing="0" w:line="400" w:lineRule="exact"/>
        <w:rPr>
          <w:rFonts w:hint="eastAsia" w:ascii="宋体" w:hAnsi="宋体" w:cs="宋体"/>
          <w:szCs w:val="21"/>
          <w:highlight w:val="none"/>
        </w:rPr>
      </w:pPr>
      <w:r>
        <w:rPr>
          <w:rFonts w:hint="eastAsia" w:ascii="宋体" w:hAnsi="宋体" w:cs="宋体"/>
          <w:szCs w:val="21"/>
          <w:highlight w:val="none"/>
        </w:rPr>
        <w:t>1）CPU不低于6核心12线程；</w:t>
      </w:r>
    </w:p>
    <w:p>
      <w:pPr>
        <w:pStyle w:val="259"/>
        <w:spacing w:before="0" w:beforeAutospacing="0" w:after="0" w:afterAutospacing="0" w:line="400" w:lineRule="exact"/>
        <w:rPr>
          <w:rFonts w:hint="eastAsia" w:ascii="宋体" w:hAnsi="宋体" w:cs="宋体"/>
          <w:szCs w:val="21"/>
          <w:highlight w:val="none"/>
        </w:rPr>
      </w:pPr>
      <w:r>
        <w:rPr>
          <w:rFonts w:hint="eastAsia" w:ascii="宋体" w:hAnsi="宋体" w:cs="宋体"/>
          <w:szCs w:val="21"/>
          <w:highlight w:val="none"/>
        </w:rPr>
        <w:t>2）内存16GB DDR4及以上；</w:t>
      </w:r>
    </w:p>
    <w:p>
      <w:pPr>
        <w:pStyle w:val="259"/>
        <w:spacing w:before="0" w:beforeAutospacing="0" w:after="0" w:afterAutospacing="0" w:line="400" w:lineRule="exact"/>
        <w:rPr>
          <w:rFonts w:hint="eastAsia" w:ascii="宋体" w:hAnsi="宋体" w:cs="宋体"/>
          <w:szCs w:val="21"/>
          <w:highlight w:val="none"/>
        </w:rPr>
      </w:pPr>
      <w:r>
        <w:rPr>
          <w:rFonts w:hint="eastAsia" w:ascii="宋体" w:hAnsi="宋体" w:cs="宋体"/>
          <w:szCs w:val="21"/>
          <w:highlight w:val="none"/>
        </w:rPr>
        <w:t>3）硬盘：企业级256GB SSD+HHD 4TB；</w:t>
      </w:r>
    </w:p>
    <w:p>
      <w:pPr>
        <w:pStyle w:val="259"/>
        <w:spacing w:before="0" w:beforeAutospacing="0" w:after="0" w:afterAutospacing="0" w:line="400" w:lineRule="exact"/>
        <w:rPr>
          <w:rFonts w:hint="eastAsia" w:ascii="宋体" w:hAnsi="宋体" w:cs="宋体"/>
          <w:szCs w:val="21"/>
          <w:highlight w:val="none"/>
        </w:rPr>
      </w:pPr>
      <w:r>
        <w:rPr>
          <w:rFonts w:hint="eastAsia" w:ascii="宋体" w:hAnsi="宋体" w:cs="宋体"/>
          <w:szCs w:val="21"/>
          <w:highlight w:val="none"/>
        </w:rPr>
        <w:t>4）自适应网口（RJ-45）、声卡、USB；</w:t>
      </w:r>
    </w:p>
    <w:p>
      <w:pPr>
        <w:pStyle w:val="259"/>
        <w:spacing w:before="0" w:beforeAutospacing="0" w:after="0" w:afterAutospacing="0" w:line="400" w:lineRule="exact"/>
        <w:rPr>
          <w:rFonts w:hint="eastAsia" w:ascii="宋体" w:hAnsi="宋体" w:cs="宋体"/>
          <w:szCs w:val="21"/>
          <w:highlight w:val="none"/>
        </w:rPr>
      </w:pPr>
      <w:r>
        <w:rPr>
          <w:rFonts w:hint="eastAsia" w:ascii="宋体" w:hAnsi="宋体" w:cs="宋体"/>
          <w:szCs w:val="21"/>
          <w:highlight w:val="none"/>
        </w:rPr>
        <w:t>5）19英寸或以上高清显示器，键盘、鼠标；</w:t>
      </w:r>
    </w:p>
    <w:p>
      <w:pPr>
        <w:pStyle w:val="259"/>
        <w:spacing w:before="0" w:beforeAutospacing="0" w:after="0" w:afterAutospacing="0" w:line="400" w:lineRule="exact"/>
        <w:rPr>
          <w:rFonts w:hint="eastAsia" w:ascii="宋体" w:hAnsi="宋体" w:cs="宋体"/>
          <w:szCs w:val="21"/>
          <w:highlight w:val="none"/>
        </w:rPr>
      </w:pPr>
      <w:r>
        <w:rPr>
          <w:rFonts w:hint="eastAsia" w:ascii="宋体" w:hAnsi="宋体" w:cs="宋体"/>
          <w:szCs w:val="21"/>
          <w:highlight w:val="none"/>
        </w:rPr>
        <w:t>6）含正版操作系统和文字处理软件；</w:t>
      </w:r>
    </w:p>
    <w:p>
      <w:pPr>
        <w:pStyle w:val="259"/>
        <w:spacing w:before="0" w:beforeAutospacing="0" w:after="0" w:afterAutospacing="0" w:line="400" w:lineRule="exact"/>
        <w:rPr>
          <w:rFonts w:hint="eastAsia" w:ascii="宋体" w:hAnsi="宋体" w:cs="宋体"/>
          <w:bCs/>
          <w:szCs w:val="21"/>
          <w:highlight w:val="none"/>
        </w:rPr>
      </w:pPr>
      <w:r>
        <w:rPr>
          <w:rFonts w:hint="eastAsia" w:ascii="宋体" w:hAnsi="宋体" w:cs="宋体"/>
          <w:szCs w:val="21"/>
          <w:highlight w:val="none"/>
        </w:rPr>
        <w:t>7）标准机架式设备。</w:t>
      </w:r>
    </w:p>
    <w:p>
      <w:pPr>
        <w:pStyle w:val="259"/>
        <w:spacing w:before="0" w:beforeAutospacing="0" w:after="0" w:afterAutospacing="0" w:line="400" w:lineRule="exact"/>
        <w:rPr>
          <w:rFonts w:hint="eastAsia" w:ascii="宋体" w:hAnsi="宋体" w:cs="宋体"/>
          <w:bCs/>
          <w:szCs w:val="21"/>
          <w:highlight w:val="none"/>
        </w:rPr>
      </w:pPr>
      <w:r>
        <w:rPr>
          <w:rFonts w:hint="eastAsia" w:ascii="宋体" w:hAnsi="宋体" w:cs="宋体"/>
          <w:bCs/>
          <w:szCs w:val="21"/>
          <w:highlight w:val="none"/>
        </w:rPr>
        <w:t>2、网络交换机</w:t>
      </w:r>
    </w:p>
    <w:p>
      <w:pPr>
        <w:pStyle w:val="259"/>
        <w:spacing w:before="0" w:beforeAutospacing="0" w:after="0" w:afterAutospacing="0" w:line="400" w:lineRule="exact"/>
        <w:rPr>
          <w:rFonts w:hint="eastAsia" w:ascii="宋体" w:hAnsi="宋体" w:cs="宋体"/>
          <w:szCs w:val="21"/>
          <w:highlight w:val="none"/>
        </w:rPr>
      </w:pPr>
      <w:r>
        <w:rPr>
          <w:rFonts w:hint="eastAsia" w:ascii="宋体" w:hAnsi="宋体" w:cs="宋体"/>
          <w:szCs w:val="21"/>
          <w:highlight w:val="none"/>
        </w:rPr>
        <w:t>1）二层网管型交换机；</w:t>
      </w:r>
    </w:p>
    <w:p>
      <w:pPr>
        <w:pStyle w:val="259"/>
        <w:spacing w:before="0" w:beforeAutospacing="0" w:after="0" w:afterAutospacing="0" w:line="400" w:lineRule="exact"/>
        <w:rPr>
          <w:rFonts w:hint="eastAsia" w:ascii="宋体" w:hAnsi="宋体" w:cs="宋体"/>
          <w:szCs w:val="21"/>
          <w:highlight w:val="none"/>
        </w:rPr>
      </w:pPr>
      <w:r>
        <w:rPr>
          <w:rFonts w:hint="eastAsia" w:ascii="宋体" w:hAnsi="宋体" w:cs="宋体"/>
          <w:szCs w:val="21"/>
          <w:highlight w:val="none"/>
        </w:rPr>
        <w:t>2）24*10</w:t>
      </w:r>
      <w:r>
        <w:rPr>
          <w:rFonts w:hint="eastAsia" w:ascii="宋体" w:hAnsi="宋体" w:cs="宋体"/>
          <w:szCs w:val="21"/>
          <w:highlight w:val="none"/>
        </w:rPr>
        <w:tab/>
      </w:r>
      <w:r>
        <w:rPr>
          <w:rFonts w:hint="eastAsia" w:ascii="宋体" w:hAnsi="宋体" w:cs="宋体"/>
          <w:szCs w:val="21"/>
          <w:highlight w:val="none"/>
        </w:rPr>
        <w:t>/100/1000Base-T自适应以太网端口；</w:t>
      </w:r>
    </w:p>
    <w:p>
      <w:pPr>
        <w:pStyle w:val="259"/>
        <w:spacing w:before="0" w:beforeAutospacing="0" w:after="0" w:afterAutospacing="0" w:line="400" w:lineRule="exact"/>
        <w:rPr>
          <w:rFonts w:hint="eastAsia" w:ascii="宋体" w:hAnsi="宋体" w:cs="宋体"/>
          <w:szCs w:val="21"/>
          <w:highlight w:val="none"/>
        </w:rPr>
      </w:pPr>
      <w:r>
        <w:rPr>
          <w:rFonts w:hint="eastAsia" w:ascii="宋体" w:hAnsi="宋体" w:cs="宋体"/>
          <w:szCs w:val="21"/>
          <w:highlight w:val="none"/>
        </w:rPr>
        <w:t>3）4*10</w:t>
      </w:r>
      <w:r>
        <w:rPr>
          <w:rFonts w:hint="eastAsia" w:ascii="宋体" w:hAnsi="宋体" w:cs="宋体"/>
          <w:szCs w:val="21"/>
          <w:highlight w:val="none"/>
        </w:rPr>
        <w:tab/>
      </w:r>
      <w:r>
        <w:rPr>
          <w:rFonts w:hint="eastAsia" w:ascii="宋体" w:hAnsi="宋体" w:cs="宋体"/>
          <w:szCs w:val="21"/>
          <w:highlight w:val="none"/>
        </w:rPr>
        <w:t>/100/1000Base-X自适应以太网端口。</w:t>
      </w:r>
    </w:p>
    <w:p>
      <w:pPr>
        <w:pStyle w:val="259"/>
        <w:spacing w:line="400" w:lineRule="exact"/>
        <w:rPr>
          <w:rFonts w:hint="eastAsia" w:ascii="宋体" w:hAnsi="宋体" w:cs="宋体"/>
          <w:bCs/>
          <w:szCs w:val="21"/>
          <w:highlight w:val="none"/>
        </w:rPr>
      </w:pPr>
      <w:r>
        <w:rPr>
          <w:rFonts w:hint="eastAsia" w:ascii="宋体" w:hAnsi="宋体" w:cs="宋体"/>
          <w:bCs/>
          <w:szCs w:val="21"/>
          <w:highlight w:val="none"/>
        </w:rPr>
        <w:t>3、远程遥控设备</w:t>
      </w:r>
    </w:p>
    <w:p>
      <w:pPr>
        <w:pStyle w:val="259"/>
        <w:spacing w:line="400" w:lineRule="exact"/>
        <w:rPr>
          <w:rFonts w:hint="eastAsia" w:ascii="宋体" w:hAnsi="宋体" w:cs="宋体"/>
          <w:szCs w:val="21"/>
          <w:highlight w:val="none"/>
        </w:rPr>
      </w:pPr>
      <w:r>
        <w:rPr>
          <w:rFonts w:hint="eastAsia" w:ascii="宋体" w:hAnsi="宋体" w:cs="宋体"/>
          <w:szCs w:val="21"/>
          <w:highlight w:val="none"/>
        </w:rPr>
        <w:t>实现测向和监测接收机等自有设备的远程控制，由承建单位结合提供的设备情况配置。远程遥控设备能够在工控机在出现死机的情况下，重新启动工控机，进入监测测向系统。</w:t>
      </w:r>
    </w:p>
    <w:p>
      <w:pPr>
        <w:pStyle w:val="8"/>
        <w:spacing w:before="0" w:after="0" w:line="400" w:lineRule="exact"/>
        <w:rPr>
          <w:rFonts w:hint="eastAsia" w:ascii="宋体" w:hAnsi="宋体" w:eastAsia="宋体" w:cs="宋体"/>
          <w:sz w:val="21"/>
          <w:szCs w:val="21"/>
          <w:highlight w:val="none"/>
        </w:rPr>
      </w:pPr>
      <w:bookmarkStart w:id="111" w:name="_Toc10065"/>
      <w:bookmarkStart w:id="112" w:name="_Toc19974"/>
      <w:bookmarkStart w:id="113" w:name="_Toc13099"/>
      <w:bookmarkStart w:id="114" w:name="_Toc14390"/>
      <w:r>
        <w:rPr>
          <w:rFonts w:hint="eastAsia" w:ascii="宋体" w:hAnsi="宋体" w:eastAsia="宋体" w:cs="宋体"/>
          <w:sz w:val="21"/>
          <w:szCs w:val="21"/>
          <w:highlight w:val="none"/>
        </w:rPr>
        <w:t>视频和动环监控</w:t>
      </w:r>
      <w:bookmarkEnd w:id="111"/>
      <w:bookmarkEnd w:id="112"/>
      <w:bookmarkEnd w:id="113"/>
      <w:bookmarkEnd w:id="114"/>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在监测站点部署电源电压/电流、温湿度、消防、漏水检测等传感设施，以及视频监控设备，所有环境监控和视频监控设施可通过集中遥控遥测控制设备采集数据，并可进行远程采集和控制。其中视频监控部分在室内配置2个监控摄像机，室外配置一个。</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主要功能要求如下：</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1）现场数据采集。定时对环境参数（温度、湿度、电压、电流、漏水等）进行采集，并把相关数据上报。</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2）异常情况报警。对监测站的设备、环境进行监控，一旦发现出现异常情况，能够及时向无线电监测中心发出报警信息。</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3）能够在监测控制中心通过视频远程监视监测站室内外状况和设备运行情况。</w:t>
      </w:r>
    </w:p>
    <w:p>
      <w:pPr>
        <w:pStyle w:val="7"/>
        <w:spacing w:before="0" w:beforeLines="0" w:line="400" w:lineRule="exact"/>
        <w:ind w:firstLine="420"/>
        <w:rPr>
          <w:rFonts w:hint="eastAsia" w:ascii="宋体" w:hAnsi="宋体" w:cs="宋体"/>
          <w:sz w:val="21"/>
          <w:szCs w:val="21"/>
          <w:highlight w:val="none"/>
          <w:lang w:val="en-US"/>
        </w:rPr>
      </w:pPr>
      <w:r>
        <w:rPr>
          <w:rFonts w:hint="eastAsia" w:ascii="宋体" w:hAnsi="宋体" w:cs="宋体"/>
          <w:sz w:val="21"/>
          <w:szCs w:val="21"/>
          <w:highlight w:val="none"/>
          <w:lang w:val="en-US"/>
        </w:rPr>
        <w:t>4）遥控管理。对监测站监测设备和环境监测设备进行管理、数据采集和网络通信控制。</w:t>
      </w:r>
    </w:p>
    <w:p>
      <w:pPr>
        <w:pStyle w:val="8"/>
        <w:spacing w:before="0" w:after="0" w:line="400" w:lineRule="exact"/>
        <w:rPr>
          <w:rFonts w:hint="eastAsia" w:ascii="宋体" w:hAnsi="宋体" w:eastAsia="宋体" w:cs="宋体"/>
          <w:sz w:val="21"/>
          <w:szCs w:val="21"/>
          <w:highlight w:val="none"/>
        </w:rPr>
      </w:pPr>
      <w:bookmarkStart w:id="115" w:name="_Toc14204"/>
      <w:bookmarkStart w:id="116" w:name="_Toc991"/>
      <w:bookmarkStart w:id="117" w:name="_Toc19457"/>
      <w:bookmarkStart w:id="118" w:name="_Toc12466"/>
      <w:bookmarkStart w:id="119" w:name="_Toc24040"/>
      <w:bookmarkStart w:id="120" w:name="_Toc31466"/>
      <w:bookmarkStart w:id="121" w:name="_Toc27629"/>
      <w:bookmarkStart w:id="122" w:name="_Toc9410"/>
      <w:r>
        <w:rPr>
          <w:rFonts w:hint="eastAsia" w:ascii="宋体" w:hAnsi="宋体" w:eastAsia="宋体" w:cs="宋体"/>
          <w:sz w:val="21"/>
          <w:szCs w:val="21"/>
          <w:highlight w:val="none"/>
        </w:rPr>
        <w:t>供电系统</w:t>
      </w:r>
      <w:bookmarkEnd w:id="115"/>
      <w:bookmarkEnd w:id="116"/>
      <w:bookmarkEnd w:id="117"/>
      <w:bookmarkEnd w:id="118"/>
      <w:r>
        <w:rPr>
          <w:rFonts w:hint="eastAsia" w:ascii="宋体" w:hAnsi="宋体" w:eastAsia="宋体" w:cs="宋体"/>
          <w:sz w:val="21"/>
          <w:szCs w:val="21"/>
          <w:highlight w:val="none"/>
        </w:rPr>
        <w:t>方案</w:t>
      </w:r>
      <w:bookmarkEnd w:id="119"/>
      <w:bookmarkEnd w:id="120"/>
      <w:bookmarkEnd w:id="121"/>
      <w:bookmarkEnd w:id="122"/>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固定监测站主要设备采用UPS供电，UPS供电包括天馈、监测测向接收设备、控制和网络设备）、动环监控、视频监控等。</w:t>
      </w:r>
    </w:p>
    <w:p>
      <w:pPr>
        <w:spacing w:line="400" w:lineRule="exact"/>
        <w:jc w:val="center"/>
        <w:rPr>
          <w:rFonts w:hint="eastAsia" w:ascii="宋体" w:hAnsi="宋体" w:cs="宋体"/>
          <w:szCs w:val="21"/>
          <w:highlight w:val="none"/>
        </w:rPr>
      </w:pPr>
      <w:r>
        <w:rPr>
          <w:rFonts w:hint="eastAsia" w:ascii="宋体" w:hAnsi="宋体" w:cs="宋体"/>
          <w:szCs w:val="21"/>
          <w:highlight w:val="none"/>
        </w:rPr>
        <w:t>表-</w:t>
      </w:r>
      <w:r>
        <w:rPr>
          <w:rFonts w:hint="eastAsia" w:ascii="宋体" w:hAnsi="宋体" w:cs="宋体"/>
          <w:szCs w:val="21"/>
          <w:highlight w:val="none"/>
        </w:rPr>
        <w:fldChar w:fldCharType="begin"/>
      </w:r>
      <w:r>
        <w:rPr>
          <w:rFonts w:hint="eastAsia" w:ascii="宋体" w:hAnsi="宋体" w:cs="宋体"/>
          <w:szCs w:val="21"/>
          <w:highlight w:val="none"/>
        </w:rPr>
        <w:instrText xml:space="preserve"> SEQ 表 \* ARABIC \s 2 </w:instrText>
      </w:r>
      <w:r>
        <w:rPr>
          <w:rFonts w:hint="eastAsia" w:ascii="宋体" w:hAnsi="宋体" w:cs="宋体"/>
          <w:szCs w:val="21"/>
          <w:highlight w:val="none"/>
        </w:rPr>
        <w:fldChar w:fldCharType="separate"/>
      </w:r>
      <w:r>
        <w:rPr>
          <w:rFonts w:hint="eastAsia" w:ascii="宋体" w:hAnsi="宋体" w:cs="宋体"/>
          <w:szCs w:val="21"/>
          <w:highlight w:val="none"/>
        </w:rPr>
        <w:t>1</w:t>
      </w:r>
      <w:r>
        <w:rPr>
          <w:rFonts w:hint="eastAsia" w:ascii="宋体" w:hAnsi="宋体" w:cs="宋体"/>
          <w:szCs w:val="21"/>
          <w:highlight w:val="none"/>
        </w:rPr>
        <w:fldChar w:fldCharType="end"/>
      </w:r>
      <w:r>
        <w:rPr>
          <w:rFonts w:hint="eastAsia" w:ascii="宋体" w:hAnsi="宋体" w:cs="宋体"/>
          <w:szCs w:val="21"/>
          <w:highlight w:val="none"/>
        </w:rPr>
        <w:t>二类固定监测站设备功耗</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067"/>
        <w:gridCol w:w="1436"/>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Pr>
          <w:p>
            <w:pPr>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069" w:type="dxa"/>
          </w:tcPr>
          <w:p>
            <w:pPr>
              <w:spacing w:line="400" w:lineRule="exact"/>
              <w:jc w:val="center"/>
              <w:rPr>
                <w:rFonts w:hint="eastAsia" w:ascii="宋体" w:hAnsi="宋体" w:cs="宋体"/>
                <w:szCs w:val="21"/>
                <w:highlight w:val="none"/>
              </w:rPr>
            </w:pPr>
            <w:r>
              <w:rPr>
                <w:rFonts w:hint="eastAsia" w:ascii="宋体" w:hAnsi="宋体" w:cs="宋体"/>
                <w:szCs w:val="21"/>
                <w:highlight w:val="none"/>
              </w:rPr>
              <w:t>设备/设施名称</w:t>
            </w:r>
          </w:p>
        </w:tc>
        <w:tc>
          <w:tcPr>
            <w:tcW w:w="1437" w:type="dxa"/>
          </w:tcPr>
          <w:p>
            <w:pPr>
              <w:spacing w:line="400" w:lineRule="exact"/>
              <w:jc w:val="center"/>
              <w:rPr>
                <w:rFonts w:hint="eastAsia" w:ascii="宋体" w:hAnsi="宋体" w:cs="宋体"/>
                <w:szCs w:val="21"/>
                <w:highlight w:val="none"/>
              </w:rPr>
            </w:pPr>
            <w:r>
              <w:rPr>
                <w:rFonts w:hint="eastAsia" w:ascii="宋体" w:hAnsi="宋体" w:cs="宋体"/>
                <w:szCs w:val="21"/>
                <w:highlight w:val="none"/>
              </w:rPr>
              <w:t>功率（瓦）</w:t>
            </w:r>
          </w:p>
        </w:tc>
        <w:tc>
          <w:tcPr>
            <w:tcW w:w="4245" w:type="dxa"/>
          </w:tcPr>
          <w:p>
            <w:pPr>
              <w:spacing w:line="400" w:lineRule="exact"/>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2069" w:type="dxa"/>
          </w:tcPr>
          <w:p>
            <w:pPr>
              <w:spacing w:line="400" w:lineRule="exact"/>
              <w:rPr>
                <w:rFonts w:hint="eastAsia" w:ascii="宋体" w:hAnsi="宋体" w:cs="宋体"/>
                <w:szCs w:val="21"/>
                <w:highlight w:val="none"/>
              </w:rPr>
            </w:pPr>
            <w:r>
              <w:rPr>
                <w:rFonts w:hint="eastAsia" w:ascii="宋体" w:hAnsi="宋体" w:cs="宋体"/>
                <w:szCs w:val="21"/>
                <w:highlight w:val="none"/>
              </w:rPr>
              <w:t>天馈系统</w:t>
            </w:r>
          </w:p>
        </w:tc>
        <w:tc>
          <w:tcPr>
            <w:tcW w:w="143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50</w:t>
            </w:r>
          </w:p>
        </w:tc>
        <w:tc>
          <w:tcPr>
            <w:tcW w:w="4245" w:type="dxa"/>
          </w:tcPr>
          <w:p>
            <w:pPr>
              <w:spacing w:line="40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w:t>
            </w:r>
          </w:p>
        </w:tc>
        <w:tc>
          <w:tcPr>
            <w:tcW w:w="2069" w:type="dxa"/>
          </w:tcPr>
          <w:p>
            <w:pPr>
              <w:spacing w:line="400" w:lineRule="exact"/>
              <w:rPr>
                <w:rFonts w:hint="eastAsia" w:ascii="宋体" w:hAnsi="宋体" w:cs="宋体"/>
                <w:szCs w:val="21"/>
                <w:highlight w:val="none"/>
              </w:rPr>
            </w:pPr>
            <w:r>
              <w:rPr>
                <w:rFonts w:hint="eastAsia" w:ascii="宋体" w:hAnsi="宋体" w:cs="宋体"/>
                <w:szCs w:val="21"/>
                <w:highlight w:val="none"/>
              </w:rPr>
              <w:t>监测接收机</w:t>
            </w:r>
          </w:p>
        </w:tc>
        <w:tc>
          <w:tcPr>
            <w:tcW w:w="143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200</w:t>
            </w:r>
          </w:p>
        </w:tc>
        <w:tc>
          <w:tcPr>
            <w:tcW w:w="4245" w:type="dxa"/>
          </w:tcPr>
          <w:p>
            <w:pPr>
              <w:spacing w:line="40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3</w:t>
            </w:r>
          </w:p>
        </w:tc>
        <w:tc>
          <w:tcPr>
            <w:tcW w:w="2069" w:type="dxa"/>
          </w:tcPr>
          <w:p>
            <w:pPr>
              <w:spacing w:line="400" w:lineRule="exact"/>
              <w:rPr>
                <w:rFonts w:hint="eastAsia" w:ascii="宋体" w:hAnsi="宋体" w:cs="宋体"/>
                <w:szCs w:val="21"/>
                <w:highlight w:val="none"/>
              </w:rPr>
            </w:pPr>
            <w:r>
              <w:rPr>
                <w:rFonts w:hint="eastAsia" w:ascii="宋体" w:hAnsi="宋体" w:cs="宋体"/>
                <w:szCs w:val="21"/>
                <w:highlight w:val="none"/>
              </w:rPr>
              <w:t>测向接收机</w:t>
            </w:r>
          </w:p>
        </w:tc>
        <w:tc>
          <w:tcPr>
            <w:tcW w:w="143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300</w:t>
            </w:r>
          </w:p>
        </w:tc>
        <w:tc>
          <w:tcPr>
            <w:tcW w:w="4245" w:type="dxa"/>
          </w:tcPr>
          <w:p>
            <w:pPr>
              <w:spacing w:line="40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4</w:t>
            </w:r>
          </w:p>
        </w:tc>
        <w:tc>
          <w:tcPr>
            <w:tcW w:w="2069" w:type="dxa"/>
          </w:tcPr>
          <w:p>
            <w:pPr>
              <w:spacing w:line="400" w:lineRule="exact"/>
              <w:rPr>
                <w:rFonts w:hint="eastAsia" w:ascii="宋体" w:hAnsi="宋体" w:cs="宋体"/>
                <w:szCs w:val="21"/>
                <w:highlight w:val="none"/>
              </w:rPr>
            </w:pPr>
            <w:r>
              <w:rPr>
                <w:rFonts w:hint="eastAsia" w:ascii="宋体" w:hAnsi="宋体" w:cs="宋体"/>
                <w:szCs w:val="21"/>
                <w:highlight w:val="none"/>
              </w:rPr>
              <w:t>工控机</w:t>
            </w:r>
          </w:p>
        </w:tc>
        <w:tc>
          <w:tcPr>
            <w:tcW w:w="143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250</w:t>
            </w:r>
          </w:p>
        </w:tc>
        <w:tc>
          <w:tcPr>
            <w:tcW w:w="4245" w:type="dxa"/>
          </w:tcPr>
          <w:p>
            <w:pPr>
              <w:spacing w:line="400" w:lineRule="exact"/>
              <w:rPr>
                <w:rFonts w:hint="eastAsia" w:ascii="宋体" w:hAnsi="宋体" w:cs="宋体"/>
                <w:szCs w:val="21"/>
                <w:highlight w:val="none"/>
              </w:rPr>
            </w:pPr>
            <w:r>
              <w:rPr>
                <w:rFonts w:hint="eastAsia" w:ascii="宋体" w:hAnsi="宋体" w:cs="宋体"/>
                <w:szCs w:val="21"/>
                <w:highlight w:val="none"/>
              </w:rPr>
              <w:t>含显示器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5</w:t>
            </w:r>
          </w:p>
        </w:tc>
        <w:tc>
          <w:tcPr>
            <w:tcW w:w="2069" w:type="dxa"/>
            <w:vAlign w:val="center"/>
          </w:tcPr>
          <w:p>
            <w:pPr>
              <w:spacing w:line="400" w:lineRule="exact"/>
              <w:rPr>
                <w:rFonts w:hint="eastAsia" w:ascii="宋体" w:hAnsi="宋体" w:cs="宋体"/>
                <w:szCs w:val="21"/>
                <w:highlight w:val="none"/>
              </w:rPr>
            </w:pPr>
            <w:r>
              <w:rPr>
                <w:rFonts w:hint="eastAsia" w:ascii="宋体" w:hAnsi="宋体" w:cs="宋体"/>
                <w:szCs w:val="21"/>
                <w:highlight w:val="none"/>
              </w:rPr>
              <w:t>其它</w:t>
            </w:r>
          </w:p>
        </w:tc>
        <w:tc>
          <w:tcPr>
            <w:tcW w:w="143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100</w:t>
            </w:r>
          </w:p>
        </w:tc>
        <w:tc>
          <w:tcPr>
            <w:tcW w:w="4245" w:type="dxa"/>
          </w:tcPr>
          <w:p>
            <w:pPr>
              <w:spacing w:line="400" w:lineRule="exact"/>
              <w:rPr>
                <w:rFonts w:hint="eastAsia" w:ascii="宋体" w:hAnsi="宋体" w:cs="宋体"/>
                <w:szCs w:val="21"/>
                <w:highlight w:val="none"/>
              </w:rPr>
            </w:pPr>
            <w:r>
              <w:rPr>
                <w:rFonts w:hint="eastAsia" w:ascii="宋体" w:hAnsi="宋体" w:cs="宋体"/>
                <w:szCs w:val="21"/>
                <w:highlight w:val="none"/>
              </w:rPr>
              <w:t>交换机、遥控遥测设备、视频监控设备、动环设备等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6" w:type="dxa"/>
            <w:gridSpan w:val="2"/>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合计</w:t>
            </w:r>
          </w:p>
        </w:tc>
        <w:tc>
          <w:tcPr>
            <w:tcW w:w="143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900</w:t>
            </w:r>
          </w:p>
        </w:tc>
        <w:tc>
          <w:tcPr>
            <w:tcW w:w="4245" w:type="dxa"/>
            <w:vAlign w:val="center"/>
          </w:tcPr>
          <w:p>
            <w:pPr>
              <w:spacing w:line="400" w:lineRule="exact"/>
              <w:jc w:val="center"/>
              <w:rPr>
                <w:rFonts w:hint="eastAsia" w:ascii="宋体" w:hAnsi="宋体" w:cs="宋体"/>
                <w:szCs w:val="21"/>
                <w:highlight w:val="none"/>
              </w:rPr>
            </w:pPr>
          </w:p>
        </w:tc>
      </w:tr>
    </w:tbl>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考虑到后期可能会增加其他设备以及蓄电池充电需求，因此在设计中不间断电源设备应有充足的余量，项目按总需求1500W进行设计。</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UPS负载率在20%以下时，其效率快速下降，因此建议其负载率不宜过低，建议应在20%以上。按1500W的功耗测算，UPS额定负载容量应在6kW以下。</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另外，负载率也不宜过高，本设计最高按80%计算，按1500W的最大负载计算，UPS额定负载容量应在1875W以上。</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根据上述分析，建议UPS主机负载容量选择建议不低于3000VA/2400W。</w:t>
      </w:r>
    </w:p>
    <w:p>
      <w:pPr>
        <w:spacing w:line="400" w:lineRule="exact"/>
        <w:ind w:firstLine="420" w:firstLineChars="200"/>
        <w:rPr>
          <w:rFonts w:hint="eastAsia" w:ascii="宋体" w:hAnsi="宋体" w:cs="宋体"/>
          <w:szCs w:val="21"/>
          <w:highlight w:val="none"/>
        </w:rPr>
      </w:pPr>
      <w:bookmarkStart w:id="123" w:name="_Toc29472"/>
      <w:bookmarkStart w:id="124" w:name="_Toc3190"/>
      <w:bookmarkStart w:id="125" w:name="_Toc20333"/>
      <w:bookmarkStart w:id="126" w:name="_Toc5657"/>
      <w:r>
        <w:rPr>
          <w:rFonts w:hint="eastAsia" w:ascii="宋体" w:hAnsi="宋体" w:cs="宋体"/>
          <w:szCs w:val="21"/>
          <w:highlight w:val="none"/>
        </w:rPr>
        <w:t>在蓄电池需求估算中，按后备6小时进行估算（机房内温度变化较小，不考虑温度系数）。蓄电池选用铅酸蓄电池，以恒功率放电方法估算如下：</w:t>
      </w:r>
    </w:p>
    <w:p>
      <w:pPr>
        <w:pStyle w:val="340"/>
        <w:spacing w:line="400" w:lineRule="exact"/>
        <w:ind w:firstLine="420"/>
        <w:rPr>
          <w:rFonts w:hint="eastAsia" w:ascii="宋体" w:hAnsi="宋体" w:cs="宋体"/>
          <w:szCs w:val="21"/>
          <w:highlight w:val="none"/>
        </w:rPr>
      </w:pPr>
      <w:r>
        <w:rPr>
          <w:rFonts w:hint="eastAsia" w:ascii="宋体" w:hAnsi="宋体" w:cs="宋体"/>
          <w:szCs w:val="21"/>
          <w:highlight w:val="none"/>
        </w:rPr>
        <w:t>常用的200AH/2V铅酸蓄电池恒功率放电表如下：</w:t>
      </w:r>
    </w:p>
    <w:p>
      <w:pPr>
        <w:pStyle w:val="340"/>
        <w:spacing w:line="400" w:lineRule="exact"/>
        <w:ind w:firstLine="0" w:firstLineChars="0"/>
        <w:rPr>
          <w:rFonts w:hint="eastAsia" w:ascii="宋体" w:hAnsi="宋体" w:cs="宋体"/>
          <w:szCs w:val="21"/>
          <w:highlight w:val="none"/>
        </w:rPr>
      </w:pPr>
      <w:r>
        <w:rPr>
          <w:rFonts w:hint="eastAsia" w:ascii="宋体" w:hAnsi="宋体" w:cs="宋体"/>
          <w:szCs w:val="21"/>
          <w:highlight w:val="none"/>
        </w:rPr>
        <w:drawing>
          <wp:anchor distT="0" distB="0" distL="114300" distR="114300" simplePos="0" relativeHeight="251661312" behindDoc="0" locked="0" layoutInCell="1" allowOverlap="1">
            <wp:simplePos x="0" y="0"/>
            <wp:positionH relativeFrom="column">
              <wp:posOffset>67310</wp:posOffset>
            </wp:positionH>
            <wp:positionV relativeFrom="paragraph">
              <wp:posOffset>223520</wp:posOffset>
            </wp:positionV>
            <wp:extent cx="5330825" cy="992505"/>
            <wp:effectExtent l="0" t="0" r="3175" b="17145"/>
            <wp:wrapSquare wrapText="bothSides"/>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2"/>
                    <a:srcRect t="54100" b="27753"/>
                    <a:stretch>
                      <a:fillRect/>
                    </a:stretch>
                  </pic:blipFill>
                  <pic:spPr>
                    <a:xfrm>
                      <a:off x="0" y="0"/>
                      <a:ext cx="5330825" cy="992505"/>
                    </a:xfrm>
                    <a:prstGeom prst="rect">
                      <a:avLst/>
                    </a:prstGeom>
                    <a:noFill/>
                    <a:ln>
                      <a:noFill/>
                    </a:ln>
                  </pic:spPr>
                </pic:pic>
              </a:graphicData>
            </a:graphic>
          </wp:anchor>
        </w:drawing>
      </w:r>
    </w:p>
    <w:p>
      <w:pPr>
        <w:pStyle w:val="340"/>
        <w:spacing w:line="400" w:lineRule="exact"/>
        <w:ind w:firstLine="420"/>
        <w:rPr>
          <w:rFonts w:hint="eastAsia" w:ascii="宋体" w:hAnsi="宋体" w:cs="宋体"/>
          <w:szCs w:val="21"/>
          <w:highlight w:val="none"/>
        </w:rPr>
      </w:pPr>
      <w:r>
        <w:rPr>
          <w:rFonts w:hint="eastAsia" w:ascii="宋体" w:hAnsi="宋体" w:cs="宋体"/>
          <w:szCs w:val="21"/>
          <w:highlight w:val="none"/>
        </w:rPr>
        <w:t>以实际运行功率900W、蓄电池放电终止电压1.7V、UPS总体效率0.8估算，若满足6小时后备，则蓄电池（12V200AH）需求为：</w:t>
      </w:r>
    </w:p>
    <w:p>
      <w:pPr>
        <w:pStyle w:val="340"/>
        <w:spacing w:line="400" w:lineRule="exact"/>
        <w:ind w:firstLine="420"/>
        <w:rPr>
          <w:rFonts w:hint="eastAsia" w:ascii="宋体" w:hAnsi="宋体" w:cs="宋体"/>
          <w:szCs w:val="21"/>
          <w:highlight w:val="none"/>
        </w:rPr>
      </w:pPr>
      <w:r>
        <w:rPr>
          <w:rFonts w:hint="eastAsia" w:ascii="宋体" w:hAnsi="宋体" w:cs="宋体"/>
          <w:szCs w:val="21"/>
          <w:highlight w:val="none"/>
        </w:rPr>
        <w:t>900W÷42.3÷6（12V为6个2V单体）÷0.8=4.43</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即需要5块12V200AH蓄电池。</w:t>
      </w:r>
    </w:p>
    <w:p>
      <w:pPr>
        <w:pStyle w:val="340"/>
        <w:spacing w:line="400" w:lineRule="exact"/>
        <w:ind w:firstLine="420"/>
        <w:rPr>
          <w:rFonts w:hint="eastAsia" w:ascii="宋体" w:hAnsi="宋体" w:cs="宋体"/>
          <w:szCs w:val="21"/>
          <w:highlight w:val="none"/>
        </w:rPr>
      </w:pPr>
      <w:r>
        <w:rPr>
          <w:rFonts w:hint="eastAsia" w:ascii="宋体" w:hAnsi="宋体" w:cs="宋体"/>
          <w:szCs w:val="21"/>
          <w:highlight w:val="none"/>
        </w:rPr>
        <w:t>上述测算为初步估算，由于不同承建单位提供的设备能耗和蓄电池可能存在差异，承建单位应结合自身设备实际功耗和指标进行详细测算，确保能够满足后备6小时的需求。</w:t>
      </w:r>
    </w:p>
    <w:p>
      <w:pPr>
        <w:pStyle w:val="8"/>
        <w:spacing w:before="0" w:after="0"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机房环境及配套</w:t>
      </w:r>
      <w:bookmarkEnd w:id="123"/>
      <w:bookmarkEnd w:id="124"/>
      <w:bookmarkEnd w:id="125"/>
      <w:bookmarkEnd w:id="126"/>
      <w:r>
        <w:rPr>
          <w:rFonts w:hint="eastAsia" w:ascii="宋体" w:hAnsi="宋体" w:eastAsia="宋体" w:cs="宋体"/>
          <w:sz w:val="21"/>
          <w:szCs w:val="21"/>
          <w:highlight w:val="none"/>
        </w:rPr>
        <w:t>设施</w:t>
      </w:r>
    </w:p>
    <w:p>
      <w:pPr>
        <w:pStyle w:val="7"/>
        <w:spacing w:before="0" w:beforeLines="0" w:line="400" w:lineRule="exact"/>
        <w:ind w:firstLine="420"/>
        <w:rPr>
          <w:rFonts w:hint="eastAsia" w:ascii="宋体" w:hAnsi="宋体" w:cs="宋体"/>
          <w:sz w:val="21"/>
          <w:szCs w:val="21"/>
          <w:highlight w:val="none"/>
        </w:rPr>
      </w:pPr>
      <w:r>
        <w:rPr>
          <w:rFonts w:hint="eastAsia" w:ascii="宋体" w:hAnsi="宋体" w:cs="宋体"/>
          <w:sz w:val="21"/>
          <w:szCs w:val="21"/>
          <w:highlight w:val="none"/>
        </w:rPr>
        <w:t>本</w:t>
      </w:r>
      <w:r>
        <w:rPr>
          <w:rFonts w:hint="eastAsia" w:ascii="宋体" w:hAnsi="宋体" w:cs="宋体"/>
          <w:sz w:val="21"/>
          <w:szCs w:val="21"/>
          <w:highlight w:val="none"/>
          <w:lang w:val="en-US"/>
        </w:rPr>
        <w:t>项目</w:t>
      </w:r>
      <w:r>
        <w:rPr>
          <w:rFonts w:hint="eastAsia" w:ascii="宋体" w:hAnsi="宋体" w:cs="宋体"/>
          <w:sz w:val="21"/>
          <w:szCs w:val="21"/>
          <w:highlight w:val="none"/>
        </w:rPr>
        <w:t>利旧原有的固定站机房，</w:t>
      </w:r>
      <w:r>
        <w:rPr>
          <w:rFonts w:hint="eastAsia" w:ascii="宋体" w:hAnsi="宋体" w:cs="宋体"/>
          <w:sz w:val="21"/>
          <w:szCs w:val="21"/>
          <w:highlight w:val="none"/>
          <w:lang w:val="en-US"/>
        </w:rPr>
        <w:t>均应</w:t>
      </w:r>
      <w:r>
        <w:rPr>
          <w:rFonts w:hint="eastAsia" w:ascii="宋体" w:hAnsi="宋体" w:cs="宋体"/>
          <w:sz w:val="21"/>
          <w:szCs w:val="21"/>
          <w:highlight w:val="none"/>
        </w:rPr>
        <w:t>结合实际建设需求进行必要的改造，机房改造完成后应满足以下要求：</w:t>
      </w:r>
    </w:p>
    <w:p>
      <w:pPr>
        <w:pStyle w:val="7"/>
        <w:spacing w:before="0" w:beforeLines="0" w:line="400" w:lineRule="exact"/>
        <w:ind w:firstLine="422"/>
        <w:rPr>
          <w:rFonts w:hint="eastAsia" w:ascii="宋体" w:hAnsi="宋体" w:cs="宋体"/>
          <w:b/>
          <w:bCs/>
          <w:sz w:val="21"/>
          <w:szCs w:val="21"/>
          <w:highlight w:val="none"/>
        </w:rPr>
      </w:pPr>
      <w:r>
        <w:rPr>
          <w:rFonts w:hint="eastAsia" w:ascii="宋体" w:hAnsi="宋体" w:cs="宋体"/>
          <w:b/>
          <w:bCs/>
          <w:sz w:val="21"/>
          <w:szCs w:val="21"/>
          <w:highlight w:val="none"/>
          <w:lang w:val="en-US"/>
        </w:rPr>
        <w:t>1、</w:t>
      </w:r>
      <w:r>
        <w:rPr>
          <w:rFonts w:hint="eastAsia" w:ascii="宋体" w:hAnsi="宋体" w:cs="宋体"/>
          <w:b/>
          <w:bCs/>
          <w:sz w:val="21"/>
          <w:szCs w:val="21"/>
          <w:highlight w:val="none"/>
        </w:rPr>
        <w:t>工作环境要求</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根据T/RAC 026-2021《无线电监测机房及配套设施建设规范》，机房内的温度应满足室内设备正常工作需要。机房温度变化范围在10℃-30℃之间，相对湿度应控制在20%~50%。在静态条件下测试，每升空气中大于或等于0.5</w:t>
      </w:r>
      <w:r>
        <w:rPr>
          <w:rFonts w:hint="eastAsia" w:ascii="宋体" w:hAnsi="宋体" w:cs="宋体"/>
          <w:szCs w:val="21"/>
          <w:highlight w:val="none"/>
        </w:rPr>
        <w:t>μm的尘粒数应少于18000粒</w:t>
      </w:r>
      <w:r>
        <w:rPr>
          <w:rFonts w:hint="eastAsia" w:ascii="宋体" w:hAnsi="宋体" w:cs="宋体"/>
          <w:szCs w:val="21"/>
          <w:highlight w:val="none"/>
          <w:shd w:val="clear" w:color="auto" w:fill="FFFFFF"/>
        </w:rPr>
        <w:t>。</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本项目拟配备壁挂式空调来调节室内环境，满足上述要求</w:t>
      </w:r>
      <w:r>
        <w:rPr>
          <w:rFonts w:hint="eastAsia" w:ascii="宋体" w:hAnsi="宋体" w:cs="宋体"/>
          <w:szCs w:val="21"/>
          <w:highlight w:val="none"/>
          <w:shd w:val="clear" w:color="auto" w:fill="FFFFFF"/>
        </w:rPr>
        <w:t>。配备的空调须具备网络远程遥控功能。</w:t>
      </w:r>
    </w:p>
    <w:p>
      <w:pPr>
        <w:pStyle w:val="7"/>
        <w:spacing w:before="0" w:beforeLines="0" w:line="400" w:lineRule="exact"/>
        <w:ind w:firstLine="422"/>
        <w:rPr>
          <w:rFonts w:hint="eastAsia" w:ascii="宋体" w:hAnsi="宋体" w:cs="宋体"/>
          <w:b/>
          <w:bCs/>
          <w:sz w:val="21"/>
          <w:szCs w:val="21"/>
          <w:highlight w:val="none"/>
          <w:lang w:val="en-US"/>
        </w:rPr>
      </w:pPr>
      <w:r>
        <w:rPr>
          <w:rFonts w:hint="eastAsia" w:ascii="宋体" w:hAnsi="宋体" w:cs="宋体"/>
          <w:b/>
          <w:bCs/>
          <w:sz w:val="21"/>
          <w:szCs w:val="21"/>
          <w:highlight w:val="none"/>
          <w:lang w:val="en-US"/>
        </w:rPr>
        <w:t>2、电气要求</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机房宜由专用电力变压器供电，设置专用动力配电箱。有条件的应采用双路供电。</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监测测量设备应采用交流不间断电源系统供电。</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机房配电系统应采用频率50Hz、电压220/380V TN-S或TN-C-S系统。单相负荷应均匀地分配在三相线路上，且三相负荷不平衡度小于20%。</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机房的动力电和照明电应分开。</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电源插座按左零右火连接。</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机房墙壁应设置非业务用（如吸尘器等）电源插座。</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机房内活动地板下的低压线路宜采用屏蔽导线或电缆。电源线应尽可能远离信号线，并避免并排敷设。</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机房内照明度在距地板0.8m处照明度不低于200lx，为节约能源，建议使用LED光源。</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机房内应设应急灯，其照明度在离地板0.8m处不低于5lx。</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电源零线与安全保护地线之间的交流串扰不大于2V。</w:t>
      </w:r>
    </w:p>
    <w:p>
      <w:pPr>
        <w:pStyle w:val="7"/>
        <w:spacing w:before="0" w:beforeLines="0" w:line="400" w:lineRule="exact"/>
        <w:ind w:firstLine="422"/>
        <w:rPr>
          <w:rFonts w:hint="eastAsia" w:ascii="宋体" w:hAnsi="宋体" w:cs="宋体"/>
          <w:b/>
          <w:bCs/>
          <w:sz w:val="21"/>
          <w:szCs w:val="21"/>
          <w:highlight w:val="none"/>
          <w:lang w:val="en-US"/>
        </w:rPr>
      </w:pPr>
      <w:r>
        <w:rPr>
          <w:rFonts w:hint="eastAsia" w:ascii="宋体" w:hAnsi="宋体" w:cs="宋体"/>
          <w:b/>
          <w:bCs/>
          <w:sz w:val="21"/>
          <w:szCs w:val="21"/>
          <w:highlight w:val="none"/>
          <w:lang w:val="en-US"/>
        </w:rPr>
        <w:t>3、防雷接地</w:t>
      </w:r>
    </w:p>
    <w:p>
      <w:pPr>
        <w:widowControl/>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无线电监测站应根据环境因素、雷电活动规律、设备所在雷电防护区和系统抗扰度、雷击事故受损程度以及系统设备的重要性，采取相应的防护措施。本项目建设为固定监测站，监测站的铁塔机房、天馈线、监测测向设备等的防雷接地措施应符合YD/T 3285-2017《无线电监测站雷电防护技术要求》。</w:t>
      </w:r>
    </w:p>
    <w:p>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rPr>
        <w:t>本期项目防雷</w:t>
      </w:r>
      <w:r>
        <w:rPr>
          <w:rFonts w:hint="eastAsia" w:ascii="宋体" w:hAnsi="宋体" w:cs="宋体"/>
          <w:szCs w:val="21"/>
          <w:highlight w:val="none"/>
          <w:shd w:val="clear" w:color="auto" w:fill="FFFFFF"/>
        </w:rPr>
        <w:t>接地</w:t>
      </w:r>
      <w:r>
        <w:rPr>
          <w:rFonts w:hint="eastAsia" w:ascii="宋体" w:hAnsi="宋体" w:cs="宋体"/>
          <w:szCs w:val="21"/>
          <w:highlight w:val="none"/>
        </w:rPr>
        <w:t>设施按需</w:t>
      </w:r>
      <w:r>
        <w:rPr>
          <w:rFonts w:hint="eastAsia" w:ascii="宋体" w:hAnsi="宋体" w:cs="宋体"/>
          <w:szCs w:val="21"/>
          <w:highlight w:val="none"/>
          <w:shd w:val="clear" w:color="auto" w:fill="FFFFFF"/>
        </w:rPr>
        <w:t>建设，以满足本项目各类设备设施雷电防护要求。</w:t>
      </w:r>
    </w:p>
    <w:p>
      <w:pPr>
        <w:pStyle w:val="8"/>
        <w:spacing w:before="0" w:after="0"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消防措施</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本项目从可研、设计、建设到运营，均严格执行国家有关消防法律法规、规章和技术规范，遵循“预防为主，消防结合”的方针，严格贯彻执行国家《建筑设计防火规划》。在设备选购、建筑装修等方面设计中采取以下措施：</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消防设备、器材的配备型号和功率要满足消防需要，并随时进行检查和保养，使其始终处于良好的待命状态，并确保消防设施工作正常。</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定期进行防火安全检查。</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本项目所有机房的消防均利用原建筑物消防，本项目在机房内部设置必要的应急消防灭火器（每个监测站配备必要的手提式气体灭火器），灭火器应放置在门口、位置明显、易于取用的地方。灭火器放置处正上方应放置标牌，红底白字。</w:t>
      </w:r>
    </w:p>
    <w:p>
      <w:pPr>
        <w:pStyle w:val="6"/>
        <w:spacing w:before="0" w:after="0" w:line="440" w:lineRule="exact"/>
        <w:rPr>
          <w:rFonts w:hint="eastAsia" w:ascii="宋体" w:hAnsi="宋体" w:cs="宋体"/>
          <w:sz w:val="21"/>
          <w:szCs w:val="21"/>
          <w:highlight w:val="none"/>
        </w:rPr>
      </w:pPr>
      <w:r>
        <w:rPr>
          <w:rFonts w:hint="eastAsia" w:ascii="宋体" w:hAnsi="宋体" w:cs="宋体"/>
          <w:sz w:val="21"/>
          <w:szCs w:val="21"/>
          <w:highlight w:val="none"/>
        </w:rPr>
        <w:t>（五）项目配置清单</w:t>
      </w:r>
    </w:p>
    <w:tbl>
      <w:tblPr>
        <w:tblStyle w:val="54"/>
        <w:tblW w:w="4751" w:type="pct"/>
        <w:jc w:val="center"/>
        <w:tblLayout w:type="fixed"/>
        <w:tblCellMar>
          <w:top w:w="0" w:type="dxa"/>
          <w:left w:w="108" w:type="dxa"/>
          <w:bottom w:w="0" w:type="dxa"/>
          <w:right w:w="108" w:type="dxa"/>
        </w:tblCellMar>
      </w:tblPr>
      <w:tblGrid>
        <w:gridCol w:w="825"/>
        <w:gridCol w:w="1107"/>
        <w:gridCol w:w="4804"/>
        <w:gridCol w:w="564"/>
        <w:gridCol w:w="798"/>
      </w:tblGrid>
      <w:tr>
        <w:tblPrEx>
          <w:tblCellMar>
            <w:top w:w="0" w:type="dxa"/>
            <w:left w:w="108" w:type="dxa"/>
            <w:bottom w:w="0" w:type="dxa"/>
            <w:right w:w="108" w:type="dxa"/>
          </w:tblCellMar>
        </w:tblPrEx>
        <w:trPr>
          <w:trHeight w:val="280" w:hRule="atLeast"/>
          <w:tblHeader/>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序号</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名称</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规格要求</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单位</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kern w:val="0"/>
                <w:szCs w:val="21"/>
                <w:highlight w:val="none"/>
                <w:lang w:bidi="ar"/>
              </w:rPr>
            </w:pPr>
            <w:r>
              <w:rPr>
                <w:rFonts w:hint="eastAsia" w:ascii="宋体" w:hAnsi="宋体" w:cs="宋体"/>
                <w:b/>
                <w:bCs/>
                <w:kern w:val="0"/>
                <w:szCs w:val="21"/>
                <w:highlight w:val="none"/>
                <w:lang w:bidi="ar"/>
              </w:rPr>
              <w:t>数量</w:t>
            </w:r>
          </w:p>
        </w:tc>
      </w:tr>
      <w:tr>
        <w:tblPrEx>
          <w:tblCellMar>
            <w:top w:w="0" w:type="dxa"/>
            <w:left w:w="108" w:type="dxa"/>
            <w:bottom w:w="0" w:type="dxa"/>
            <w:right w:w="108" w:type="dxa"/>
          </w:tblCellMar>
        </w:tblPrEx>
        <w:trPr>
          <w:trHeight w:val="28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一</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软硬件设备</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rPr>
                <w:rFonts w:hint="eastAsia" w:ascii="宋体" w:hAnsi="宋体" w:cs="宋体"/>
                <w:b/>
                <w:bCs/>
                <w:szCs w:val="21"/>
                <w:highlight w:val="none"/>
              </w:rPr>
            </w:pP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cs="宋体"/>
                <w:b/>
                <w:bCs/>
                <w:szCs w:val="21"/>
                <w:highlight w:val="none"/>
              </w:rPr>
            </w:pP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cs="宋体"/>
                <w:b/>
                <w:bCs/>
                <w:szCs w:val="21"/>
                <w:highlight w:val="none"/>
              </w:rPr>
            </w:pPr>
          </w:p>
        </w:tc>
      </w:tr>
      <w:tr>
        <w:tblPrEx>
          <w:tblCellMar>
            <w:top w:w="0" w:type="dxa"/>
            <w:left w:w="108" w:type="dxa"/>
            <w:bottom w:w="0" w:type="dxa"/>
            <w:right w:w="108" w:type="dxa"/>
          </w:tblCellMar>
        </w:tblPrEx>
        <w:trPr>
          <w:trHeight w:val="28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（一）</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监测系统</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rPr>
                <w:rFonts w:hint="eastAsia" w:ascii="宋体" w:hAnsi="宋体" w:cs="宋体"/>
                <w:szCs w:val="21"/>
                <w:highlight w:val="none"/>
              </w:rPr>
            </w:pP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cs="宋体"/>
                <w:b/>
                <w:bCs/>
                <w:szCs w:val="21"/>
                <w:highlight w:val="none"/>
              </w:rPr>
            </w:pP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cs="宋体"/>
                <w:b/>
                <w:bCs/>
                <w:szCs w:val="21"/>
                <w:highlight w:val="none"/>
              </w:rPr>
            </w:pPr>
          </w:p>
        </w:tc>
      </w:tr>
      <w:tr>
        <w:tblPrEx>
          <w:tblCellMar>
            <w:top w:w="0" w:type="dxa"/>
            <w:left w:w="108" w:type="dxa"/>
            <w:bottom w:w="0" w:type="dxa"/>
            <w:right w:w="108" w:type="dxa"/>
          </w:tblCellMar>
        </w:tblPrEx>
        <w:trPr>
          <w:trHeight w:val="56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监测接收机</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1）频率覆盖范围：20MHz~ 18GHz；</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2）实时中频带宽：≧100 MHz，多档可选。</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台</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524"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监测天线组</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根据承建单位的设备需求配置，建议分为低频段垂直极化监测天线（频率范围：20MHz~1300MHz）、高频段垂直极化监测天线（频率范围：1300MHz~8GHz）、SHF频段垂直极化监测天线（频率范围：8GHz~18GHz）和水平极化监测天线（频率范围：40MHz~1300MHz）。</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组</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112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广播电视声音及图像信号监测设备</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具备地面无线广播电视信号的搜索、监测功能，可按广播电影电视行业标准，实现数字、模拟电视监测解码等功能。支持国内和越南所有电视频段，具备搜索电视台信号功能。配套监测天线。</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套</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140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监测系统配套附件</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天线、馈线和电源线的避雷配件；监测电缆组（含射频同轴线缆及接头等），含微波线缆，避雷等；各种接头，适配器、安装结构件、天线控制器（根据需求配置）、室外控制箱（根据需求配置）等。需满足监测接收机和配套监测天线的安装要求。</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套</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28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（二）</w:t>
            </w:r>
          </w:p>
        </w:tc>
        <w:tc>
          <w:tcPr>
            <w:tcW w:w="3648"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测向系统</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cs="宋体"/>
                <w:b/>
                <w:bCs/>
                <w:szCs w:val="21"/>
                <w:highlight w:val="none"/>
              </w:rPr>
            </w:pP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196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无线电测向机</w:t>
            </w:r>
          </w:p>
        </w:tc>
        <w:tc>
          <w:tcPr>
            <w:tcW w:w="2964" w:type="pct"/>
            <w:tcBorders>
              <w:top w:val="single" w:color="000000" w:sz="4" w:space="0"/>
              <w:left w:val="single" w:color="000000" w:sz="4" w:space="0"/>
              <w:bottom w:val="single" w:color="000000" w:sz="4" w:space="0"/>
              <w:right w:val="single" w:color="000000" w:sz="4" w:space="0"/>
            </w:tcBorders>
            <w:vAlign w:val="bottom"/>
          </w:tcPr>
          <w:p>
            <w:pPr>
              <w:widowControl/>
              <w:spacing w:line="400" w:lineRule="atLeast"/>
              <w:jc w:val="left"/>
              <w:textAlignment w:val="bottom"/>
              <w:rPr>
                <w:rFonts w:hint="eastAsia" w:ascii="宋体" w:hAnsi="宋体" w:cs="宋体"/>
                <w:szCs w:val="21"/>
                <w:highlight w:val="none"/>
              </w:rPr>
            </w:pPr>
            <w:r>
              <w:rPr>
                <w:rFonts w:hint="eastAsia" w:ascii="宋体" w:hAnsi="宋体" w:cs="宋体"/>
                <w:kern w:val="0"/>
                <w:szCs w:val="21"/>
                <w:highlight w:val="none"/>
                <w:lang w:bidi="ar"/>
              </w:rPr>
              <w:t>1）频率范围：20MHz~8000MHz（垂直极化），</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             40MHz~1300MHz（水平极化）；</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2）测向体制：至少支持空间谱估计、相关干涉仪无线电测向体制；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3）宽带测向实时带宽：≧40MHz；</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4）同频信号分离个数（D/λ&gt;1）：≧3（30~8000MHz）。</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台</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112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宽带测向天线阵</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1）工作频率：20MHz~8000MHz（垂直极化），</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             40M~1300MHz（水平极化）；</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2）至少支持空间谱估计、相关干涉仪双测向体制，其他可选。</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副</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100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配套附件</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天线、馈线和电源线的避雷配件；测向电缆组（含射频同轴线缆及接头等）；各种接头，适配器、安装结构件等。需满足无线电测向机和配套测向天线阵的安装要求。</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套</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28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（三）</w:t>
            </w:r>
          </w:p>
        </w:tc>
        <w:tc>
          <w:tcPr>
            <w:tcW w:w="683" w:type="pct"/>
            <w:tcBorders>
              <w:top w:val="single" w:color="000000" w:sz="4" w:space="0"/>
              <w:left w:val="single" w:color="000000" w:sz="4" w:space="0"/>
              <w:bottom w:val="single" w:color="000000" w:sz="4" w:space="0"/>
              <w:right w:val="single" w:color="000000" w:sz="4" w:space="0"/>
            </w:tcBorders>
            <w:vAlign w:val="bottom"/>
          </w:tcPr>
          <w:p>
            <w:pPr>
              <w:widowControl/>
              <w:spacing w:line="400" w:lineRule="atLeast"/>
              <w:jc w:val="left"/>
              <w:textAlignment w:val="bottom"/>
              <w:rPr>
                <w:rFonts w:hint="eastAsia" w:ascii="宋体" w:hAnsi="宋体" w:cs="宋体"/>
                <w:b/>
                <w:bCs/>
                <w:szCs w:val="21"/>
                <w:highlight w:val="none"/>
              </w:rPr>
            </w:pPr>
            <w:r>
              <w:rPr>
                <w:rFonts w:hint="eastAsia" w:ascii="宋体" w:hAnsi="宋体" w:cs="宋体"/>
                <w:b/>
                <w:bCs/>
                <w:kern w:val="0"/>
                <w:szCs w:val="21"/>
                <w:highlight w:val="none"/>
                <w:lang w:bidi="ar"/>
              </w:rPr>
              <w:t>配套设施</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rPr>
                <w:rFonts w:hint="eastAsia" w:ascii="宋体" w:hAnsi="宋体" w:cs="宋体"/>
                <w:szCs w:val="21"/>
                <w:highlight w:val="none"/>
              </w:rPr>
            </w:pP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cs="宋体"/>
                <w:szCs w:val="21"/>
                <w:highlight w:val="none"/>
              </w:rPr>
            </w:pP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6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工控机</w:t>
            </w:r>
          </w:p>
        </w:tc>
        <w:tc>
          <w:tcPr>
            <w:tcW w:w="2964" w:type="pct"/>
            <w:tcBorders>
              <w:top w:val="nil"/>
              <w:left w:val="nil"/>
              <w:bottom w:val="nil"/>
              <w:right w:val="nil"/>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CPU不低于6核心12线程/16G DDR4/企业级256GB SSD +HDD 4TB/网口/USB/声卡，含操作系统和文字处理软件</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台</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840" w:hRule="atLeast"/>
          <w:jc w:val="center"/>
        </w:trPr>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68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交换机</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1）二层网管型交换机；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2）24*10 /100/1000Base-T自适应以太网端口；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3）4*10 /100/1000Base-X自适应以太网端口。</w:t>
            </w:r>
          </w:p>
        </w:tc>
        <w:tc>
          <w:tcPr>
            <w:tcW w:w="34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台</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84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远程遥控设备</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1）实现测向和监测接收机的远程控制开关机等操作；</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2）现场监控数据采集和控制；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3）含配套软件。</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套</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28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KVM</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19英寸或以上高清显示器，键盘鼠标等</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台</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84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电源系统</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根据设备需求配置UPS，要求在线式，并带软件管理和远程控制功能。配套蓄电池满足断电后备6小时，含连接线缆及电池柜等配件。</w:t>
            </w:r>
          </w:p>
        </w:tc>
        <w:tc>
          <w:tcPr>
            <w:tcW w:w="34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套</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140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视频和动环监控</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1）在室内配置2个监控摄像机，室外配置一个；设置室外机柜的，应另设置室外机柜监控摄像机；仅设置室外机柜的，在机柜附近合适位置设置2个监控摄像机。监控摄像机采用300万像素或以上日夜型网络摄像机。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2）动环监控含配电、UPS、温湿度、漏水、烟雾等监测</w:t>
            </w:r>
          </w:p>
        </w:tc>
        <w:tc>
          <w:tcPr>
            <w:tcW w:w="34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套</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2520" w:hRule="atLeast"/>
          <w:jc w:val="center"/>
        </w:trPr>
        <w:tc>
          <w:tcPr>
            <w:tcW w:w="509"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7</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机房配套及其他</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1）配备温度控制系统满足机房温度控制要求；能效达到新能效一级，并具备远程遥控开关机功能。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2）根据机房情况，配置不少于2个手提式气体灭火器，灭火器应适用于电子仪器灭火需求。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3）配套设备安装机柜，含PDU，具体根据设备安装需求配置。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4）机房防尘、防静电处理。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5）室内外防雷接地改造，包括等电位连接器、接地铜排、接插紧固件、接地线等。</w:t>
            </w:r>
          </w:p>
        </w:tc>
        <w:tc>
          <w:tcPr>
            <w:tcW w:w="348"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项</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28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（四）</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系统软件</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rPr>
                <w:rFonts w:hint="eastAsia" w:ascii="宋体" w:hAnsi="宋体" w:cs="宋体"/>
                <w:b/>
                <w:bCs/>
                <w:szCs w:val="21"/>
                <w:highlight w:val="none"/>
              </w:rPr>
            </w:pP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cs="宋体"/>
                <w:b/>
                <w:bCs/>
                <w:szCs w:val="21"/>
                <w:highlight w:val="none"/>
              </w:rPr>
            </w:pP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140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监测站系统软件</w:t>
            </w:r>
          </w:p>
        </w:tc>
        <w:tc>
          <w:tcPr>
            <w:tcW w:w="296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szCs w:val="21"/>
                <w:highlight w:val="none"/>
              </w:rPr>
            </w:pPr>
            <w:r>
              <w:rPr>
                <w:rFonts w:hint="eastAsia" w:ascii="宋体" w:hAnsi="宋体" w:cs="宋体"/>
                <w:kern w:val="0"/>
                <w:szCs w:val="21"/>
                <w:highlight w:val="none"/>
                <w:lang w:bidi="ar"/>
              </w:rPr>
              <w:t>1）监测站监测测向系统软件平台，须实现系统要求的所有功能。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2）依据YD/T 3700.3-2020《超短波监测管理一体化平台技术规范 第3部分：设备操作服务》要求，完成监测站服务封装。需通过一体化平台的一致性测试，并提供由第三方出具的测试报告。</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套</w:t>
            </w:r>
          </w:p>
        </w:tc>
        <w:tc>
          <w:tcPr>
            <w:tcW w:w="49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r>
        <w:tblPrEx>
          <w:tblCellMar>
            <w:top w:w="0" w:type="dxa"/>
            <w:left w:w="108" w:type="dxa"/>
            <w:bottom w:w="0" w:type="dxa"/>
            <w:right w:w="108" w:type="dxa"/>
          </w:tblCellMar>
        </w:tblPrEx>
        <w:trPr>
          <w:trHeight w:val="560" w:hRule="atLeast"/>
          <w:jc w:val="center"/>
        </w:trPr>
        <w:tc>
          <w:tcPr>
            <w:tcW w:w="50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二</w:t>
            </w:r>
          </w:p>
        </w:tc>
        <w:tc>
          <w:tcPr>
            <w:tcW w:w="68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left"/>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系统集成和安装</w:t>
            </w:r>
          </w:p>
        </w:tc>
        <w:tc>
          <w:tcPr>
            <w:tcW w:w="2964"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textAlignment w:val="center"/>
              <w:rPr>
                <w:rFonts w:hint="eastAsia" w:ascii="宋体" w:hAnsi="宋体" w:cs="宋体"/>
                <w:szCs w:val="21"/>
                <w:highlight w:val="none"/>
              </w:rPr>
            </w:pPr>
            <w:r>
              <w:rPr>
                <w:rFonts w:hint="eastAsia" w:ascii="宋体" w:hAnsi="宋体" w:cs="宋体"/>
                <w:kern w:val="0"/>
                <w:szCs w:val="21"/>
                <w:highlight w:val="none"/>
                <w:lang w:bidi="ar"/>
              </w:rPr>
              <w:t>对所有设备、软件进行统一集成和安装，形成相互关联、统一协调、实际可用的系统。</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项</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widowControl/>
              <w:spacing w:line="400" w:lineRule="atLeast"/>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r>
    </w:tbl>
    <w:p>
      <w:pPr>
        <w:spacing w:before="82" w:beforeLines="25" w:after="82" w:afterLines="25" w:line="360" w:lineRule="auto"/>
        <w:outlineLvl w:val="2"/>
        <w:rPr>
          <w:rFonts w:cs="宋体"/>
          <w:b/>
          <w:bCs/>
          <w:sz w:val="24"/>
          <w:highlight w:val="none"/>
        </w:rPr>
      </w:pPr>
      <w:r>
        <w:rPr>
          <w:rFonts w:hint="eastAsia" w:cs="宋体"/>
          <w:b/>
          <w:bCs/>
          <w:sz w:val="24"/>
          <w:highlight w:val="none"/>
        </w:rPr>
        <w:t>二、商务要求（适用所有分标）</w:t>
      </w:r>
    </w:p>
    <w:p>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bookmarkStart w:id="127" w:name="OLE_LINK51"/>
      <w:r>
        <w:rPr>
          <w:rFonts w:hint="eastAsia" w:ascii="宋体" w:hAnsi="宋体" w:cs="宋体"/>
          <w:b/>
          <w:bCs/>
          <w:color w:val="000000" w:themeColor="text1"/>
          <w:szCs w:val="21"/>
          <w:highlight w:val="none"/>
          <w14:textFill>
            <w14:solidFill>
              <w14:schemeClr w14:val="tx1"/>
            </w14:solidFill>
          </w14:textFill>
        </w:rPr>
        <w:t>（一）合同履约期限：</w:t>
      </w:r>
      <w:r>
        <w:rPr>
          <w:rFonts w:hint="eastAsia" w:ascii="宋体" w:hAnsi="宋体" w:cs="宋体"/>
          <w:color w:val="000000" w:themeColor="text1"/>
          <w:szCs w:val="21"/>
          <w:highlight w:val="none"/>
          <w14:textFill>
            <w14:solidFill>
              <w14:schemeClr w14:val="tx1"/>
            </w14:solidFill>
          </w14:textFill>
        </w:rPr>
        <w:t>2026年2月1日前完成出厂验收，2026年3月15日前完成合同验收，直至完成初步验收及竣工验收。</w:t>
      </w:r>
    </w:p>
    <w:p>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（二）交货时间：</w:t>
      </w:r>
      <w:r>
        <w:rPr>
          <w:rFonts w:hint="eastAsia" w:ascii="宋体" w:hAnsi="宋体"/>
          <w:color w:val="000000" w:themeColor="text1"/>
          <w:szCs w:val="21"/>
          <w:highlight w:val="none"/>
          <w14:textFill>
            <w14:solidFill>
              <w14:schemeClr w14:val="tx1"/>
            </w14:solidFill>
          </w14:textFill>
        </w:rPr>
        <w:t>2026年2月1日前完成出厂验收，2026年3月15日前完成合同验收。</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（三）交货地点：</w:t>
      </w:r>
      <w:r>
        <w:rPr>
          <w:rFonts w:hint="eastAsia" w:ascii="宋体" w:hAnsi="宋体" w:cs="宋体"/>
          <w:szCs w:val="21"/>
          <w:highlight w:val="none"/>
        </w:rPr>
        <w:t>广西区内用户指定地点。</w:t>
      </w:r>
    </w:p>
    <w:bookmarkEnd w:id="127"/>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（四）合同签订时间：</w:t>
      </w:r>
      <w:r>
        <w:rPr>
          <w:rFonts w:hint="eastAsia" w:ascii="宋体" w:hAnsi="宋体" w:cs="宋体"/>
          <w:szCs w:val="21"/>
          <w:highlight w:val="none"/>
        </w:rPr>
        <w:t>自中标通知书发出之日起25日内。</w:t>
      </w:r>
    </w:p>
    <w:p>
      <w:pPr>
        <w:spacing w:line="360" w:lineRule="auto"/>
        <w:ind w:firstLine="422" w:firstLineChars="200"/>
        <w:rPr>
          <w:rFonts w:hint="eastAsia" w:ascii="宋体" w:hAnsi="宋体" w:cs="宋体"/>
          <w:bCs/>
          <w:szCs w:val="21"/>
          <w:highlight w:val="none"/>
        </w:rPr>
      </w:pPr>
      <w:r>
        <w:rPr>
          <w:rFonts w:hint="eastAsia" w:ascii="宋体" w:hAnsi="宋体" w:cs="宋体"/>
          <w:b/>
          <w:bCs/>
          <w:szCs w:val="21"/>
          <w:highlight w:val="none"/>
        </w:rPr>
        <w:t>（五）付款方式：</w:t>
      </w:r>
      <w:r>
        <w:rPr>
          <w:rFonts w:hint="eastAsia" w:ascii="宋体" w:hAnsi="宋体" w:cs="宋体"/>
          <w:bCs/>
          <w:szCs w:val="21"/>
          <w:highlight w:val="none"/>
        </w:rPr>
        <w:t>合同生效后，由本合同的所有使用单位共同支付合同总价的50%（各使用单位应支付的金额由采购单位确定），出厂验收后支付合同总价的30%，合同验收后支付合同总价的17%，竣工验收通过后支付合同总价的3%。乙方收到上述货款之日起10个工作日内开具发票给各付款单位（即使用单位）。</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（六）质保期：</w:t>
      </w:r>
      <w:r>
        <w:rPr>
          <w:rFonts w:hint="eastAsia" w:ascii="宋体" w:hAnsi="宋体" w:cs="宋体"/>
          <w:szCs w:val="21"/>
          <w:highlight w:val="none"/>
        </w:rPr>
        <w:t>整套设备保修期至少3年，自合同验收合格正式交付使用之日起计算。按国家有关产品“三包”规定执行“三包”，质保期内免费维修、更换配件。质保期满后，以优惠价格提供维修和备件更换，且免除一切手续费。</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（七）培训要求：</w:t>
      </w:r>
      <w:r>
        <w:rPr>
          <w:rFonts w:hint="eastAsia" w:ascii="宋体" w:hAnsi="宋体" w:cs="宋体"/>
          <w:szCs w:val="21"/>
          <w:highlight w:val="none"/>
        </w:rPr>
        <w:t>针对不同的使用者，结合整个项目建设周期进行使用、维护、管理等不同方面的系统培训，使得使用者能够迅速熟练掌握使用本系统。人员培训范围包括平台使用人员培训和系统维护的专业人员培训。具体内容如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（1）业务人员培训</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业务人员的培训主要包括以下几个方面：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无线电管理相关工作人员应用培训。通过对无线电管理相关工作人员进行系统培训，使他们尽快熟悉掌握系统，并通过系统解决日常工作需求，提高工作效率和工作质量。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（2）技术人员培训</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与软硬件有关的技术培训。对相关人员进行设备、软件的功能、性能、安装及使用等进行专门的培训。</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项目相关的人员培训由承建单位负责，具体培训人员数量、地点和培训时间由承建单位和建设单位协商确定。</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（八）售后服务保障或维修响应时间要求：</w:t>
      </w:r>
      <w:r>
        <w:rPr>
          <w:rFonts w:hint="eastAsia" w:ascii="宋体" w:hAnsi="宋体" w:cs="宋体"/>
          <w:szCs w:val="21"/>
          <w:highlight w:val="none"/>
        </w:rPr>
        <w:t>设备出现故障必须在24小时内做出答复，48小时内安排人员解决问题并排除故障，重大问题或其它无法迅速解决的问题应在一周内解决。</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（九）项目验收：</w:t>
      </w:r>
      <w:r>
        <w:rPr>
          <w:rFonts w:hint="eastAsia" w:ascii="宋体" w:hAnsi="宋体" w:cs="宋体"/>
          <w:szCs w:val="21"/>
          <w:highlight w:val="none"/>
        </w:rPr>
        <w:t>项目验收分为出厂验收、合同验收、初步验收和竣工验收环节。投标人应在每个验收环节实施前将具体的验收计划交采购人审查。某一验收环节中达不到国家或地方无线电管理基础和技术设施建设项目有关验收要求，采购人不予签字认可，中标方须对不符合部分采取措施进行改进，直至符合要求。</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（十）其他要求：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1.本项目为总包干价，所有设备、系统（包括硬件、软件等）的安装调试，第三方检测费用，至项目验收合格交付使用前所发生的所有费用均由中标人负责。</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2.投标人投标时必须提供详细的设计和安装方案（设备型号、主要技术指标和功能的详细描述，系统结构框图、效果图等）。</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3.投标人投标时必须提供具体供货时间以及生产、调试、安装、验收时间安排表。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4.中标人必须负责项目所有设备的安装、校准和调试。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5.投标人投标时必须明确自项目验收合格正式交付使用后免费质保期的期限，质保期内，凡因中标人的设备质量原因而造成的故障，中标人应及时予以排除，并承担由此所发生的全部费用。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6.质保期过后，中标人应对其提供的设备、系统（包括硬件、软件等）提供技术支持。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7.中标人负责制定培训计划（包括培训方式、培训内容、培训时间、培训资料等），免费为招标人培训技术人员。</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8.中标人必须向招标人提供所有设备、系统（包括硬件、软件等）完整的技术资料，包括技术说明书、操作说明书等。</w:t>
      </w:r>
    </w:p>
    <w:p>
      <w:pPr>
        <w:spacing w:line="360" w:lineRule="auto"/>
        <w:ind w:firstLine="420" w:firstLineChars="200"/>
        <w:rPr>
          <w:rFonts w:hint="eastAsia" w:ascii="宋体" w:hAnsi="宋体" w:cs="宋体"/>
          <w:szCs w:val="21"/>
          <w:highlight w:val="none"/>
        </w:rPr>
      </w:pPr>
      <w:bookmarkStart w:id="128" w:name="OLE_LINK68"/>
      <w:r>
        <w:rPr>
          <w:rFonts w:hint="eastAsia" w:ascii="宋体" w:hAnsi="宋体" w:cs="宋体"/>
          <w:szCs w:val="21"/>
          <w:highlight w:val="none"/>
        </w:rPr>
        <w:t>9.中标方所提供的设备及其系统在交货验收时必须由具备相应资质的第三方检测机构按照</w:t>
      </w:r>
      <w:bookmarkStart w:id="129" w:name="OLE_LINK7"/>
      <w:bookmarkStart w:id="130" w:name="OLE_LINK67"/>
      <w:bookmarkStart w:id="131" w:name="OLE_LINK86"/>
      <w:r>
        <w:rPr>
          <w:rFonts w:hint="eastAsia" w:ascii="宋体" w:hAnsi="宋体" w:cs="宋体"/>
          <w:szCs w:val="21"/>
          <w:highlight w:val="none"/>
        </w:rPr>
        <w:t>工业和信息化部</w:t>
      </w:r>
      <w:bookmarkEnd w:id="129"/>
      <w:r>
        <w:rPr>
          <w:rFonts w:hint="eastAsia" w:ascii="宋体" w:hAnsi="宋体" w:cs="宋体"/>
          <w:szCs w:val="21"/>
          <w:highlight w:val="none"/>
        </w:rPr>
        <w:t>颁发的</w:t>
      </w:r>
      <w:bookmarkEnd w:id="130"/>
      <w:r>
        <w:rPr>
          <w:rFonts w:hint="eastAsia" w:ascii="宋体" w:hAnsi="宋体" w:cs="宋体"/>
          <w:szCs w:val="21"/>
          <w:highlight w:val="none"/>
        </w:rPr>
        <w:t>《</w:t>
      </w:r>
      <w:bookmarkStart w:id="132" w:name="OLE_LINK5"/>
      <w:r>
        <w:rPr>
          <w:rFonts w:hint="eastAsia" w:ascii="宋体" w:hAnsi="宋体" w:cs="宋体"/>
          <w:szCs w:val="21"/>
          <w:highlight w:val="none"/>
        </w:rPr>
        <w:t>无线电监测设施测试验证工作规定（试行）</w:t>
      </w:r>
      <w:bookmarkEnd w:id="132"/>
      <w:r>
        <w:rPr>
          <w:rFonts w:hint="eastAsia" w:ascii="宋体" w:hAnsi="宋体" w:cs="宋体"/>
          <w:szCs w:val="21"/>
          <w:highlight w:val="none"/>
        </w:rPr>
        <w:t>》</w:t>
      </w:r>
      <w:bookmarkStart w:id="133" w:name="OLE_LINK85"/>
      <w:r>
        <w:rPr>
          <w:rFonts w:hint="eastAsia" w:ascii="宋体" w:hAnsi="宋体" w:cs="宋体"/>
          <w:szCs w:val="21"/>
          <w:highlight w:val="none"/>
        </w:rPr>
        <w:t>（工信部无〔2017〕283号）</w:t>
      </w:r>
      <w:bookmarkEnd w:id="131"/>
      <w:bookmarkEnd w:id="133"/>
      <w:r>
        <w:rPr>
          <w:rFonts w:hint="eastAsia" w:ascii="宋体" w:hAnsi="宋体" w:cs="宋体"/>
          <w:szCs w:val="21"/>
          <w:highlight w:val="none"/>
        </w:rPr>
        <w:t>相关要求进行测试并出具检测报告；第三方检测机构资质必须符合工业和信息化部颁发的《无线电监测设施测试验证工作规定（试行）》（工信部无〔2017〕283号）第十二条要求。</w:t>
      </w:r>
      <w:bookmarkEnd w:id="128"/>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10.中标人必须保证招标人在使用设备、服务时不受第三方提出侵犯其专利权、商标权和设计权的指控。一旦出现任何第三方提出侵权指控，中标人必须与第三方交涉，并承担可能发生的一切责任和费用。</w:t>
      </w:r>
    </w:p>
    <w:p>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textAlignment w:val="auto"/>
        <w:outlineLvl w:val="2"/>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三、其他（适用所有分标）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1.投标人根据自身情况提供技术方案，包括但不限于总体设计、硬件配置、配套设施、监测测向及集成安装要求等。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投标人根据自身情况提供项目实施方案，包括但不限于质量管理体系与措施、实施组织与工期保证措施、实施计划与时间安排等。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3.投标人根据自身情况提供售后服务方案，</w:t>
      </w:r>
      <w:r>
        <w:rPr>
          <w:rFonts w:hint="default"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val="en-US" w:eastAsia="zh-CN"/>
        </w:rPr>
        <w:t>服务保障体系、售后服务响应时间、备品备件配置、故障处理流程等。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4.投标人根据自身情况提供培训方案，包括但不限于培训方式、培训内容、培训时间、培训资料等。</w:t>
      </w:r>
    </w:p>
    <w:p>
      <w:pPr>
        <w:spacing w:line="360" w:lineRule="auto"/>
        <w:ind w:firstLine="420" w:firstLineChars="200"/>
        <w:rPr>
          <w:rFonts w:hint="eastAsia" w:ascii="宋体" w:hAnsi="宋体" w:cs="宋体"/>
          <w:szCs w:val="21"/>
          <w:highlight w:val="none"/>
        </w:rPr>
      </w:pPr>
    </w:p>
    <w:bookmarkEnd w:id="81"/>
    <w:bookmarkEnd w:id="82"/>
    <w:p>
      <w:pPr>
        <w:pStyle w:val="29"/>
        <w:snapToGrid w:val="0"/>
        <w:spacing w:before="82" w:beforeLines="25" w:after="82" w:afterLines="25" w:line="360" w:lineRule="auto"/>
        <w:jc w:val="center"/>
        <w:rPr>
          <w:rFonts w:ascii="Times New Roman" w:hAnsi="Times New Roman" w:cs="Times New Roman"/>
          <w:b/>
          <w:sz w:val="36"/>
          <w:szCs w:val="36"/>
          <w:highlight w:val="none"/>
        </w:rPr>
      </w:pPr>
      <w:bookmarkStart w:id="134" w:name="_Toc25856"/>
      <w:r>
        <w:rPr>
          <w:rFonts w:hint="eastAsia" w:ascii="Times New Roman" w:hAnsi="Times New Roman" w:cs="Times New Roman"/>
          <w:b/>
          <w:sz w:val="36"/>
          <w:szCs w:val="36"/>
          <w:highlight w:val="none"/>
        </w:rPr>
        <w:t xml:space="preserve"> </w:t>
      </w:r>
    </w:p>
    <w:p>
      <w:pPr>
        <w:rPr>
          <w:b/>
          <w:sz w:val="36"/>
          <w:szCs w:val="36"/>
          <w:highlight w:val="none"/>
        </w:rPr>
      </w:pPr>
      <w:r>
        <w:rPr>
          <w:rFonts w:hint="eastAsia"/>
          <w:b/>
          <w:sz w:val="36"/>
          <w:szCs w:val="36"/>
          <w:highlight w:val="none"/>
        </w:rPr>
        <w:br w:type="page"/>
      </w:r>
    </w:p>
    <w:p>
      <w:pPr>
        <w:pStyle w:val="29"/>
        <w:snapToGrid w:val="0"/>
        <w:spacing w:before="82" w:beforeLines="25" w:after="82" w:afterLines="25" w:line="360" w:lineRule="auto"/>
        <w:jc w:val="center"/>
        <w:outlineLvl w:val="0"/>
        <w:rPr>
          <w:rFonts w:ascii="Times New Roman" w:hAnsi="Times New Roman" w:cs="Times New Roman"/>
          <w:b/>
          <w:sz w:val="36"/>
          <w:szCs w:val="36"/>
          <w:highlight w:val="none"/>
        </w:rPr>
      </w:pPr>
      <w:r>
        <w:rPr>
          <w:rFonts w:hint="eastAsia" w:ascii="Times New Roman" w:hAnsi="Times New Roman" w:cs="Times New Roman"/>
          <w:b/>
          <w:sz w:val="36"/>
          <w:szCs w:val="36"/>
          <w:highlight w:val="none"/>
        </w:rPr>
        <w:t>第三章  供应商须知</w:t>
      </w:r>
      <w:bookmarkEnd w:id="134"/>
      <w:bookmarkStart w:id="135" w:name="_Toc254970526"/>
      <w:bookmarkStart w:id="136" w:name="_Toc254970667"/>
    </w:p>
    <w:bookmarkEnd w:id="135"/>
    <w:bookmarkEnd w:id="136"/>
    <w:p>
      <w:pPr>
        <w:pStyle w:val="3"/>
        <w:widowControl/>
        <w:spacing w:before="40" w:after="40"/>
        <w:jc w:val="center"/>
        <w:rPr>
          <w:rFonts w:ascii="Times New Roman" w:hAnsi="Times New Roman" w:eastAsia="宋体"/>
          <w:sz w:val="28"/>
          <w:szCs w:val="28"/>
          <w:highlight w:val="none"/>
        </w:rPr>
      </w:pPr>
      <w:bookmarkStart w:id="137" w:name="_投标人须知前附表"/>
      <w:bookmarkEnd w:id="137"/>
      <w:bookmarkStart w:id="138" w:name="OLE_LINK1"/>
      <w:bookmarkStart w:id="139" w:name="_Hlk19048934"/>
      <w:r>
        <w:rPr>
          <w:rFonts w:hint="eastAsia" w:ascii="Times New Roman" w:hAnsi="Times New Roman" w:eastAsia="宋体" w:cs="宋体"/>
          <w:sz w:val="28"/>
          <w:szCs w:val="28"/>
          <w:highlight w:val="none"/>
        </w:rPr>
        <w:t>供应商</w:t>
      </w:r>
      <w:bookmarkEnd w:id="138"/>
      <w:r>
        <w:rPr>
          <w:rFonts w:hint="eastAsia" w:ascii="Times New Roman" w:hAnsi="Times New Roman" w:eastAsia="宋体" w:cs="宋体"/>
          <w:sz w:val="28"/>
          <w:szCs w:val="28"/>
          <w:highlight w:val="none"/>
        </w:rPr>
        <w:t>须知前附表</w:t>
      </w:r>
    </w:p>
    <w:tbl>
      <w:tblPr>
        <w:tblStyle w:val="54"/>
        <w:tblW w:w="4999"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46"/>
        <w:gridCol w:w="1346"/>
        <w:gridCol w:w="642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9"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hint="eastAsia" w:ascii="宋体" w:hAnsi="宋体" w:cs="宋体"/>
                <w:b/>
                <w:szCs w:val="21"/>
                <w:highlight w:val="none"/>
              </w:rPr>
              <w:t>条款号</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hint="eastAsia" w:ascii="宋体" w:hAnsi="宋体" w:cs="宋体"/>
                <w:b/>
                <w:szCs w:val="21"/>
                <w:highlight w:val="none"/>
              </w:rPr>
              <w:t>要点</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hint="eastAsia" w:ascii="宋体" w:hAnsi="宋体" w:cs="宋体"/>
                <w:b/>
                <w:szCs w:val="21"/>
                <w:highlight w:val="none"/>
              </w:rPr>
              <w:t>内容、要求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0"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1.3.1</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项目基本信息</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lang w:bidi="ar"/>
              </w:rPr>
              <w:t>项目名称：2025年广西边海无线电监测网能力提升项目（重）</w:t>
            </w:r>
          </w:p>
          <w:p>
            <w:pPr>
              <w:spacing w:line="360" w:lineRule="exact"/>
              <w:jc w:val="left"/>
              <w:rPr>
                <w:rFonts w:hint="eastAsia" w:ascii="宋体" w:hAnsi="宋体" w:eastAsia="宋体"/>
                <w:szCs w:val="21"/>
                <w:highlight w:val="none"/>
                <w:lang w:eastAsia="zh-CN"/>
              </w:rPr>
            </w:pPr>
            <w:r>
              <w:rPr>
                <w:rFonts w:hint="eastAsia" w:ascii="宋体" w:hAnsi="宋体" w:cs="宋体"/>
                <w:szCs w:val="21"/>
                <w:highlight w:val="none"/>
                <w:lang w:bidi="ar"/>
              </w:rPr>
              <w:t>项目编号：GXZC2025-G1-002956-SKGS</w:t>
            </w:r>
          </w:p>
          <w:p>
            <w:pPr>
              <w:spacing w:line="360" w:lineRule="exact"/>
              <w:jc w:val="left"/>
              <w:rPr>
                <w:rFonts w:hint="eastAsia" w:ascii="宋体" w:hAnsi="宋体"/>
                <w:szCs w:val="21"/>
                <w:highlight w:val="none"/>
              </w:rPr>
            </w:pPr>
            <w:r>
              <w:rPr>
                <w:rFonts w:hint="eastAsia" w:ascii="宋体" w:hAnsi="宋体" w:cs="宋体"/>
                <w:szCs w:val="21"/>
                <w:highlight w:val="none"/>
                <w:lang w:bidi="ar"/>
              </w:rPr>
              <w:t>采购计划号：广西政采[2025]4329号-001、广西政采[2025]4329号-002、广西政采[2025]4329号-003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1.3.2</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lang w:val="zh-CN"/>
              </w:rPr>
            </w:pPr>
            <w:r>
              <w:rPr>
                <w:rFonts w:hint="eastAsia" w:ascii="宋体" w:hAnsi="宋体" w:cs="宋体"/>
                <w:szCs w:val="21"/>
                <w:highlight w:val="none"/>
                <w:lang w:val="zh-CN"/>
              </w:rPr>
              <w:t>采购方式</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rPr>
              <w:t>公开招标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1.4.1</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lang w:val="zh-CN"/>
              </w:rPr>
              <w:t>供应商资格条件</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6" w:hRule="atLeast"/>
        </w:trPr>
        <w:tc>
          <w:tcPr>
            <w:tcW w:w="438" w:type="pct"/>
            <w:tcBorders>
              <w:top w:val="single" w:color="auto" w:sz="4" w:space="0"/>
              <w:left w:val="single" w:color="auto" w:sz="4" w:space="0"/>
              <w:bottom w:val="nil"/>
              <w:right w:val="single" w:color="auto" w:sz="4" w:space="0"/>
            </w:tcBorders>
            <w:vAlign w:val="center"/>
          </w:tcPr>
          <w:p>
            <w:pPr>
              <w:spacing w:line="360" w:lineRule="exact"/>
              <w:jc w:val="center"/>
              <w:rPr>
                <w:rFonts w:hint="eastAsia" w:ascii="宋体" w:hAnsi="宋体"/>
                <w:b/>
                <w:szCs w:val="21"/>
                <w:highlight w:val="none"/>
              </w:rPr>
            </w:pPr>
            <w:bookmarkStart w:id="140" w:name="_Hlk85555568"/>
            <w:r>
              <w:rPr>
                <w:rFonts w:ascii="宋体" w:hAnsi="宋体"/>
                <w:b/>
                <w:szCs w:val="21"/>
                <w:highlight w:val="none"/>
              </w:rPr>
              <w:t>1.4.3</w:t>
            </w:r>
          </w:p>
        </w:tc>
        <w:tc>
          <w:tcPr>
            <w:tcW w:w="790" w:type="pct"/>
            <w:tcBorders>
              <w:top w:val="single" w:color="auto" w:sz="4" w:space="0"/>
              <w:left w:val="single" w:color="auto" w:sz="4" w:space="0"/>
              <w:bottom w:val="nil"/>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联合体</w:t>
            </w:r>
          </w:p>
        </w:tc>
        <w:tc>
          <w:tcPr>
            <w:tcW w:w="3772" w:type="pct"/>
            <w:tcBorders>
              <w:top w:val="single" w:color="auto" w:sz="4" w:space="0"/>
              <w:left w:val="single" w:color="auto" w:sz="4" w:space="0"/>
              <w:bottom w:val="nil"/>
              <w:right w:val="single" w:color="auto" w:sz="4" w:space="0"/>
            </w:tcBorders>
            <w:vAlign w:val="center"/>
          </w:tcPr>
          <w:p>
            <w:pPr>
              <w:spacing w:line="360" w:lineRule="exact"/>
              <w:jc w:val="left"/>
              <w:rPr>
                <w:rFonts w:hint="eastAsia" w:ascii="宋体" w:hAnsi="宋体"/>
                <w:szCs w:val="21"/>
                <w:highlight w:val="none"/>
                <w:u w:val="single"/>
              </w:rPr>
            </w:pPr>
            <w:r>
              <w:rPr>
                <w:rFonts w:hint="eastAsia" w:ascii="宋体" w:hAnsi="宋体" w:cs="宋体"/>
                <w:szCs w:val="21"/>
                <w:highlight w:val="none"/>
              </w:rPr>
              <w:t>详见招标公告</w:t>
            </w:r>
            <w:bookmarkEnd w:id="140"/>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1.5</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踏勘</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ascii="宋体" w:hAnsi="宋体" w:cs="Wingdings 2"/>
                <w:szCs w:val="21"/>
                <w:highlight w:val="none"/>
                <w:lang w:bidi="ar"/>
              </w:rPr>
              <w:sym w:font="Wingdings 2" w:char="0052"/>
            </w:r>
            <w:r>
              <w:rPr>
                <w:rFonts w:hint="eastAsia" w:ascii="宋体" w:hAnsi="宋体" w:cs="宋体"/>
                <w:szCs w:val="21"/>
                <w:highlight w:val="none"/>
                <w:lang w:bidi="ar"/>
              </w:rPr>
              <w:t>否</w:t>
            </w:r>
            <w:r>
              <w:rPr>
                <w:rFonts w:ascii="宋体" w:hAnsi="宋体"/>
                <w:szCs w:val="21"/>
                <w:highlight w:val="none"/>
                <w:lang w:bidi="ar"/>
              </w:rPr>
              <w:t xml:space="preserve">   □</w:t>
            </w:r>
            <w:r>
              <w:rPr>
                <w:rFonts w:hint="eastAsia" w:ascii="宋体" w:hAnsi="宋体" w:cs="宋体"/>
                <w:szCs w:val="21"/>
                <w:highlight w:val="none"/>
                <w:lang w:bidi="ar"/>
              </w:rPr>
              <w:t>是</w:t>
            </w:r>
          </w:p>
          <w:p>
            <w:pPr>
              <w:spacing w:line="360" w:lineRule="exact"/>
              <w:rPr>
                <w:rFonts w:hint="eastAsia" w:ascii="宋体" w:hAnsi="宋体"/>
                <w:szCs w:val="21"/>
                <w:highlight w:val="none"/>
                <w:u w:val="single"/>
              </w:rPr>
            </w:pPr>
            <w:r>
              <w:rPr>
                <w:rFonts w:hint="eastAsia" w:ascii="宋体" w:hAnsi="宋体" w:cs="宋体"/>
                <w:szCs w:val="21"/>
                <w:highlight w:val="none"/>
                <w:lang w:bidi="ar"/>
              </w:rPr>
              <w:t>踏勘时间：</w:t>
            </w:r>
            <w:r>
              <w:rPr>
                <w:rFonts w:ascii="宋体" w:hAnsi="宋体"/>
                <w:szCs w:val="21"/>
                <w:highlight w:val="none"/>
                <w:lang w:bidi="ar"/>
              </w:rPr>
              <w:t>/</w:t>
            </w:r>
          </w:p>
          <w:p>
            <w:pPr>
              <w:spacing w:line="360" w:lineRule="exact"/>
              <w:rPr>
                <w:rFonts w:hint="eastAsia" w:ascii="宋体" w:hAnsi="宋体"/>
                <w:szCs w:val="21"/>
                <w:highlight w:val="none"/>
                <w:u w:val="single"/>
              </w:rPr>
            </w:pPr>
            <w:r>
              <w:rPr>
                <w:rFonts w:hint="eastAsia" w:ascii="宋体" w:hAnsi="宋体" w:cs="宋体"/>
                <w:szCs w:val="21"/>
                <w:highlight w:val="none"/>
                <w:lang w:bidi="ar"/>
              </w:rPr>
              <w:t>踏勘地点：</w:t>
            </w:r>
            <w:r>
              <w:rPr>
                <w:rFonts w:ascii="宋体" w:hAnsi="宋体"/>
                <w:szCs w:val="21"/>
                <w:highlight w:val="none"/>
                <w:lang w:bidi="ar"/>
              </w:rPr>
              <w:t>/</w:t>
            </w:r>
          </w:p>
          <w:p>
            <w:pPr>
              <w:spacing w:line="360" w:lineRule="exact"/>
              <w:jc w:val="left"/>
              <w:rPr>
                <w:rFonts w:hint="eastAsia" w:ascii="宋体" w:hAnsi="宋体"/>
                <w:szCs w:val="21"/>
                <w:highlight w:val="none"/>
              </w:rPr>
            </w:pPr>
            <w:r>
              <w:rPr>
                <w:rFonts w:hint="eastAsia" w:ascii="宋体" w:hAnsi="宋体" w:cs="宋体"/>
                <w:szCs w:val="21"/>
                <w:highlight w:val="none"/>
              </w:rPr>
              <w:t>踏勘要求：</w:t>
            </w:r>
            <w:r>
              <w:rPr>
                <w:rFonts w:ascii="宋体" w:hAnsi="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1.6.1</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转包</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rPr>
              <w:t>本项目不允许转包。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1.6.2</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分包</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kern w:val="0"/>
                <w:szCs w:val="21"/>
                <w:highlight w:val="none"/>
              </w:rPr>
            </w:pPr>
            <w:r>
              <w:rPr>
                <w:rFonts w:ascii="宋体" w:hAnsi="宋体" w:cs="Wingdings 2"/>
                <w:szCs w:val="21"/>
                <w:highlight w:val="none"/>
                <w:lang w:bidi="ar"/>
              </w:rPr>
              <w:sym w:font="Wingdings 2" w:char="0052"/>
            </w:r>
            <w:r>
              <w:rPr>
                <w:rFonts w:hint="eastAsia" w:ascii="宋体" w:hAnsi="宋体" w:cs="宋体"/>
                <w:kern w:val="0"/>
                <w:szCs w:val="21"/>
                <w:highlight w:val="none"/>
                <w:lang w:bidi="ar"/>
              </w:rPr>
              <w:t>不允许分包</w:t>
            </w:r>
          </w:p>
          <w:p>
            <w:pPr>
              <w:spacing w:line="360" w:lineRule="exact"/>
              <w:jc w:val="left"/>
              <w:rPr>
                <w:rFonts w:hint="eastAsia" w:ascii="宋体" w:hAnsi="宋体"/>
                <w:szCs w:val="21"/>
                <w:highlight w:val="none"/>
              </w:rPr>
            </w:pPr>
            <w:r>
              <w:rPr>
                <w:rFonts w:ascii="宋体" w:hAnsi="宋体" w:cs="Wingdings 2"/>
                <w:szCs w:val="21"/>
                <w:highlight w:val="none"/>
                <w:lang w:bidi="ar"/>
              </w:rPr>
              <w:sym w:font="Wingdings 2" w:char="00A3"/>
            </w:r>
            <w:r>
              <w:rPr>
                <w:rFonts w:hint="eastAsia" w:ascii="宋体" w:hAnsi="宋体" w:cs="宋体"/>
                <w:szCs w:val="21"/>
                <w:highlight w:val="none"/>
                <w:lang w:bidi="ar"/>
              </w:rPr>
              <w:t>允许分包，允许非小微企业供应商将采购项目中非主体、非关键性工作分包给一家或者多家小微企业，可以分包的内容</w:t>
            </w:r>
            <w:r>
              <w:rPr>
                <w:rFonts w:ascii="宋体" w:hAnsi="宋体"/>
                <w:szCs w:val="21"/>
                <w:highlight w:val="none"/>
                <w:u w:val="single"/>
                <w:lang w:bidi="ar"/>
              </w:rPr>
              <w:t xml:space="preserve">           </w:t>
            </w:r>
            <w:r>
              <w:rPr>
                <w:rFonts w:hint="eastAsia" w:ascii="宋体" w:hAnsi="宋体" w:cs="宋体"/>
                <w:szCs w:val="21"/>
                <w:highlight w:val="none"/>
                <w:lang w:bidi="ar"/>
              </w:rPr>
              <w:t>；</w:t>
            </w:r>
          </w:p>
          <w:p>
            <w:pPr>
              <w:spacing w:line="360" w:lineRule="exact"/>
              <w:jc w:val="left"/>
              <w:rPr>
                <w:rFonts w:hint="eastAsia" w:ascii="宋体" w:hAnsi="宋体"/>
                <w:szCs w:val="21"/>
                <w:highlight w:val="none"/>
              </w:rPr>
            </w:pPr>
            <w:r>
              <w:rPr>
                <w:rFonts w:hint="eastAsia" w:ascii="宋体" w:hAnsi="宋体" w:cs="宋体"/>
                <w:szCs w:val="21"/>
                <w:highlight w:val="none"/>
              </w:rPr>
              <w:t>可以分包的比例：</w:t>
            </w:r>
            <w:r>
              <w:rPr>
                <w:rFonts w:ascii="宋体" w:hAnsi="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2.3</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招标文件澄清、修改</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rPr>
              <w:t>在招标公告发布媒介发布。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0"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2.3</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确认收到澄清、修改发布的方式</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rPr>
              <w:t>澄清、修改文件自招标公告发布媒体发布之日起，视为供应商已收到该澄清、修改。供应商未及时关注招标公告发布媒体造成的损失，由供应商自行负责。</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9"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3.4.1</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投标有效期</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rPr>
              <w:t>投标截止之日起</w:t>
            </w:r>
            <w:r>
              <w:rPr>
                <w:rFonts w:ascii="宋体" w:hAnsi="宋体"/>
                <w:szCs w:val="21"/>
                <w:highlight w:val="none"/>
              </w:rPr>
              <w:t>90</w:t>
            </w:r>
            <w:r>
              <w:rPr>
                <w:rFonts w:hint="eastAsia" w:ascii="宋体" w:hAnsi="宋体" w:cs="宋体"/>
                <w:szCs w:val="21"/>
                <w:highlight w:val="none"/>
              </w:rPr>
              <w:t>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3.5</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投标保证金</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lang w:bidi="ar"/>
              </w:rPr>
              <w:t>投标保证金金额：</w:t>
            </w:r>
            <w:r>
              <w:rPr>
                <w:rFonts w:hint="eastAsia" w:ascii="宋体" w:hAnsi="宋体" w:cs="宋体"/>
                <w:szCs w:val="21"/>
                <w:highlight w:val="none"/>
              </w:rPr>
              <w:t>详见招标公告。</w:t>
            </w:r>
          </w:p>
          <w:p>
            <w:pPr>
              <w:spacing w:line="360" w:lineRule="exact"/>
              <w:jc w:val="left"/>
              <w:rPr>
                <w:rFonts w:hint="eastAsia" w:ascii="宋体" w:hAnsi="宋体" w:cs="宋体"/>
                <w:szCs w:val="21"/>
                <w:highlight w:val="none"/>
                <w:lang w:bidi="ar"/>
              </w:rPr>
            </w:pPr>
            <w:r>
              <w:rPr>
                <w:rFonts w:hint="eastAsia" w:ascii="宋体" w:hAnsi="宋体" w:cs="宋体"/>
                <w:kern w:val="0"/>
                <w:szCs w:val="21"/>
                <w:highlight w:val="none"/>
              </w:rPr>
              <w:t>投标保证金的交纳方式：银行转账、支票、汇票、本票或者金融、担保机构出具的保函、保单，禁止采用现钞方式。</w:t>
            </w:r>
          </w:p>
          <w:p>
            <w:pPr>
              <w:snapToGrid w:val="0"/>
              <w:spacing w:line="400" w:lineRule="exact"/>
              <w:rPr>
                <w:rFonts w:hint="eastAsia" w:ascii="宋体" w:hAnsi="宋体" w:cs="宋体"/>
                <w:szCs w:val="21"/>
                <w:highlight w:val="none"/>
              </w:rPr>
            </w:pPr>
            <w:r>
              <w:rPr>
                <w:rFonts w:hint="eastAsia" w:ascii="宋体" w:hAnsi="宋体" w:cs="宋体"/>
                <w:szCs w:val="21"/>
                <w:highlight w:val="none"/>
              </w:rPr>
              <w:t>相关要求：</w:t>
            </w:r>
          </w:p>
          <w:p>
            <w:pPr>
              <w:snapToGrid w:val="0"/>
              <w:spacing w:line="400" w:lineRule="exact"/>
              <w:rPr>
                <w:rFonts w:hint="eastAsia" w:ascii="宋体" w:hAnsi="宋体"/>
                <w:b/>
                <w:szCs w:val="21"/>
                <w:highlight w:val="none"/>
              </w:rPr>
            </w:pPr>
            <w:r>
              <w:rPr>
                <w:rFonts w:hint="eastAsia" w:ascii="宋体" w:hAnsi="宋体" w:cs="宋体"/>
                <w:szCs w:val="21"/>
                <w:highlight w:val="none"/>
              </w:rPr>
              <w:t>1.投标保证金采用银行转账</w:t>
            </w:r>
            <w:bookmarkStart w:id="141" w:name="OLE_LINK14"/>
            <w:r>
              <w:rPr>
                <w:rFonts w:hint="eastAsia" w:ascii="宋体" w:hAnsi="宋体" w:cs="宋体"/>
                <w:szCs w:val="21"/>
                <w:highlight w:val="none"/>
              </w:rPr>
              <w:t>交纳方式</w:t>
            </w:r>
            <w:bookmarkEnd w:id="141"/>
            <w:r>
              <w:rPr>
                <w:rFonts w:hint="eastAsia" w:ascii="宋体" w:hAnsi="宋体" w:cs="宋体"/>
                <w:szCs w:val="21"/>
                <w:highlight w:val="none"/>
              </w:rPr>
              <w:t>的，在投标文件提交截止时间前交至招标代理机构指定账户并且到账，投标人应将银行转账底单的复印件作为投标保证金提交凭证，放置于投标文件中，</w:t>
            </w:r>
            <w:r>
              <w:rPr>
                <w:rFonts w:hint="eastAsia" w:ascii="宋体" w:hAnsi="宋体"/>
                <w:b/>
                <w:szCs w:val="21"/>
                <w:highlight w:val="none"/>
              </w:rPr>
              <w:t>否则视为无效投标保证金。</w:t>
            </w:r>
          </w:p>
          <w:p>
            <w:pPr>
              <w:snapToGrid w:val="0"/>
              <w:spacing w:line="400" w:lineRule="exact"/>
              <w:rPr>
                <w:rFonts w:hint="eastAsia" w:ascii="宋体" w:hAnsi="宋体"/>
                <w:b/>
                <w:szCs w:val="21"/>
                <w:highlight w:val="none"/>
              </w:rPr>
            </w:pPr>
            <w:r>
              <w:rPr>
                <w:rFonts w:hint="eastAsia" w:ascii="宋体" w:hAnsi="宋体"/>
                <w:szCs w:val="21"/>
                <w:highlight w:val="none"/>
              </w:rPr>
              <w:t>2.</w:t>
            </w:r>
            <w:r>
              <w:rPr>
                <w:rFonts w:hint="eastAsia" w:ascii="宋体" w:hAnsi="宋体" w:cs="宋体"/>
                <w:szCs w:val="21"/>
                <w:highlight w:val="none"/>
              </w:rPr>
              <w:t>投标</w:t>
            </w:r>
            <w:r>
              <w:rPr>
                <w:rFonts w:hint="eastAsia" w:ascii="宋体" w:hAnsi="宋体"/>
                <w:szCs w:val="21"/>
                <w:highlight w:val="none"/>
              </w:rPr>
              <w:t>保证金采用支票、汇票、本票或者金融、担保机构出具的保函、保单交纳方式的，投标人应将支票、汇票、本票或者金融、担保机构出具的保函、保单的复印件作为</w:t>
            </w:r>
            <w:r>
              <w:rPr>
                <w:rFonts w:hint="eastAsia" w:ascii="宋体" w:hAnsi="宋体" w:cs="宋体"/>
                <w:szCs w:val="21"/>
                <w:highlight w:val="none"/>
              </w:rPr>
              <w:t>投标</w:t>
            </w:r>
            <w:r>
              <w:rPr>
                <w:rFonts w:hint="eastAsia" w:ascii="宋体" w:hAnsi="宋体"/>
                <w:szCs w:val="21"/>
                <w:highlight w:val="none"/>
              </w:rPr>
              <w:t>保证金提交凭证，放置于</w:t>
            </w:r>
            <w:r>
              <w:rPr>
                <w:rFonts w:hint="eastAsia" w:ascii="宋体" w:hAnsi="宋体" w:cs="宋体"/>
                <w:szCs w:val="21"/>
                <w:highlight w:val="none"/>
              </w:rPr>
              <w:t>投标文件</w:t>
            </w:r>
            <w:r>
              <w:rPr>
                <w:rFonts w:hint="eastAsia" w:ascii="宋体" w:hAnsi="宋体"/>
                <w:szCs w:val="21"/>
                <w:highlight w:val="none"/>
              </w:rPr>
              <w:t>中，</w:t>
            </w:r>
            <w:r>
              <w:rPr>
                <w:rFonts w:hint="eastAsia" w:ascii="宋体" w:hAnsi="宋体" w:cs="宋体"/>
                <w:b/>
                <w:szCs w:val="21"/>
                <w:highlight w:val="none"/>
              </w:rPr>
              <w:t>否则视为无效投标保证金。</w:t>
            </w:r>
            <w:r>
              <w:rPr>
                <w:rFonts w:hint="eastAsia" w:ascii="宋体" w:hAnsi="宋体"/>
                <w:szCs w:val="21"/>
                <w:highlight w:val="none"/>
              </w:rPr>
              <w:t>投标人必须于递交投标文件时将支票、汇票、本票或者金融、担保机构出具的保函</w:t>
            </w:r>
            <w:r>
              <w:rPr>
                <w:rFonts w:hint="eastAsia" w:ascii="宋体" w:hAnsi="宋体" w:cs="宋体"/>
                <w:kern w:val="0"/>
                <w:szCs w:val="21"/>
                <w:highlight w:val="none"/>
              </w:rPr>
              <w:t>、保单</w:t>
            </w:r>
            <w:r>
              <w:rPr>
                <w:rFonts w:hint="eastAsia" w:ascii="宋体" w:hAnsi="宋体"/>
                <w:szCs w:val="21"/>
                <w:highlight w:val="none"/>
              </w:rPr>
              <w:t>原件提交至</w:t>
            </w:r>
            <w:r>
              <w:rPr>
                <w:rFonts w:hint="eastAsia" w:ascii="宋体" w:hAnsi="宋体"/>
                <w:b/>
                <w:bCs/>
                <w:szCs w:val="21"/>
                <w:highlight w:val="none"/>
              </w:rPr>
              <w:t>广西壮族自治区公共资源交易中心开标室（具体详见电子屏幕）（项目联系人：陆家语，联系方式：18077797322、15307868806）</w:t>
            </w:r>
            <w:r>
              <w:rPr>
                <w:rFonts w:hint="eastAsia" w:ascii="宋体" w:hAnsi="宋体"/>
                <w:szCs w:val="21"/>
                <w:highlight w:val="none"/>
              </w:rPr>
              <w:t>给采购代理机构，</w:t>
            </w:r>
            <w:r>
              <w:rPr>
                <w:rFonts w:hint="eastAsia" w:ascii="宋体" w:hAnsi="宋体"/>
                <w:b/>
                <w:szCs w:val="21"/>
                <w:highlight w:val="none"/>
              </w:rPr>
              <w:t>否则视为无效投标保证金。</w:t>
            </w:r>
          </w:p>
          <w:p>
            <w:pPr>
              <w:snapToGrid w:val="0"/>
              <w:spacing w:line="360" w:lineRule="exact"/>
              <w:jc w:val="left"/>
              <w:rPr>
                <w:rFonts w:hint="eastAsia" w:ascii="宋体" w:hAnsi="宋体" w:cs="宋体"/>
                <w:b/>
                <w:bCs/>
                <w:szCs w:val="21"/>
                <w:highlight w:val="none"/>
              </w:rPr>
            </w:pPr>
            <w:r>
              <w:rPr>
                <w:rFonts w:hint="eastAsia" w:ascii="宋体" w:hAnsi="宋体" w:cs="宋体"/>
                <w:b/>
                <w:bCs/>
                <w:szCs w:val="21"/>
                <w:highlight w:val="none"/>
              </w:rPr>
              <w:t>3.</w:t>
            </w:r>
            <w:bookmarkStart w:id="142" w:name="OLE_LINK57"/>
            <w:r>
              <w:rPr>
                <w:rFonts w:hint="eastAsia" w:ascii="宋体" w:hAnsi="宋体" w:cs="宋体"/>
                <w:b/>
                <w:bCs/>
                <w:szCs w:val="21"/>
                <w:highlight w:val="none"/>
              </w:rPr>
              <w:t>投标保证金收取指定账户：</w:t>
            </w:r>
          </w:p>
          <w:p>
            <w:pPr>
              <w:snapToGrid w:val="0"/>
              <w:spacing w:line="400" w:lineRule="exact"/>
              <w:rPr>
                <w:rFonts w:hint="eastAsia" w:ascii="宋体" w:hAnsi="宋体" w:cs="宋体"/>
                <w:szCs w:val="21"/>
                <w:highlight w:val="none"/>
              </w:rPr>
            </w:pPr>
            <w:r>
              <w:rPr>
                <w:rFonts w:hint="eastAsia" w:ascii="宋体" w:hAnsi="宋体" w:cs="宋体"/>
                <w:szCs w:val="21"/>
                <w:highlight w:val="none"/>
              </w:rPr>
              <w:t>账户名称：广西双科建设工程咨询有限公司</w:t>
            </w:r>
          </w:p>
          <w:p>
            <w:pPr>
              <w:snapToGrid w:val="0"/>
              <w:spacing w:line="400" w:lineRule="exact"/>
              <w:rPr>
                <w:rFonts w:hint="eastAsia" w:ascii="宋体" w:hAnsi="宋体" w:cs="宋体"/>
                <w:szCs w:val="21"/>
                <w:highlight w:val="none"/>
              </w:rPr>
            </w:pPr>
            <w:r>
              <w:rPr>
                <w:rFonts w:hint="eastAsia" w:ascii="宋体" w:hAnsi="宋体" w:cs="宋体"/>
                <w:szCs w:val="21"/>
                <w:highlight w:val="none"/>
              </w:rPr>
              <w:t>开户银行：交通银行股份有限公司南宁桂雅支行</w:t>
            </w:r>
          </w:p>
          <w:p>
            <w:pPr>
              <w:snapToGrid w:val="0"/>
              <w:spacing w:line="400" w:lineRule="exact"/>
              <w:rPr>
                <w:rFonts w:hint="eastAsia" w:ascii="宋体" w:hAnsi="宋体" w:cs="宋体"/>
                <w:szCs w:val="21"/>
                <w:highlight w:val="none"/>
              </w:rPr>
            </w:pPr>
            <w:r>
              <w:rPr>
                <w:rFonts w:hint="eastAsia" w:ascii="宋体" w:hAnsi="宋体" w:cs="宋体"/>
                <w:szCs w:val="21"/>
                <w:highlight w:val="none"/>
              </w:rPr>
              <w:t>银行账号：</w:t>
            </w:r>
            <w:bookmarkStart w:id="143" w:name="OLE_LINK63"/>
            <w:r>
              <w:rPr>
                <w:rFonts w:hint="eastAsia" w:ascii="宋体" w:hAnsi="宋体" w:cs="宋体"/>
                <w:szCs w:val="21"/>
                <w:highlight w:val="none"/>
              </w:rPr>
              <w:t>451899991013002217345</w:t>
            </w:r>
            <w:bookmarkEnd w:id="143"/>
          </w:p>
          <w:bookmarkEnd w:id="142"/>
          <w:p>
            <w:pPr>
              <w:snapToGrid w:val="0"/>
              <w:spacing w:line="400" w:lineRule="exact"/>
              <w:rPr>
                <w:rFonts w:hint="eastAsia" w:ascii="宋体" w:hAnsi="宋体" w:cs="宋体"/>
                <w:b/>
                <w:szCs w:val="21"/>
                <w:highlight w:val="none"/>
              </w:rPr>
            </w:pPr>
            <w:r>
              <w:rPr>
                <w:rFonts w:hint="eastAsia" w:ascii="宋体" w:hAnsi="宋体" w:cs="宋体"/>
                <w:szCs w:val="21"/>
                <w:highlight w:val="none"/>
              </w:rPr>
              <w:t>4.投标人为联合体的，可以由联合体中的一方或者多方共同交纳投标保证金，其交纳的保证金对联合体各方均具有约束力。</w:t>
            </w:r>
          </w:p>
          <w:p>
            <w:pPr>
              <w:snapToGrid w:val="0"/>
              <w:spacing w:line="400" w:lineRule="exact"/>
              <w:rPr>
                <w:rFonts w:hint="eastAsia" w:ascii="宋体" w:hAnsi="宋体" w:cs="宋体"/>
                <w:b/>
                <w:szCs w:val="21"/>
                <w:highlight w:val="none"/>
              </w:rPr>
            </w:pPr>
            <w:r>
              <w:rPr>
                <w:rFonts w:hint="eastAsia" w:ascii="宋体" w:hAnsi="宋体" w:cs="宋体"/>
                <w:b/>
                <w:szCs w:val="21"/>
                <w:highlight w:val="none"/>
              </w:rPr>
              <w:t xml:space="preserve">备注： </w:t>
            </w:r>
          </w:p>
          <w:p>
            <w:pPr>
              <w:snapToGrid w:val="0"/>
              <w:spacing w:line="400" w:lineRule="exact"/>
              <w:rPr>
                <w:rFonts w:hint="eastAsia" w:ascii="宋体" w:hAnsi="宋体" w:cs="宋体"/>
                <w:b/>
                <w:szCs w:val="21"/>
                <w:highlight w:val="none"/>
              </w:rPr>
            </w:pPr>
            <w:r>
              <w:rPr>
                <w:rFonts w:hint="eastAsia" w:ascii="宋体" w:hAnsi="宋体" w:cs="宋体"/>
                <w:b/>
                <w:szCs w:val="21"/>
                <w:highlight w:val="none"/>
              </w:rPr>
              <w:t>1.投标文件提交截止时间后交纳的，或者未足额交纳的，或者保函、保单额度不足的，视为无效投标保证金。</w:t>
            </w:r>
          </w:p>
          <w:p>
            <w:pPr>
              <w:snapToGrid w:val="0"/>
              <w:spacing w:line="400" w:lineRule="exact"/>
              <w:rPr>
                <w:rFonts w:hint="eastAsia" w:ascii="宋体" w:hAnsi="宋体" w:cs="宋体"/>
                <w:b/>
                <w:szCs w:val="21"/>
                <w:highlight w:val="none"/>
              </w:rPr>
            </w:pPr>
            <w:r>
              <w:rPr>
                <w:rFonts w:hint="eastAsia" w:ascii="宋体" w:hAnsi="宋体" w:cs="宋体"/>
                <w:b/>
                <w:szCs w:val="21"/>
                <w:highlight w:val="none"/>
              </w:rPr>
              <w:t>2.投标人采用现钞方式或者从个人账户（自然人投标除外）转出的投标保证金，视为无效投标保证金。</w:t>
            </w:r>
          </w:p>
          <w:p>
            <w:pPr>
              <w:snapToGrid w:val="0"/>
              <w:spacing w:line="400" w:lineRule="exact"/>
              <w:rPr>
                <w:rFonts w:hint="eastAsia" w:ascii="宋体" w:hAnsi="宋体" w:cs="宋体"/>
                <w:b/>
                <w:szCs w:val="21"/>
                <w:highlight w:val="none"/>
              </w:rPr>
            </w:pPr>
            <w:r>
              <w:rPr>
                <w:rFonts w:hint="eastAsia" w:ascii="宋体" w:hAnsi="宋体" w:cs="宋体"/>
                <w:b/>
                <w:szCs w:val="21"/>
                <w:highlight w:val="none"/>
              </w:rPr>
              <w:t>3.支票、汇票或者本票出现无效或者背书情形的，视为无效投标保证金。</w:t>
            </w:r>
          </w:p>
          <w:p>
            <w:pPr>
              <w:snapToGrid w:val="0"/>
              <w:spacing w:line="400" w:lineRule="exact"/>
              <w:rPr>
                <w:rFonts w:hint="eastAsia" w:ascii="宋体" w:hAnsi="宋体" w:cs="宋体"/>
                <w:b/>
                <w:szCs w:val="21"/>
                <w:highlight w:val="none"/>
              </w:rPr>
            </w:pPr>
            <w:r>
              <w:rPr>
                <w:rFonts w:hint="eastAsia" w:ascii="宋体" w:hAnsi="宋体" w:cs="宋体"/>
                <w:b/>
                <w:szCs w:val="21"/>
                <w:highlight w:val="none"/>
              </w:rPr>
              <w:t>4.保函、保单有效期低于投标有效期的，视为无效投标保证金。</w:t>
            </w:r>
          </w:p>
          <w:p>
            <w:pPr>
              <w:spacing w:line="360" w:lineRule="exact"/>
              <w:jc w:val="left"/>
              <w:rPr>
                <w:rFonts w:hint="eastAsia" w:ascii="宋体" w:hAnsi="宋体"/>
                <w:b/>
                <w:bCs/>
                <w:szCs w:val="21"/>
                <w:highlight w:val="none"/>
              </w:rPr>
            </w:pPr>
            <w:r>
              <w:rPr>
                <w:rFonts w:hint="eastAsia" w:ascii="宋体" w:hAnsi="宋体" w:cs="宋体"/>
                <w:b/>
                <w:szCs w:val="21"/>
                <w:highlight w:val="none"/>
              </w:rPr>
              <w:t>5.投标保证金采用金融、担保机构出具的保函、保单为有条件保函、保单的，视为无效投标保证金。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trPr>
        <w:tc>
          <w:tcPr>
            <w:tcW w:w="438" w:type="pct"/>
            <w:tcBorders>
              <w:top w:val="nil"/>
              <w:left w:val="single" w:color="auto" w:sz="4" w:space="0"/>
              <w:bottom w:val="nil"/>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3.6</w:t>
            </w:r>
          </w:p>
        </w:tc>
        <w:tc>
          <w:tcPr>
            <w:tcW w:w="790" w:type="pct"/>
            <w:tcBorders>
              <w:top w:val="single" w:color="auto" w:sz="4" w:space="0"/>
              <w:left w:val="single" w:color="auto" w:sz="4" w:space="0"/>
              <w:bottom w:val="nil"/>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投标文件的编制</w:t>
            </w:r>
          </w:p>
        </w:tc>
        <w:tc>
          <w:tcPr>
            <w:tcW w:w="3772" w:type="pct"/>
            <w:tcBorders>
              <w:top w:val="single" w:color="auto" w:sz="4" w:space="0"/>
              <w:left w:val="single" w:color="auto" w:sz="4" w:space="0"/>
              <w:bottom w:val="nil"/>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rPr>
              <w:t>投标文件应按“第六章 投标文件格式”分别编制并使用下载的政采云投标客户端制作并上传。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90"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3.7</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投标文件递交截止时间及开标时间</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kern w:val="0"/>
                <w:szCs w:val="21"/>
                <w:highlight w:val="none"/>
              </w:rPr>
              <w:t>见招标公告要求</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5"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4.2</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0"/>
                <w:highlight w:val="none"/>
              </w:rPr>
            </w:pPr>
            <w:r>
              <w:rPr>
                <w:rFonts w:hint="eastAsia" w:ascii="宋体" w:hAnsi="宋体" w:cs="宋体"/>
                <w:szCs w:val="21"/>
                <w:highlight w:val="none"/>
              </w:rPr>
              <w:t>备份投标文件</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 w:val="22"/>
                <w:szCs w:val="22"/>
                <w:highlight w:val="none"/>
              </w:rPr>
            </w:pPr>
            <w:r>
              <w:rPr>
                <w:rFonts w:hint="eastAsia" w:ascii="宋体" w:hAnsi="宋体" w:cs="宋体"/>
                <w:szCs w:val="21"/>
                <w:highlight w:val="none"/>
              </w:rPr>
              <w:t xml:space="preserve">本项目  </w:t>
            </w:r>
            <w:r>
              <w:rPr>
                <w:rFonts w:ascii="宋体" w:hAnsi="宋体"/>
                <w:szCs w:val="21"/>
                <w:highlight w:val="none"/>
              </w:rPr>
              <w:t>□</w:t>
            </w:r>
            <w:r>
              <w:rPr>
                <w:rFonts w:hint="eastAsia" w:ascii="宋体" w:hAnsi="宋体" w:cs="宋体"/>
                <w:szCs w:val="21"/>
                <w:highlight w:val="none"/>
              </w:rPr>
              <w:t>接受</w:t>
            </w:r>
            <w:r>
              <w:rPr>
                <w:rFonts w:ascii="宋体" w:hAnsi="宋体"/>
                <w:szCs w:val="21"/>
                <w:highlight w:val="none"/>
              </w:rPr>
              <w:t xml:space="preserve">   </w:t>
            </w:r>
            <w:r>
              <w:rPr>
                <w:rFonts w:ascii="宋体" w:hAnsi="宋体" w:cs="Wingdings 2"/>
                <w:sz w:val="22"/>
                <w:szCs w:val="22"/>
                <w:highlight w:val="none"/>
              </w:rPr>
              <w:sym w:font="Wingdings 2" w:char="0052"/>
            </w:r>
            <w:r>
              <w:rPr>
                <w:rFonts w:hint="eastAsia" w:ascii="宋体" w:hAnsi="宋体" w:cs="宋体"/>
                <w:szCs w:val="21"/>
                <w:highlight w:val="none"/>
              </w:rPr>
              <w:t>不接受备份投标文件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5"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4.3</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0"/>
                <w:highlight w:val="none"/>
              </w:rPr>
              <w:t>演示</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Cs w:val="21"/>
                <w:highlight w:val="none"/>
              </w:rPr>
            </w:pPr>
            <w:r>
              <w:rPr>
                <w:rFonts w:ascii="宋体" w:hAnsi="宋体" w:cs="Wingdings 2"/>
                <w:sz w:val="22"/>
                <w:szCs w:val="22"/>
                <w:highlight w:val="none"/>
                <w:lang w:bidi="ar"/>
              </w:rPr>
              <w:sym w:font="Wingdings 2" w:char="0052"/>
            </w:r>
            <w:r>
              <w:rPr>
                <w:rFonts w:hint="eastAsia" w:ascii="宋体" w:hAnsi="宋体" w:cs="宋体"/>
                <w:szCs w:val="21"/>
                <w:highlight w:val="none"/>
                <w:lang w:bidi="ar"/>
              </w:rPr>
              <w:t>否</w:t>
            </w:r>
            <w:r>
              <w:rPr>
                <w:rFonts w:ascii="宋体" w:hAnsi="宋体"/>
                <w:szCs w:val="21"/>
                <w:highlight w:val="none"/>
                <w:lang w:bidi="ar"/>
              </w:rPr>
              <w:t xml:space="preserve">   □</w:t>
            </w:r>
            <w:r>
              <w:rPr>
                <w:rFonts w:hint="eastAsia" w:ascii="宋体" w:hAnsi="宋体" w:cs="宋体"/>
                <w:szCs w:val="21"/>
                <w:highlight w:val="none"/>
                <w:lang w:bidi="ar"/>
              </w:rPr>
              <w:t>是</w:t>
            </w:r>
          </w:p>
          <w:p>
            <w:pPr>
              <w:spacing w:line="360" w:lineRule="exact"/>
              <w:rPr>
                <w:rFonts w:hint="eastAsia" w:ascii="宋体" w:hAnsi="宋体"/>
                <w:szCs w:val="21"/>
                <w:highlight w:val="none"/>
                <w:u w:val="single"/>
              </w:rPr>
            </w:pPr>
            <w:r>
              <w:rPr>
                <w:rFonts w:hint="eastAsia" w:ascii="宋体" w:hAnsi="宋体" w:cs="宋体"/>
                <w:szCs w:val="21"/>
                <w:highlight w:val="none"/>
                <w:lang w:bidi="ar"/>
              </w:rPr>
              <w:t>演示内容：</w:t>
            </w:r>
            <w:r>
              <w:rPr>
                <w:rFonts w:ascii="宋体" w:hAnsi="宋体"/>
                <w:szCs w:val="21"/>
                <w:highlight w:val="none"/>
                <w:u w:val="single"/>
                <w:lang w:bidi="ar"/>
              </w:rPr>
              <w:t xml:space="preserve">               </w:t>
            </w:r>
          </w:p>
          <w:p>
            <w:pPr>
              <w:spacing w:line="360" w:lineRule="exact"/>
              <w:rPr>
                <w:rFonts w:hint="eastAsia" w:ascii="宋体" w:hAnsi="宋体"/>
                <w:szCs w:val="21"/>
                <w:highlight w:val="none"/>
              </w:rPr>
            </w:pPr>
            <w:r>
              <w:rPr>
                <w:rFonts w:hint="eastAsia" w:ascii="宋体" w:hAnsi="宋体" w:cs="宋体"/>
                <w:szCs w:val="21"/>
                <w:highlight w:val="none"/>
              </w:rPr>
              <w:t>演示形式：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5"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4.4</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0"/>
                <w:highlight w:val="none"/>
              </w:rPr>
              <w:t>样品</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Cs w:val="21"/>
                <w:highlight w:val="none"/>
              </w:rPr>
            </w:pPr>
            <w:r>
              <w:rPr>
                <w:rFonts w:ascii="宋体" w:hAnsi="宋体" w:cs="Wingdings 2"/>
                <w:sz w:val="24"/>
                <w:highlight w:val="none"/>
                <w:lang w:bidi="ar"/>
              </w:rPr>
              <w:sym w:font="Wingdings 2" w:char="0052"/>
            </w:r>
            <w:r>
              <w:rPr>
                <w:rFonts w:hint="eastAsia" w:ascii="宋体" w:hAnsi="宋体" w:cs="宋体"/>
                <w:szCs w:val="21"/>
                <w:highlight w:val="none"/>
                <w:lang w:bidi="ar"/>
              </w:rPr>
              <w:t>否</w:t>
            </w:r>
            <w:r>
              <w:rPr>
                <w:rFonts w:ascii="宋体" w:hAnsi="宋体"/>
                <w:szCs w:val="21"/>
                <w:highlight w:val="none"/>
                <w:lang w:bidi="ar"/>
              </w:rPr>
              <w:t xml:space="preserve">   □</w:t>
            </w:r>
            <w:r>
              <w:rPr>
                <w:rFonts w:hint="eastAsia" w:ascii="宋体" w:hAnsi="宋体" w:cs="宋体"/>
                <w:szCs w:val="21"/>
                <w:highlight w:val="none"/>
                <w:lang w:bidi="ar"/>
              </w:rPr>
              <w:t>是</w:t>
            </w:r>
          </w:p>
          <w:p>
            <w:pPr>
              <w:spacing w:line="360" w:lineRule="exact"/>
              <w:rPr>
                <w:rFonts w:hint="eastAsia" w:ascii="宋体" w:hAnsi="宋体"/>
                <w:szCs w:val="21"/>
                <w:highlight w:val="none"/>
                <w:u w:val="single"/>
              </w:rPr>
            </w:pPr>
            <w:r>
              <w:rPr>
                <w:rFonts w:hint="eastAsia" w:ascii="宋体" w:hAnsi="宋体" w:cs="宋体"/>
                <w:szCs w:val="21"/>
                <w:highlight w:val="none"/>
                <w:lang w:bidi="ar"/>
              </w:rPr>
              <w:t>样品制作的标准和要求：</w:t>
            </w:r>
            <w:r>
              <w:rPr>
                <w:rFonts w:ascii="宋体" w:hAnsi="宋体"/>
                <w:szCs w:val="21"/>
                <w:highlight w:val="none"/>
                <w:u w:val="single"/>
                <w:lang w:bidi="ar"/>
              </w:rPr>
              <w:t xml:space="preserve">              </w:t>
            </w:r>
          </w:p>
          <w:p>
            <w:pPr>
              <w:spacing w:line="360" w:lineRule="exact"/>
              <w:rPr>
                <w:rFonts w:hint="eastAsia" w:ascii="宋体" w:hAnsi="宋体"/>
                <w:szCs w:val="21"/>
                <w:highlight w:val="none"/>
                <w:u w:val="single"/>
              </w:rPr>
            </w:pPr>
            <w:r>
              <w:rPr>
                <w:rFonts w:hint="eastAsia" w:ascii="宋体" w:hAnsi="宋体" w:cs="宋体"/>
                <w:szCs w:val="21"/>
                <w:highlight w:val="none"/>
                <w:lang w:bidi="ar"/>
              </w:rPr>
              <w:t>样品检测机构的要求：</w:t>
            </w:r>
            <w:r>
              <w:rPr>
                <w:rFonts w:ascii="宋体" w:hAnsi="宋体"/>
                <w:szCs w:val="21"/>
                <w:highlight w:val="none"/>
                <w:u w:val="single"/>
                <w:lang w:bidi="ar"/>
              </w:rPr>
              <w:t xml:space="preserve">                </w:t>
            </w:r>
          </w:p>
          <w:p>
            <w:pPr>
              <w:spacing w:line="360" w:lineRule="exact"/>
              <w:rPr>
                <w:rFonts w:hint="eastAsia" w:ascii="宋体" w:hAnsi="宋体"/>
                <w:szCs w:val="21"/>
                <w:highlight w:val="none"/>
                <w:u w:val="single"/>
              </w:rPr>
            </w:pPr>
            <w:r>
              <w:rPr>
                <w:rFonts w:hint="eastAsia" w:ascii="宋体" w:hAnsi="宋体" w:cs="宋体"/>
                <w:szCs w:val="21"/>
                <w:highlight w:val="none"/>
                <w:lang w:bidi="ar"/>
              </w:rPr>
              <w:t>检测内容：</w:t>
            </w:r>
            <w:r>
              <w:rPr>
                <w:rFonts w:ascii="宋体" w:hAnsi="宋体"/>
                <w:szCs w:val="21"/>
                <w:highlight w:val="none"/>
                <w:u w:val="single"/>
                <w:lang w:bidi="ar"/>
              </w:rPr>
              <w:t xml:space="preserve">                     </w:t>
            </w:r>
          </w:p>
          <w:p>
            <w:pPr>
              <w:spacing w:line="360" w:lineRule="exact"/>
              <w:rPr>
                <w:rFonts w:hint="eastAsia" w:ascii="宋体" w:hAnsi="宋体"/>
                <w:szCs w:val="21"/>
                <w:highlight w:val="none"/>
              </w:rPr>
            </w:pPr>
            <w:r>
              <w:rPr>
                <w:rFonts w:hint="eastAsia" w:ascii="宋体" w:hAnsi="宋体" w:cs="宋体"/>
                <w:szCs w:val="21"/>
                <w:highlight w:val="none"/>
              </w:rPr>
              <w:t>样品递交方式：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5"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6.3.5</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相同品牌推荐方式</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Cs w:val="21"/>
                <w:highlight w:val="none"/>
              </w:rPr>
            </w:pPr>
            <w:r>
              <w:rPr>
                <w:rFonts w:hint="eastAsia" w:ascii="宋体" w:hAnsi="宋体" w:cs="Wingdings 2"/>
                <w:sz w:val="22"/>
                <w:szCs w:val="22"/>
                <w:highlight w:val="none"/>
              </w:rPr>
              <w:t>☑</w:t>
            </w:r>
            <w:r>
              <w:rPr>
                <w:rFonts w:hint="eastAsia" w:ascii="宋体" w:hAnsi="宋体" w:cs="宋体"/>
                <w:szCs w:val="21"/>
                <w:highlight w:val="none"/>
              </w:rPr>
              <w:t>采购人委托评审委员会确定</w:t>
            </w:r>
            <w:r>
              <w:rPr>
                <w:rFonts w:ascii="宋体" w:hAnsi="宋体"/>
                <w:szCs w:val="21"/>
                <w:highlight w:val="none"/>
              </w:rPr>
              <w:t xml:space="preserve">   □</w:t>
            </w:r>
            <w:r>
              <w:rPr>
                <w:rFonts w:hint="eastAsia" w:ascii="宋体" w:hAnsi="宋体" w:cs="宋体"/>
                <w:szCs w:val="21"/>
                <w:highlight w:val="none"/>
              </w:rPr>
              <w:t>采购人确定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5"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6.5.1</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结果公告</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rPr>
              <w:t>采购代理机构在采购人依法确认中标人后</w:t>
            </w:r>
            <w:r>
              <w:rPr>
                <w:rFonts w:ascii="宋体" w:hAnsi="宋体"/>
                <w:szCs w:val="21"/>
                <w:highlight w:val="none"/>
              </w:rPr>
              <w:t>2</w:t>
            </w:r>
            <w:r>
              <w:rPr>
                <w:rFonts w:hint="eastAsia" w:ascii="宋体" w:hAnsi="宋体" w:cs="宋体"/>
                <w:szCs w:val="21"/>
                <w:highlight w:val="none"/>
              </w:rPr>
              <w:t>个工作日内在招标公告发布的媒体上发布结果公告。</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5"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6.5.2</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中标通知书</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lang w:bidi="ar"/>
              </w:rPr>
              <w:t>采购代理机构通过</w:t>
            </w:r>
            <w:r>
              <w:rPr>
                <w:rFonts w:hint="eastAsia" w:ascii="宋体" w:hAnsi="宋体"/>
                <w:szCs w:val="21"/>
                <w:highlight w:val="none"/>
                <w:lang w:bidi="ar"/>
              </w:rPr>
              <w:t>广西政府采购云平台</w:t>
            </w:r>
            <w:r>
              <w:rPr>
                <w:rFonts w:hint="eastAsia" w:ascii="宋体" w:hAnsi="宋体" w:cs="宋体"/>
                <w:szCs w:val="21"/>
                <w:highlight w:val="none"/>
                <w:lang w:bidi="ar"/>
              </w:rPr>
              <w:t>发出中标通知书。</w:t>
            </w:r>
          </w:p>
          <w:p>
            <w:pPr>
              <w:spacing w:line="360" w:lineRule="exact"/>
              <w:jc w:val="left"/>
              <w:rPr>
                <w:rFonts w:hint="eastAsia" w:ascii="宋体" w:hAnsi="宋体"/>
                <w:szCs w:val="21"/>
                <w:highlight w:val="none"/>
              </w:rPr>
            </w:pPr>
            <w:r>
              <w:rPr>
                <w:rFonts w:hint="eastAsia" w:ascii="宋体" w:hAnsi="宋体" w:cs="宋体"/>
                <w:szCs w:val="21"/>
                <w:highlight w:val="none"/>
              </w:rPr>
              <w:t>中标通知书在</w:t>
            </w:r>
            <w:r>
              <w:rPr>
                <w:rFonts w:hint="eastAsia" w:ascii="宋体" w:hAnsi="宋体"/>
                <w:szCs w:val="21"/>
                <w:highlight w:val="none"/>
                <w:lang w:bidi="ar"/>
              </w:rPr>
              <w:t>广西政府采购云平台</w:t>
            </w:r>
            <w:r>
              <w:rPr>
                <w:rFonts w:hint="eastAsia" w:ascii="宋体" w:hAnsi="宋体" w:cs="宋体"/>
                <w:szCs w:val="21"/>
                <w:highlight w:val="none"/>
              </w:rPr>
              <w:t>推送之日起，视为中标人已收到，中标人自行承担未及时查收的后果。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5"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6.5.3</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招标结果通知书</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rPr>
              <w:t>采购代理机构通过电子邮件或书面方式发出招标结果通知书，供应商自行承担未及时查收的后果。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5"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hint="eastAsia" w:ascii="宋体" w:hAnsi="宋体"/>
                <w:b/>
                <w:szCs w:val="21"/>
                <w:highlight w:val="none"/>
              </w:rPr>
              <w:t>7.1</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履约保证金</w:t>
            </w:r>
          </w:p>
        </w:tc>
        <w:tc>
          <w:tcPr>
            <w:tcW w:w="377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本项目不收取履约保证金。</w:t>
            </w:r>
          </w:p>
          <w:p>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sym w:font="Wingdings 2" w:char="00A3"/>
            </w:r>
            <w:r>
              <w:rPr>
                <w:rFonts w:hint="eastAsia" w:ascii="宋体" w:hAnsi="宋体"/>
                <w:color w:val="000000"/>
                <w:szCs w:val="21"/>
                <w:highlight w:val="none"/>
              </w:rPr>
              <w:t>本项目收取履约保证金，具体规定如下：</w:t>
            </w:r>
          </w:p>
          <w:p>
            <w:pPr>
              <w:pStyle w:val="19"/>
              <w:spacing w:line="360" w:lineRule="auto"/>
              <w:rPr>
                <w:rFonts w:hint="eastAsia" w:ascii="宋体" w:hAnsi="宋体"/>
                <w:color w:val="000000"/>
                <w:szCs w:val="21"/>
                <w:highlight w:val="none"/>
              </w:rPr>
            </w:pPr>
            <w:r>
              <w:rPr>
                <w:rFonts w:hint="eastAsia" w:ascii="宋体" w:hAnsi="宋体"/>
                <w:color w:val="000000"/>
                <w:szCs w:val="21"/>
                <w:highlight w:val="none"/>
              </w:rPr>
              <w:t>履约保证金金额：按中标金额的</w:t>
            </w:r>
            <w:r>
              <w:rPr>
                <w:rFonts w:hint="eastAsia" w:ascii="宋体" w:hAnsi="宋体"/>
                <w:color w:val="000000"/>
                <w:szCs w:val="21"/>
                <w:highlight w:val="none"/>
                <w:u w:val="single"/>
              </w:rPr>
              <w:t xml:space="preserve">   %</w:t>
            </w:r>
            <w:r>
              <w:rPr>
                <w:rFonts w:hint="eastAsia" w:ascii="宋体" w:hAnsi="宋体"/>
                <w:color w:val="000000"/>
                <w:szCs w:val="21"/>
                <w:highlight w:val="none"/>
              </w:rPr>
              <w:t>。（中小企业收取的履约保证金数额为中标金额的2%）</w:t>
            </w:r>
          </w:p>
          <w:p>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履约保证金递交方式：</w:t>
            </w:r>
            <w:r>
              <w:rPr>
                <w:rFonts w:hint="eastAsia" w:ascii="宋体" w:hAnsi="宋体"/>
                <w:color w:val="000000"/>
                <w:szCs w:val="21"/>
                <w:highlight w:val="none"/>
                <w:u w:val="single"/>
              </w:rPr>
              <w:t>银行转账、支票、汇票、本票或者金融、担保机构出具的保函、保险机构的保单等方式。</w:t>
            </w:r>
          </w:p>
          <w:p>
            <w:pPr>
              <w:autoSpaceDE w:val="0"/>
              <w:autoSpaceDN w:val="0"/>
              <w:snapToGrid w:val="0"/>
              <w:spacing w:line="360" w:lineRule="auto"/>
              <w:textAlignment w:val="bottom"/>
              <w:rPr>
                <w:rFonts w:hint="eastAsia" w:ascii="宋体" w:hAnsi="宋体"/>
                <w:color w:val="000000"/>
                <w:szCs w:val="21"/>
                <w:highlight w:val="none"/>
                <w:u w:val="single"/>
              </w:rPr>
            </w:pPr>
            <w:r>
              <w:rPr>
                <w:rFonts w:hint="eastAsia" w:ascii="宋体" w:hAnsi="宋体"/>
                <w:color w:val="000000"/>
                <w:szCs w:val="21"/>
                <w:highlight w:val="none"/>
              </w:rPr>
              <w:t>履约保证金退付方式、时间及条件：</w:t>
            </w:r>
            <w:r>
              <w:rPr>
                <w:rFonts w:hint="eastAsia" w:ascii="宋体" w:hAnsi="宋体"/>
                <w:color w:val="000000"/>
                <w:szCs w:val="21"/>
                <w:highlight w:val="none"/>
                <w:u w:val="single"/>
              </w:rPr>
              <w:t>自项目验收合格及成交供应商履行完合同义务后，由成交供应商向履约保证金收取单位提供《广西壮族自治区政府采购项目合同验收书》及《政府采购项目履约保证金退付意见书》，保证金收取单位在收到合格材料后无息退还。</w:t>
            </w:r>
          </w:p>
          <w:p>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履约保证金指定账户：</w:t>
            </w:r>
          </w:p>
          <w:p>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开户名称：</w:t>
            </w:r>
          </w:p>
          <w:p>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开户银行：</w:t>
            </w:r>
          </w:p>
          <w:p>
            <w:pPr>
              <w:autoSpaceDE w:val="0"/>
              <w:autoSpaceDN w:val="0"/>
              <w:snapToGrid w:val="0"/>
              <w:spacing w:line="400" w:lineRule="exact"/>
              <w:textAlignment w:val="bottom"/>
              <w:rPr>
                <w:rFonts w:hint="eastAsia" w:ascii="宋体" w:hAnsi="宋体"/>
                <w:szCs w:val="21"/>
                <w:highlight w:val="none"/>
              </w:rPr>
            </w:pPr>
            <w:r>
              <w:rPr>
                <w:rFonts w:hint="eastAsia" w:ascii="宋体" w:hAnsi="宋体"/>
                <w:szCs w:val="21"/>
                <w:highlight w:val="none"/>
              </w:rPr>
              <w:t>银行账号：</w:t>
            </w:r>
          </w:p>
          <w:p>
            <w:pPr>
              <w:spacing w:line="360" w:lineRule="auto"/>
              <w:jc w:val="left"/>
              <w:rPr>
                <w:rFonts w:hint="eastAsia" w:ascii="宋体" w:hAnsi="宋体" w:cs="Courier New"/>
                <w:color w:val="000000"/>
                <w:szCs w:val="21"/>
                <w:highlight w:val="none"/>
              </w:rPr>
            </w:pPr>
            <w:r>
              <w:rPr>
                <w:rFonts w:ascii="宋体" w:hAnsi="宋体" w:cs="Courier New"/>
                <w:color w:val="000000"/>
                <w:szCs w:val="21"/>
                <w:highlight w:val="none"/>
              </w:rPr>
              <w:t>备注：</w:t>
            </w:r>
          </w:p>
          <w:p>
            <w:pPr>
              <w:spacing w:line="360" w:lineRule="auto"/>
              <w:jc w:val="left"/>
              <w:rPr>
                <w:rFonts w:hint="eastAsia" w:ascii="宋体" w:hAnsi="宋体"/>
                <w:b/>
                <w:color w:val="000000"/>
                <w:szCs w:val="21"/>
                <w:highlight w:val="none"/>
              </w:rPr>
            </w:pPr>
            <w:r>
              <w:rPr>
                <w:rFonts w:hint="eastAsia" w:ascii="宋体" w:hAnsi="宋体"/>
                <w:b/>
                <w:color w:val="000000"/>
                <w:szCs w:val="21"/>
                <w:highlight w:val="none"/>
              </w:rPr>
              <w:t>1.符合桂财采〔2024〕55号《广西壮族自治区财政厅关于持续优化政府采购营商环境推动高质量发展的通知》 文件要求的，按照相关要求执行（中小企业收取的履约保证金数额为中标金额的2%）。</w:t>
            </w:r>
          </w:p>
          <w:p>
            <w:pPr>
              <w:spacing w:line="360" w:lineRule="auto"/>
              <w:jc w:val="left"/>
              <w:rPr>
                <w:rFonts w:hint="eastAsia" w:ascii="宋体" w:hAnsi="宋体"/>
                <w:b/>
                <w:color w:val="000000"/>
                <w:szCs w:val="21"/>
                <w:highlight w:val="none"/>
              </w:rPr>
            </w:pPr>
            <w:r>
              <w:rPr>
                <w:rFonts w:hint="eastAsia" w:ascii="宋体" w:hAnsi="宋体"/>
                <w:b/>
                <w:color w:val="000000"/>
                <w:szCs w:val="21"/>
                <w:highlight w:val="none"/>
              </w:rPr>
              <w:t>2.中标人在签订合同之前，通过转账提交履约保证金的需把履约保证金足额交到采购人指定账户，履约保证金不足额缴纳的，或者金融、担保机构出具的保函、保险机构的保单额度不足的或者保函、保单有效期低于合同履行期限（即签订采购合同之日起至履行完合同约定的权利及义务之日止）的，不予签订合同。采用金融、担保机构出具的保函或者保险机构的保单的，必须为无条件保函或保单，否则不予签订合同。履约保证金自项目验收合格后，待中标人履行完质保义务后无息退还。</w:t>
            </w:r>
          </w:p>
          <w:p>
            <w:pPr>
              <w:spacing w:line="360" w:lineRule="exact"/>
              <w:jc w:val="left"/>
              <w:rPr>
                <w:rFonts w:hint="eastAsia" w:ascii="宋体" w:hAnsi="宋体" w:cs="宋体"/>
                <w:szCs w:val="21"/>
                <w:highlight w:val="none"/>
              </w:rPr>
            </w:pPr>
            <w:r>
              <w:rPr>
                <w:rFonts w:hint="eastAsia" w:ascii="宋体" w:hAnsi="宋体"/>
                <w:b/>
                <w:color w:val="000000"/>
                <w:szCs w:val="21"/>
                <w:highlight w:val="none"/>
              </w:rPr>
              <w:t>3.采用金融、担保机构出具的保函或保险机构的保单的，必须为无条件保函或保单，否则不予签订合同。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5"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8.1</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1"/>
                <w:highlight w:val="none"/>
              </w:rPr>
              <w:t>质疑</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）供应商认为招标文件、采购过程、中标或者成交结果使自己的权益受到损害的，可以在知道或者应知其权益受到损害之日起</w:t>
            </w:r>
            <w:r>
              <w:rPr>
                <w:rFonts w:ascii="宋体" w:hAnsi="宋体"/>
                <w:szCs w:val="21"/>
                <w:highlight w:val="none"/>
                <w:lang w:bidi="ar"/>
              </w:rPr>
              <w:t>7</w:t>
            </w:r>
            <w:r>
              <w:rPr>
                <w:rFonts w:hint="eastAsia" w:ascii="宋体" w:hAnsi="宋体" w:cs="宋体"/>
                <w:szCs w:val="21"/>
                <w:highlight w:val="none"/>
                <w:lang w:bidi="ar"/>
              </w:rPr>
              <w:t>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w:t>
            </w:r>
            <w:r>
              <w:rPr>
                <w:rFonts w:ascii="宋体" w:hAnsi="宋体"/>
                <w:szCs w:val="21"/>
                <w:highlight w:val="none"/>
                <w:lang w:bidi="ar"/>
              </w:rPr>
              <w:t>“</w:t>
            </w:r>
            <w:r>
              <w:rPr>
                <w:rFonts w:hint="eastAsia" w:ascii="宋体" w:hAnsi="宋体" w:cs="宋体"/>
                <w:szCs w:val="21"/>
                <w:highlight w:val="none"/>
                <w:lang w:bidi="ar"/>
              </w:rPr>
              <w:t>质疑函制作说明</w:t>
            </w:r>
            <w:r>
              <w:rPr>
                <w:rFonts w:ascii="宋体" w:hAnsi="宋体"/>
                <w:szCs w:val="21"/>
                <w:highlight w:val="none"/>
                <w:lang w:bidi="ar"/>
              </w:rPr>
              <w:t>”</w:t>
            </w:r>
            <w:r>
              <w:rPr>
                <w:rFonts w:hint="eastAsia" w:ascii="宋体" w:hAnsi="宋体" w:cs="宋体"/>
                <w:szCs w:val="21"/>
                <w:highlight w:val="none"/>
                <w:lang w:bidi="ar"/>
              </w:rPr>
              <w:t>进行制作。</w:t>
            </w:r>
          </w:p>
          <w:p>
            <w:pPr>
              <w:spacing w:line="360" w:lineRule="exact"/>
              <w:jc w:val="left"/>
              <w:rPr>
                <w:rFonts w:hint="eastAsia" w:ascii="宋体" w:hAnsi="宋体"/>
                <w:szCs w:val="21"/>
                <w:highlight w:val="none"/>
              </w:rPr>
            </w:pPr>
            <w:r>
              <w:rPr>
                <w:rFonts w:hint="eastAsia" w:ascii="宋体" w:hAnsi="宋体" w:cs="宋体"/>
                <w:szCs w:val="21"/>
                <w:highlight w:val="none"/>
              </w:rPr>
              <w:t>（</w:t>
            </w:r>
            <w:r>
              <w:rPr>
                <w:rFonts w:ascii="宋体" w:hAnsi="宋体"/>
                <w:szCs w:val="21"/>
                <w:highlight w:val="none"/>
              </w:rPr>
              <w:t>2</w:t>
            </w:r>
            <w:r>
              <w:rPr>
                <w:rFonts w:hint="eastAsia" w:ascii="宋体" w:hAnsi="宋体" w:cs="宋体"/>
                <w:szCs w:val="21"/>
                <w:highlight w:val="none"/>
              </w:rPr>
              <w:t>）本项目不接受传真、移动通信、政采云平台等方式送达的质疑材料，供应商可通过现场或邮寄方式递交书面质疑材料。供应商应于质疑有效期内将质疑函原件递交或邮寄至招标公告中采购代理机构信息中的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4"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9.1</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0"/>
                <w:highlight w:val="none"/>
              </w:rPr>
            </w:pPr>
            <w:r>
              <w:rPr>
                <w:rFonts w:hint="eastAsia" w:ascii="宋体" w:hAnsi="宋体" w:cs="宋体"/>
                <w:szCs w:val="20"/>
                <w:highlight w:val="none"/>
              </w:rPr>
              <w:t>中小企业政策措施</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Cs w:val="21"/>
                <w:highlight w:val="none"/>
              </w:rPr>
            </w:pPr>
            <w:r>
              <w:rPr>
                <w:rFonts w:hint="eastAsia" w:ascii="宋体" w:hAnsi="宋体"/>
                <w:szCs w:val="21"/>
                <w:highlight w:val="none"/>
              </w:rPr>
              <w:t>本项目非专门面向中小企业采购。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58"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10.1</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1"/>
                <w:highlight w:val="none"/>
              </w:rPr>
            </w:pPr>
            <w:r>
              <w:rPr>
                <w:rFonts w:hint="eastAsia" w:ascii="宋体" w:hAnsi="宋体" w:cs="宋体"/>
                <w:szCs w:val="20"/>
                <w:highlight w:val="none"/>
              </w:rPr>
              <w:t>代理服务费</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w:t>
            </w:r>
            <w:r>
              <w:rPr>
                <w:rFonts w:hint="eastAsia" w:ascii="宋体" w:hAnsi="宋体" w:cs="宋体"/>
                <w:szCs w:val="20"/>
                <w:highlight w:val="none"/>
                <w:lang w:bidi="ar"/>
              </w:rPr>
              <w:t>采购代理费支付方式：</w:t>
            </w:r>
          </w:p>
          <w:p>
            <w:pPr>
              <w:spacing w:line="360" w:lineRule="exact"/>
              <w:jc w:val="left"/>
              <w:rPr>
                <w:rFonts w:hint="eastAsia" w:ascii="宋体" w:hAnsi="宋体" w:cs="宋体"/>
                <w:szCs w:val="21"/>
                <w:highlight w:val="none"/>
                <w:lang w:bidi="ar"/>
              </w:rPr>
            </w:pPr>
            <w:r>
              <w:rPr>
                <w:rFonts w:hint="eastAsia" w:ascii="宋体" w:hAnsi="宋体" w:cs="Wingdings 2"/>
                <w:szCs w:val="21"/>
                <w:highlight w:val="none"/>
                <w:lang w:bidi="ar"/>
              </w:rPr>
              <w:t>本项目代理服务费由中标人一次性向采购代理机构支付</w:t>
            </w:r>
            <w:r>
              <w:rPr>
                <w:rFonts w:hint="eastAsia" w:ascii="宋体" w:hAnsi="宋体" w:cs="宋体"/>
                <w:szCs w:val="21"/>
                <w:highlight w:val="none"/>
                <w:lang w:bidi="ar"/>
              </w:rPr>
              <w:t>。</w:t>
            </w:r>
          </w:p>
          <w:p>
            <w:pPr>
              <w:spacing w:line="360" w:lineRule="exact"/>
              <w:jc w:val="left"/>
              <w:rPr>
                <w:rFonts w:hint="eastAsia" w:ascii="宋体" w:hAnsi="宋体" w:cs="宋体"/>
                <w:szCs w:val="21"/>
                <w:highlight w:val="none"/>
                <w:lang w:bidi="ar"/>
              </w:rPr>
            </w:pPr>
            <w:r>
              <w:rPr>
                <w:rFonts w:hint="eastAsia" w:ascii="宋体" w:hAnsi="宋体" w:cs="宋体"/>
                <w:szCs w:val="21"/>
                <w:highlight w:val="none"/>
                <w:lang w:bidi="ar"/>
              </w:rPr>
              <w:t>（2）采购代理费收取标准：</w:t>
            </w:r>
          </w:p>
          <w:p>
            <w:pPr>
              <w:spacing w:line="360" w:lineRule="exact"/>
              <w:jc w:val="left"/>
              <w:rPr>
                <w:rFonts w:hint="eastAsia" w:ascii="宋体" w:hAnsi="宋体"/>
                <w:b/>
                <w:bCs/>
                <w:szCs w:val="21"/>
                <w:highlight w:val="none"/>
              </w:rPr>
            </w:pPr>
            <w:r>
              <w:rPr>
                <w:rFonts w:hint="eastAsia" w:ascii="宋体" w:hAnsi="宋体" w:cs="宋体"/>
                <w:b/>
                <w:bCs/>
                <w:szCs w:val="21"/>
                <w:highlight w:val="none"/>
                <w:lang w:bidi="ar"/>
              </w:rPr>
              <w:t>本项目代理服务费=中标金额</w:t>
            </w:r>
            <w:r>
              <w:rPr>
                <w:rFonts w:ascii="宋体" w:hAnsi="宋体"/>
                <w:b/>
                <w:bCs/>
                <w:szCs w:val="21"/>
                <w:highlight w:val="none"/>
                <w:lang w:bidi="ar"/>
              </w:rPr>
              <w:t>×</w:t>
            </w:r>
            <w:r>
              <w:rPr>
                <w:rFonts w:hint="eastAsia" w:ascii="宋体" w:hAnsi="宋体" w:cs="宋体"/>
                <w:b/>
                <w:bCs/>
                <w:szCs w:val="21"/>
                <w:highlight w:val="none"/>
                <w:lang w:bidi="ar"/>
              </w:rPr>
              <w:t>1.7%。</w:t>
            </w:r>
          </w:p>
          <w:p>
            <w:pPr>
              <w:spacing w:line="360" w:lineRule="exact"/>
              <w:jc w:val="left"/>
              <w:rPr>
                <w:rFonts w:hint="eastAsia" w:ascii="宋体" w:hAnsi="宋体"/>
                <w:szCs w:val="21"/>
                <w:highlight w:val="none"/>
              </w:rPr>
            </w:pPr>
            <w:r>
              <w:rPr>
                <w:rFonts w:hint="eastAsia" w:ascii="宋体" w:hAnsi="宋体" w:cs="宋体"/>
                <w:szCs w:val="21"/>
                <w:highlight w:val="none"/>
                <w:lang w:bidi="ar"/>
              </w:rPr>
              <w:t>例如：某货物招标代理业务成交金额为</w:t>
            </w:r>
            <w:r>
              <w:rPr>
                <w:rFonts w:hint="eastAsia" w:ascii="宋体" w:hAnsi="宋体"/>
                <w:szCs w:val="21"/>
                <w:highlight w:val="none"/>
                <w:lang w:bidi="ar"/>
              </w:rPr>
              <w:t>2</w:t>
            </w:r>
            <w:r>
              <w:rPr>
                <w:rFonts w:ascii="宋体" w:hAnsi="宋体"/>
                <w:szCs w:val="21"/>
                <w:highlight w:val="none"/>
                <w:lang w:bidi="ar"/>
              </w:rPr>
              <w:t>00</w:t>
            </w:r>
            <w:r>
              <w:rPr>
                <w:rFonts w:hint="eastAsia" w:ascii="宋体" w:hAnsi="宋体" w:cs="宋体"/>
                <w:szCs w:val="21"/>
                <w:highlight w:val="none"/>
                <w:lang w:bidi="ar"/>
              </w:rPr>
              <w:t>万元，招标代理服务费金额按如下计算：</w:t>
            </w:r>
          </w:p>
          <w:p>
            <w:pPr>
              <w:spacing w:line="360" w:lineRule="exact"/>
              <w:jc w:val="left"/>
              <w:rPr>
                <w:rFonts w:hint="eastAsia" w:ascii="宋体" w:hAnsi="宋体"/>
                <w:szCs w:val="21"/>
                <w:highlight w:val="none"/>
              </w:rPr>
            </w:pPr>
            <w:r>
              <w:rPr>
                <w:rFonts w:hint="eastAsia" w:ascii="宋体" w:hAnsi="宋体"/>
                <w:szCs w:val="21"/>
                <w:highlight w:val="none"/>
                <w:lang w:bidi="ar"/>
              </w:rPr>
              <w:t>2</w:t>
            </w:r>
            <w:r>
              <w:rPr>
                <w:rFonts w:ascii="宋体" w:hAnsi="宋体"/>
                <w:szCs w:val="21"/>
                <w:highlight w:val="none"/>
                <w:lang w:bidi="ar"/>
              </w:rPr>
              <w:t>00</w:t>
            </w:r>
            <w:r>
              <w:rPr>
                <w:rFonts w:hint="eastAsia" w:ascii="宋体" w:hAnsi="宋体" w:cs="宋体"/>
                <w:szCs w:val="21"/>
                <w:highlight w:val="none"/>
                <w:lang w:bidi="ar"/>
              </w:rPr>
              <w:t>万元</w:t>
            </w:r>
            <w:bookmarkStart w:id="144" w:name="OLE_LINK4"/>
            <w:r>
              <w:rPr>
                <w:rFonts w:ascii="宋体" w:hAnsi="宋体"/>
                <w:szCs w:val="21"/>
                <w:highlight w:val="none"/>
                <w:lang w:bidi="ar"/>
              </w:rPr>
              <w:t>×</w:t>
            </w:r>
            <w:bookmarkEnd w:id="144"/>
            <w:r>
              <w:rPr>
                <w:rFonts w:ascii="宋体" w:hAnsi="宋体"/>
                <w:szCs w:val="21"/>
                <w:highlight w:val="none"/>
                <w:lang w:bidi="ar"/>
              </w:rPr>
              <w:t>1.</w:t>
            </w:r>
            <w:r>
              <w:rPr>
                <w:rFonts w:hint="eastAsia" w:ascii="宋体" w:hAnsi="宋体"/>
                <w:szCs w:val="21"/>
                <w:highlight w:val="none"/>
                <w:lang w:bidi="ar"/>
              </w:rPr>
              <w:t>7</w:t>
            </w:r>
            <w:r>
              <w:rPr>
                <w:rFonts w:ascii="宋体" w:hAnsi="宋体"/>
                <w:szCs w:val="21"/>
                <w:highlight w:val="none"/>
                <w:lang w:bidi="ar"/>
              </w:rPr>
              <w:t>%</w:t>
            </w:r>
            <w:r>
              <w:rPr>
                <w:rFonts w:hint="eastAsia" w:ascii="宋体" w:hAnsi="宋体" w:cs="宋体"/>
                <w:szCs w:val="21"/>
                <w:highlight w:val="none"/>
                <w:lang w:bidi="ar"/>
              </w:rPr>
              <w:t>＝</w:t>
            </w:r>
            <w:r>
              <w:rPr>
                <w:rFonts w:hint="eastAsia" w:ascii="宋体" w:hAnsi="宋体"/>
                <w:szCs w:val="21"/>
                <w:highlight w:val="none"/>
                <w:lang w:bidi="ar"/>
              </w:rPr>
              <w:t>3.4</w:t>
            </w:r>
            <w:r>
              <w:rPr>
                <w:rFonts w:hint="eastAsia" w:ascii="宋体" w:hAnsi="宋体" w:cs="宋体"/>
                <w:szCs w:val="21"/>
                <w:highlight w:val="none"/>
                <w:lang w:bidi="ar"/>
              </w:rPr>
              <w:t>万元</w:t>
            </w:r>
          </w:p>
          <w:p>
            <w:pPr>
              <w:spacing w:line="360" w:lineRule="exact"/>
              <w:jc w:val="left"/>
              <w:rPr>
                <w:rFonts w:hint="eastAsia" w:ascii="宋体" w:hAnsi="宋体" w:cs="宋体"/>
                <w:szCs w:val="21"/>
                <w:highlight w:val="none"/>
              </w:rPr>
            </w:pPr>
            <w:r>
              <w:rPr>
                <w:rFonts w:hint="eastAsia" w:ascii="宋体" w:hAnsi="宋体" w:cs="宋体"/>
                <w:szCs w:val="21"/>
                <w:highlight w:val="none"/>
              </w:rPr>
              <w:t>（3）采购代理费收取银行账户：</w:t>
            </w:r>
          </w:p>
          <w:p>
            <w:pPr>
              <w:spacing w:line="360" w:lineRule="exact"/>
              <w:jc w:val="left"/>
              <w:rPr>
                <w:rFonts w:hint="eastAsia" w:ascii="宋体" w:hAnsi="宋体" w:cs="宋体"/>
                <w:szCs w:val="21"/>
                <w:highlight w:val="none"/>
              </w:rPr>
            </w:pPr>
            <w:r>
              <w:rPr>
                <w:rFonts w:hint="eastAsia" w:ascii="宋体" w:hAnsi="宋体" w:cs="宋体"/>
                <w:szCs w:val="21"/>
                <w:highlight w:val="none"/>
              </w:rPr>
              <w:t>账户名称：广西双科建设工程咨询有限公司</w:t>
            </w:r>
          </w:p>
          <w:p>
            <w:pPr>
              <w:spacing w:line="360" w:lineRule="exact"/>
              <w:jc w:val="left"/>
              <w:rPr>
                <w:rFonts w:hint="eastAsia" w:ascii="宋体" w:hAnsi="宋体" w:eastAsia="宋体" w:cs="宋体"/>
                <w:szCs w:val="21"/>
                <w:highlight w:val="none"/>
                <w:lang w:eastAsia="zh-CN"/>
              </w:rPr>
            </w:pPr>
            <w:r>
              <w:rPr>
                <w:rFonts w:hint="eastAsia" w:ascii="宋体" w:hAnsi="宋体" w:cs="宋体"/>
                <w:szCs w:val="21"/>
                <w:highlight w:val="none"/>
              </w:rPr>
              <w:t>开户银行：</w:t>
            </w:r>
            <w:r>
              <w:rPr>
                <w:rFonts w:hint="eastAsia" w:ascii="宋体" w:hAnsi="宋体" w:cs="宋体"/>
                <w:szCs w:val="21"/>
                <w:highlight w:val="none"/>
                <w:lang w:eastAsia="zh-CN"/>
              </w:rPr>
              <w:t>交通银行股份有限公司南宁桂雅支行</w:t>
            </w:r>
          </w:p>
          <w:p>
            <w:pPr>
              <w:spacing w:line="360" w:lineRule="exact"/>
              <w:jc w:val="left"/>
              <w:rPr>
                <w:rFonts w:hint="eastAsia" w:ascii="宋体" w:hAnsi="宋体" w:eastAsia="宋体"/>
                <w:kern w:val="0"/>
                <w:szCs w:val="21"/>
                <w:highlight w:val="none"/>
                <w:lang w:eastAsia="zh-CN"/>
              </w:rPr>
            </w:pPr>
            <w:r>
              <w:rPr>
                <w:rFonts w:hint="eastAsia" w:ascii="宋体" w:hAnsi="宋体" w:cs="宋体"/>
                <w:szCs w:val="21"/>
                <w:highlight w:val="none"/>
              </w:rPr>
              <w:t>银行账号：</w:t>
            </w:r>
            <w:r>
              <w:rPr>
                <w:rFonts w:hint="eastAsia" w:ascii="宋体" w:hAnsi="宋体" w:cs="宋体"/>
                <w:szCs w:val="21"/>
                <w:highlight w:val="none"/>
                <w:lang w:eastAsia="zh-CN"/>
              </w:rPr>
              <w:t>451899991013002217345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2"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10.3</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0"/>
                <w:highlight w:val="none"/>
              </w:rPr>
            </w:pPr>
            <w:r>
              <w:rPr>
                <w:rFonts w:hint="eastAsia" w:ascii="宋体" w:hAnsi="宋体" w:cs="宋体"/>
                <w:szCs w:val="20"/>
                <w:highlight w:val="none"/>
              </w:rPr>
              <w:t>附件</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Cs w:val="21"/>
                <w:highlight w:val="none"/>
              </w:rPr>
            </w:pPr>
            <w:r>
              <w:rPr>
                <w:rFonts w:ascii="宋体" w:hAnsi="宋体" w:cs="Wingdings 2"/>
                <w:sz w:val="22"/>
                <w:szCs w:val="22"/>
                <w:highlight w:val="none"/>
                <w:lang w:bidi="ar"/>
              </w:rPr>
              <w:sym w:font="Wingdings 2" w:char="0052"/>
            </w:r>
            <w:r>
              <w:rPr>
                <w:rFonts w:hint="eastAsia" w:ascii="宋体" w:hAnsi="宋体" w:cs="宋体"/>
                <w:szCs w:val="21"/>
                <w:highlight w:val="none"/>
                <w:lang w:bidi="ar"/>
              </w:rPr>
              <w:t>无</w:t>
            </w:r>
          </w:p>
          <w:p>
            <w:pPr>
              <w:spacing w:line="360" w:lineRule="exact"/>
              <w:rPr>
                <w:rFonts w:hint="eastAsia" w:ascii="宋体" w:hAnsi="宋体"/>
                <w:szCs w:val="21"/>
                <w:highlight w:val="none"/>
                <w:u w:val="single"/>
              </w:rPr>
            </w:pPr>
            <w:r>
              <w:rPr>
                <w:rFonts w:ascii="宋体" w:hAnsi="宋体"/>
                <w:szCs w:val="21"/>
                <w:highlight w:val="none"/>
              </w:rPr>
              <w:t>□</w:t>
            </w:r>
            <w:r>
              <w:rPr>
                <w:rFonts w:hint="eastAsia" w:ascii="宋体" w:hAnsi="宋体" w:cs="宋体"/>
                <w:szCs w:val="21"/>
                <w:highlight w:val="none"/>
              </w:rPr>
              <w:t>有，详见：</w:t>
            </w:r>
            <w:r>
              <w:rPr>
                <w:rFonts w:ascii="宋体" w:hAnsi="宋体"/>
                <w:szCs w:val="21"/>
                <w:highlight w:val="none"/>
                <w:u w:val="single"/>
              </w:rPr>
              <w:t xml:space="preserve">          </w:t>
            </w:r>
            <w:r>
              <w:rPr>
                <w:rFonts w:hint="eastAsia" w:ascii="宋体" w:hAnsi="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6"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10.3</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0"/>
                <w:highlight w:val="none"/>
              </w:rPr>
            </w:pPr>
            <w:r>
              <w:rPr>
                <w:rFonts w:hint="eastAsia" w:ascii="宋体" w:hAnsi="宋体" w:cs="宋体"/>
                <w:szCs w:val="20"/>
                <w:highlight w:val="none"/>
              </w:rPr>
              <w:t>图纸</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Cs w:val="21"/>
                <w:highlight w:val="none"/>
              </w:rPr>
            </w:pPr>
            <w:r>
              <w:rPr>
                <w:rFonts w:ascii="宋体" w:hAnsi="宋体" w:cs="Wingdings 2"/>
                <w:sz w:val="22"/>
                <w:szCs w:val="22"/>
                <w:highlight w:val="none"/>
                <w:lang w:bidi="ar"/>
              </w:rPr>
              <w:sym w:font="Wingdings 2" w:char="0052"/>
            </w:r>
            <w:r>
              <w:rPr>
                <w:rFonts w:hint="eastAsia" w:ascii="宋体" w:hAnsi="宋体" w:cs="宋体"/>
                <w:szCs w:val="21"/>
                <w:highlight w:val="none"/>
                <w:lang w:bidi="ar"/>
              </w:rPr>
              <w:t>无</w:t>
            </w:r>
          </w:p>
          <w:p>
            <w:pPr>
              <w:spacing w:line="360" w:lineRule="exact"/>
              <w:rPr>
                <w:rFonts w:hint="eastAsia" w:ascii="宋体" w:hAnsi="宋体"/>
                <w:szCs w:val="21"/>
                <w:highlight w:val="none"/>
                <w:u w:val="single"/>
              </w:rPr>
            </w:pPr>
            <w:r>
              <w:rPr>
                <w:rFonts w:ascii="宋体" w:hAnsi="宋体"/>
                <w:szCs w:val="21"/>
                <w:highlight w:val="none"/>
              </w:rPr>
              <w:t>□</w:t>
            </w:r>
            <w:r>
              <w:rPr>
                <w:rFonts w:hint="eastAsia" w:ascii="宋体" w:hAnsi="宋体" w:cs="宋体"/>
                <w:szCs w:val="21"/>
                <w:highlight w:val="none"/>
              </w:rPr>
              <w:t>有，详见：</w:t>
            </w:r>
            <w:r>
              <w:rPr>
                <w:rFonts w:ascii="宋体" w:hAnsi="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3" w:hRule="atLeast"/>
        </w:trPr>
        <w:tc>
          <w:tcPr>
            <w:tcW w:w="4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szCs w:val="21"/>
                <w:highlight w:val="none"/>
              </w:rPr>
            </w:pPr>
            <w:r>
              <w:rPr>
                <w:rFonts w:ascii="宋体" w:hAnsi="宋体"/>
                <w:b/>
                <w:szCs w:val="21"/>
                <w:highlight w:val="none"/>
              </w:rPr>
              <w:t>10.4</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szCs w:val="20"/>
                <w:highlight w:val="none"/>
              </w:rPr>
            </w:pPr>
            <w:r>
              <w:rPr>
                <w:rFonts w:hint="eastAsia" w:ascii="宋体" w:hAnsi="宋体" w:cs="宋体"/>
                <w:szCs w:val="20"/>
                <w:highlight w:val="none"/>
              </w:rPr>
              <w:t>其他事项</w:t>
            </w:r>
          </w:p>
        </w:tc>
        <w:tc>
          <w:tcPr>
            <w:tcW w:w="37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宋体" w:hAnsi="宋体" w:eastAsia="宋体" w:cs="宋体"/>
                <w:b/>
                <w:bCs/>
                <w:color w:val="FF0000"/>
                <w:szCs w:val="21"/>
                <w:highlight w:val="none"/>
                <w:lang w:val="en-US" w:eastAsia="zh-CN"/>
              </w:rPr>
            </w:pPr>
            <w:r>
              <w:rPr>
                <w:rFonts w:hint="eastAsia" w:ascii="宋体" w:hAnsi="宋体" w:cs="宋体"/>
                <w:b/>
                <w:bCs/>
                <w:color w:val="FF0000"/>
                <w:szCs w:val="21"/>
                <w:highlight w:val="none"/>
                <w:lang w:val="en-US" w:eastAsia="zh-CN"/>
              </w:rPr>
              <w:t>1.本项目时间紧，任务重，为确保供货的及时性、有效性，减少风险。投标人可兼投多个分标，但限中1个分标。</w:t>
            </w:r>
          </w:p>
          <w:p>
            <w:pPr>
              <w:spacing w:line="360" w:lineRule="exac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.本文件中内容如有前后不一致，以在招标文件先出现的为准。</w:t>
            </w:r>
          </w:p>
          <w:p>
            <w:pPr>
              <w:spacing w:line="360" w:lineRule="exact"/>
              <w:rPr>
                <w:rFonts w:hint="eastAsia" w:ascii="宋体" w:hAnsi="宋体"/>
                <w:b/>
                <w:sz w:val="24"/>
                <w:highlight w:val="none"/>
              </w:rPr>
            </w:pPr>
            <w:r>
              <w:rPr>
                <w:rFonts w:hint="eastAsia" w:ascii="宋体" w:hAnsi="宋体" w:cs="宋体"/>
                <w:b/>
                <w:szCs w:val="21"/>
                <w:highlight w:val="none"/>
                <w:lang w:val="en-US" w:eastAsia="zh-CN"/>
              </w:rPr>
              <w:t>3</w:t>
            </w:r>
            <w:r>
              <w:rPr>
                <w:rFonts w:hint="eastAsia" w:ascii="宋体" w:hAnsi="宋体" w:cs="宋体"/>
                <w:b/>
                <w:szCs w:val="21"/>
                <w:highlight w:val="none"/>
              </w:rPr>
              <w:t>.签订本项目合同时，中标人须按招标人要求，与资金支付方签订三方合同协议。</w:t>
            </w:r>
          </w:p>
        </w:tc>
      </w:tr>
    </w:tbl>
    <w:p>
      <w:pPr>
        <w:rPr>
          <w:bCs/>
          <w:sz w:val="28"/>
          <w:szCs w:val="28"/>
          <w:highlight w:val="none"/>
          <w:lang w:bidi="ar"/>
        </w:rPr>
        <w:sectPr>
          <w:headerReference r:id="rId6" w:type="default"/>
          <w:footerReference r:id="rId7" w:type="default"/>
          <w:pgSz w:w="11906" w:h="16838"/>
          <w:pgMar w:top="1440" w:right="1800" w:bottom="1440" w:left="1800" w:header="851" w:footer="992" w:gutter="0"/>
          <w:cols w:space="720" w:num="1"/>
          <w:docGrid w:type="lines" w:linePitch="331" w:charSpace="0"/>
        </w:sectPr>
      </w:pPr>
    </w:p>
    <w:p>
      <w:pPr>
        <w:spacing w:before="120" w:line="320" w:lineRule="atLeast"/>
        <w:jc w:val="center"/>
        <w:outlineLvl w:val="1"/>
        <w:rPr>
          <w:b/>
          <w:bCs/>
          <w:kern w:val="0"/>
          <w:sz w:val="28"/>
          <w:szCs w:val="28"/>
          <w:highlight w:val="none"/>
          <w:lang w:bidi="ar"/>
        </w:rPr>
      </w:pPr>
      <w:r>
        <w:rPr>
          <w:rFonts w:hint="eastAsia"/>
          <w:b/>
          <w:bCs/>
          <w:kern w:val="0"/>
          <w:sz w:val="28"/>
          <w:szCs w:val="28"/>
          <w:highlight w:val="none"/>
          <w:lang w:bidi="ar"/>
        </w:rPr>
        <w:t>供应商须知正文</w:t>
      </w:r>
    </w:p>
    <w:p>
      <w:pPr>
        <w:spacing w:line="360" w:lineRule="auto"/>
        <w:ind w:firstLine="422" w:firstLineChars="200"/>
        <w:outlineLvl w:val="2"/>
        <w:rPr>
          <w:rFonts w:hint="eastAsia" w:ascii="宋体" w:hAnsi="宋体"/>
          <w:b/>
          <w:bCs/>
          <w:kern w:val="0"/>
          <w:szCs w:val="21"/>
          <w:highlight w:val="none"/>
        </w:rPr>
      </w:pPr>
      <w:r>
        <w:rPr>
          <w:rFonts w:ascii="宋体" w:hAnsi="宋体"/>
          <w:b/>
          <w:bCs/>
          <w:kern w:val="0"/>
          <w:szCs w:val="21"/>
          <w:highlight w:val="none"/>
          <w:lang w:bidi="ar"/>
        </w:rPr>
        <w:t>1</w:t>
      </w:r>
      <w:r>
        <w:rPr>
          <w:rFonts w:hint="eastAsia" w:ascii="宋体" w:hAnsi="宋体" w:cs="宋体"/>
          <w:b/>
          <w:bCs/>
          <w:kern w:val="0"/>
          <w:szCs w:val="21"/>
          <w:highlight w:val="none"/>
          <w:lang w:bidi="ar"/>
        </w:rPr>
        <w:t>．总则</w:t>
      </w:r>
    </w:p>
    <w:p>
      <w:pPr>
        <w:spacing w:line="360" w:lineRule="auto"/>
        <w:ind w:firstLine="422" w:firstLineChars="200"/>
        <w:outlineLvl w:val="3"/>
        <w:rPr>
          <w:rFonts w:hint="eastAsia" w:ascii="宋体" w:hAnsi="宋体"/>
          <w:b/>
          <w:bCs/>
          <w:kern w:val="0"/>
          <w:szCs w:val="21"/>
          <w:highlight w:val="none"/>
        </w:rPr>
      </w:pPr>
      <w:bookmarkStart w:id="145" w:name="_Toc254970527"/>
      <w:bookmarkStart w:id="146" w:name="_Toc254970668"/>
      <w:r>
        <w:rPr>
          <w:rFonts w:ascii="宋体" w:hAnsi="宋体"/>
          <w:b/>
          <w:bCs/>
          <w:kern w:val="0"/>
          <w:szCs w:val="21"/>
          <w:highlight w:val="none"/>
          <w:lang w:bidi="ar"/>
        </w:rPr>
        <w:t>1.1</w:t>
      </w:r>
      <w:r>
        <w:rPr>
          <w:rFonts w:hint="eastAsia" w:ascii="宋体" w:hAnsi="宋体" w:cs="宋体"/>
          <w:b/>
          <w:bCs/>
          <w:kern w:val="0"/>
          <w:szCs w:val="21"/>
          <w:highlight w:val="none"/>
          <w:lang w:bidi="ar"/>
        </w:rPr>
        <w:t>适用范围</w:t>
      </w:r>
      <w:bookmarkEnd w:id="145"/>
      <w:bookmarkEnd w:id="146"/>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本招标文件适用于供应商须知前附表所述项目的政府采购活动。</w:t>
      </w:r>
    </w:p>
    <w:p>
      <w:pPr>
        <w:spacing w:line="360" w:lineRule="auto"/>
        <w:ind w:firstLine="422" w:firstLineChars="200"/>
        <w:outlineLvl w:val="3"/>
        <w:rPr>
          <w:rFonts w:hint="eastAsia" w:ascii="宋体" w:hAnsi="宋体"/>
          <w:b/>
          <w:bCs/>
          <w:kern w:val="0"/>
          <w:szCs w:val="21"/>
          <w:highlight w:val="none"/>
          <w:lang w:bidi="ar"/>
        </w:rPr>
      </w:pPr>
      <w:bookmarkStart w:id="147" w:name="_Toc254970528"/>
      <w:bookmarkStart w:id="148" w:name="_Toc254970669"/>
      <w:r>
        <w:rPr>
          <w:rFonts w:ascii="宋体" w:hAnsi="宋体"/>
          <w:b/>
          <w:bCs/>
          <w:kern w:val="0"/>
          <w:szCs w:val="21"/>
          <w:highlight w:val="none"/>
          <w:lang w:bidi="ar"/>
        </w:rPr>
        <w:t>1.2</w:t>
      </w:r>
      <w:r>
        <w:rPr>
          <w:rFonts w:hint="eastAsia" w:ascii="宋体" w:hAnsi="宋体"/>
          <w:b/>
          <w:bCs/>
          <w:kern w:val="0"/>
          <w:szCs w:val="21"/>
          <w:highlight w:val="none"/>
          <w:lang w:bidi="ar"/>
        </w:rPr>
        <w:t>定义</w:t>
      </w:r>
      <w:bookmarkEnd w:id="147"/>
      <w:bookmarkEnd w:id="148"/>
    </w:p>
    <w:p>
      <w:pPr>
        <w:spacing w:line="360" w:lineRule="auto"/>
        <w:ind w:firstLine="420" w:firstLineChars="200"/>
        <w:rPr>
          <w:rFonts w:hint="eastAsia" w:ascii="宋体" w:hAnsi="宋体"/>
          <w:szCs w:val="21"/>
          <w:highlight w:val="none"/>
        </w:rPr>
      </w:pPr>
      <w:r>
        <w:rPr>
          <w:rFonts w:ascii="宋体" w:hAnsi="宋体"/>
          <w:szCs w:val="21"/>
          <w:highlight w:val="none"/>
          <w:lang w:bidi="ar"/>
        </w:rPr>
        <w:t>1.2.1</w:t>
      </w:r>
      <w:r>
        <w:rPr>
          <w:rFonts w:hint="eastAsia" w:ascii="宋体" w:hAnsi="宋体"/>
          <w:szCs w:val="21"/>
          <w:highlight w:val="none"/>
          <w:lang w:bidi="ar"/>
        </w:rPr>
        <w:t>“</w:t>
      </w:r>
      <w:r>
        <w:rPr>
          <w:rFonts w:hint="eastAsia" w:ascii="宋体" w:hAnsi="宋体" w:cs="宋体"/>
          <w:szCs w:val="21"/>
          <w:highlight w:val="none"/>
          <w:lang w:bidi="ar"/>
        </w:rPr>
        <w:t>采购人</w:t>
      </w:r>
      <w:r>
        <w:rPr>
          <w:rFonts w:hint="eastAsia" w:ascii="宋体" w:hAnsi="宋体"/>
          <w:szCs w:val="21"/>
          <w:highlight w:val="none"/>
          <w:lang w:bidi="ar"/>
        </w:rPr>
        <w:t>”</w:t>
      </w:r>
      <w:r>
        <w:rPr>
          <w:rFonts w:hint="eastAsia" w:ascii="宋体" w:hAnsi="宋体" w:cs="宋体"/>
          <w:szCs w:val="21"/>
          <w:highlight w:val="none"/>
          <w:lang w:bidi="ar"/>
        </w:rPr>
        <w:t>系指依法进行政府采购的国家机关、事业单位、团体组织。</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1.2.2“</w:t>
      </w:r>
      <w:r>
        <w:rPr>
          <w:rFonts w:hint="eastAsia" w:ascii="宋体" w:hAnsi="宋体" w:cs="宋体"/>
          <w:szCs w:val="21"/>
          <w:highlight w:val="none"/>
          <w:lang w:bidi="ar"/>
        </w:rPr>
        <w:t>供应商</w:t>
      </w:r>
      <w:r>
        <w:rPr>
          <w:rFonts w:ascii="宋体" w:hAnsi="宋体"/>
          <w:szCs w:val="21"/>
          <w:highlight w:val="none"/>
          <w:lang w:bidi="ar"/>
        </w:rPr>
        <w:t>”</w:t>
      </w:r>
      <w:r>
        <w:rPr>
          <w:rFonts w:hint="eastAsia" w:ascii="宋体" w:hAnsi="宋体" w:cs="宋体"/>
          <w:szCs w:val="21"/>
          <w:highlight w:val="none"/>
          <w:lang w:bidi="ar"/>
        </w:rPr>
        <w:t>系</w:t>
      </w:r>
      <w:r>
        <w:rPr>
          <w:rFonts w:hint="eastAsia" w:ascii="宋体" w:hAnsi="宋体" w:cs="宋体"/>
          <w:highlight w:val="none"/>
          <w:lang w:bidi="ar"/>
        </w:rPr>
        <w:t>指响应招标、参加投标竞争的法人、其他组织或者自然人</w:t>
      </w:r>
      <w:r>
        <w:rPr>
          <w:rFonts w:hint="eastAsia" w:ascii="宋体" w:hAnsi="宋体" w:cs="宋体"/>
          <w:szCs w:val="21"/>
          <w:highlight w:val="none"/>
          <w:lang w:bidi="ar"/>
        </w:rPr>
        <w:t>。</w:t>
      </w:r>
    </w:p>
    <w:p>
      <w:pPr>
        <w:spacing w:line="360" w:lineRule="auto"/>
        <w:ind w:firstLine="420" w:firstLineChars="200"/>
        <w:rPr>
          <w:rFonts w:hint="eastAsia" w:ascii="宋体" w:hAnsi="宋体"/>
          <w:highlight w:val="none"/>
        </w:rPr>
      </w:pPr>
      <w:r>
        <w:rPr>
          <w:rFonts w:ascii="宋体" w:hAnsi="宋体"/>
          <w:highlight w:val="none"/>
          <w:lang w:bidi="ar"/>
        </w:rPr>
        <w:t>1.2.3</w:t>
      </w:r>
      <w:r>
        <w:rPr>
          <w:rFonts w:hint="eastAsia" w:ascii="宋体" w:hAnsi="宋体" w:cs="宋体"/>
          <w:highlight w:val="none"/>
          <w:lang w:bidi="ar"/>
        </w:rPr>
        <w:t>本文件中的</w:t>
      </w:r>
      <w:r>
        <w:rPr>
          <w:rFonts w:ascii="宋体" w:hAnsi="宋体"/>
          <w:highlight w:val="none"/>
          <w:lang w:bidi="ar"/>
        </w:rPr>
        <w:t>“</w:t>
      </w:r>
      <w:r>
        <w:rPr>
          <w:rFonts w:hint="eastAsia" w:ascii="宋体" w:hAnsi="宋体" w:cs="宋体"/>
          <w:highlight w:val="none"/>
          <w:lang w:bidi="ar"/>
        </w:rPr>
        <w:t>法定代表人</w:t>
      </w:r>
      <w:r>
        <w:rPr>
          <w:rFonts w:ascii="宋体" w:hAnsi="宋体"/>
          <w:highlight w:val="none"/>
          <w:lang w:bidi="ar"/>
        </w:rPr>
        <w:t>”</w:t>
      </w:r>
      <w:r>
        <w:rPr>
          <w:rFonts w:hint="eastAsia" w:ascii="宋体" w:hAnsi="宋体" w:cs="宋体"/>
          <w:highlight w:val="none"/>
          <w:lang w:bidi="ar"/>
        </w:rPr>
        <w:t>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pPr>
        <w:spacing w:line="360" w:lineRule="auto"/>
        <w:ind w:firstLine="420" w:firstLineChars="200"/>
        <w:rPr>
          <w:rFonts w:hint="eastAsia" w:ascii="宋体" w:hAnsi="宋体"/>
          <w:highlight w:val="none"/>
        </w:rPr>
      </w:pPr>
      <w:r>
        <w:rPr>
          <w:rFonts w:ascii="宋体" w:hAnsi="宋体"/>
          <w:highlight w:val="none"/>
          <w:lang w:bidi="ar"/>
        </w:rPr>
        <w:t>1.2.4</w:t>
      </w:r>
      <w:r>
        <w:rPr>
          <w:rFonts w:hint="eastAsia" w:ascii="宋体" w:hAnsi="宋体" w:cs="宋体"/>
          <w:highlight w:val="none"/>
          <w:lang w:bidi="ar"/>
        </w:rPr>
        <w:t>本文件中的</w:t>
      </w:r>
      <w:r>
        <w:rPr>
          <w:rFonts w:hint="eastAsia" w:ascii="宋体" w:hAnsi="宋体"/>
          <w:highlight w:val="none"/>
          <w:lang w:bidi="ar"/>
        </w:rPr>
        <w:t>“</w:t>
      </w:r>
      <w:r>
        <w:rPr>
          <w:rFonts w:hint="eastAsia" w:ascii="宋体" w:hAnsi="宋体" w:cs="宋体"/>
          <w:highlight w:val="none"/>
          <w:lang w:bidi="ar"/>
        </w:rPr>
        <w:t>公章</w:t>
      </w:r>
      <w:r>
        <w:rPr>
          <w:rFonts w:hint="eastAsia" w:ascii="宋体" w:hAnsi="宋体"/>
          <w:highlight w:val="none"/>
          <w:lang w:bidi="ar"/>
        </w:rPr>
        <w:t>”</w:t>
      </w:r>
      <w:r>
        <w:rPr>
          <w:rFonts w:hint="eastAsia" w:ascii="宋体" w:hAnsi="宋体" w:cs="宋体"/>
          <w:highlight w:val="none"/>
          <w:lang w:bidi="ar"/>
        </w:rPr>
        <w:t>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w:t>
      </w:r>
    </w:p>
    <w:p>
      <w:pPr>
        <w:widowControl/>
        <w:spacing w:line="360" w:lineRule="auto"/>
        <w:ind w:firstLine="420" w:firstLineChars="200"/>
        <w:jc w:val="left"/>
        <w:rPr>
          <w:rFonts w:hint="eastAsia" w:ascii="宋体" w:hAnsi="宋体"/>
          <w:szCs w:val="21"/>
          <w:highlight w:val="none"/>
        </w:rPr>
      </w:pPr>
      <w:r>
        <w:rPr>
          <w:rFonts w:ascii="宋体" w:hAnsi="宋体"/>
          <w:szCs w:val="21"/>
          <w:highlight w:val="none"/>
          <w:lang w:bidi="ar"/>
        </w:rPr>
        <w:t>1.2.5</w:t>
      </w:r>
      <w:r>
        <w:rPr>
          <w:rFonts w:hint="eastAsia" w:ascii="宋体" w:hAnsi="宋体"/>
          <w:szCs w:val="21"/>
          <w:highlight w:val="none"/>
          <w:lang w:bidi="ar"/>
        </w:rPr>
        <w:t>“</w:t>
      </w:r>
      <w:r>
        <w:rPr>
          <w:rFonts w:hint="eastAsia" w:ascii="宋体" w:hAnsi="宋体" w:cs="宋体"/>
          <w:szCs w:val="21"/>
          <w:highlight w:val="none"/>
          <w:lang w:bidi="ar"/>
        </w:rPr>
        <w:t>书面形式</w:t>
      </w:r>
      <w:r>
        <w:rPr>
          <w:rFonts w:hint="eastAsia" w:ascii="宋体" w:hAnsi="宋体"/>
          <w:szCs w:val="21"/>
          <w:highlight w:val="none"/>
          <w:lang w:bidi="ar"/>
        </w:rPr>
        <w:t>”</w:t>
      </w:r>
      <w:r>
        <w:rPr>
          <w:rFonts w:hint="eastAsia" w:ascii="宋体" w:hAnsi="宋体" w:cs="宋体"/>
          <w:szCs w:val="21"/>
          <w:highlight w:val="none"/>
          <w:lang w:bidi="ar"/>
        </w:rPr>
        <w:t>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p>
    <w:p>
      <w:pPr>
        <w:spacing w:line="360" w:lineRule="auto"/>
        <w:ind w:firstLine="420" w:firstLineChars="200"/>
        <w:rPr>
          <w:rFonts w:hint="eastAsia" w:ascii="宋体" w:hAnsi="宋体"/>
          <w:szCs w:val="21"/>
          <w:highlight w:val="none"/>
        </w:rPr>
      </w:pPr>
      <w:bookmarkStart w:id="149" w:name="OLE_LINK55"/>
      <w:r>
        <w:rPr>
          <w:rFonts w:ascii="宋体" w:hAnsi="宋体"/>
          <w:szCs w:val="21"/>
          <w:highlight w:val="none"/>
          <w:lang w:bidi="ar"/>
        </w:rPr>
        <w:t>1.2.6</w:t>
      </w:r>
      <w:r>
        <w:rPr>
          <w:rFonts w:hint="eastAsia" w:ascii="宋体" w:hAnsi="宋体" w:cs="宋体"/>
          <w:szCs w:val="21"/>
          <w:highlight w:val="none"/>
          <w:lang w:bidi="ar"/>
        </w:rPr>
        <w:t>本项目的技术商务要求重要性分为</w:t>
      </w:r>
      <w:r>
        <w:rPr>
          <w:rFonts w:ascii="宋体" w:hAnsi="宋体"/>
          <w:szCs w:val="21"/>
          <w:highlight w:val="none"/>
          <w:lang w:bidi="ar"/>
        </w:rPr>
        <w:t>“▲”</w:t>
      </w:r>
      <w:r>
        <w:rPr>
          <w:rFonts w:hint="eastAsia" w:ascii="宋体" w:hAnsi="宋体" w:cs="宋体"/>
          <w:szCs w:val="21"/>
          <w:highlight w:val="none"/>
          <w:lang w:bidi="ar"/>
        </w:rPr>
        <w:t>（如有）、</w:t>
      </w:r>
      <w:r>
        <w:rPr>
          <w:rFonts w:ascii="宋体" w:hAnsi="宋体"/>
          <w:szCs w:val="21"/>
          <w:highlight w:val="none"/>
          <w:lang w:bidi="ar"/>
        </w:rPr>
        <w:t>“#”</w:t>
      </w:r>
      <w:r>
        <w:rPr>
          <w:rFonts w:hint="eastAsia" w:ascii="宋体" w:hAnsi="宋体" w:cs="宋体"/>
          <w:szCs w:val="21"/>
          <w:highlight w:val="none"/>
          <w:lang w:bidi="ar"/>
        </w:rPr>
        <w:t>（如有）和一般无标识指标。</w:t>
      </w:r>
      <w:r>
        <w:rPr>
          <w:rFonts w:ascii="宋体" w:hAnsi="宋体"/>
          <w:szCs w:val="21"/>
          <w:highlight w:val="none"/>
          <w:lang w:bidi="ar"/>
        </w:rPr>
        <w:t>▲</w:t>
      </w:r>
      <w:r>
        <w:rPr>
          <w:rFonts w:hint="eastAsia" w:ascii="宋体" w:hAnsi="宋体" w:cs="宋体"/>
          <w:szCs w:val="21"/>
          <w:highlight w:val="none"/>
          <w:lang w:bidi="ar"/>
        </w:rPr>
        <w:t>代表实质性要求指标，</w:t>
      </w:r>
      <w:r>
        <w:rPr>
          <w:rFonts w:hint="eastAsia" w:ascii="宋体" w:hAnsi="宋体" w:cs="宋体"/>
          <w:b/>
          <w:bCs/>
          <w:szCs w:val="21"/>
          <w:highlight w:val="none"/>
          <w:lang w:bidi="ar"/>
        </w:rPr>
        <w:t>不满足该指标项将导致投标被否决</w:t>
      </w:r>
      <w:r>
        <w:rPr>
          <w:rFonts w:hint="eastAsia" w:ascii="宋体" w:hAnsi="宋体" w:cs="宋体"/>
          <w:szCs w:val="21"/>
          <w:highlight w:val="none"/>
          <w:lang w:bidi="ar"/>
        </w:rPr>
        <w:t>，</w:t>
      </w:r>
      <w:r>
        <w:rPr>
          <w:rFonts w:ascii="宋体" w:hAnsi="宋体"/>
          <w:szCs w:val="21"/>
          <w:highlight w:val="none"/>
          <w:lang w:bidi="ar"/>
        </w:rPr>
        <w:t>#</w:t>
      </w:r>
      <w:r>
        <w:rPr>
          <w:rFonts w:hint="eastAsia" w:ascii="宋体" w:hAnsi="宋体" w:cs="宋体"/>
          <w:szCs w:val="21"/>
          <w:highlight w:val="none"/>
          <w:lang w:bidi="ar"/>
        </w:rPr>
        <w:t>代表重要指标，无标识则表示一般指标项。</w:t>
      </w:r>
    </w:p>
    <w:bookmarkEnd w:id="149"/>
    <w:p>
      <w:pPr>
        <w:spacing w:line="360" w:lineRule="auto"/>
        <w:ind w:firstLine="420" w:firstLineChars="200"/>
        <w:rPr>
          <w:rFonts w:hint="eastAsia" w:ascii="宋体" w:hAnsi="宋体"/>
          <w:szCs w:val="21"/>
          <w:highlight w:val="none"/>
        </w:rPr>
      </w:pPr>
      <w:r>
        <w:rPr>
          <w:rFonts w:ascii="宋体" w:hAnsi="宋体"/>
          <w:szCs w:val="21"/>
          <w:highlight w:val="none"/>
          <w:lang w:bidi="ar"/>
        </w:rPr>
        <w:t xml:space="preserve">1.2.7 </w:t>
      </w:r>
      <w:r>
        <w:rPr>
          <w:rFonts w:hint="eastAsia" w:ascii="宋体" w:hAnsi="宋体" w:cs="宋体"/>
          <w:szCs w:val="21"/>
          <w:highlight w:val="none"/>
          <w:lang w:bidi="ar"/>
        </w:rPr>
        <w:t>本招标文件出现多种选项的条款，以</w:t>
      </w:r>
      <w:r>
        <w:rPr>
          <w:rFonts w:ascii="宋体" w:hAnsi="宋体"/>
          <w:szCs w:val="21"/>
          <w:highlight w:val="none"/>
          <w:lang w:bidi="ar"/>
        </w:rPr>
        <w:t>“</w:t>
      </w:r>
      <w:r>
        <w:rPr>
          <w:rFonts w:ascii="宋体" w:hAnsi="宋体" w:cs="Wingdings 2"/>
          <w:highlight w:val="none"/>
          <w:lang w:bidi="ar"/>
        </w:rPr>
        <w:sym w:font="Wingdings 2" w:char="0052"/>
      </w:r>
      <w:r>
        <w:rPr>
          <w:rFonts w:ascii="宋体" w:hAnsi="宋体"/>
          <w:szCs w:val="21"/>
          <w:highlight w:val="none"/>
          <w:lang w:bidi="ar"/>
        </w:rPr>
        <w:t>”</w:t>
      </w:r>
      <w:r>
        <w:rPr>
          <w:rFonts w:hint="eastAsia" w:ascii="宋体" w:hAnsi="宋体" w:cs="宋体"/>
          <w:szCs w:val="21"/>
          <w:highlight w:val="none"/>
          <w:lang w:bidi="ar"/>
        </w:rPr>
        <w:t>表示本条款所选择的方式。</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1.2.8 “</w:t>
      </w:r>
      <w:r>
        <w:rPr>
          <w:rFonts w:hint="eastAsia" w:ascii="宋体" w:hAnsi="宋体" w:cs="宋体"/>
          <w:szCs w:val="21"/>
          <w:highlight w:val="none"/>
          <w:lang w:bidi="ar"/>
        </w:rPr>
        <w:t>电子交易平台</w:t>
      </w:r>
      <w:r>
        <w:rPr>
          <w:rFonts w:ascii="宋体" w:hAnsi="宋体"/>
          <w:szCs w:val="21"/>
          <w:highlight w:val="none"/>
          <w:lang w:bidi="ar"/>
        </w:rPr>
        <w:t>”</w:t>
      </w:r>
      <w:r>
        <w:rPr>
          <w:rFonts w:hint="eastAsia" w:ascii="宋体" w:hAnsi="宋体" w:cs="宋体"/>
          <w:szCs w:val="21"/>
          <w:highlight w:val="none"/>
          <w:lang w:bidi="ar"/>
        </w:rPr>
        <w:t>是指以数据电文形式在线完成采购活动的信息平台，本招标文件中也称</w:t>
      </w:r>
      <w:r>
        <w:rPr>
          <w:rFonts w:ascii="宋体" w:hAnsi="宋体"/>
          <w:szCs w:val="21"/>
          <w:highlight w:val="none"/>
          <w:lang w:bidi="ar"/>
        </w:rPr>
        <w:t>“</w:t>
      </w:r>
      <w:r>
        <w:rPr>
          <w:rFonts w:hint="eastAsia" w:ascii="宋体" w:hAnsi="宋体" w:cs="宋体"/>
          <w:szCs w:val="21"/>
          <w:highlight w:val="none"/>
          <w:lang w:bidi="ar"/>
        </w:rPr>
        <w:t>广西政府采购云平台</w:t>
      </w:r>
      <w:r>
        <w:rPr>
          <w:rFonts w:ascii="宋体" w:hAnsi="宋体"/>
          <w:szCs w:val="21"/>
          <w:highlight w:val="none"/>
          <w:lang w:bidi="ar"/>
        </w:rPr>
        <w:t>”</w:t>
      </w:r>
      <w:r>
        <w:rPr>
          <w:rFonts w:hint="eastAsia" w:ascii="宋体" w:hAnsi="宋体" w:cs="宋体"/>
          <w:szCs w:val="21"/>
          <w:highlight w:val="none"/>
          <w:lang w:bidi="ar"/>
        </w:rPr>
        <w:t>。</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1.3</w:t>
      </w:r>
      <w:r>
        <w:rPr>
          <w:rFonts w:hint="eastAsia" w:ascii="宋体" w:hAnsi="宋体"/>
          <w:b/>
          <w:bCs/>
          <w:kern w:val="0"/>
          <w:szCs w:val="21"/>
          <w:highlight w:val="none"/>
          <w:lang w:bidi="ar"/>
        </w:rPr>
        <w:t>项目信息</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1.3.1</w:t>
      </w:r>
      <w:r>
        <w:rPr>
          <w:rFonts w:hint="eastAsia" w:ascii="宋体" w:hAnsi="宋体" w:cs="宋体"/>
          <w:szCs w:val="21"/>
          <w:highlight w:val="none"/>
          <w:lang w:bidi="ar"/>
        </w:rPr>
        <w:t>项目名称及编号：详见供应商须知前附表</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1.3.2</w:t>
      </w:r>
      <w:r>
        <w:rPr>
          <w:rFonts w:hint="eastAsia" w:ascii="宋体" w:hAnsi="宋体" w:cs="宋体"/>
          <w:szCs w:val="21"/>
          <w:highlight w:val="none"/>
          <w:lang w:bidi="ar"/>
        </w:rPr>
        <w:t>采购方式：详见供应商须知前附表</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1.4</w:t>
      </w:r>
      <w:r>
        <w:rPr>
          <w:rFonts w:hint="eastAsia" w:ascii="宋体" w:hAnsi="宋体"/>
          <w:b/>
          <w:bCs/>
          <w:kern w:val="0"/>
          <w:szCs w:val="21"/>
          <w:highlight w:val="none"/>
          <w:lang w:bidi="ar"/>
        </w:rPr>
        <w:t>供应商资格要求</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1.4.1</w:t>
      </w:r>
      <w:r>
        <w:rPr>
          <w:rFonts w:hint="eastAsia" w:ascii="宋体" w:hAnsi="宋体" w:cs="宋体"/>
          <w:szCs w:val="21"/>
          <w:highlight w:val="none"/>
          <w:lang w:bidi="ar"/>
        </w:rPr>
        <w:t>供应商资格要求：详见供应商须知前附表</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1.4.2</w:t>
      </w:r>
      <w:r>
        <w:rPr>
          <w:rFonts w:hint="eastAsia" w:ascii="宋体" w:hAnsi="宋体" w:cs="宋体"/>
          <w:szCs w:val="21"/>
          <w:highlight w:val="none"/>
          <w:lang w:bidi="ar"/>
        </w:rPr>
        <w:t>按照招标公告的规定获得招标文件。</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1.4.3</w:t>
      </w:r>
      <w:r>
        <w:rPr>
          <w:rFonts w:hint="eastAsia" w:ascii="宋体" w:hAnsi="宋体" w:cs="宋体"/>
          <w:szCs w:val="21"/>
          <w:highlight w:val="none"/>
          <w:lang w:bidi="ar"/>
        </w:rPr>
        <w:t>本项目是否接受联合体投标，见</w:t>
      </w:r>
      <w:r>
        <w:rPr>
          <w:rFonts w:ascii="宋体" w:hAnsi="宋体"/>
          <w:szCs w:val="21"/>
          <w:highlight w:val="none"/>
          <w:lang w:bidi="ar"/>
        </w:rPr>
        <w:t>“</w:t>
      </w:r>
      <w:r>
        <w:rPr>
          <w:rFonts w:hint="eastAsia" w:ascii="宋体" w:hAnsi="宋体" w:cs="宋体"/>
          <w:szCs w:val="21"/>
          <w:highlight w:val="none"/>
          <w:lang w:bidi="ar"/>
        </w:rPr>
        <w:t>供应商须知前附表</w:t>
      </w:r>
      <w:r>
        <w:rPr>
          <w:rFonts w:ascii="宋体" w:hAnsi="宋体"/>
          <w:szCs w:val="21"/>
          <w:highlight w:val="none"/>
          <w:lang w:bidi="ar"/>
        </w:rPr>
        <w:t>”</w:t>
      </w:r>
      <w:r>
        <w:rPr>
          <w:rFonts w:hint="eastAsia" w:ascii="宋体" w:hAnsi="宋体" w:cs="宋体"/>
          <w:szCs w:val="21"/>
          <w:highlight w:val="none"/>
          <w:lang w:bidi="ar"/>
        </w:rPr>
        <w:t>规定。</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如接受联合体投标，联合体投标要求如下：</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）供应商可以组成一个投标联合体，以一个供应商的身份共同参加投标。联合体投标的，须提供《联合体协议书》（格式后附）</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3</w:t>
      </w:r>
      <w:r>
        <w:rPr>
          <w:rFonts w:hint="eastAsia" w:ascii="宋体" w:hAnsi="宋体" w:cs="宋体"/>
          <w:szCs w:val="21"/>
          <w:highlight w:val="none"/>
          <w:lang w:bidi="ar"/>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4</w:t>
      </w:r>
      <w:r>
        <w:rPr>
          <w:rFonts w:hint="eastAsia" w:ascii="宋体" w:hAnsi="宋体" w:cs="宋体"/>
          <w:szCs w:val="21"/>
          <w:highlight w:val="none"/>
          <w:lang w:bidi="ar"/>
        </w:rPr>
        <w:t>）以联合体形式参加政府采购活动的，联合体各方不得再单独参加或者与其他供应商另外组成联合体参加同一合同项下的政府采购活动。</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5</w:t>
      </w:r>
      <w:r>
        <w:rPr>
          <w:rFonts w:hint="eastAsia" w:ascii="宋体" w:hAnsi="宋体" w:cs="宋体"/>
          <w:szCs w:val="21"/>
          <w:highlight w:val="none"/>
          <w:lang w:bidi="ar"/>
        </w:rPr>
        <w:t>）联合体中有同类资质的供应商按照联合体分工承担相同工作的，应当按照资质等级较低的供应商确定资质等级。</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6</w:t>
      </w:r>
      <w:r>
        <w:rPr>
          <w:rFonts w:hint="eastAsia" w:ascii="宋体" w:hAnsi="宋体" w:cs="宋体"/>
          <w:szCs w:val="21"/>
          <w:highlight w:val="none"/>
          <w:lang w:bidi="ar"/>
        </w:rPr>
        <w:t>）联合体投标业绩、履约能力按照联合体各方其中较高的一方认定并计算（招标文件其他章节另有规定的除外）。</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7</w:t>
      </w:r>
      <w:r>
        <w:rPr>
          <w:rFonts w:hint="eastAsia" w:ascii="宋体" w:hAnsi="宋体" w:cs="宋体"/>
          <w:szCs w:val="21"/>
          <w:highlight w:val="none"/>
          <w:lang w:bidi="ar"/>
        </w:rPr>
        <w:t>）供应商为联合体的，可以由联合体中的一方或者多方共同交纳投标保证金，其交纳的保证金对联合体各方均具有约束力。</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8</w:t>
      </w:r>
      <w:r>
        <w:rPr>
          <w:rFonts w:hint="eastAsia" w:ascii="宋体" w:hAnsi="宋体" w:cs="宋体"/>
          <w:szCs w:val="21"/>
          <w:highlight w:val="none"/>
          <w:lang w:bidi="ar"/>
        </w:rPr>
        <w:t>）联合体各方均应按照招标文件的规定提交资格证明文件。</w:t>
      </w:r>
    </w:p>
    <w:p>
      <w:pPr>
        <w:spacing w:line="360" w:lineRule="auto"/>
        <w:ind w:firstLine="422" w:firstLineChars="200"/>
        <w:outlineLvl w:val="3"/>
        <w:rPr>
          <w:rFonts w:hint="eastAsia" w:ascii="宋体" w:hAnsi="宋体"/>
          <w:b/>
          <w:bCs/>
          <w:kern w:val="0"/>
          <w:szCs w:val="21"/>
          <w:highlight w:val="none"/>
          <w:lang w:bidi="ar"/>
        </w:rPr>
      </w:pPr>
      <w:bookmarkStart w:id="150" w:name="_Toc254970531"/>
      <w:bookmarkStart w:id="151" w:name="_Toc254970672"/>
      <w:r>
        <w:rPr>
          <w:rFonts w:ascii="宋体" w:hAnsi="宋体"/>
          <w:b/>
          <w:bCs/>
          <w:kern w:val="0"/>
          <w:szCs w:val="21"/>
          <w:highlight w:val="none"/>
          <w:lang w:bidi="ar"/>
        </w:rPr>
        <w:t>1.5</w:t>
      </w:r>
      <w:r>
        <w:rPr>
          <w:rFonts w:hint="eastAsia" w:ascii="宋体" w:hAnsi="宋体"/>
          <w:b/>
          <w:bCs/>
          <w:kern w:val="0"/>
          <w:szCs w:val="21"/>
          <w:highlight w:val="none"/>
          <w:lang w:bidi="ar"/>
        </w:rPr>
        <w:t>现场踏勘及投标费用</w:t>
      </w:r>
      <w:bookmarkEnd w:id="150"/>
      <w:bookmarkEnd w:id="151"/>
    </w:p>
    <w:p>
      <w:pPr>
        <w:spacing w:line="360" w:lineRule="auto"/>
        <w:ind w:firstLine="420" w:firstLineChars="200"/>
        <w:rPr>
          <w:rFonts w:hint="eastAsia" w:ascii="宋体" w:hAnsi="宋体"/>
          <w:szCs w:val="21"/>
          <w:highlight w:val="none"/>
        </w:rPr>
      </w:pPr>
      <w:r>
        <w:rPr>
          <w:rFonts w:ascii="宋体" w:hAnsi="宋体"/>
          <w:szCs w:val="21"/>
          <w:highlight w:val="none"/>
          <w:lang w:bidi="ar"/>
        </w:rPr>
        <w:t>1.5.1</w:t>
      </w:r>
      <w:r>
        <w:rPr>
          <w:rFonts w:hint="eastAsia" w:ascii="宋体" w:hAnsi="宋体" w:cs="宋体"/>
          <w:szCs w:val="21"/>
          <w:highlight w:val="none"/>
          <w:lang w:bidi="ar"/>
        </w:rPr>
        <w:t>前附表如规定现场踏勘的，供应商应按规定时间地点参加踏勘。</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1.5.2</w:t>
      </w:r>
      <w:r>
        <w:rPr>
          <w:rFonts w:hint="eastAsia" w:ascii="宋体" w:hAnsi="宋体" w:cs="宋体"/>
          <w:szCs w:val="21"/>
          <w:highlight w:val="none"/>
          <w:lang w:bidi="ar"/>
        </w:rPr>
        <w:t>供应商均应自行承担所有与投标有关的全部费用（招标文件有相关的规定除外）。</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1.6</w:t>
      </w:r>
      <w:r>
        <w:rPr>
          <w:rFonts w:hint="eastAsia" w:ascii="宋体" w:hAnsi="宋体"/>
          <w:b/>
          <w:bCs/>
          <w:kern w:val="0"/>
          <w:szCs w:val="21"/>
          <w:highlight w:val="none"/>
          <w:lang w:bidi="ar"/>
        </w:rPr>
        <w:t>转包与分包</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1.6.1</w:t>
      </w:r>
      <w:r>
        <w:rPr>
          <w:rFonts w:hint="eastAsia" w:ascii="宋体" w:hAnsi="宋体" w:cs="宋体"/>
          <w:szCs w:val="21"/>
          <w:highlight w:val="none"/>
          <w:lang w:bidi="ar"/>
        </w:rPr>
        <w:t>如招标文件其他地方无特别规定，本项目不允许转包。</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1.6.2</w:t>
      </w:r>
      <w:r>
        <w:rPr>
          <w:rFonts w:hint="eastAsia" w:ascii="宋体" w:hAnsi="宋体" w:cs="宋体"/>
          <w:szCs w:val="21"/>
          <w:highlight w:val="none"/>
          <w:lang w:bidi="ar"/>
        </w:rPr>
        <w:t>本项目是否允许分包详见</w:t>
      </w:r>
      <w:r>
        <w:rPr>
          <w:rFonts w:ascii="宋体" w:hAnsi="宋体"/>
          <w:szCs w:val="21"/>
          <w:highlight w:val="none"/>
          <w:lang w:bidi="ar"/>
        </w:rPr>
        <w:t>“</w:t>
      </w:r>
      <w:r>
        <w:rPr>
          <w:rFonts w:hint="eastAsia" w:ascii="宋体" w:hAnsi="宋体" w:cs="宋体"/>
          <w:szCs w:val="21"/>
          <w:highlight w:val="none"/>
          <w:lang w:bidi="ar"/>
        </w:rPr>
        <w:t>供应商须知前附表</w:t>
      </w:r>
      <w:r>
        <w:rPr>
          <w:rFonts w:ascii="宋体" w:hAnsi="宋体"/>
          <w:szCs w:val="21"/>
          <w:highlight w:val="none"/>
          <w:lang w:bidi="ar"/>
        </w:rPr>
        <w:t>”</w:t>
      </w:r>
      <w:r>
        <w:rPr>
          <w:rFonts w:hint="eastAsia" w:ascii="宋体" w:hAnsi="宋体" w:cs="宋体"/>
          <w:szCs w:val="21"/>
          <w:highlight w:val="none"/>
          <w:lang w:bidi="ar"/>
        </w:rPr>
        <w:t>，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ind w:firstLine="422" w:firstLineChars="200"/>
        <w:outlineLvl w:val="3"/>
        <w:rPr>
          <w:rFonts w:hint="eastAsia" w:ascii="宋体" w:hAnsi="宋体"/>
          <w:b/>
          <w:bCs/>
          <w:kern w:val="0"/>
          <w:szCs w:val="21"/>
          <w:highlight w:val="none"/>
          <w:lang w:bidi="ar"/>
        </w:rPr>
      </w:pPr>
      <w:bookmarkStart w:id="152" w:name="_Toc254970673"/>
      <w:bookmarkStart w:id="153" w:name="_Toc254970532"/>
      <w:r>
        <w:rPr>
          <w:rFonts w:ascii="宋体" w:hAnsi="宋体"/>
          <w:b/>
          <w:bCs/>
          <w:kern w:val="0"/>
          <w:szCs w:val="21"/>
          <w:highlight w:val="none"/>
          <w:lang w:bidi="ar"/>
        </w:rPr>
        <w:t>1.7</w:t>
      </w:r>
      <w:r>
        <w:rPr>
          <w:rFonts w:hint="eastAsia" w:ascii="宋体" w:hAnsi="宋体"/>
          <w:b/>
          <w:bCs/>
          <w:kern w:val="0"/>
          <w:szCs w:val="21"/>
          <w:highlight w:val="none"/>
          <w:lang w:bidi="ar"/>
        </w:rPr>
        <w:t>特别说明</w:t>
      </w:r>
      <w:bookmarkEnd w:id="152"/>
      <w:bookmarkEnd w:id="153"/>
    </w:p>
    <w:p>
      <w:pPr>
        <w:spacing w:line="360" w:lineRule="auto"/>
        <w:ind w:firstLine="420" w:firstLineChars="200"/>
        <w:rPr>
          <w:rFonts w:hint="eastAsia" w:ascii="宋体" w:hAnsi="宋体"/>
          <w:szCs w:val="21"/>
          <w:highlight w:val="none"/>
        </w:rPr>
      </w:pPr>
      <w:r>
        <w:rPr>
          <w:rFonts w:ascii="宋体" w:hAnsi="宋体"/>
          <w:szCs w:val="21"/>
          <w:highlight w:val="none"/>
          <w:lang w:bidi="ar"/>
        </w:rPr>
        <w:t xml:space="preserve">1.7.1 </w:t>
      </w:r>
      <w:r>
        <w:rPr>
          <w:rFonts w:hint="eastAsia" w:ascii="宋体" w:hAnsi="宋体" w:cs="宋体"/>
          <w:szCs w:val="21"/>
          <w:highlight w:val="none"/>
          <w:lang w:bidi="ar"/>
        </w:rPr>
        <w:t>供应商应保证其提供的联系方式（电话、传真、电子邮件）有效，以保证往来函件（澄清、修改等）能及时通知供应商，并能及时反馈，否则采购人及代理机构不承担由此引起的一切后果。</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1.7.2</w:t>
      </w:r>
      <w:r>
        <w:rPr>
          <w:rFonts w:hint="eastAsia" w:ascii="宋体" w:hAnsi="宋体" w:cs="宋体"/>
          <w:szCs w:val="21"/>
          <w:highlight w:val="none"/>
          <w:lang w:bidi="ar"/>
        </w:rPr>
        <w:t>供应商应仔细阅读招标文件的所有内容，按照招标文件的要求提交投标文件，并对所提供的全部资料的真实性承担法律责任。</w:t>
      </w:r>
    </w:p>
    <w:p>
      <w:pPr>
        <w:spacing w:line="360" w:lineRule="auto"/>
        <w:ind w:firstLine="420" w:firstLineChars="200"/>
        <w:rPr>
          <w:rFonts w:hint="eastAsia" w:ascii="宋体" w:hAnsi="宋体"/>
          <w:szCs w:val="21"/>
          <w:highlight w:val="none"/>
        </w:rPr>
      </w:pPr>
      <w:r>
        <w:rPr>
          <w:rFonts w:ascii="宋体" w:hAnsi="宋体"/>
          <w:szCs w:val="21"/>
          <w:highlight w:val="none"/>
          <w:lang w:bidi="ar"/>
        </w:rPr>
        <w:t>1.7.3</w:t>
      </w:r>
      <w:r>
        <w:rPr>
          <w:rFonts w:hint="eastAsia" w:ascii="宋体" w:hAnsi="宋体" w:cs="宋体"/>
          <w:szCs w:val="21"/>
          <w:highlight w:val="none"/>
          <w:lang w:bidi="ar"/>
        </w:rPr>
        <w:t>供应商在投标活动中提供任何虚假材料，将报监管部门查处。</w:t>
      </w:r>
    </w:p>
    <w:p>
      <w:pPr>
        <w:spacing w:line="360" w:lineRule="auto"/>
        <w:ind w:firstLine="422" w:firstLineChars="200"/>
        <w:outlineLvl w:val="2"/>
        <w:rPr>
          <w:rFonts w:hint="eastAsia" w:ascii="宋体" w:hAnsi="宋体"/>
          <w:b/>
          <w:bCs/>
          <w:kern w:val="0"/>
          <w:szCs w:val="21"/>
          <w:highlight w:val="none"/>
        </w:rPr>
      </w:pPr>
      <w:bookmarkStart w:id="154" w:name="_Toc254970534"/>
      <w:bookmarkStart w:id="155" w:name="_Toc254970675"/>
      <w:r>
        <w:rPr>
          <w:rFonts w:ascii="宋体" w:hAnsi="宋体"/>
          <w:b/>
          <w:bCs/>
          <w:kern w:val="0"/>
          <w:szCs w:val="21"/>
          <w:highlight w:val="none"/>
          <w:lang w:bidi="ar"/>
        </w:rPr>
        <w:t>2</w:t>
      </w:r>
      <w:r>
        <w:rPr>
          <w:rFonts w:hint="eastAsia" w:ascii="宋体" w:hAnsi="宋体" w:cs="宋体"/>
          <w:b/>
          <w:bCs/>
          <w:kern w:val="0"/>
          <w:szCs w:val="21"/>
          <w:highlight w:val="none"/>
          <w:lang w:bidi="ar"/>
        </w:rPr>
        <w:t>．招标文件</w:t>
      </w:r>
      <w:bookmarkEnd w:id="154"/>
      <w:bookmarkEnd w:id="155"/>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2.1</w:t>
      </w:r>
      <w:r>
        <w:rPr>
          <w:rFonts w:hint="eastAsia" w:ascii="宋体" w:hAnsi="宋体"/>
          <w:b/>
          <w:bCs/>
          <w:kern w:val="0"/>
          <w:szCs w:val="21"/>
          <w:highlight w:val="none"/>
          <w:lang w:bidi="ar"/>
        </w:rPr>
        <w:t>招标文件的构成</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第一章</w:t>
      </w:r>
      <w:r>
        <w:rPr>
          <w:rFonts w:ascii="宋体" w:hAnsi="宋体"/>
          <w:szCs w:val="21"/>
          <w:highlight w:val="none"/>
          <w:lang w:bidi="ar"/>
        </w:rPr>
        <w:t xml:space="preserve"> </w:t>
      </w:r>
      <w:r>
        <w:rPr>
          <w:rFonts w:hint="eastAsia" w:ascii="宋体" w:hAnsi="宋体" w:cs="宋体"/>
          <w:szCs w:val="21"/>
          <w:highlight w:val="none"/>
          <w:lang w:bidi="ar"/>
        </w:rPr>
        <w:t>招标公告</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第二章</w:t>
      </w:r>
      <w:r>
        <w:rPr>
          <w:rFonts w:ascii="宋体" w:hAnsi="宋体"/>
          <w:szCs w:val="21"/>
          <w:highlight w:val="none"/>
          <w:lang w:bidi="ar"/>
        </w:rPr>
        <w:t xml:space="preserve"> </w:t>
      </w:r>
      <w:r>
        <w:rPr>
          <w:rFonts w:hint="eastAsia" w:ascii="宋体" w:hAnsi="宋体" w:cs="宋体"/>
          <w:szCs w:val="21"/>
          <w:highlight w:val="none"/>
          <w:lang w:bidi="ar"/>
        </w:rPr>
        <w:t>采购需求</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第三章</w:t>
      </w:r>
      <w:r>
        <w:rPr>
          <w:rFonts w:ascii="宋体" w:hAnsi="宋体"/>
          <w:szCs w:val="21"/>
          <w:highlight w:val="none"/>
          <w:lang w:bidi="ar"/>
        </w:rPr>
        <w:t xml:space="preserve"> </w:t>
      </w:r>
      <w:r>
        <w:rPr>
          <w:rFonts w:hint="eastAsia" w:ascii="宋体" w:hAnsi="宋体" w:cs="宋体"/>
          <w:szCs w:val="21"/>
          <w:highlight w:val="none"/>
          <w:lang w:bidi="ar"/>
        </w:rPr>
        <w:t>供应商须知</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第四章</w:t>
      </w:r>
      <w:r>
        <w:rPr>
          <w:rFonts w:ascii="宋体" w:hAnsi="宋体"/>
          <w:szCs w:val="21"/>
          <w:highlight w:val="none"/>
          <w:lang w:bidi="ar"/>
        </w:rPr>
        <w:t xml:space="preserve"> </w:t>
      </w:r>
      <w:r>
        <w:rPr>
          <w:rFonts w:hint="eastAsia" w:ascii="宋体" w:hAnsi="宋体" w:cs="宋体"/>
          <w:szCs w:val="21"/>
          <w:highlight w:val="none"/>
          <w:lang w:bidi="ar"/>
        </w:rPr>
        <w:t>评审方法及标准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第五章</w:t>
      </w:r>
      <w:r>
        <w:rPr>
          <w:rFonts w:ascii="宋体" w:hAnsi="宋体"/>
          <w:szCs w:val="21"/>
          <w:highlight w:val="none"/>
          <w:lang w:bidi="ar"/>
        </w:rPr>
        <w:t xml:space="preserve"> </w:t>
      </w:r>
      <w:r>
        <w:rPr>
          <w:rFonts w:hint="eastAsia" w:ascii="宋体" w:hAnsi="宋体" w:cs="宋体"/>
          <w:szCs w:val="21"/>
          <w:highlight w:val="none"/>
          <w:lang w:bidi="ar"/>
        </w:rPr>
        <w:t>合同主要条款格式</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第六章</w:t>
      </w:r>
      <w:r>
        <w:rPr>
          <w:rFonts w:ascii="宋体" w:hAnsi="宋体"/>
          <w:szCs w:val="21"/>
          <w:highlight w:val="none"/>
          <w:lang w:bidi="ar"/>
        </w:rPr>
        <w:t xml:space="preserve"> </w:t>
      </w:r>
      <w:r>
        <w:rPr>
          <w:rFonts w:hint="eastAsia" w:ascii="宋体" w:hAnsi="宋体" w:cs="宋体"/>
          <w:szCs w:val="21"/>
          <w:highlight w:val="none"/>
          <w:lang w:bidi="ar"/>
        </w:rPr>
        <w:t>投标文件格式</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2.2</w:t>
      </w:r>
      <w:r>
        <w:rPr>
          <w:rFonts w:hint="eastAsia" w:ascii="宋体" w:hAnsi="宋体"/>
          <w:b/>
          <w:bCs/>
          <w:kern w:val="0"/>
          <w:szCs w:val="21"/>
          <w:highlight w:val="none"/>
          <w:lang w:bidi="ar"/>
        </w:rPr>
        <w:t>供应商的风险</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供应商没有按照招标文件要求提供全部资料，或者供应商没有对招标文件在各方面作出实质性响应是供应商的风险，并可能导致其投标被否决。</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2.3</w:t>
      </w:r>
      <w:r>
        <w:rPr>
          <w:rFonts w:hint="eastAsia" w:ascii="宋体" w:hAnsi="宋体"/>
          <w:b/>
          <w:bCs/>
          <w:kern w:val="0"/>
          <w:szCs w:val="21"/>
          <w:highlight w:val="none"/>
          <w:lang w:bidi="ar"/>
        </w:rPr>
        <w:t>招标文件的澄清与修改</w:t>
      </w:r>
    </w:p>
    <w:p>
      <w:pPr>
        <w:spacing w:line="360" w:lineRule="auto"/>
        <w:ind w:firstLine="420" w:firstLineChars="200"/>
        <w:rPr>
          <w:rFonts w:hint="eastAsia" w:ascii="宋体" w:hAnsi="宋体"/>
          <w:szCs w:val="21"/>
          <w:highlight w:val="none"/>
        </w:rPr>
      </w:pPr>
      <w:r>
        <w:rPr>
          <w:rFonts w:ascii="宋体" w:hAnsi="宋体"/>
          <w:szCs w:val="21"/>
          <w:highlight w:val="none"/>
          <w:lang w:bidi="ar"/>
        </w:rPr>
        <w:t>2.3.1</w:t>
      </w:r>
      <w:r>
        <w:rPr>
          <w:rFonts w:hint="eastAsia" w:ascii="宋体" w:hAnsi="宋体" w:cs="宋体"/>
          <w:szCs w:val="21"/>
          <w:highlight w:val="none"/>
          <w:lang w:bidi="ar"/>
        </w:rPr>
        <w:t>任何已获得招标文件的潜在供应商，均可以书面形式要求采购代理机构作出书面解释、澄清。</w:t>
      </w:r>
    </w:p>
    <w:p>
      <w:pPr>
        <w:spacing w:line="360" w:lineRule="auto"/>
        <w:ind w:firstLine="420" w:firstLineChars="200"/>
        <w:rPr>
          <w:rFonts w:hint="eastAsia" w:ascii="宋体" w:hAnsi="宋体"/>
          <w:szCs w:val="21"/>
          <w:highlight w:val="none"/>
        </w:rPr>
      </w:pPr>
      <w:r>
        <w:rPr>
          <w:rFonts w:ascii="宋体" w:hAnsi="宋体"/>
          <w:szCs w:val="21"/>
          <w:highlight w:val="none"/>
          <w:lang w:bidi="ar"/>
        </w:rPr>
        <w:t>2.3.2</w:t>
      </w:r>
      <w:r>
        <w:rPr>
          <w:rFonts w:hint="eastAsia" w:ascii="宋体" w:hAnsi="宋体" w:cs="宋体"/>
          <w:szCs w:val="21"/>
          <w:highlight w:val="none"/>
          <w:lang w:bidi="ar"/>
        </w:rPr>
        <w:t>采购人、采购代理机构对已发出的招标文件进行必要澄清或者修改的，按供应商须知前附表规定发布。</w:t>
      </w:r>
    </w:p>
    <w:p>
      <w:pPr>
        <w:spacing w:line="360" w:lineRule="auto"/>
        <w:ind w:firstLine="420" w:firstLineChars="200"/>
        <w:rPr>
          <w:rFonts w:hint="eastAsia" w:ascii="宋体" w:hAnsi="宋体"/>
          <w:szCs w:val="21"/>
          <w:highlight w:val="none"/>
        </w:rPr>
      </w:pPr>
      <w:r>
        <w:rPr>
          <w:rFonts w:ascii="宋体" w:hAnsi="宋体"/>
          <w:szCs w:val="21"/>
          <w:highlight w:val="none"/>
          <w:lang w:bidi="ar"/>
        </w:rPr>
        <w:t>2.3.3</w:t>
      </w:r>
      <w:r>
        <w:rPr>
          <w:rFonts w:hint="eastAsia" w:ascii="宋体" w:hAnsi="宋体" w:cs="宋体"/>
          <w:szCs w:val="21"/>
          <w:highlight w:val="none"/>
          <w:lang w:bidi="ar"/>
        </w:rPr>
        <w:t>招标文件澄清、答复、修改、补充的内容为招标文件的组成部分。当招标文件与招标文件的答复、澄清、修改、补充通知就同一内容的表述不一致时，以最后发出的公告或书面文件为准。</w:t>
      </w:r>
    </w:p>
    <w:p>
      <w:pPr>
        <w:spacing w:line="360" w:lineRule="auto"/>
        <w:ind w:firstLine="422" w:firstLineChars="200"/>
        <w:outlineLvl w:val="2"/>
        <w:rPr>
          <w:rFonts w:hint="eastAsia" w:ascii="宋体" w:hAnsi="宋体"/>
          <w:b/>
          <w:bCs/>
          <w:kern w:val="0"/>
          <w:szCs w:val="21"/>
          <w:highlight w:val="none"/>
          <w:lang w:bidi="ar"/>
        </w:rPr>
      </w:pPr>
      <w:bookmarkStart w:id="156" w:name="_Toc254970535"/>
      <w:bookmarkStart w:id="157" w:name="_Toc254970676"/>
      <w:r>
        <w:rPr>
          <w:rFonts w:ascii="宋体" w:hAnsi="宋体"/>
          <w:b/>
          <w:bCs/>
          <w:kern w:val="0"/>
          <w:szCs w:val="21"/>
          <w:highlight w:val="none"/>
          <w:lang w:bidi="ar"/>
        </w:rPr>
        <w:t>3</w:t>
      </w:r>
      <w:r>
        <w:rPr>
          <w:rFonts w:hint="eastAsia" w:ascii="宋体" w:hAnsi="宋体"/>
          <w:b/>
          <w:bCs/>
          <w:kern w:val="0"/>
          <w:szCs w:val="21"/>
          <w:highlight w:val="none"/>
          <w:lang w:bidi="ar"/>
        </w:rPr>
        <w:t>．投标文件</w:t>
      </w:r>
      <w:bookmarkEnd w:id="156"/>
      <w:bookmarkEnd w:id="157"/>
    </w:p>
    <w:p>
      <w:pPr>
        <w:spacing w:line="360" w:lineRule="auto"/>
        <w:ind w:firstLine="422" w:firstLineChars="200"/>
        <w:outlineLvl w:val="3"/>
        <w:rPr>
          <w:rFonts w:hint="eastAsia" w:ascii="宋体" w:hAnsi="宋体"/>
          <w:b/>
          <w:bCs/>
          <w:kern w:val="0"/>
          <w:szCs w:val="21"/>
          <w:highlight w:val="none"/>
          <w:lang w:bidi="ar"/>
        </w:rPr>
      </w:pPr>
      <w:bookmarkStart w:id="158" w:name="_Toc254970536"/>
      <w:bookmarkStart w:id="159" w:name="_Toc254970677"/>
      <w:r>
        <w:rPr>
          <w:rFonts w:ascii="宋体" w:hAnsi="宋体"/>
          <w:b/>
          <w:bCs/>
          <w:kern w:val="0"/>
          <w:szCs w:val="21"/>
          <w:highlight w:val="none"/>
          <w:lang w:bidi="ar"/>
        </w:rPr>
        <w:t>3.1</w:t>
      </w:r>
      <w:r>
        <w:rPr>
          <w:rFonts w:hint="eastAsia" w:ascii="宋体" w:hAnsi="宋体"/>
          <w:b/>
          <w:bCs/>
          <w:kern w:val="0"/>
          <w:szCs w:val="21"/>
          <w:highlight w:val="none"/>
          <w:lang w:bidi="ar"/>
        </w:rPr>
        <w:t>投标文件的组成</w:t>
      </w:r>
      <w:bookmarkEnd w:id="158"/>
      <w:bookmarkEnd w:id="159"/>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投标文件由第六章</w:t>
      </w:r>
      <w:r>
        <w:rPr>
          <w:rFonts w:ascii="宋体" w:hAnsi="宋体"/>
          <w:szCs w:val="21"/>
          <w:highlight w:val="none"/>
          <w:lang w:bidi="ar"/>
        </w:rPr>
        <w:t>“</w:t>
      </w:r>
      <w:r>
        <w:rPr>
          <w:rFonts w:hint="eastAsia" w:ascii="宋体" w:hAnsi="宋体" w:cs="宋体"/>
          <w:szCs w:val="21"/>
          <w:highlight w:val="none"/>
          <w:lang w:bidi="ar"/>
        </w:rPr>
        <w:t>投标文件格式</w:t>
      </w:r>
      <w:r>
        <w:rPr>
          <w:rFonts w:ascii="宋体" w:hAnsi="宋体"/>
          <w:szCs w:val="21"/>
          <w:highlight w:val="none"/>
          <w:lang w:bidi="ar"/>
        </w:rPr>
        <w:t>”</w:t>
      </w:r>
      <w:r>
        <w:rPr>
          <w:rFonts w:hint="eastAsia" w:ascii="宋体" w:hAnsi="宋体" w:cs="宋体"/>
          <w:szCs w:val="21"/>
          <w:highlight w:val="none"/>
          <w:lang w:bidi="ar"/>
        </w:rPr>
        <w:t>规定的内容和供应商所作的一切有效补充、修改和承诺等文件组成。</w:t>
      </w:r>
    </w:p>
    <w:p>
      <w:pPr>
        <w:spacing w:line="360" w:lineRule="auto"/>
        <w:ind w:firstLine="422" w:firstLineChars="200"/>
        <w:outlineLvl w:val="3"/>
        <w:rPr>
          <w:rFonts w:hint="eastAsia" w:ascii="宋体" w:hAnsi="宋体"/>
          <w:b/>
          <w:bCs/>
          <w:kern w:val="0"/>
          <w:szCs w:val="21"/>
          <w:highlight w:val="none"/>
          <w:lang w:bidi="ar"/>
        </w:rPr>
      </w:pPr>
      <w:bookmarkStart w:id="160" w:name="_Toc254970537"/>
      <w:bookmarkStart w:id="161" w:name="_Toc254970678"/>
      <w:r>
        <w:rPr>
          <w:rFonts w:ascii="宋体" w:hAnsi="宋体"/>
          <w:b/>
          <w:bCs/>
          <w:kern w:val="0"/>
          <w:szCs w:val="21"/>
          <w:highlight w:val="none"/>
          <w:lang w:bidi="ar"/>
        </w:rPr>
        <w:t>3.2</w:t>
      </w:r>
      <w:r>
        <w:rPr>
          <w:rFonts w:hint="eastAsia" w:ascii="宋体" w:hAnsi="宋体"/>
          <w:b/>
          <w:bCs/>
          <w:kern w:val="0"/>
          <w:szCs w:val="21"/>
          <w:highlight w:val="none"/>
          <w:lang w:bidi="ar"/>
        </w:rPr>
        <w:t>投标文件的语言及计量</w:t>
      </w:r>
      <w:bookmarkEnd w:id="160"/>
      <w:bookmarkEnd w:id="161"/>
    </w:p>
    <w:p>
      <w:pPr>
        <w:spacing w:line="360" w:lineRule="auto"/>
        <w:ind w:firstLine="420" w:firstLineChars="200"/>
        <w:rPr>
          <w:rFonts w:hint="eastAsia" w:ascii="宋体" w:hAnsi="宋体"/>
          <w:szCs w:val="21"/>
          <w:highlight w:val="none"/>
        </w:rPr>
      </w:pPr>
      <w:r>
        <w:rPr>
          <w:rFonts w:ascii="宋体" w:hAnsi="宋体"/>
          <w:szCs w:val="21"/>
          <w:highlight w:val="none"/>
          <w:lang w:bidi="ar"/>
        </w:rPr>
        <w:t>3.2.1</w:t>
      </w:r>
      <w:r>
        <w:rPr>
          <w:rFonts w:hint="eastAsia" w:ascii="宋体" w:hAnsi="宋体" w:cs="宋体"/>
          <w:szCs w:val="21"/>
          <w:highlight w:val="none"/>
          <w:lang w:bidi="ar"/>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3.2.2</w:t>
      </w:r>
      <w:r>
        <w:rPr>
          <w:rFonts w:hint="eastAsia" w:ascii="宋体" w:hAnsi="宋体" w:cs="宋体"/>
          <w:szCs w:val="21"/>
          <w:highlight w:val="none"/>
          <w:lang w:bidi="ar"/>
        </w:rPr>
        <w:t>计量单位招标文件已有明确规定的，投标使用招标文件规定的计量单位；招标文件没有规定的，应采用中华人民共和国法定计量单位。</w:t>
      </w:r>
    </w:p>
    <w:p>
      <w:pPr>
        <w:spacing w:line="360" w:lineRule="auto"/>
        <w:ind w:firstLine="422" w:firstLineChars="200"/>
        <w:outlineLvl w:val="3"/>
        <w:rPr>
          <w:rFonts w:hint="eastAsia" w:ascii="宋体" w:hAnsi="宋体"/>
          <w:b/>
          <w:bCs/>
          <w:kern w:val="0"/>
          <w:szCs w:val="21"/>
          <w:highlight w:val="none"/>
          <w:lang w:bidi="ar"/>
        </w:rPr>
      </w:pPr>
      <w:bookmarkStart w:id="162" w:name="_Toc254970538"/>
      <w:bookmarkStart w:id="163" w:name="_Toc254970679"/>
      <w:r>
        <w:rPr>
          <w:rFonts w:ascii="宋体" w:hAnsi="宋体"/>
          <w:b/>
          <w:bCs/>
          <w:kern w:val="0"/>
          <w:szCs w:val="21"/>
          <w:highlight w:val="none"/>
          <w:lang w:bidi="ar"/>
        </w:rPr>
        <w:t>3.3</w:t>
      </w:r>
      <w:r>
        <w:rPr>
          <w:rFonts w:hint="eastAsia" w:ascii="宋体" w:hAnsi="宋体"/>
          <w:b/>
          <w:bCs/>
          <w:kern w:val="0"/>
          <w:szCs w:val="21"/>
          <w:highlight w:val="none"/>
          <w:lang w:bidi="ar"/>
        </w:rPr>
        <w:t>投标报价</w:t>
      </w:r>
      <w:bookmarkEnd w:id="162"/>
      <w:bookmarkEnd w:id="163"/>
    </w:p>
    <w:p>
      <w:pPr>
        <w:spacing w:line="360" w:lineRule="auto"/>
        <w:ind w:firstLine="420" w:firstLineChars="200"/>
        <w:rPr>
          <w:rFonts w:hint="eastAsia" w:ascii="宋体" w:hAnsi="宋体"/>
          <w:szCs w:val="21"/>
          <w:highlight w:val="none"/>
        </w:rPr>
      </w:pPr>
      <w:r>
        <w:rPr>
          <w:rFonts w:ascii="宋体" w:hAnsi="宋体"/>
          <w:szCs w:val="21"/>
          <w:highlight w:val="none"/>
          <w:lang w:bidi="ar"/>
        </w:rPr>
        <w:t>3.3.1</w:t>
      </w:r>
      <w:r>
        <w:rPr>
          <w:rFonts w:hint="eastAsia" w:ascii="宋体" w:hAnsi="宋体" w:cs="宋体"/>
          <w:szCs w:val="21"/>
          <w:highlight w:val="none"/>
          <w:lang w:bidi="ar"/>
        </w:rPr>
        <w:t>投标报价应按招标文件中相关附表格式填写。</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3.3.2</w:t>
      </w:r>
      <w:r>
        <w:rPr>
          <w:rFonts w:hint="eastAsia" w:ascii="宋体" w:hAnsi="宋体" w:cs="宋体"/>
          <w:szCs w:val="21"/>
          <w:highlight w:val="none"/>
          <w:lang w:bidi="ar"/>
        </w:rPr>
        <w:t>投标文件只允许有一个报价，有选择的或有条件的报价将不予接受。</w:t>
      </w:r>
    </w:p>
    <w:p>
      <w:pPr>
        <w:suppressAutoHyphens/>
        <w:spacing w:line="360" w:lineRule="auto"/>
        <w:ind w:firstLine="420" w:firstLineChars="200"/>
        <w:rPr>
          <w:rFonts w:hint="eastAsia" w:ascii="宋体" w:hAnsi="宋体"/>
          <w:kern w:val="1"/>
          <w:szCs w:val="21"/>
          <w:highlight w:val="none"/>
        </w:rPr>
      </w:pPr>
      <w:r>
        <w:rPr>
          <w:rFonts w:ascii="宋体" w:hAnsi="宋体"/>
          <w:kern w:val="1"/>
          <w:szCs w:val="21"/>
          <w:highlight w:val="none"/>
          <w:lang w:bidi="ar"/>
        </w:rPr>
        <w:t>3.3.3</w:t>
      </w:r>
      <w:r>
        <w:rPr>
          <w:rFonts w:hint="eastAsia" w:ascii="宋体" w:hAnsi="宋体" w:cs="宋体"/>
          <w:kern w:val="1"/>
          <w:szCs w:val="21"/>
          <w:highlight w:val="none"/>
          <w:lang w:bidi="ar"/>
        </w:rPr>
        <w:t>对于本文件中未列明，而供应商认为必需的费用也需列入投标报价。在合同实施时，采购人将不予支付中标人没有列入的项目费用，并认为此项目的费用已包括在投标报价中。</w:t>
      </w:r>
    </w:p>
    <w:p>
      <w:pPr>
        <w:suppressAutoHyphens/>
        <w:spacing w:line="360" w:lineRule="auto"/>
        <w:ind w:firstLine="420" w:firstLineChars="200"/>
        <w:rPr>
          <w:rFonts w:hint="eastAsia" w:ascii="宋体" w:hAnsi="宋体"/>
          <w:b/>
          <w:bCs/>
          <w:kern w:val="1"/>
          <w:szCs w:val="21"/>
          <w:highlight w:val="none"/>
        </w:rPr>
      </w:pPr>
      <w:r>
        <w:rPr>
          <w:rFonts w:ascii="宋体" w:hAnsi="宋体"/>
          <w:kern w:val="1"/>
          <w:szCs w:val="21"/>
          <w:highlight w:val="none"/>
          <w:lang w:bidi="ar"/>
        </w:rPr>
        <w:t>3.3.4</w:t>
      </w:r>
      <w:r>
        <w:rPr>
          <w:rFonts w:hint="eastAsia" w:ascii="宋体" w:hAnsi="宋体" w:cs="宋体"/>
          <w:kern w:val="1"/>
          <w:szCs w:val="21"/>
          <w:highlight w:val="none"/>
          <w:lang w:bidi="ar"/>
        </w:rPr>
        <w:t>采购人不接受供应商给予的赠品、回扣或者与采购无关的其他商品、服务。</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3.4</w:t>
      </w:r>
      <w:r>
        <w:rPr>
          <w:rFonts w:hint="eastAsia" w:ascii="宋体" w:hAnsi="宋体"/>
          <w:b/>
          <w:bCs/>
          <w:kern w:val="0"/>
          <w:szCs w:val="21"/>
          <w:highlight w:val="none"/>
          <w:lang w:bidi="ar"/>
        </w:rPr>
        <w:t>投标有效期</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3.4.1</w:t>
      </w:r>
      <w:r>
        <w:rPr>
          <w:rFonts w:hint="eastAsia" w:ascii="宋体" w:hAnsi="宋体" w:cs="宋体"/>
          <w:szCs w:val="21"/>
          <w:highlight w:val="none"/>
          <w:lang w:bidi="ar"/>
        </w:rPr>
        <w:t>如招标文件其他地方无特别规定，投标有效期则为投标截止之日起</w:t>
      </w:r>
      <w:r>
        <w:rPr>
          <w:rFonts w:ascii="宋体" w:hAnsi="宋体"/>
          <w:szCs w:val="21"/>
          <w:highlight w:val="none"/>
          <w:lang w:bidi="ar"/>
        </w:rPr>
        <w:t>90</w:t>
      </w:r>
      <w:r>
        <w:rPr>
          <w:rFonts w:hint="eastAsia" w:ascii="宋体" w:hAnsi="宋体" w:cs="宋体"/>
          <w:szCs w:val="21"/>
          <w:highlight w:val="none"/>
          <w:lang w:bidi="ar"/>
        </w:rPr>
        <w:t>天。在投标有效期内投标文件应保持有效。</w:t>
      </w:r>
      <w:r>
        <w:rPr>
          <w:rFonts w:hint="eastAsia" w:ascii="宋体" w:hAnsi="宋体" w:cs="宋体"/>
          <w:b/>
          <w:bCs/>
          <w:szCs w:val="21"/>
          <w:highlight w:val="none"/>
          <w:lang w:bidi="ar"/>
        </w:rPr>
        <w:t>有效期不足的投标文件将被否决</w:t>
      </w:r>
      <w:r>
        <w:rPr>
          <w:rFonts w:hint="eastAsia" w:ascii="宋体" w:hAnsi="宋体" w:cs="宋体"/>
          <w:szCs w:val="21"/>
          <w:highlight w:val="none"/>
          <w:lang w:bidi="ar"/>
        </w:rPr>
        <w:t>。</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3.4.2</w:t>
      </w:r>
      <w:r>
        <w:rPr>
          <w:rFonts w:hint="eastAsia" w:ascii="宋体" w:hAnsi="宋体" w:cs="宋体"/>
          <w:szCs w:val="21"/>
          <w:highlight w:val="none"/>
          <w:lang w:bidi="ar"/>
        </w:rPr>
        <w:t>在特殊情况下，采购人可与供应商协商延长投标文件的有效期，这种要求和答复均以书面形式进行。</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3.4.3</w:t>
      </w:r>
      <w:r>
        <w:rPr>
          <w:rFonts w:hint="eastAsia" w:ascii="宋体" w:hAnsi="宋体" w:cs="宋体"/>
          <w:szCs w:val="21"/>
          <w:highlight w:val="none"/>
          <w:lang w:bidi="ar"/>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pPr>
        <w:spacing w:line="360" w:lineRule="auto"/>
        <w:ind w:firstLine="422" w:firstLineChars="200"/>
        <w:outlineLvl w:val="3"/>
        <w:rPr>
          <w:rFonts w:hint="eastAsia" w:ascii="宋体" w:hAnsi="宋体"/>
          <w:b/>
          <w:bCs/>
          <w:kern w:val="0"/>
          <w:szCs w:val="21"/>
          <w:highlight w:val="none"/>
          <w:lang w:bidi="ar"/>
        </w:rPr>
      </w:pPr>
      <w:bookmarkStart w:id="164" w:name="_Toc254970541"/>
      <w:bookmarkStart w:id="165" w:name="_Toc254970682"/>
      <w:r>
        <w:rPr>
          <w:rFonts w:ascii="宋体" w:hAnsi="宋体"/>
          <w:b/>
          <w:bCs/>
          <w:kern w:val="0"/>
          <w:szCs w:val="21"/>
          <w:highlight w:val="none"/>
          <w:lang w:bidi="ar"/>
        </w:rPr>
        <w:t>3.5</w:t>
      </w:r>
      <w:r>
        <w:rPr>
          <w:rFonts w:hint="eastAsia" w:ascii="宋体" w:hAnsi="宋体"/>
          <w:b/>
          <w:bCs/>
          <w:kern w:val="0"/>
          <w:szCs w:val="21"/>
          <w:highlight w:val="none"/>
          <w:lang w:bidi="ar"/>
        </w:rPr>
        <w:t>投标保证金</w:t>
      </w:r>
      <w:bookmarkEnd w:id="164"/>
      <w:bookmarkEnd w:id="165"/>
    </w:p>
    <w:p>
      <w:pPr>
        <w:spacing w:line="360" w:lineRule="auto"/>
        <w:ind w:firstLine="420" w:firstLineChars="200"/>
        <w:rPr>
          <w:rFonts w:hint="eastAsia" w:ascii="宋体" w:hAnsi="宋体"/>
          <w:szCs w:val="21"/>
          <w:highlight w:val="none"/>
        </w:rPr>
      </w:pPr>
      <w:r>
        <w:rPr>
          <w:rFonts w:ascii="宋体" w:hAnsi="宋体"/>
          <w:szCs w:val="21"/>
          <w:highlight w:val="none"/>
          <w:lang w:bidi="ar"/>
        </w:rPr>
        <w:t>3.5.1</w:t>
      </w:r>
      <w:r>
        <w:rPr>
          <w:rFonts w:hint="eastAsia" w:ascii="宋体" w:hAnsi="宋体" w:cs="宋体"/>
          <w:szCs w:val="21"/>
          <w:highlight w:val="none"/>
          <w:lang w:bidi="ar"/>
        </w:rPr>
        <w:t>供应商须按须知前附表规定提交投标保证金，</w:t>
      </w:r>
      <w:r>
        <w:rPr>
          <w:rFonts w:hint="eastAsia" w:ascii="宋体" w:hAnsi="宋体" w:cs="宋体"/>
          <w:b/>
          <w:bCs/>
          <w:szCs w:val="21"/>
          <w:highlight w:val="none"/>
          <w:lang w:bidi="ar"/>
        </w:rPr>
        <w:t>否则其投标将被否决</w:t>
      </w:r>
      <w:r>
        <w:rPr>
          <w:rFonts w:hint="eastAsia" w:ascii="宋体" w:hAnsi="宋体" w:cs="宋体"/>
          <w:szCs w:val="21"/>
          <w:highlight w:val="none"/>
          <w:lang w:bidi="ar"/>
        </w:rPr>
        <w:t>。除招标文件规定不予退还保证金的情形外，代理机构在规定时间内退回供应商的投标保证金（供应商自行承担因未按供应商须知前附表要求交纳导致投标保证金无法及时退还的责任）。</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3.5.2</w:t>
      </w:r>
      <w:r>
        <w:rPr>
          <w:rFonts w:hint="eastAsia" w:ascii="宋体" w:hAnsi="宋体" w:cs="宋体"/>
          <w:szCs w:val="21"/>
          <w:highlight w:val="none"/>
          <w:lang w:bidi="ar"/>
        </w:rPr>
        <w:t>投标保证金币种应与投标报价币种相同。</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3.5.3</w:t>
      </w:r>
      <w:r>
        <w:rPr>
          <w:rFonts w:hint="eastAsia" w:ascii="宋体" w:hAnsi="宋体" w:cs="宋体"/>
          <w:szCs w:val="21"/>
          <w:highlight w:val="none"/>
          <w:lang w:bidi="ar"/>
        </w:rPr>
        <w:t>未中标人的投标保证金在中标通知书发出后</w:t>
      </w:r>
      <w:r>
        <w:rPr>
          <w:rFonts w:ascii="宋体" w:hAnsi="宋体"/>
          <w:szCs w:val="21"/>
          <w:highlight w:val="none"/>
          <w:lang w:bidi="ar"/>
        </w:rPr>
        <w:t>5</w:t>
      </w:r>
      <w:r>
        <w:rPr>
          <w:rFonts w:hint="eastAsia" w:ascii="宋体" w:hAnsi="宋体" w:cs="宋体"/>
          <w:szCs w:val="21"/>
          <w:highlight w:val="none"/>
          <w:lang w:bidi="ar"/>
        </w:rPr>
        <w:t>个工作日内退还。中标人的投标保证金在合同签订后</w:t>
      </w:r>
      <w:r>
        <w:rPr>
          <w:rFonts w:ascii="宋体" w:hAnsi="宋体"/>
          <w:szCs w:val="21"/>
          <w:highlight w:val="none"/>
          <w:lang w:bidi="ar"/>
        </w:rPr>
        <w:t>5</w:t>
      </w:r>
      <w:r>
        <w:rPr>
          <w:rFonts w:hint="eastAsia" w:ascii="宋体" w:hAnsi="宋体" w:cs="宋体"/>
          <w:szCs w:val="21"/>
          <w:highlight w:val="none"/>
          <w:lang w:bidi="ar"/>
        </w:rPr>
        <w:t>个工作日内退还（办理退还手续时需要向采购代理机构提供两份合同复印件）。</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3.5.4</w:t>
      </w:r>
      <w:r>
        <w:rPr>
          <w:rFonts w:hint="eastAsia" w:ascii="宋体" w:hAnsi="宋体" w:cs="宋体"/>
          <w:szCs w:val="21"/>
          <w:highlight w:val="none"/>
          <w:lang w:bidi="ar"/>
        </w:rPr>
        <w:t>供应商有下列情形之一的，投标保证金将不予退还：</w:t>
      </w:r>
    </w:p>
    <w:p>
      <w:pPr>
        <w:numPr>
          <w:ilvl w:val="0"/>
          <w:numId w:val="3"/>
        </w:numPr>
        <w:spacing w:line="360" w:lineRule="auto"/>
        <w:ind w:left="0" w:firstLine="420" w:firstLineChars="200"/>
        <w:rPr>
          <w:rFonts w:hint="eastAsia" w:ascii="宋体" w:hAnsi="宋体"/>
          <w:szCs w:val="21"/>
          <w:highlight w:val="none"/>
        </w:rPr>
      </w:pPr>
      <w:r>
        <w:rPr>
          <w:rFonts w:hint="eastAsia" w:ascii="宋体" w:hAnsi="宋体" w:cs="宋体"/>
          <w:szCs w:val="21"/>
          <w:highlight w:val="none"/>
          <w:lang w:bidi="ar"/>
        </w:rPr>
        <w:t>供应商在投标有效期内撤销投标文件的；</w:t>
      </w:r>
    </w:p>
    <w:p>
      <w:pPr>
        <w:numPr>
          <w:ilvl w:val="0"/>
          <w:numId w:val="3"/>
        </w:numPr>
        <w:spacing w:line="360" w:lineRule="auto"/>
        <w:ind w:left="0" w:firstLine="420" w:firstLineChars="200"/>
        <w:rPr>
          <w:rFonts w:hint="eastAsia" w:ascii="宋体" w:hAnsi="宋体"/>
          <w:szCs w:val="21"/>
          <w:highlight w:val="none"/>
        </w:rPr>
      </w:pPr>
      <w:r>
        <w:rPr>
          <w:rFonts w:hint="eastAsia" w:ascii="宋体" w:hAnsi="宋体" w:cs="宋体"/>
          <w:szCs w:val="21"/>
          <w:highlight w:val="none"/>
          <w:lang w:bidi="ar"/>
        </w:rPr>
        <w:t>供应商在投标过程中弄虚作假，提供虚假材料的；</w:t>
      </w:r>
    </w:p>
    <w:p>
      <w:pPr>
        <w:numPr>
          <w:ilvl w:val="0"/>
          <w:numId w:val="3"/>
        </w:numPr>
        <w:spacing w:line="360" w:lineRule="auto"/>
        <w:ind w:left="0" w:firstLine="420" w:firstLineChars="200"/>
        <w:rPr>
          <w:rFonts w:hint="eastAsia" w:ascii="宋体" w:hAnsi="宋体"/>
          <w:szCs w:val="21"/>
          <w:highlight w:val="none"/>
        </w:rPr>
      </w:pPr>
      <w:r>
        <w:rPr>
          <w:rFonts w:hint="eastAsia" w:ascii="宋体" w:hAnsi="宋体" w:cs="宋体"/>
          <w:szCs w:val="21"/>
          <w:highlight w:val="none"/>
          <w:lang w:bidi="ar"/>
        </w:rPr>
        <w:t>中标人无正当理由不与采购人签订合同的；</w:t>
      </w:r>
    </w:p>
    <w:p>
      <w:pPr>
        <w:numPr>
          <w:ilvl w:val="0"/>
          <w:numId w:val="3"/>
        </w:numPr>
        <w:spacing w:line="360" w:lineRule="auto"/>
        <w:ind w:left="0" w:firstLine="420" w:firstLineChars="200"/>
        <w:rPr>
          <w:rFonts w:hint="eastAsia" w:ascii="宋体" w:hAnsi="宋体"/>
          <w:szCs w:val="21"/>
          <w:highlight w:val="none"/>
        </w:rPr>
      </w:pPr>
      <w:r>
        <w:rPr>
          <w:rFonts w:hint="eastAsia" w:ascii="宋体" w:hAnsi="宋体" w:cs="宋体"/>
          <w:szCs w:val="21"/>
          <w:highlight w:val="none"/>
          <w:lang w:bidi="ar"/>
        </w:rPr>
        <w:t>将中标项目转让给他人或者在投标文件中未说明且未经采购人同意，将中标项目分包给他人的；</w:t>
      </w:r>
    </w:p>
    <w:p>
      <w:pPr>
        <w:numPr>
          <w:ilvl w:val="0"/>
          <w:numId w:val="3"/>
        </w:numPr>
        <w:spacing w:line="360" w:lineRule="auto"/>
        <w:ind w:left="0" w:firstLine="420" w:firstLineChars="200"/>
        <w:rPr>
          <w:rFonts w:hint="eastAsia" w:ascii="宋体" w:hAnsi="宋体"/>
          <w:szCs w:val="21"/>
          <w:highlight w:val="none"/>
        </w:rPr>
      </w:pPr>
      <w:r>
        <w:rPr>
          <w:rFonts w:hint="eastAsia" w:ascii="宋体" w:hAnsi="宋体" w:cs="宋体"/>
          <w:szCs w:val="21"/>
          <w:highlight w:val="none"/>
          <w:lang w:bidi="ar"/>
        </w:rPr>
        <w:t>拒绝履行合同义务的；</w:t>
      </w:r>
    </w:p>
    <w:p>
      <w:pPr>
        <w:numPr>
          <w:ilvl w:val="0"/>
          <w:numId w:val="3"/>
        </w:numPr>
        <w:spacing w:line="360" w:lineRule="auto"/>
        <w:ind w:left="0" w:firstLine="420" w:firstLineChars="200"/>
        <w:rPr>
          <w:rFonts w:hint="eastAsia" w:ascii="宋体" w:hAnsi="宋体"/>
          <w:szCs w:val="21"/>
          <w:highlight w:val="none"/>
        </w:rPr>
      </w:pPr>
      <w:r>
        <w:rPr>
          <w:rFonts w:hint="eastAsia" w:ascii="宋体" w:hAnsi="宋体" w:cs="宋体"/>
          <w:szCs w:val="21"/>
          <w:highlight w:val="none"/>
          <w:lang w:bidi="ar"/>
        </w:rPr>
        <w:t>其他严重扰乱招投标程序的。</w:t>
      </w:r>
    </w:p>
    <w:p>
      <w:pPr>
        <w:spacing w:line="360" w:lineRule="auto"/>
        <w:ind w:firstLine="422" w:firstLineChars="200"/>
        <w:outlineLvl w:val="3"/>
        <w:rPr>
          <w:rFonts w:hint="eastAsia" w:ascii="宋体" w:hAnsi="宋体"/>
          <w:b/>
          <w:bCs/>
          <w:kern w:val="0"/>
          <w:szCs w:val="21"/>
          <w:highlight w:val="none"/>
          <w:lang w:bidi="ar"/>
        </w:rPr>
      </w:pPr>
      <w:bookmarkStart w:id="166" w:name="_Toc254970542"/>
      <w:bookmarkStart w:id="167" w:name="_Toc254970683"/>
      <w:r>
        <w:rPr>
          <w:rFonts w:ascii="宋体" w:hAnsi="宋体"/>
          <w:b/>
          <w:bCs/>
          <w:kern w:val="0"/>
          <w:szCs w:val="21"/>
          <w:highlight w:val="none"/>
          <w:lang w:bidi="ar"/>
        </w:rPr>
        <w:t>3.6</w:t>
      </w:r>
      <w:r>
        <w:rPr>
          <w:rFonts w:hint="eastAsia" w:ascii="宋体" w:hAnsi="宋体"/>
          <w:b/>
          <w:bCs/>
          <w:kern w:val="0"/>
          <w:szCs w:val="21"/>
          <w:highlight w:val="none"/>
          <w:lang w:bidi="ar"/>
        </w:rPr>
        <w:t>投标文件的</w:t>
      </w:r>
      <w:bookmarkEnd w:id="166"/>
      <w:bookmarkEnd w:id="167"/>
      <w:r>
        <w:rPr>
          <w:rFonts w:hint="eastAsia" w:ascii="宋体" w:hAnsi="宋体"/>
          <w:b/>
          <w:bCs/>
          <w:kern w:val="0"/>
          <w:szCs w:val="21"/>
          <w:highlight w:val="none"/>
          <w:lang w:bidi="ar"/>
        </w:rPr>
        <w:t>编制要求</w:t>
      </w:r>
    </w:p>
    <w:p>
      <w:pPr>
        <w:spacing w:line="360" w:lineRule="auto"/>
        <w:ind w:firstLine="420" w:firstLineChars="200"/>
        <w:rPr>
          <w:rFonts w:hint="eastAsia" w:ascii="宋体" w:hAnsi="宋体"/>
          <w:b/>
          <w:bCs/>
          <w:kern w:val="0"/>
          <w:szCs w:val="21"/>
          <w:highlight w:val="none"/>
        </w:rPr>
      </w:pPr>
      <w:r>
        <w:rPr>
          <w:rFonts w:ascii="宋体" w:hAnsi="宋体"/>
          <w:kern w:val="0"/>
          <w:szCs w:val="21"/>
          <w:highlight w:val="none"/>
          <w:lang w:bidi="ar"/>
        </w:rPr>
        <w:t>3.6.1</w:t>
      </w:r>
      <w:r>
        <w:rPr>
          <w:rFonts w:hint="eastAsia" w:ascii="宋体" w:hAnsi="宋体" w:cs="宋体"/>
          <w:szCs w:val="21"/>
          <w:highlight w:val="none"/>
          <w:lang w:bidi="ar"/>
        </w:rPr>
        <w:t>供应商应先安装</w:t>
      </w:r>
      <w:r>
        <w:rPr>
          <w:rFonts w:ascii="宋体" w:hAnsi="宋体"/>
          <w:szCs w:val="21"/>
          <w:highlight w:val="none"/>
          <w:lang w:bidi="ar"/>
        </w:rPr>
        <w:t>“</w:t>
      </w:r>
      <w:r>
        <w:rPr>
          <w:rFonts w:hint="eastAsia" w:ascii="宋体" w:hAnsi="宋体" w:cs="宋体"/>
          <w:szCs w:val="21"/>
          <w:highlight w:val="none"/>
          <w:lang w:bidi="ar"/>
        </w:rPr>
        <w:t>广西政府采购云平台新版客户端</w:t>
      </w:r>
      <w:r>
        <w:rPr>
          <w:rFonts w:ascii="宋体" w:hAnsi="宋体"/>
          <w:szCs w:val="21"/>
          <w:highlight w:val="none"/>
          <w:lang w:bidi="ar"/>
        </w:rPr>
        <w:t>”</w:t>
      </w:r>
      <w:r>
        <w:rPr>
          <w:rFonts w:hint="eastAsia" w:ascii="宋体" w:hAnsi="宋体" w:cs="宋体"/>
          <w:szCs w:val="21"/>
          <w:highlight w:val="none"/>
          <w:lang w:bidi="ar"/>
        </w:rPr>
        <w:t>（请自行前往广西政府采购云平台进行下载），通过账号密码或</w:t>
      </w:r>
      <w:r>
        <w:rPr>
          <w:rFonts w:ascii="宋体" w:hAnsi="宋体"/>
          <w:szCs w:val="21"/>
          <w:highlight w:val="none"/>
          <w:lang w:bidi="ar"/>
        </w:rPr>
        <w:t>CA</w:t>
      </w:r>
      <w:r>
        <w:rPr>
          <w:rFonts w:hint="eastAsia" w:ascii="宋体" w:hAnsi="宋体" w:cs="宋体"/>
          <w:szCs w:val="21"/>
          <w:highlight w:val="none"/>
          <w:lang w:bidi="ar"/>
        </w:rPr>
        <w:t>登录客户端制作投标文件。</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3.6.2</w:t>
      </w:r>
      <w:r>
        <w:rPr>
          <w:rFonts w:hint="eastAsia" w:ascii="宋体" w:hAnsi="宋体" w:cs="宋体"/>
          <w:szCs w:val="21"/>
          <w:highlight w:val="none"/>
          <w:lang w:bidi="ar"/>
        </w:rPr>
        <w:t>供应商应按本招标文件规定的格式和顺序编制、装订投标文件并编制完整的页码、目录，投标文件内容不完整、编排混乱导致投标文件被误读、漏读或者查找不到相关内容的，由供应商自行负责。</w:t>
      </w:r>
    </w:p>
    <w:p>
      <w:pPr>
        <w:spacing w:line="360" w:lineRule="auto"/>
        <w:ind w:firstLine="420" w:firstLineChars="200"/>
        <w:rPr>
          <w:rFonts w:hint="eastAsia" w:ascii="宋体" w:hAnsi="宋体"/>
          <w:szCs w:val="21"/>
          <w:highlight w:val="none"/>
        </w:rPr>
      </w:pPr>
      <w:bookmarkStart w:id="168" w:name="_Hlk93046800"/>
      <w:r>
        <w:rPr>
          <w:rFonts w:ascii="宋体" w:hAnsi="宋体"/>
          <w:szCs w:val="21"/>
          <w:highlight w:val="none"/>
          <w:lang w:bidi="ar"/>
        </w:rPr>
        <w:t>3.6.3</w:t>
      </w:r>
      <w:r>
        <w:rPr>
          <w:rFonts w:hint="eastAsia" w:ascii="宋体" w:hAnsi="宋体" w:cs="宋体"/>
          <w:szCs w:val="21"/>
          <w:highlight w:val="none"/>
          <w:lang w:bidi="ar"/>
        </w:rPr>
        <w:t>投标文件按照招标文件第六章格式要求在规定位置进行签署、盖章。投标人的投标文件未按照招标文件要求签署、盖章的，</w:t>
      </w:r>
      <w:r>
        <w:rPr>
          <w:rFonts w:hint="eastAsia" w:ascii="宋体" w:hAnsi="宋体" w:cs="宋体"/>
          <w:b/>
          <w:bCs/>
          <w:szCs w:val="21"/>
          <w:highlight w:val="none"/>
          <w:lang w:bidi="ar"/>
        </w:rPr>
        <w:t>其投标无效</w:t>
      </w:r>
      <w:r>
        <w:rPr>
          <w:rFonts w:hint="eastAsia" w:ascii="宋体" w:hAnsi="宋体" w:cs="宋体"/>
          <w:szCs w:val="21"/>
          <w:highlight w:val="none"/>
          <w:lang w:bidi="ar"/>
        </w:rPr>
        <w:t>。骑缝盖公章不视为在规定位置盖章。</w:t>
      </w:r>
    </w:p>
    <w:bookmarkEnd w:id="168"/>
    <w:p>
      <w:pPr>
        <w:spacing w:line="360" w:lineRule="auto"/>
        <w:ind w:firstLine="420" w:firstLineChars="200"/>
        <w:rPr>
          <w:rFonts w:hint="eastAsia" w:ascii="宋体" w:hAnsi="宋体"/>
          <w:szCs w:val="21"/>
          <w:highlight w:val="none"/>
        </w:rPr>
      </w:pPr>
      <w:r>
        <w:rPr>
          <w:rFonts w:ascii="宋体" w:hAnsi="宋体"/>
          <w:szCs w:val="21"/>
          <w:highlight w:val="none"/>
          <w:lang w:bidi="ar"/>
        </w:rPr>
        <w:t>3.6.4</w:t>
      </w:r>
      <w:r>
        <w:rPr>
          <w:rFonts w:hint="eastAsia" w:ascii="宋体" w:hAnsi="宋体" w:cs="宋体"/>
          <w:szCs w:val="21"/>
          <w:highlight w:val="none"/>
          <w:lang w:bidi="ar"/>
        </w:rPr>
        <w:t>为确保网上操作合法、有效和安全，供应商应当在投标截止时间前完成在</w:t>
      </w:r>
      <w:r>
        <w:rPr>
          <w:rFonts w:ascii="宋体" w:hAnsi="宋体"/>
          <w:szCs w:val="21"/>
          <w:highlight w:val="none"/>
          <w:lang w:bidi="ar"/>
        </w:rPr>
        <w:t>“</w:t>
      </w:r>
      <w:r>
        <w:rPr>
          <w:rFonts w:hint="eastAsia" w:ascii="宋体" w:hAnsi="宋体" w:cs="宋体"/>
          <w:szCs w:val="21"/>
          <w:highlight w:val="none"/>
          <w:lang w:bidi="ar"/>
        </w:rPr>
        <w:t>政采云</w:t>
      </w:r>
      <w:r>
        <w:rPr>
          <w:rFonts w:ascii="宋体" w:hAnsi="宋体"/>
          <w:szCs w:val="21"/>
          <w:highlight w:val="none"/>
          <w:lang w:bidi="ar"/>
        </w:rPr>
        <w:t>”</w:t>
      </w:r>
      <w:r>
        <w:rPr>
          <w:rFonts w:hint="eastAsia" w:ascii="宋体" w:hAnsi="宋体" w:cs="宋体"/>
          <w:szCs w:val="21"/>
          <w:highlight w:val="none"/>
          <w:lang w:bidi="ar"/>
        </w:rPr>
        <w:t>平台的身份认证，确保在电子投标过程中能够对相关数据电文进行加密和使用电子签名。</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3.6.5</w:t>
      </w:r>
      <w:r>
        <w:rPr>
          <w:rFonts w:hint="eastAsia" w:ascii="宋体" w:hAnsi="宋体" w:cs="宋体"/>
          <w:szCs w:val="21"/>
          <w:highlight w:val="none"/>
          <w:lang w:bidi="ar"/>
        </w:rPr>
        <w:t>投标文件中标注的供应商名称应与主体资格证明（如营业执照、事业单位法人证书、执业许可证、个体工商户营业执照、自然人身份证等）和公章</w:t>
      </w:r>
      <w:r>
        <w:rPr>
          <w:rFonts w:ascii="宋体" w:hAnsi="宋体"/>
          <w:szCs w:val="21"/>
          <w:highlight w:val="none"/>
          <w:lang w:bidi="ar"/>
        </w:rPr>
        <w:t>/</w:t>
      </w:r>
      <w:r>
        <w:rPr>
          <w:rFonts w:hint="eastAsia" w:ascii="宋体" w:hAnsi="宋体" w:cs="宋体"/>
          <w:szCs w:val="21"/>
          <w:highlight w:val="none"/>
          <w:lang w:bidi="ar"/>
        </w:rPr>
        <w:t>电子签章一致，</w:t>
      </w:r>
      <w:r>
        <w:rPr>
          <w:rFonts w:hint="eastAsia" w:ascii="宋体" w:hAnsi="宋体" w:cs="宋体"/>
          <w:b/>
          <w:bCs/>
          <w:szCs w:val="21"/>
          <w:highlight w:val="none"/>
          <w:lang w:bidi="ar"/>
        </w:rPr>
        <w:t>否则作无效投标处理。</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3.7</w:t>
      </w:r>
      <w:r>
        <w:rPr>
          <w:rFonts w:hint="eastAsia" w:ascii="宋体" w:hAnsi="宋体"/>
          <w:b/>
          <w:bCs/>
          <w:kern w:val="0"/>
          <w:szCs w:val="21"/>
          <w:highlight w:val="none"/>
          <w:lang w:bidi="ar"/>
        </w:rPr>
        <w:t>投标文件的递交、修改和撤回</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3.7.1</w:t>
      </w:r>
      <w:r>
        <w:rPr>
          <w:rFonts w:hint="eastAsia" w:ascii="宋体" w:hAnsi="宋体" w:cs="宋体"/>
          <w:szCs w:val="21"/>
          <w:highlight w:val="none"/>
          <w:lang w:bidi="ar"/>
        </w:rPr>
        <w:t>供应商必须在</w:t>
      </w:r>
      <w:r>
        <w:rPr>
          <w:rFonts w:ascii="宋体" w:hAnsi="宋体"/>
          <w:szCs w:val="21"/>
          <w:highlight w:val="none"/>
          <w:lang w:bidi="ar"/>
        </w:rPr>
        <w:t>“</w:t>
      </w:r>
      <w:r>
        <w:rPr>
          <w:rFonts w:hint="eastAsia" w:ascii="宋体" w:hAnsi="宋体" w:cs="宋体"/>
          <w:szCs w:val="21"/>
          <w:highlight w:val="none"/>
          <w:lang w:bidi="ar"/>
        </w:rPr>
        <w:t>供应商须知前附表</w:t>
      </w:r>
      <w:r>
        <w:rPr>
          <w:rFonts w:ascii="宋体" w:hAnsi="宋体"/>
          <w:szCs w:val="21"/>
          <w:highlight w:val="none"/>
          <w:lang w:bidi="ar"/>
        </w:rPr>
        <w:t>”</w:t>
      </w:r>
      <w:r>
        <w:rPr>
          <w:rFonts w:hint="eastAsia" w:ascii="宋体" w:hAnsi="宋体" w:cs="宋体"/>
          <w:szCs w:val="21"/>
          <w:highlight w:val="none"/>
          <w:lang w:bidi="ar"/>
        </w:rPr>
        <w:t>规定的投标文件开标时间和投标地点提交电子版投标文件。电子投标文件应在制作完成后，在投标截止时间前通过有效数字证书（</w:t>
      </w:r>
      <w:r>
        <w:rPr>
          <w:rFonts w:ascii="宋体" w:hAnsi="宋体"/>
          <w:szCs w:val="21"/>
          <w:highlight w:val="none"/>
          <w:lang w:bidi="ar"/>
        </w:rPr>
        <w:t>CA</w:t>
      </w:r>
      <w:r>
        <w:rPr>
          <w:rFonts w:hint="eastAsia" w:ascii="宋体" w:hAnsi="宋体" w:cs="宋体"/>
          <w:szCs w:val="21"/>
          <w:highlight w:val="none"/>
          <w:lang w:bidi="ar"/>
        </w:rPr>
        <w:t>认证锁）进行电子签章、加密，然后通过网络将加密的电子投标文件递交至</w:t>
      </w:r>
      <w:r>
        <w:rPr>
          <w:rFonts w:ascii="宋体" w:hAnsi="宋体"/>
          <w:szCs w:val="21"/>
          <w:highlight w:val="none"/>
          <w:lang w:bidi="ar"/>
        </w:rPr>
        <w:t>“</w:t>
      </w:r>
      <w:r>
        <w:rPr>
          <w:rFonts w:hint="eastAsia" w:ascii="宋体" w:hAnsi="宋体" w:cs="宋体"/>
          <w:szCs w:val="21"/>
          <w:highlight w:val="none"/>
          <w:lang w:bidi="ar"/>
        </w:rPr>
        <w:t>广西政府采购云平台</w:t>
      </w:r>
      <w:r>
        <w:rPr>
          <w:rFonts w:ascii="宋体" w:hAnsi="宋体"/>
          <w:szCs w:val="21"/>
          <w:highlight w:val="none"/>
          <w:lang w:bidi="ar"/>
        </w:rPr>
        <w:t>”</w:t>
      </w:r>
      <w:r>
        <w:rPr>
          <w:rFonts w:hint="eastAsia" w:ascii="宋体" w:hAnsi="宋体" w:cs="宋体"/>
          <w:szCs w:val="21"/>
          <w:highlight w:val="none"/>
          <w:lang w:bidi="ar"/>
        </w:rPr>
        <w:t>。</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3.7.2</w:t>
      </w:r>
      <w:r>
        <w:rPr>
          <w:rFonts w:hint="eastAsia" w:ascii="宋体" w:hAnsi="宋体" w:cs="宋体"/>
          <w:szCs w:val="21"/>
          <w:highlight w:val="none"/>
          <w:lang w:bidi="ar"/>
        </w:rPr>
        <w:t>未在规定时间内提交或者未按照招标文件要求签章、加密的电子投标文件，广西政府采购云平台将拒收。</w:t>
      </w:r>
      <w:r>
        <w:rPr>
          <w:rFonts w:ascii="宋体" w:hAnsi="宋体"/>
          <w:szCs w:val="21"/>
          <w:highlight w:val="none"/>
          <w:lang w:bidi="ar"/>
        </w:rPr>
        <w:t xml:space="preserve"> </w:t>
      </w:r>
    </w:p>
    <w:p>
      <w:pPr>
        <w:spacing w:line="360" w:lineRule="auto"/>
        <w:ind w:firstLine="420" w:firstLineChars="200"/>
        <w:rPr>
          <w:rFonts w:hint="eastAsia" w:ascii="宋体" w:hAnsi="宋体"/>
          <w:szCs w:val="21"/>
          <w:highlight w:val="none"/>
        </w:rPr>
      </w:pPr>
      <w:bookmarkStart w:id="169" w:name="_Toc254970685"/>
      <w:bookmarkStart w:id="170" w:name="_Toc254970544"/>
      <w:r>
        <w:rPr>
          <w:rFonts w:ascii="宋体" w:hAnsi="宋体"/>
          <w:szCs w:val="21"/>
          <w:highlight w:val="none"/>
          <w:lang w:bidi="ar"/>
        </w:rPr>
        <w:t>3.7.3</w:t>
      </w:r>
      <w:r>
        <w:rPr>
          <w:rFonts w:hint="eastAsia" w:ascii="宋体" w:hAnsi="宋体" w:cs="宋体"/>
          <w:szCs w:val="21"/>
          <w:highlight w:val="none"/>
          <w:lang w:bidi="ar"/>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3.7.4</w:t>
      </w:r>
      <w:r>
        <w:rPr>
          <w:rFonts w:hint="eastAsia" w:ascii="宋体" w:hAnsi="宋体" w:cs="宋体"/>
          <w:szCs w:val="21"/>
          <w:highlight w:val="none"/>
          <w:lang w:bidi="ar"/>
        </w:rPr>
        <w:t>在投标截止时间前，除供应商补充、修改或者撤回投标文件外，任何单位和个人不得解密或提取投标文件。</w:t>
      </w:r>
    </w:p>
    <w:p>
      <w:pPr>
        <w:spacing w:line="360" w:lineRule="auto"/>
        <w:ind w:firstLine="420" w:firstLineChars="200"/>
        <w:rPr>
          <w:rFonts w:hint="eastAsia" w:ascii="宋体" w:hAnsi="宋体"/>
          <w:szCs w:val="21"/>
          <w:highlight w:val="none"/>
        </w:rPr>
      </w:pPr>
      <w:r>
        <w:rPr>
          <w:rFonts w:ascii="宋体" w:hAnsi="宋体"/>
          <w:szCs w:val="21"/>
          <w:highlight w:val="none"/>
          <w:lang w:bidi="ar"/>
        </w:rPr>
        <w:t>3.7.5</w:t>
      </w:r>
      <w:r>
        <w:rPr>
          <w:rFonts w:hint="eastAsia" w:ascii="宋体" w:hAnsi="宋体" w:cs="宋体"/>
          <w:szCs w:val="21"/>
          <w:highlight w:val="none"/>
          <w:lang w:bidi="ar"/>
        </w:rPr>
        <w:t>在投标截止时间止提交电子版投标文件的供应商不足</w:t>
      </w:r>
      <w:r>
        <w:rPr>
          <w:rFonts w:ascii="宋体" w:hAnsi="宋体"/>
          <w:szCs w:val="21"/>
          <w:highlight w:val="none"/>
          <w:lang w:bidi="ar"/>
        </w:rPr>
        <w:t>3</w:t>
      </w:r>
      <w:r>
        <w:rPr>
          <w:rFonts w:hint="eastAsia" w:ascii="宋体" w:hAnsi="宋体" w:cs="宋体"/>
          <w:szCs w:val="21"/>
          <w:highlight w:val="none"/>
          <w:lang w:bidi="ar"/>
        </w:rPr>
        <w:t>家时，电子版投标文件由代理机构在广西政府采购云平台操作退回，除此之外采购人和采购代理机构对已提交的投标文件概不退回。</w:t>
      </w:r>
    </w:p>
    <w:p>
      <w:pPr>
        <w:spacing w:line="360" w:lineRule="auto"/>
        <w:ind w:firstLine="420" w:firstLineChars="200"/>
        <w:rPr>
          <w:rFonts w:hint="eastAsia" w:ascii="宋体" w:hAnsi="宋体"/>
          <w:szCs w:val="21"/>
          <w:highlight w:val="none"/>
        </w:rPr>
      </w:pPr>
      <w:bookmarkStart w:id="171" w:name="_Hlk93046827"/>
      <w:r>
        <w:rPr>
          <w:rFonts w:ascii="宋体" w:hAnsi="宋体"/>
          <w:szCs w:val="21"/>
          <w:highlight w:val="none"/>
          <w:lang w:bidi="ar"/>
        </w:rPr>
        <w:t>3.7.6</w:t>
      </w:r>
      <w:r>
        <w:rPr>
          <w:rFonts w:hint="eastAsia" w:ascii="宋体" w:hAnsi="宋体" w:cs="宋体"/>
          <w:szCs w:val="21"/>
          <w:highlight w:val="none"/>
          <w:lang w:bidi="ar"/>
        </w:rPr>
        <w:t>招标文件未允许提供备选文件，但存在</w:t>
      </w:r>
      <w:r>
        <w:rPr>
          <w:rFonts w:hint="eastAsia" w:ascii="宋体" w:hAnsi="宋体" w:cs="宋体"/>
          <w:highlight w:val="none"/>
          <w:lang w:bidi="ar"/>
        </w:rPr>
        <w:t>同</w:t>
      </w:r>
      <w:r>
        <w:rPr>
          <w:rFonts w:hint="eastAsia" w:ascii="宋体" w:hAnsi="宋体" w:cs="宋体"/>
          <w:szCs w:val="21"/>
          <w:highlight w:val="none"/>
          <w:lang w:bidi="ar"/>
        </w:rPr>
        <w:t>一供应商提交两个或以上不同的投标文件，</w:t>
      </w:r>
      <w:r>
        <w:rPr>
          <w:rFonts w:hint="eastAsia" w:ascii="宋体" w:hAnsi="宋体" w:cs="宋体"/>
          <w:b/>
          <w:bCs/>
          <w:szCs w:val="21"/>
          <w:highlight w:val="none"/>
          <w:lang w:bidi="ar"/>
        </w:rPr>
        <w:t>其投标无效。</w:t>
      </w:r>
      <w:r>
        <w:rPr>
          <w:rFonts w:hint="eastAsia" w:ascii="宋体" w:hAnsi="宋体" w:cs="宋体"/>
          <w:szCs w:val="21"/>
          <w:highlight w:val="none"/>
          <w:lang w:bidi="ar"/>
        </w:rPr>
        <w:t>供应商在同一投标文件中对某项技术、商务要求提供有选择性的响应参数或方案等同于提交两个或以上不同的投标文件。</w:t>
      </w:r>
    </w:p>
    <w:bookmarkEnd w:id="171"/>
    <w:p>
      <w:pPr>
        <w:spacing w:line="360" w:lineRule="auto"/>
        <w:ind w:firstLine="422" w:firstLineChars="200"/>
        <w:outlineLvl w:val="2"/>
        <w:rPr>
          <w:rFonts w:hint="eastAsia" w:ascii="宋体" w:hAnsi="宋体"/>
          <w:b/>
          <w:bCs/>
          <w:kern w:val="0"/>
          <w:szCs w:val="21"/>
          <w:highlight w:val="none"/>
          <w:lang w:bidi="ar"/>
        </w:rPr>
      </w:pPr>
      <w:r>
        <w:rPr>
          <w:rFonts w:ascii="宋体" w:hAnsi="宋体"/>
          <w:b/>
          <w:bCs/>
          <w:kern w:val="0"/>
          <w:szCs w:val="21"/>
          <w:highlight w:val="none"/>
          <w:lang w:bidi="ar"/>
        </w:rPr>
        <w:t>4</w:t>
      </w:r>
      <w:r>
        <w:rPr>
          <w:rFonts w:hint="eastAsia" w:ascii="宋体" w:hAnsi="宋体"/>
          <w:b/>
          <w:bCs/>
          <w:kern w:val="0"/>
          <w:szCs w:val="21"/>
          <w:highlight w:val="none"/>
          <w:lang w:bidi="ar"/>
        </w:rPr>
        <w:t>．开标</w:t>
      </w:r>
      <w:bookmarkEnd w:id="169"/>
      <w:bookmarkEnd w:id="170"/>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4.1</w:t>
      </w:r>
      <w:r>
        <w:rPr>
          <w:rFonts w:hint="eastAsia" w:ascii="宋体" w:hAnsi="宋体"/>
          <w:b/>
          <w:bCs/>
          <w:kern w:val="0"/>
          <w:szCs w:val="21"/>
          <w:highlight w:val="none"/>
          <w:lang w:bidi="ar"/>
        </w:rPr>
        <w:t>开标准备</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本项目投标截止时间及地点见</w:t>
      </w:r>
      <w:r>
        <w:rPr>
          <w:rFonts w:ascii="宋体" w:hAnsi="宋体"/>
          <w:szCs w:val="21"/>
          <w:highlight w:val="none"/>
          <w:lang w:bidi="ar"/>
        </w:rPr>
        <w:t>“</w:t>
      </w:r>
      <w:r>
        <w:rPr>
          <w:rFonts w:hint="eastAsia" w:ascii="宋体" w:hAnsi="宋体" w:cs="宋体"/>
          <w:szCs w:val="21"/>
          <w:highlight w:val="none"/>
          <w:lang w:bidi="ar"/>
        </w:rPr>
        <w:t>供应商须知前附表</w:t>
      </w:r>
      <w:r>
        <w:rPr>
          <w:rFonts w:ascii="宋体" w:hAnsi="宋体"/>
          <w:szCs w:val="21"/>
          <w:highlight w:val="none"/>
          <w:lang w:bidi="ar"/>
        </w:rPr>
        <w:t>”</w:t>
      </w:r>
      <w:r>
        <w:rPr>
          <w:rFonts w:hint="eastAsia" w:ascii="宋体" w:hAnsi="宋体" w:cs="宋体"/>
          <w:szCs w:val="21"/>
          <w:highlight w:val="none"/>
          <w:lang w:bidi="ar"/>
        </w:rPr>
        <w:t>规定。</w:t>
      </w:r>
    </w:p>
    <w:p>
      <w:pPr>
        <w:autoSpaceDE w:val="0"/>
        <w:autoSpaceDN w:val="0"/>
        <w:adjustRightInd w:val="0"/>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如供应商成功解密投标文件，但未在广西政府采购云平台电子开标大厅参加开标的，视同认可开标过程和结果，由此产生的后果由供应商自行负责。</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4.2</w:t>
      </w:r>
      <w:r>
        <w:rPr>
          <w:rFonts w:hint="eastAsia" w:ascii="宋体" w:hAnsi="宋体"/>
          <w:b/>
          <w:bCs/>
          <w:kern w:val="0"/>
          <w:szCs w:val="21"/>
          <w:highlight w:val="none"/>
          <w:lang w:bidi="ar"/>
        </w:rPr>
        <w:t>开标程序</w:t>
      </w:r>
    </w:p>
    <w:p>
      <w:pPr>
        <w:spacing w:line="360" w:lineRule="auto"/>
        <w:ind w:firstLine="420" w:firstLineChars="200"/>
        <w:rPr>
          <w:rFonts w:hint="eastAsia" w:ascii="宋体" w:hAnsi="宋体"/>
          <w:szCs w:val="21"/>
          <w:highlight w:val="none"/>
        </w:rPr>
      </w:pPr>
      <w:r>
        <w:rPr>
          <w:rFonts w:ascii="宋体" w:hAnsi="宋体"/>
          <w:szCs w:val="21"/>
          <w:highlight w:val="none"/>
          <w:lang w:bidi="ar"/>
        </w:rPr>
        <w:t>4.2.1</w:t>
      </w:r>
      <w:r>
        <w:rPr>
          <w:rFonts w:hint="eastAsia" w:ascii="宋体" w:hAnsi="宋体" w:cs="宋体"/>
          <w:szCs w:val="21"/>
          <w:highlight w:val="none"/>
          <w:lang w:bidi="ar"/>
        </w:rPr>
        <w:t>供应商登录广西政府采购云平台进入开标大厅签到。</w:t>
      </w:r>
    </w:p>
    <w:p>
      <w:pPr>
        <w:spacing w:line="360" w:lineRule="auto"/>
        <w:ind w:firstLine="420" w:firstLineChars="200"/>
        <w:rPr>
          <w:rFonts w:hint="eastAsia" w:ascii="宋体" w:hAnsi="宋体" w:cs="宋体"/>
          <w:szCs w:val="21"/>
          <w:highlight w:val="none"/>
          <w:lang w:bidi="ar"/>
        </w:rPr>
      </w:pPr>
      <w:r>
        <w:rPr>
          <w:rFonts w:ascii="宋体" w:hAnsi="宋体" w:cs="宋体"/>
          <w:szCs w:val="21"/>
          <w:highlight w:val="none"/>
          <w:lang w:bidi="ar"/>
        </w:rPr>
        <w:t>4.2.2</w:t>
      </w:r>
      <w:r>
        <w:rPr>
          <w:rFonts w:hint="eastAsia" w:ascii="宋体" w:hAnsi="宋体" w:cs="宋体"/>
          <w:szCs w:val="21"/>
          <w:highlight w:val="none"/>
          <w:lang w:bidi="ar"/>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Pr>
          <w:rFonts w:ascii="宋体" w:hAnsi="宋体" w:cs="宋体"/>
          <w:szCs w:val="21"/>
          <w:highlight w:val="none"/>
          <w:lang w:bidi="ar"/>
        </w:rPr>
        <w:t>CA</w:t>
      </w:r>
      <w:r>
        <w:rPr>
          <w:rFonts w:hint="eastAsia" w:ascii="宋体" w:hAnsi="宋体" w:cs="宋体"/>
          <w:szCs w:val="21"/>
          <w:highlight w:val="none"/>
          <w:lang w:bidi="ar"/>
        </w:rPr>
        <w:t>锁准时登录到广西政府采购云平台电子开标大厅签到并对电子投标文件解密。开标后供应商未及时进行解密的，代理机构可通知供应商。通知后，投标文件仍未在上述规定时间内解密，或者供应商没预留联系方式或预留联系方式无效导致代理机构无法联系到供应商进行解密的，均视为无效投标。</w:t>
      </w:r>
    </w:p>
    <w:p>
      <w:pPr>
        <w:spacing w:line="360" w:lineRule="auto"/>
        <w:ind w:firstLine="420" w:firstLineChars="200"/>
        <w:rPr>
          <w:rFonts w:hint="eastAsia" w:ascii="宋体" w:hAnsi="宋体"/>
          <w:szCs w:val="21"/>
          <w:highlight w:val="none"/>
        </w:rPr>
      </w:pPr>
      <w:r>
        <w:rPr>
          <w:rFonts w:ascii="宋体" w:hAnsi="宋体"/>
          <w:szCs w:val="21"/>
          <w:highlight w:val="none"/>
          <w:lang w:bidi="ar"/>
        </w:rPr>
        <w:t>4.2.3</w:t>
      </w:r>
      <w:r>
        <w:rPr>
          <w:rFonts w:hint="eastAsia" w:ascii="宋体" w:hAnsi="宋体" w:cs="宋体"/>
          <w:szCs w:val="21"/>
          <w:highlight w:val="none"/>
          <w:lang w:bidi="ar"/>
        </w:rPr>
        <w:t>是否接受备份投标文件详见供应商须知前附表。</w:t>
      </w:r>
    </w:p>
    <w:p>
      <w:pPr>
        <w:spacing w:line="360" w:lineRule="auto"/>
        <w:ind w:firstLine="420" w:firstLineChars="200"/>
        <w:rPr>
          <w:rFonts w:hint="eastAsia" w:ascii="宋体" w:hAnsi="宋体"/>
          <w:szCs w:val="21"/>
          <w:highlight w:val="none"/>
        </w:rPr>
      </w:pPr>
      <w:r>
        <w:rPr>
          <w:rFonts w:ascii="宋体" w:hAnsi="宋体"/>
          <w:szCs w:val="21"/>
          <w:highlight w:val="none"/>
          <w:lang w:bidi="ar"/>
        </w:rPr>
        <w:t>4.2.4</w:t>
      </w:r>
      <w:r>
        <w:rPr>
          <w:rFonts w:hint="eastAsia" w:ascii="宋体" w:hAnsi="宋体" w:cs="宋体"/>
          <w:szCs w:val="21"/>
          <w:highlight w:val="none"/>
          <w:lang w:bidi="ar"/>
        </w:rPr>
        <w:t>供应商对报价进行确认。</w:t>
      </w:r>
    </w:p>
    <w:p>
      <w:pPr>
        <w:spacing w:line="360" w:lineRule="auto"/>
        <w:ind w:firstLine="420" w:firstLineChars="200"/>
        <w:rPr>
          <w:rFonts w:hint="eastAsia" w:ascii="宋体" w:hAnsi="宋体"/>
          <w:szCs w:val="21"/>
          <w:highlight w:val="none"/>
        </w:rPr>
      </w:pPr>
      <w:r>
        <w:rPr>
          <w:rFonts w:ascii="宋体" w:hAnsi="宋体"/>
          <w:szCs w:val="21"/>
          <w:highlight w:val="none"/>
          <w:lang w:bidi="ar"/>
        </w:rPr>
        <w:t>4.2.5</w:t>
      </w:r>
      <w:r>
        <w:rPr>
          <w:rFonts w:hint="eastAsia" w:ascii="宋体" w:hAnsi="宋体" w:cs="宋体"/>
          <w:szCs w:val="21"/>
          <w:highlight w:val="none"/>
          <w:lang w:bidi="ar"/>
        </w:rPr>
        <w:t>开标结束。</w:t>
      </w:r>
    </w:p>
    <w:p>
      <w:pPr>
        <w:pStyle w:val="49"/>
        <w:widowControl w:val="0"/>
        <w:snapToGrid w:val="0"/>
        <w:spacing w:before="0" w:beforeAutospacing="0" w:after="0" w:afterAutospacing="0" w:line="360" w:lineRule="auto"/>
        <w:ind w:firstLine="422" w:firstLineChars="200"/>
        <w:jc w:val="both"/>
        <w:rPr>
          <w:rFonts w:hint="eastAsia"/>
          <w:highlight w:val="none"/>
        </w:rPr>
      </w:pPr>
      <w:r>
        <w:rPr>
          <w:rFonts w:hint="eastAsia"/>
          <w:b/>
          <w:bCs/>
          <w:kern w:val="2"/>
          <w:sz w:val="21"/>
          <w:szCs w:val="21"/>
          <w:highlight w:val="none"/>
          <w:lang w:bidi="ar"/>
        </w:rPr>
        <w:t>特别说明：</w:t>
      </w:r>
      <w:r>
        <w:rPr>
          <w:rFonts w:hint="eastAsia"/>
          <w:kern w:val="2"/>
          <w:sz w:val="21"/>
          <w:szCs w:val="21"/>
          <w:highlight w:val="none"/>
          <w:lang w:bidi="ar"/>
        </w:rPr>
        <w:t>如遇广西政府采购云平台电子化开标或评审程序调整的，按调整后的程序执行。</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4.3</w:t>
      </w:r>
      <w:r>
        <w:rPr>
          <w:rFonts w:hint="eastAsia" w:ascii="宋体" w:hAnsi="宋体"/>
          <w:b/>
          <w:bCs/>
          <w:kern w:val="0"/>
          <w:szCs w:val="21"/>
          <w:highlight w:val="none"/>
          <w:lang w:bidi="ar"/>
        </w:rPr>
        <w:t>演示</w:t>
      </w:r>
    </w:p>
    <w:p>
      <w:pPr>
        <w:spacing w:line="360" w:lineRule="auto"/>
        <w:ind w:firstLine="420" w:firstLineChars="200"/>
        <w:rPr>
          <w:rFonts w:hint="eastAsia" w:ascii="宋体" w:hAnsi="宋体"/>
          <w:szCs w:val="21"/>
          <w:highlight w:val="none"/>
        </w:rPr>
      </w:pPr>
      <w:r>
        <w:rPr>
          <w:rFonts w:ascii="宋体" w:hAnsi="宋体"/>
          <w:szCs w:val="21"/>
          <w:highlight w:val="none"/>
          <w:lang w:bidi="ar"/>
        </w:rPr>
        <w:t>4.3.1“</w:t>
      </w:r>
      <w:r>
        <w:rPr>
          <w:rFonts w:hint="eastAsia" w:ascii="宋体" w:hAnsi="宋体" w:cs="宋体"/>
          <w:szCs w:val="21"/>
          <w:highlight w:val="none"/>
          <w:lang w:bidi="ar"/>
        </w:rPr>
        <w:t>供应商须知前附表</w:t>
      </w:r>
      <w:r>
        <w:rPr>
          <w:rFonts w:ascii="宋体" w:hAnsi="宋体"/>
          <w:szCs w:val="21"/>
          <w:highlight w:val="none"/>
          <w:lang w:bidi="ar"/>
        </w:rPr>
        <w:t>”</w:t>
      </w:r>
      <w:r>
        <w:rPr>
          <w:rFonts w:hint="eastAsia" w:ascii="宋体" w:hAnsi="宋体" w:cs="宋体"/>
          <w:szCs w:val="21"/>
          <w:highlight w:val="none"/>
          <w:lang w:bidi="ar"/>
        </w:rPr>
        <w:t>规定在开标会议结束后进行演示的，供应商应按规定进行演示。</w:t>
      </w:r>
    </w:p>
    <w:p>
      <w:pPr>
        <w:spacing w:line="360" w:lineRule="auto"/>
        <w:ind w:firstLine="420" w:firstLineChars="200"/>
        <w:rPr>
          <w:rFonts w:hint="eastAsia" w:ascii="宋体" w:hAnsi="宋体"/>
          <w:szCs w:val="21"/>
          <w:highlight w:val="none"/>
        </w:rPr>
      </w:pPr>
      <w:r>
        <w:rPr>
          <w:rFonts w:ascii="宋体" w:hAnsi="宋体"/>
          <w:szCs w:val="21"/>
          <w:highlight w:val="none"/>
          <w:lang w:bidi="ar"/>
        </w:rPr>
        <w:t>4.3.2</w:t>
      </w:r>
      <w:r>
        <w:rPr>
          <w:rFonts w:hint="eastAsia" w:ascii="宋体" w:hAnsi="宋体" w:cs="宋体"/>
          <w:szCs w:val="21"/>
          <w:highlight w:val="none"/>
          <w:lang w:bidi="ar"/>
        </w:rPr>
        <w:t>未按规定时间进行演示可能引起的演示分数被计为</w:t>
      </w:r>
      <w:r>
        <w:rPr>
          <w:rFonts w:ascii="宋体" w:hAnsi="宋体"/>
          <w:szCs w:val="21"/>
          <w:highlight w:val="none"/>
          <w:lang w:bidi="ar"/>
        </w:rPr>
        <w:t>0</w:t>
      </w:r>
      <w:r>
        <w:rPr>
          <w:rFonts w:hint="eastAsia" w:ascii="宋体" w:hAnsi="宋体" w:cs="宋体"/>
          <w:szCs w:val="21"/>
          <w:highlight w:val="none"/>
          <w:lang w:bidi="ar"/>
        </w:rPr>
        <w:t>分或投标无效等后果由供应商自行承担。</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4.4</w:t>
      </w:r>
      <w:r>
        <w:rPr>
          <w:rFonts w:hint="eastAsia" w:ascii="宋体" w:hAnsi="宋体"/>
          <w:b/>
          <w:bCs/>
          <w:kern w:val="0"/>
          <w:szCs w:val="21"/>
          <w:highlight w:val="none"/>
          <w:lang w:bidi="ar"/>
        </w:rPr>
        <w:t>样品</w:t>
      </w:r>
    </w:p>
    <w:p>
      <w:pPr>
        <w:spacing w:line="360" w:lineRule="auto"/>
        <w:ind w:firstLine="420" w:firstLineChars="200"/>
        <w:rPr>
          <w:rFonts w:hint="eastAsia" w:ascii="宋体" w:hAnsi="宋体"/>
          <w:szCs w:val="21"/>
          <w:highlight w:val="none"/>
        </w:rPr>
      </w:pPr>
      <w:r>
        <w:rPr>
          <w:rFonts w:ascii="宋体" w:hAnsi="宋体"/>
          <w:szCs w:val="21"/>
          <w:highlight w:val="none"/>
          <w:lang w:bidi="ar"/>
        </w:rPr>
        <w:t>4.4.1“</w:t>
      </w:r>
      <w:r>
        <w:rPr>
          <w:rFonts w:hint="eastAsia" w:ascii="宋体" w:hAnsi="宋体" w:cs="宋体"/>
          <w:szCs w:val="21"/>
          <w:highlight w:val="none"/>
          <w:lang w:bidi="ar"/>
        </w:rPr>
        <w:t>供应商须知前附表</w:t>
      </w:r>
      <w:r>
        <w:rPr>
          <w:rFonts w:ascii="宋体" w:hAnsi="宋体"/>
          <w:szCs w:val="21"/>
          <w:highlight w:val="none"/>
          <w:lang w:bidi="ar"/>
        </w:rPr>
        <w:t>”</w:t>
      </w:r>
      <w:r>
        <w:rPr>
          <w:rFonts w:hint="eastAsia" w:ascii="宋体" w:hAnsi="宋体" w:cs="宋体"/>
          <w:szCs w:val="21"/>
          <w:highlight w:val="none"/>
          <w:lang w:bidi="ar"/>
        </w:rPr>
        <w:t>规定递交样品的，供应商应按前附表规定递交样品，递交样品时应附样品递交表（格式见第六章）。</w:t>
      </w:r>
    </w:p>
    <w:p>
      <w:pPr>
        <w:spacing w:line="360" w:lineRule="auto"/>
        <w:ind w:firstLine="420" w:firstLineChars="200"/>
        <w:rPr>
          <w:rFonts w:hint="eastAsia" w:ascii="宋体" w:hAnsi="宋体"/>
          <w:szCs w:val="21"/>
          <w:highlight w:val="none"/>
        </w:rPr>
      </w:pPr>
      <w:r>
        <w:rPr>
          <w:rFonts w:ascii="宋体" w:hAnsi="宋体"/>
          <w:szCs w:val="21"/>
          <w:highlight w:val="none"/>
          <w:lang w:bidi="ar"/>
        </w:rPr>
        <w:t>4.4.2</w:t>
      </w:r>
      <w:r>
        <w:rPr>
          <w:rFonts w:hint="eastAsia" w:ascii="宋体" w:hAnsi="宋体" w:cs="宋体"/>
          <w:szCs w:val="21"/>
          <w:highlight w:val="none"/>
          <w:lang w:bidi="ar"/>
        </w:rPr>
        <w:t>未按规定时间递交样品可能引起的样品分数被计为</w:t>
      </w:r>
      <w:r>
        <w:rPr>
          <w:rFonts w:ascii="宋体" w:hAnsi="宋体"/>
          <w:szCs w:val="21"/>
          <w:highlight w:val="none"/>
          <w:lang w:bidi="ar"/>
        </w:rPr>
        <w:t>0</w:t>
      </w:r>
      <w:r>
        <w:rPr>
          <w:rFonts w:hint="eastAsia" w:ascii="宋体" w:hAnsi="宋体" w:cs="宋体"/>
          <w:szCs w:val="21"/>
          <w:highlight w:val="none"/>
          <w:lang w:bidi="ar"/>
        </w:rPr>
        <w:t>分或投标无效等后果由供应商自行承担。</w:t>
      </w:r>
    </w:p>
    <w:p>
      <w:pPr>
        <w:spacing w:line="360" w:lineRule="auto"/>
        <w:ind w:firstLine="420" w:firstLineChars="200"/>
        <w:rPr>
          <w:rFonts w:hint="eastAsia" w:ascii="宋体" w:hAnsi="宋体"/>
          <w:szCs w:val="21"/>
          <w:highlight w:val="none"/>
        </w:rPr>
      </w:pPr>
      <w:bookmarkStart w:id="172" w:name="_Toc254970545"/>
      <w:bookmarkStart w:id="173" w:name="_Toc254970686"/>
      <w:r>
        <w:rPr>
          <w:rFonts w:ascii="宋体" w:hAnsi="宋体"/>
          <w:szCs w:val="21"/>
          <w:highlight w:val="none"/>
          <w:lang w:bidi="ar"/>
        </w:rPr>
        <w:t>4.4.3</w:t>
      </w:r>
      <w:r>
        <w:rPr>
          <w:rFonts w:hint="eastAsia" w:ascii="宋体" w:hAnsi="宋体" w:cs="宋体"/>
          <w:szCs w:val="21"/>
          <w:highlight w:val="none"/>
          <w:lang w:bidi="ar"/>
        </w:rPr>
        <w:t>样品封存或退还的说明请见第六章投标文件格式所附样品递交表。</w:t>
      </w:r>
    </w:p>
    <w:p>
      <w:pPr>
        <w:spacing w:line="360" w:lineRule="auto"/>
        <w:ind w:firstLine="422" w:firstLineChars="200"/>
        <w:outlineLvl w:val="2"/>
        <w:rPr>
          <w:rFonts w:hint="eastAsia" w:ascii="宋体" w:hAnsi="宋体"/>
          <w:b/>
          <w:bCs/>
          <w:kern w:val="0"/>
          <w:szCs w:val="21"/>
          <w:highlight w:val="none"/>
          <w:lang w:bidi="ar"/>
        </w:rPr>
      </w:pPr>
      <w:bookmarkStart w:id="174" w:name="_Hlk93420947"/>
      <w:r>
        <w:rPr>
          <w:rFonts w:ascii="宋体" w:hAnsi="宋体"/>
          <w:b/>
          <w:bCs/>
          <w:kern w:val="0"/>
          <w:szCs w:val="21"/>
          <w:highlight w:val="none"/>
          <w:lang w:bidi="ar"/>
        </w:rPr>
        <w:t>5</w:t>
      </w:r>
      <w:r>
        <w:rPr>
          <w:rFonts w:hint="eastAsia" w:ascii="宋体" w:hAnsi="宋体"/>
          <w:b/>
          <w:bCs/>
          <w:kern w:val="0"/>
          <w:szCs w:val="21"/>
          <w:highlight w:val="none"/>
          <w:lang w:bidi="ar"/>
        </w:rPr>
        <w:t>．资格审查</w:t>
      </w:r>
    </w:p>
    <w:p>
      <w:pPr>
        <w:spacing w:line="360" w:lineRule="auto"/>
        <w:ind w:firstLine="420" w:firstLineChars="200"/>
        <w:outlineLvl w:val="3"/>
        <w:rPr>
          <w:rFonts w:hint="eastAsia" w:ascii="宋体" w:hAnsi="宋体"/>
          <w:bCs/>
          <w:kern w:val="0"/>
          <w:szCs w:val="21"/>
          <w:highlight w:val="none"/>
          <w:lang w:bidi="ar"/>
        </w:rPr>
      </w:pPr>
      <w:r>
        <w:rPr>
          <w:rFonts w:ascii="宋体" w:hAnsi="宋体"/>
          <w:bCs/>
          <w:kern w:val="0"/>
          <w:szCs w:val="21"/>
          <w:highlight w:val="none"/>
          <w:lang w:bidi="ar"/>
        </w:rPr>
        <w:t>5.1</w:t>
      </w:r>
      <w:r>
        <w:rPr>
          <w:rFonts w:hint="eastAsia" w:ascii="宋体" w:hAnsi="宋体"/>
          <w:bCs/>
          <w:kern w:val="0"/>
          <w:szCs w:val="21"/>
          <w:highlight w:val="none"/>
          <w:lang w:bidi="ar"/>
        </w:rPr>
        <w:t>开标结束后，采购人或者采购代理机构通过电子交易平台对供应商的资格进行线上审查。资格审查是根据法律法规和招标文件的规定，对供应商的基本资格条件、特定资格条件进行审查。</w:t>
      </w:r>
    </w:p>
    <w:p>
      <w:pPr>
        <w:spacing w:line="360" w:lineRule="auto"/>
        <w:ind w:firstLine="420" w:firstLineChars="200"/>
        <w:outlineLvl w:val="3"/>
        <w:rPr>
          <w:rFonts w:hint="eastAsia" w:ascii="宋体" w:hAnsi="宋体"/>
          <w:bCs/>
          <w:kern w:val="0"/>
          <w:szCs w:val="21"/>
          <w:highlight w:val="none"/>
          <w:lang w:bidi="ar"/>
        </w:rPr>
      </w:pPr>
      <w:r>
        <w:rPr>
          <w:rFonts w:ascii="宋体" w:hAnsi="宋体"/>
          <w:bCs/>
          <w:kern w:val="0"/>
          <w:szCs w:val="21"/>
          <w:highlight w:val="none"/>
          <w:lang w:bidi="ar"/>
        </w:rPr>
        <w:t>5.2</w:t>
      </w:r>
      <w:r>
        <w:rPr>
          <w:rFonts w:hint="eastAsia" w:ascii="宋体" w:hAnsi="宋体"/>
          <w:bCs/>
          <w:kern w:val="0"/>
          <w:szCs w:val="21"/>
          <w:highlight w:val="none"/>
          <w:lang w:bidi="ar"/>
        </w:rPr>
        <w:t>资格审查标准在第四章评审方法及标准中规定，符合资格审查标准要求的供应商即为资格审查合格。</w:t>
      </w:r>
    </w:p>
    <w:p>
      <w:pPr>
        <w:spacing w:line="360" w:lineRule="auto"/>
        <w:ind w:firstLine="420" w:firstLineChars="200"/>
        <w:outlineLvl w:val="3"/>
        <w:rPr>
          <w:rFonts w:hint="eastAsia" w:ascii="宋体" w:hAnsi="宋体"/>
          <w:bCs/>
          <w:kern w:val="0"/>
          <w:szCs w:val="21"/>
          <w:highlight w:val="none"/>
          <w:lang w:bidi="ar"/>
        </w:rPr>
      </w:pPr>
      <w:r>
        <w:rPr>
          <w:rFonts w:ascii="宋体" w:hAnsi="宋体"/>
          <w:bCs/>
          <w:kern w:val="0"/>
          <w:szCs w:val="21"/>
          <w:highlight w:val="none"/>
          <w:lang w:bidi="ar"/>
        </w:rPr>
        <w:t>5.3</w:t>
      </w:r>
      <w:r>
        <w:rPr>
          <w:rFonts w:hint="eastAsia" w:ascii="宋体" w:hAnsi="宋体"/>
          <w:bCs/>
          <w:kern w:val="0"/>
          <w:szCs w:val="21"/>
          <w:highlight w:val="none"/>
          <w:lang w:bidi="ar"/>
        </w:rPr>
        <w:t>供应商有下列情形之一的，资格审查不合格，作无效投标处理：</w:t>
      </w:r>
    </w:p>
    <w:p>
      <w:pPr>
        <w:spacing w:line="360" w:lineRule="auto"/>
        <w:ind w:firstLine="420" w:firstLineChars="200"/>
        <w:outlineLvl w:val="3"/>
        <w:rPr>
          <w:rFonts w:hint="eastAsia" w:ascii="宋体" w:hAnsi="宋体"/>
          <w:highlight w:val="none"/>
        </w:rPr>
      </w:pPr>
      <w:r>
        <w:rPr>
          <w:rFonts w:ascii="宋体" w:hAnsi="宋体"/>
          <w:szCs w:val="21"/>
          <w:highlight w:val="none"/>
          <w:lang w:bidi="ar"/>
        </w:rPr>
        <w:t>5.3.1</w:t>
      </w:r>
      <w:r>
        <w:rPr>
          <w:rFonts w:hint="eastAsia" w:ascii="宋体" w:hAnsi="宋体" w:cs="宋体"/>
          <w:szCs w:val="21"/>
          <w:highlight w:val="none"/>
          <w:lang w:bidi="ar"/>
        </w:rPr>
        <w:t>不具备招标文件中规定的资格要求或资格条件的；</w:t>
      </w:r>
      <w:r>
        <w:rPr>
          <w:rFonts w:hint="eastAsia" w:ascii="宋体" w:hAnsi="宋体" w:cs="宋体"/>
          <w:highlight w:val="none"/>
          <w:lang w:bidi="ar"/>
        </w:rPr>
        <w:t>（注：其中信用查询规则见</w:t>
      </w:r>
      <w:r>
        <w:rPr>
          <w:rFonts w:ascii="宋体" w:hAnsi="宋体"/>
          <w:highlight w:val="none"/>
          <w:lang w:bidi="ar"/>
        </w:rPr>
        <w:t>“</w:t>
      </w:r>
      <w:r>
        <w:rPr>
          <w:rFonts w:hint="eastAsia" w:ascii="宋体" w:hAnsi="宋体" w:cs="宋体"/>
          <w:highlight w:val="none"/>
          <w:lang w:bidi="ar"/>
        </w:rPr>
        <w:t>投标人须知前附表</w:t>
      </w:r>
      <w:r>
        <w:rPr>
          <w:rFonts w:ascii="宋体" w:hAnsi="宋体"/>
          <w:highlight w:val="none"/>
          <w:lang w:bidi="ar"/>
        </w:rPr>
        <w:t>”</w:t>
      </w:r>
      <w:r>
        <w:rPr>
          <w:rFonts w:hint="eastAsia" w:ascii="宋体" w:hAnsi="宋体" w:cs="宋体"/>
          <w:highlight w:val="none"/>
          <w:lang w:bidi="ar"/>
        </w:rPr>
        <w:t>，</w:t>
      </w:r>
      <w:r>
        <w:rPr>
          <w:rFonts w:hint="eastAsia"/>
          <w:highlight w:val="none"/>
        </w:rPr>
        <w:t xml:space="preserve"> </w:t>
      </w:r>
      <w:r>
        <w:rPr>
          <w:rFonts w:hint="eastAsia" w:ascii="宋体" w:hAnsi="宋体"/>
          <w:highlight w:val="none"/>
          <w:lang w:bidi="ar"/>
        </w:rPr>
        <w:t>广西政府采购云平台</w:t>
      </w:r>
      <w:r>
        <w:rPr>
          <w:rFonts w:hint="eastAsia" w:ascii="宋体" w:hAnsi="宋体" w:cs="宋体"/>
          <w:highlight w:val="none"/>
          <w:lang w:bidi="ar"/>
        </w:rPr>
        <w:t>已与</w:t>
      </w:r>
      <w:r>
        <w:rPr>
          <w:rFonts w:ascii="宋体" w:hAnsi="宋体"/>
          <w:highlight w:val="none"/>
          <w:lang w:bidi="ar"/>
        </w:rPr>
        <w:t>“</w:t>
      </w:r>
      <w:r>
        <w:rPr>
          <w:rFonts w:hint="eastAsia" w:ascii="宋体" w:hAnsi="宋体" w:cs="宋体"/>
          <w:highlight w:val="none"/>
          <w:lang w:bidi="ar"/>
        </w:rPr>
        <w:t>信用中国</w:t>
      </w:r>
      <w:r>
        <w:rPr>
          <w:rFonts w:ascii="宋体" w:hAnsi="宋体"/>
          <w:highlight w:val="none"/>
          <w:lang w:bidi="ar"/>
        </w:rPr>
        <w:t>”</w:t>
      </w:r>
      <w:r>
        <w:rPr>
          <w:rFonts w:hint="eastAsia" w:ascii="宋体" w:hAnsi="宋体" w:cs="宋体"/>
          <w:highlight w:val="none"/>
          <w:lang w:bidi="ar"/>
        </w:rPr>
        <w:t>平台做接口，可直接在线查询）</w:t>
      </w:r>
    </w:p>
    <w:p>
      <w:pPr>
        <w:spacing w:line="360" w:lineRule="auto"/>
        <w:ind w:firstLine="420" w:firstLineChars="200"/>
        <w:outlineLvl w:val="3"/>
        <w:rPr>
          <w:rFonts w:hint="eastAsia" w:ascii="宋体" w:hAnsi="宋体"/>
          <w:szCs w:val="21"/>
          <w:highlight w:val="none"/>
        </w:rPr>
      </w:pPr>
      <w:r>
        <w:rPr>
          <w:rFonts w:ascii="宋体" w:hAnsi="宋体"/>
          <w:szCs w:val="21"/>
          <w:highlight w:val="none"/>
          <w:lang w:bidi="ar"/>
        </w:rPr>
        <w:t>5.3.2</w:t>
      </w:r>
      <w:r>
        <w:rPr>
          <w:rFonts w:hint="eastAsia" w:ascii="宋体" w:hAnsi="宋体" w:cs="宋体"/>
          <w:szCs w:val="21"/>
          <w:highlight w:val="none"/>
          <w:lang w:bidi="ar"/>
        </w:rPr>
        <w:t>投标文件缺少任何一项资格证明文件或不符合第四章评审方法及标准中资格审查标准规定的评审内容的；</w:t>
      </w:r>
    </w:p>
    <w:p>
      <w:pPr>
        <w:spacing w:line="360" w:lineRule="auto"/>
        <w:ind w:firstLine="420" w:firstLineChars="200"/>
        <w:outlineLvl w:val="3"/>
        <w:rPr>
          <w:rFonts w:hint="eastAsia" w:ascii="宋体" w:hAnsi="宋体"/>
          <w:bCs/>
          <w:kern w:val="0"/>
          <w:szCs w:val="21"/>
          <w:highlight w:val="none"/>
          <w:lang w:bidi="ar"/>
        </w:rPr>
      </w:pPr>
      <w:r>
        <w:rPr>
          <w:rFonts w:ascii="宋体" w:hAnsi="宋体"/>
          <w:bCs/>
          <w:kern w:val="0"/>
          <w:szCs w:val="21"/>
          <w:highlight w:val="none"/>
          <w:lang w:bidi="ar"/>
        </w:rPr>
        <w:t>5.4</w:t>
      </w:r>
      <w:r>
        <w:rPr>
          <w:rFonts w:hint="eastAsia" w:ascii="宋体" w:hAnsi="宋体"/>
          <w:bCs/>
          <w:kern w:val="0"/>
          <w:szCs w:val="21"/>
          <w:highlight w:val="none"/>
          <w:lang w:bidi="ar"/>
        </w:rPr>
        <w:t>资格审查合格的供应商不足</w:t>
      </w:r>
      <w:r>
        <w:rPr>
          <w:rFonts w:ascii="宋体" w:hAnsi="宋体"/>
          <w:bCs/>
          <w:kern w:val="0"/>
          <w:szCs w:val="21"/>
          <w:highlight w:val="none"/>
          <w:lang w:bidi="ar"/>
        </w:rPr>
        <w:t>3</w:t>
      </w:r>
      <w:r>
        <w:rPr>
          <w:rFonts w:hint="eastAsia" w:ascii="宋体" w:hAnsi="宋体"/>
          <w:bCs/>
          <w:kern w:val="0"/>
          <w:szCs w:val="21"/>
          <w:highlight w:val="none"/>
          <w:lang w:bidi="ar"/>
        </w:rPr>
        <w:t>家的，不得评审。</w:t>
      </w:r>
    </w:p>
    <w:bookmarkEnd w:id="174"/>
    <w:p>
      <w:pPr>
        <w:spacing w:line="360" w:lineRule="auto"/>
        <w:ind w:firstLine="422" w:firstLineChars="200"/>
        <w:outlineLvl w:val="2"/>
        <w:rPr>
          <w:rFonts w:hint="eastAsia" w:ascii="宋体" w:hAnsi="宋体"/>
          <w:b/>
          <w:bCs/>
          <w:kern w:val="0"/>
          <w:szCs w:val="21"/>
          <w:highlight w:val="none"/>
          <w:lang w:bidi="ar"/>
        </w:rPr>
      </w:pPr>
      <w:bookmarkStart w:id="175" w:name="_Hlk93420990"/>
      <w:r>
        <w:rPr>
          <w:rFonts w:ascii="宋体" w:hAnsi="宋体"/>
          <w:b/>
          <w:bCs/>
          <w:kern w:val="0"/>
          <w:szCs w:val="21"/>
          <w:highlight w:val="none"/>
          <w:lang w:bidi="ar"/>
        </w:rPr>
        <w:t>6</w:t>
      </w:r>
      <w:r>
        <w:rPr>
          <w:rFonts w:hint="eastAsia" w:ascii="宋体" w:hAnsi="宋体"/>
          <w:b/>
          <w:bCs/>
          <w:kern w:val="0"/>
          <w:szCs w:val="21"/>
          <w:highlight w:val="none"/>
          <w:lang w:bidi="ar"/>
        </w:rPr>
        <w:t>．评审</w:t>
      </w:r>
      <w:bookmarkEnd w:id="172"/>
      <w:bookmarkEnd w:id="173"/>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6.1</w:t>
      </w:r>
      <w:r>
        <w:rPr>
          <w:rFonts w:hint="eastAsia" w:ascii="宋体" w:hAnsi="宋体"/>
          <w:b/>
          <w:bCs/>
          <w:kern w:val="0"/>
          <w:szCs w:val="21"/>
          <w:highlight w:val="none"/>
          <w:lang w:bidi="ar"/>
        </w:rPr>
        <w:t>评审委员会及评审原则</w:t>
      </w:r>
    </w:p>
    <w:p>
      <w:pPr>
        <w:spacing w:line="360" w:lineRule="auto"/>
        <w:ind w:firstLine="420" w:firstLineChars="200"/>
        <w:rPr>
          <w:rFonts w:hint="eastAsia" w:ascii="宋体" w:hAnsi="宋体"/>
          <w:szCs w:val="21"/>
          <w:highlight w:val="none"/>
        </w:rPr>
      </w:pPr>
      <w:bookmarkStart w:id="176" w:name="_Hlk91249317"/>
      <w:r>
        <w:rPr>
          <w:rFonts w:ascii="宋体" w:hAnsi="宋体"/>
          <w:szCs w:val="21"/>
          <w:highlight w:val="none"/>
          <w:lang w:bidi="ar"/>
        </w:rPr>
        <w:t>6.1.1</w:t>
      </w:r>
      <w:r>
        <w:rPr>
          <w:rFonts w:hint="eastAsia" w:ascii="宋体" w:hAnsi="宋体" w:cs="宋体"/>
          <w:szCs w:val="21"/>
          <w:highlight w:val="none"/>
          <w:lang w:bidi="ar"/>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6.1.2</w:t>
      </w:r>
      <w:r>
        <w:rPr>
          <w:rFonts w:hint="eastAsia" w:ascii="宋体" w:hAnsi="宋体" w:cs="宋体"/>
          <w:szCs w:val="21"/>
          <w:highlight w:val="none"/>
          <w:lang w:bidi="ar"/>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6.1.3</w:t>
      </w:r>
      <w:r>
        <w:rPr>
          <w:rFonts w:hint="eastAsia" w:ascii="宋体" w:hAnsi="宋体" w:cs="宋体"/>
          <w:szCs w:val="21"/>
          <w:highlight w:val="none"/>
          <w:lang w:bidi="ar"/>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6.1.4</w:t>
      </w:r>
      <w:r>
        <w:rPr>
          <w:rFonts w:hint="eastAsia" w:ascii="宋体" w:hAnsi="宋体" w:cs="宋体"/>
          <w:szCs w:val="21"/>
          <w:highlight w:val="none"/>
          <w:lang w:bidi="ar"/>
        </w:rPr>
        <w:t>本项目评审过程实行全程网上留痕及录音、录像监控，供应商在评审过程中所进行的试图影响评审结果的不公正活动，可能导致其投标按无效处理。</w:t>
      </w:r>
    </w:p>
    <w:bookmarkEnd w:id="176"/>
    <w:p>
      <w:pPr>
        <w:spacing w:line="360" w:lineRule="auto"/>
        <w:ind w:firstLine="422" w:firstLineChars="200"/>
        <w:outlineLvl w:val="3"/>
        <w:rPr>
          <w:rFonts w:hint="eastAsia" w:ascii="宋体" w:hAnsi="宋体"/>
          <w:b/>
          <w:bCs/>
          <w:kern w:val="0"/>
          <w:szCs w:val="21"/>
          <w:highlight w:val="none"/>
          <w:lang w:bidi="ar"/>
        </w:rPr>
      </w:pPr>
      <w:bookmarkStart w:id="177" w:name="_Hlk91324148"/>
      <w:r>
        <w:rPr>
          <w:rFonts w:ascii="宋体" w:hAnsi="宋体"/>
          <w:b/>
          <w:bCs/>
          <w:kern w:val="0"/>
          <w:szCs w:val="21"/>
          <w:highlight w:val="none"/>
          <w:lang w:bidi="ar"/>
        </w:rPr>
        <w:t>6.2</w:t>
      </w:r>
      <w:r>
        <w:rPr>
          <w:rFonts w:hint="eastAsia" w:ascii="宋体" w:hAnsi="宋体"/>
          <w:b/>
          <w:bCs/>
          <w:kern w:val="0"/>
          <w:szCs w:val="21"/>
          <w:highlight w:val="none"/>
          <w:lang w:bidi="ar"/>
        </w:rPr>
        <w:t>评审方法及依据</w:t>
      </w:r>
    </w:p>
    <w:p>
      <w:pPr>
        <w:spacing w:line="360" w:lineRule="auto"/>
        <w:ind w:firstLine="420" w:firstLineChars="200"/>
        <w:rPr>
          <w:rFonts w:hint="eastAsia" w:ascii="宋体" w:hAnsi="宋体"/>
          <w:bCs/>
          <w:kern w:val="0"/>
          <w:szCs w:val="21"/>
          <w:highlight w:val="none"/>
        </w:rPr>
      </w:pPr>
      <w:r>
        <w:rPr>
          <w:rFonts w:ascii="宋体" w:hAnsi="宋体"/>
          <w:bCs/>
          <w:kern w:val="0"/>
          <w:szCs w:val="21"/>
          <w:highlight w:val="none"/>
          <w:lang w:bidi="ar"/>
        </w:rPr>
        <w:t>6.2.1</w:t>
      </w:r>
      <w:r>
        <w:rPr>
          <w:rFonts w:hint="eastAsia" w:ascii="宋体" w:hAnsi="宋体" w:cs="宋体"/>
          <w:bCs/>
          <w:kern w:val="0"/>
          <w:szCs w:val="21"/>
          <w:highlight w:val="none"/>
          <w:lang w:bidi="ar"/>
        </w:rPr>
        <w:t>本项目采用第四章评审方法及标准规定的方法进行评审。</w:t>
      </w:r>
    </w:p>
    <w:p>
      <w:pPr>
        <w:suppressAutoHyphens/>
        <w:spacing w:line="360" w:lineRule="auto"/>
        <w:ind w:firstLine="420" w:firstLineChars="200"/>
        <w:rPr>
          <w:rFonts w:hint="eastAsia" w:ascii="宋体" w:hAnsi="宋体"/>
          <w:bCs/>
          <w:kern w:val="0"/>
          <w:szCs w:val="21"/>
          <w:highlight w:val="none"/>
        </w:rPr>
      </w:pPr>
      <w:r>
        <w:rPr>
          <w:rFonts w:ascii="宋体" w:hAnsi="宋体"/>
          <w:bCs/>
          <w:kern w:val="0"/>
          <w:szCs w:val="21"/>
          <w:highlight w:val="none"/>
          <w:lang w:bidi="ar"/>
        </w:rPr>
        <w:t>6.2.2</w:t>
      </w:r>
      <w:r>
        <w:rPr>
          <w:rFonts w:hint="eastAsia" w:ascii="宋体" w:hAnsi="宋体" w:cs="宋体"/>
          <w:highlight w:val="none"/>
          <w:lang w:bidi="ar"/>
        </w:rPr>
        <w:t>评标委员会以招标文件、补充文件、投标文件、澄清及答复为评审依据，</w:t>
      </w:r>
      <w:r>
        <w:rPr>
          <w:rFonts w:hint="eastAsia" w:ascii="宋体" w:hAnsi="宋体" w:cs="宋体"/>
          <w:bCs/>
          <w:kern w:val="0"/>
          <w:szCs w:val="21"/>
          <w:highlight w:val="none"/>
          <w:lang w:bidi="ar"/>
        </w:rPr>
        <w:t>第四章评审方法及标准没有规定的评审方法、标准及因素，不得作为评审依据。</w:t>
      </w:r>
    </w:p>
    <w:bookmarkEnd w:id="177"/>
    <w:p>
      <w:pPr>
        <w:spacing w:line="360" w:lineRule="auto"/>
        <w:ind w:firstLine="422" w:firstLineChars="200"/>
        <w:outlineLvl w:val="3"/>
        <w:rPr>
          <w:rFonts w:hint="eastAsia" w:ascii="宋体" w:hAnsi="宋体"/>
          <w:b/>
          <w:bCs/>
          <w:kern w:val="0"/>
          <w:szCs w:val="21"/>
          <w:highlight w:val="none"/>
          <w:lang w:bidi="ar"/>
        </w:rPr>
      </w:pPr>
      <w:bookmarkStart w:id="178" w:name="_Hlk91324322"/>
      <w:r>
        <w:rPr>
          <w:rFonts w:ascii="宋体" w:hAnsi="宋体"/>
          <w:b/>
          <w:bCs/>
          <w:kern w:val="0"/>
          <w:szCs w:val="21"/>
          <w:highlight w:val="none"/>
          <w:lang w:bidi="ar"/>
        </w:rPr>
        <w:t>6.3</w:t>
      </w:r>
      <w:r>
        <w:rPr>
          <w:rFonts w:hint="eastAsia" w:ascii="宋体" w:hAnsi="宋体"/>
          <w:b/>
          <w:bCs/>
          <w:kern w:val="0"/>
          <w:szCs w:val="21"/>
          <w:highlight w:val="none"/>
          <w:lang w:bidi="ar"/>
        </w:rPr>
        <w:t>评审程序</w:t>
      </w:r>
    </w:p>
    <w:p>
      <w:pPr>
        <w:spacing w:line="360" w:lineRule="auto"/>
        <w:ind w:firstLine="420" w:firstLineChars="200"/>
        <w:rPr>
          <w:rFonts w:hint="eastAsia" w:ascii="宋体" w:hAnsi="宋体"/>
          <w:highlight w:val="none"/>
        </w:rPr>
      </w:pPr>
      <w:r>
        <w:rPr>
          <w:rFonts w:ascii="宋体" w:hAnsi="宋体"/>
          <w:highlight w:val="none"/>
          <w:lang w:bidi="ar"/>
        </w:rPr>
        <w:t>6.</w:t>
      </w:r>
      <w:bookmarkStart w:id="179" w:name="_Hlk80956880"/>
      <w:r>
        <w:rPr>
          <w:rFonts w:ascii="宋体" w:hAnsi="宋体"/>
          <w:highlight w:val="none"/>
          <w:lang w:bidi="ar"/>
        </w:rPr>
        <w:t>3.1</w:t>
      </w:r>
      <w:r>
        <w:rPr>
          <w:rFonts w:hint="eastAsia" w:ascii="宋体" w:hAnsi="宋体" w:cs="宋体"/>
          <w:highlight w:val="none"/>
          <w:lang w:bidi="ar"/>
        </w:rPr>
        <w:t>符合性审查</w:t>
      </w:r>
    </w:p>
    <w:p>
      <w:pPr>
        <w:spacing w:line="360" w:lineRule="auto"/>
        <w:ind w:firstLine="420" w:firstLineChars="200"/>
        <w:rPr>
          <w:rFonts w:hint="eastAsia" w:ascii="宋体" w:hAnsi="宋体"/>
          <w:szCs w:val="21"/>
          <w:highlight w:val="none"/>
        </w:rPr>
      </w:pPr>
      <w:r>
        <w:rPr>
          <w:rFonts w:hint="eastAsia" w:ascii="宋体" w:hAnsi="宋体" w:cs="宋体"/>
          <w:bCs/>
          <w:kern w:val="1"/>
          <w:szCs w:val="21"/>
          <w:highlight w:val="none"/>
          <w:lang w:bidi="ar"/>
        </w:rPr>
        <w:t>资格审查结束后，</w:t>
      </w:r>
      <w:r>
        <w:rPr>
          <w:rFonts w:hint="eastAsia" w:ascii="宋体" w:hAnsi="宋体" w:cs="宋体"/>
          <w:highlight w:val="none"/>
          <w:lang w:bidi="ar"/>
        </w:rPr>
        <w:t>评审委员会对通过资格审查的供应商的投标文件报价、商务资信、技术等方面实质性内容进行符合性审查，</w:t>
      </w:r>
      <w:r>
        <w:rPr>
          <w:rFonts w:hint="eastAsia" w:ascii="宋体" w:hAnsi="宋体" w:cs="宋体"/>
          <w:szCs w:val="21"/>
          <w:highlight w:val="none"/>
          <w:lang w:bidi="ar"/>
        </w:rPr>
        <w:t>符合性审查标准详见第四章评审方法及标准。</w:t>
      </w:r>
    </w:p>
    <w:bookmarkEnd w:id="179"/>
    <w:p>
      <w:pPr>
        <w:spacing w:line="360" w:lineRule="auto"/>
        <w:ind w:firstLine="420" w:firstLineChars="200"/>
        <w:rPr>
          <w:rFonts w:hint="eastAsia" w:ascii="宋体" w:hAnsi="宋体"/>
          <w:szCs w:val="21"/>
          <w:highlight w:val="none"/>
        </w:rPr>
      </w:pPr>
      <w:r>
        <w:rPr>
          <w:rFonts w:ascii="宋体" w:hAnsi="宋体"/>
          <w:szCs w:val="21"/>
          <w:highlight w:val="none"/>
          <w:lang w:bidi="ar"/>
        </w:rPr>
        <w:t>6.3.2</w:t>
      </w:r>
      <w:r>
        <w:rPr>
          <w:rFonts w:hint="eastAsia" w:ascii="宋体" w:hAnsi="宋体" w:cs="宋体"/>
          <w:highlight w:val="none"/>
          <w:lang w:bidi="ar"/>
        </w:rPr>
        <w:t>强制性</w:t>
      </w:r>
      <w:r>
        <w:rPr>
          <w:rFonts w:hint="eastAsia" w:ascii="宋体" w:hAnsi="宋体" w:cs="宋体"/>
          <w:szCs w:val="21"/>
          <w:highlight w:val="none"/>
          <w:lang w:bidi="ar"/>
        </w:rPr>
        <w:t>采购要求（仅适用于货物采购项目）</w:t>
      </w:r>
    </w:p>
    <w:p>
      <w:pPr>
        <w:suppressAutoHyphens/>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）根据《财政部</w:t>
      </w:r>
      <w:r>
        <w:rPr>
          <w:rFonts w:ascii="宋体" w:hAnsi="宋体"/>
          <w:szCs w:val="21"/>
          <w:highlight w:val="none"/>
          <w:lang w:bidi="ar"/>
        </w:rPr>
        <w:t xml:space="preserve"> </w:t>
      </w:r>
      <w:r>
        <w:rPr>
          <w:rFonts w:hint="eastAsia" w:ascii="宋体" w:hAnsi="宋体" w:cs="宋体"/>
          <w:szCs w:val="21"/>
          <w:highlight w:val="none"/>
          <w:lang w:bidi="ar"/>
        </w:rPr>
        <w:t>发展改革委</w:t>
      </w:r>
      <w:r>
        <w:rPr>
          <w:rFonts w:ascii="宋体" w:hAnsi="宋体"/>
          <w:szCs w:val="21"/>
          <w:highlight w:val="none"/>
          <w:lang w:bidi="ar"/>
        </w:rPr>
        <w:t xml:space="preserve"> </w:t>
      </w:r>
      <w:r>
        <w:rPr>
          <w:rFonts w:hint="eastAsia" w:ascii="宋体" w:hAnsi="宋体" w:cs="宋体"/>
          <w:szCs w:val="21"/>
          <w:highlight w:val="none"/>
          <w:lang w:bidi="ar"/>
        </w:rPr>
        <w:t>生态环境部</w:t>
      </w:r>
      <w:r>
        <w:rPr>
          <w:rFonts w:ascii="宋体" w:hAnsi="宋体"/>
          <w:szCs w:val="21"/>
          <w:highlight w:val="none"/>
          <w:lang w:bidi="ar"/>
        </w:rPr>
        <w:t xml:space="preserve"> </w:t>
      </w:r>
      <w:r>
        <w:rPr>
          <w:rFonts w:hint="eastAsia" w:ascii="宋体" w:hAnsi="宋体" w:cs="宋体"/>
          <w:szCs w:val="21"/>
          <w:highlight w:val="none"/>
          <w:lang w:bidi="ar"/>
        </w:rPr>
        <w:t>市场监管总局关于调整优化节能产品、环境标志产品政府采购执行机制的通知》（财库〔</w:t>
      </w:r>
      <w:r>
        <w:rPr>
          <w:rFonts w:ascii="宋体" w:hAnsi="宋体"/>
          <w:szCs w:val="21"/>
          <w:highlight w:val="none"/>
          <w:lang w:bidi="ar"/>
        </w:rPr>
        <w:t>2019</w:t>
      </w:r>
      <w:r>
        <w:rPr>
          <w:rFonts w:hint="eastAsia" w:ascii="宋体" w:hAnsi="宋体" w:cs="宋体"/>
          <w:szCs w:val="21"/>
          <w:highlight w:val="none"/>
          <w:lang w:bidi="ar"/>
        </w:rPr>
        <w:t>〕</w:t>
      </w:r>
      <w:r>
        <w:rPr>
          <w:rFonts w:ascii="宋体" w:hAnsi="宋体"/>
          <w:szCs w:val="21"/>
          <w:highlight w:val="none"/>
          <w:lang w:bidi="ar"/>
        </w:rPr>
        <w:t>9</w:t>
      </w:r>
      <w:r>
        <w:rPr>
          <w:rFonts w:hint="eastAsia" w:ascii="宋体" w:hAnsi="宋体" w:cs="宋体"/>
          <w:szCs w:val="21"/>
          <w:highlight w:val="none"/>
          <w:lang w:bidi="ar"/>
        </w:rPr>
        <w:t>号）和《关于印发节能产品政府采购品目清单的通知》（财库〔</w:t>
      </w:r>
      <w:r>
        <w:rPr>
          <w:rFonts w:ascii="宋体" w:hAnsi="宋体"/>
          <w:szCs w:val="21"/>
          <w:highlight w:val="none"/>
          <w:lang w:bidi="ar"/>
        </w:rPr>
        <w:t>2019</w:t>
      </w:r>
      <w:r>
        <w:rPr>
          <w:rFonts w:hint="eastAsia" w:ascii="宋体" w:hAnsi="宋体" w:cs="宋体"/>
          <w:szCs w:val="21"/>
          <w:highlight w:val="none"/>
          <w:lang w:bidi="ar"/>
        </w:rPr>
        <w:t>〕</w:t>
      </w:r>
      <w:r>
        <w:rPr>
          <w:rFonts w:ascii="宋体" w:hAnsi="宋体"/>
          <w:szCs w:val="21"/>
          <w:highlight w:val="none"/>
          <w:lang w:bidi="ar"/>
        </w:rPr>
        <w:t>19</w:t>
      </w:r>
      <w:r>
        <w:rPr>
          <w:rFonts w:hint="eastAsia" w:ascii="宋体" w:hAnsi="宋体" w:cs="宋体"/>
          <w:szCs w:val="21"/>
          <w:highlight w:val="none"/>
          <w:lang w:bidi="ar"/>
        </w:rPr>
        <w:t>号）规定，本项目采购需求中的产品属于节能产品政府采购品目清单内标注</w:t>
      </w:r>
      <w:r>
        <w:rPr>
          <w:rFonts w:ascii="宋体" w:hAnsi="宋体"/>
          <w:szCs w:val="21"/>
          <w:highlight w:val="none"/>
          <w:lang w:bidi="ar"/>
        </w:rPr>
        <w:t>“</w:t>
      </w:r>
      <w:r>
        <w:rPr>
          <w:rFonts w:ascii="宋体" w:hAnsi="宋体" w:cs="Segoe UI Symbol"/>
          <w:szCs w:val="21"/>
          <w:highlight w:val="none"/>
          <w:lang w:bidi="ar"/>
        </w:rPr>
        <w:t>★</w:t>
      </w:r>
      <w:r>
        <w:rPr>
          <w:rFonts w:ascii="宋体" w:hAnsi="宋体"/>
          <w:szCs w:val="21"/>
          <w:highlight w:val="none"/>
          <w:lang w:bidi="ar"/>
        </w:rPr>
        <w:t>”</w:t>
      </w:r>
      <w:r>
        <w:rPr>
          <w:rFonts w:hint="eastAsia" w:ascii="宋体" w:hAnsi="宋体" w:cs="宋体"/>
          <w:szCs w:val="21"/>
          <w:highlight w:val="none"/>
          <w:lang w:bidi="ar"/>
        </w:rPr>
        <w:t>的，供应商的投标货物必须使用政府强制采购的节能产品，否则投标文件作无效处理；属于品目清单内非标注</w:t>
      </w:r>
      <w:r>
        <w:rPr>
          <w:rFonts w:ascii="宋体" w:hAnsi="宋体"/>
          <w:szCs w:val="21"/>
          <w:highlight w:val="none"/>
          <w:lang w:bidi="ar"/>
        </w:rPr>
        <w:t>“</w:t>
      </w:r>
      <w:r>
        <w:rPr>
          <w:rFonts w:ascii="宋体" w:hAnsi="宋体" w:cs="Segoe UI Symbol"/>
          <w:szCs w:val="21"/>
          <w:highlight w:val="none"/>
          <w:lang w:bidi="ar"/>
        </w:rPr>
        <w:t>★</w:t>
      </w:r>
      <w:r>
        <w:rPr>
          <w:rFonts w:ascii="宋体" w:hAnsi="宋体"/>
          <w:szCs w:val="21"/>
          <w:highlight w:val="none"/>
          <w:lang w:bidi="ar"/>
        </w:rPr>
        <w:t>”</w:t>
      </w:r>
      <w:r>
        <w:rPr>
          <w:rFonts w:hint="eastAsia" w:ascii="宋体" w:hAnsi="宋体" w:cs="宋体"/>
          <w:szCs w:val="21"/>
          <w:highlight w:val="none"/>
          <w:lang w:bidi="ar"/>
        </w:rPr>
        <w:t>的产品时，应优先采购。</w:t>
      </w:r>
    </w:p>
    <w:p>
      <w:pPr>
        <w:spacing w:line="360" w:lineRule="auto"/>
        <w:ind w:firstLine="420" w:firstLineChars="200"/>
        <w:rPr>
          <w:rFonts w:hint="eastAsia" w:ascii="宋体" w:hAnsi="宋体"/>
          <w:highlight w:val="none"/>
        </w:rPr>
      </w:pPr>
      <w:r>
        <w:rPr>
          <w:rFonts w:ascii="宋体" w:hAnsi="宋体"/>
          <w:highlight w:val="none"/>
          <w:lang w:bidi="ar"/>
        </w:rPr>
        <w:t>6.3.3</w:t>
      </w:r>
      <w:r>
        <w:rPr>
          <w:rFonts w:hint="eastAsia" w:ascii="宋体" w:hAnsi="宋体" w:cs="宋体"/>
          <w:highlight w:val="none"/>
          <w:lang w:bidi="ar"/>
        </w:rPr>
        <w:t>澄清、说明或补正</w:t>
      </w:r>
    </w:p>
    <w:p>
      <w:pPr>
        <w:spacing w:line="360" w:lineRule="auto"/>
        <w:ind w:firstLine="420" w:firstLineChars="200"/>
        <w:rPr>
          <w:rFonts w:hint="eastAsia" w:ascii="宋体" w:hAnsi="宋体"/>
          <w:highlight w:val="none"/>
        </w:rPr>
      </w:pPr>
      <w:r>
        <w:rPr>
          <w:rFonts w:hint="eastAsia" w:ascii="宋体" w:hAnsi="宋体" w:cs="宋体"/>
          <w:highlight w:val="none"/>
          <w:lang w:bidi="ar"/>
        </w:rPr>
        <w:t>（</w:t>
      </w:r>
      <w:r>
        <w:rPr>
          <w:rFonts w:ascii="宋体" w:hAnsi="宋体"/>
          <w:highlight w:val="none"/>
          <w:lang w:bidi="ar"/>
        </w:rPr>
        <w:t>1</w:t>
      </w:r>
      <w:r>
        <w:rPr>
          <w:rFonts w:hint="eastAsia" w:ascii="宋体" w:hAnsi="宋体" w:cs="宋体"/>
          <w:highlight w:val="none"/>
          <w:lang w:bidi="ar"/>
        </w:rPr>
        <w:t>）对投标文件中含义不明确、同类问题表述不一致或者有明显文字和计算错误的内容，评审委员会应在</w:t>
      </w:r>
      <w:r>
        <w:rPr>
          <w:rFonts w:hint="eastAsia" w:ascii="宋体" w:hAnsi="宋体"/>
          <w:highlight w:val="none"/>
          <w:lang w:bidi="ar"/>
        </w:rPr>
        <w:t>广西政府采购云平台</w:t>
      </w:r>
      <w:r>
        <w:rPr>
          <w:rFonts w:hint="eastAsia" w:ascii="宋体" w:hAnsi="宋体" w:cs="宋体"/>
          <w:highlight w:val="none"/>
          <w:lang w:bidi="ar"/>
        </w:rPr>
        <w:t>发布电子澄清函，要求供应商在平台设置的时间内作出必要的澄清、说明或者补正。供应商在</w:t>
      </w:r>
      <w:r>
        <w:rPr>
          <w:rFonts w:hint="eastAsia" w:ascii="宋体" w:hAnsi="宋体"/>
          <w:highlight w:val="none"/>
          <w:lang w:bidi="ar"/>
        </w:rPr>
        <w:t>广西政府采购云平台</w:t>
      </w:r>
      <w:r>
        <w:rPr>
          <w:rFonts w:hint="eastAsia" w:ascii="宋体" w:hAnsi="宋体" w:cs="宋体"/>
          <w:highlight w:val="none"/>
          <w:lang w:bidi="ar"/>
        </w:rPr>
        <w:t>接收到电子澄清函后根据澄清函内容直接在线编辑或上传</w:t>
      </w:r>
      <w:r>
        <w:rPr>
          <w:rFonts w:ascii="宋体" w:hAnsi="宋体"/>
          <w:highlight w:val="none"/>
          <w:lang w:bidi="ar"/>
        </w:rPr>
        <w:t>PDF</w:t>
      </w:r>
      <w:r>
        <w:rPr>
          <w:rFonts w:hint="eastAsia" w:ascii="宋体" w:hAnsi="宋体" w:cs="宋体"/>
          <w:highlight w:val="none"/>
          <w:lang w:bidi="ar"/>
        </w:rPr>
        <w:t>格式回函，电子澄清答复函使用</w:t>
      </w:r>
      <w:r>
        <w:rPr>
          <w:rFonts w:ascii="宋体" w:hAnsi="宋体"/>
          <w:highlight w:val="none"/>
          <w:lang w:bidi="ar"/>
        </w:rPr>
        <w:t>CA</w:t>
      </w:r>
      <w:r>
        <w:rPr>
          <w:rFonts w:hint="eastAsia" w:ascii="宋体" w:hAnsi="宋体" w:cs="宋体"/>
          <w:highlight w:val="none"/>
          <w:lang w:bidi="ar"/>
        </w:rPr>
        <w:t>证书加盖单位电子签章后提交至评审委员会。供应商的澄清、说明或者补正不得超出投标文件的范围或者改变投标文件的实质性内容。供应商未在规定时间内进行澄清、说明或者补正的，按无效投标处理。</w:t>
      </w:r>
    </w:p>
    <w:p>
      <w:pPr>
        <w:spacing w:line="360" w:lineRule="auto"/>
        <w:ind w:firstLine="420" w:firstLineChars="200"/>
        <w:rPr>
          <w:rFonts w:hint="eastAsia" w:ascii="宋体" w:hAnsi="宋体"/>
          <w:highlight w:val="none"/>
        </w:rPr>
      </w:pPr>
      <w:r>
        <w:rPr>
          <w:rFonts w:hint="eastAsia" w:ascii="宋体" w:hAnsi="宋体" w:cs="宋体"/>
          <w:highlight w:val="none"/>
          <w:lang w:bidi="ar"/>
        </w:rPr>
        <w:t>（</w:t>
      </w:r>
      <w:r>
        <w:rPr>
          <w:rFonts w:ascii="宋体" w:hAnsi="宋体"/>
          <w:highlight w:val="none"/>
          <w:lang w:bidi="ar"/>
        </w:rPr>
        <w:t>2</w:t>
      </w:r>
      <w:r>
        <w:rPr>
          <w:rFonts w:hint="eastAsia" w:ascii="宋体" w:hAnsi="宋体" w:cs="宋体"/>
          <w:highlight w:val="none"/>
          <w:lang w:bidi="ar"/>
        </w:rPr>
        <w:t>）异常情况处理：如遇无法正常使用线上发送澄清函的情况，将以书面形式执行。以书面形式执行的情况下，评审委员会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420" w:firstLineChars="200"/>
        <w:rPr>
          <w:rFonts w:hint="eastAsia" w:ascii="宋体" w:hAnsi="宋体"/>
          <w:highlight w:val="none"/>
        </w:rPr>
      </w:pPr>
      <w:r>
        <w:rPr>
          <w:rFonts w:ascii="宋体" w:hAnsi="宋体"/>
          <w:highlight w:val="none"/>
          <w:lang w:bidi="ar"/>
        </w:rPr>
        <w:t>6.3.4</w:t>
      </w:r>
      <w:r>
        <w:rPr>
          <w:rFonts w:hint="eastAsia" w:ascii="宋体" w:hAnsi="宋体" w:cs="宋体"/>
          <w:highlight w:val="none"/>
          <w:lang w:bidi="ar"/>
        </w:rPr>
        <w:t>报价修正</w:t>
      </w:r>
    </w:p>
    <w:p>
      <w:pPr>
        <w:spacing w:line="360" w:lineRule="auto"/>
        <w:ind w:firstLine="420" w:firstLineChars="200"/>
        <w:rPr>
          <w:rFonts w:hint="eastAsia" w:ascii="宋体" w:hAnsi="宋体"/>
          <w:highlight w:val="none"/>
        </w:rPr>
      </w:pPr>
      <w:r>
        <w:rPr>
          <w:rFonts w:hint="eastAsia" w:ascii="宋体" w:hAnsi="宋体" w:cs="宋体"/>
          <w:highlight w:val="none"/>
          <w:lang w:bidi="ar"/>
        </w:rPr>
        <w:t>（</w:t>
      </w:r>
      <w:r>
        <w:rPr>
          <w:rFonts w:ascii="宋体" w:hAnsi="宋体"/>
          <w:highlight w:val="none"/>
          <w:lang w:bidi="ar"/>
        </w:rPr>
        <w:t>1</w:t>
      </w:r>
      <w:r>
        <w:rPr>
          <w:rFonts w:hint="eastAsia" w:ascii="宋体" w:hAnsi="宋体" w:cs="宋体"/>
          <w:highlight w:val="none"/>
          <w:lang w:bidi="ar"/>
        </w:rPr>
        <w:t>）报价出现前后不一致的，按照下列规定修正：</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①投标文件中开标一览表（报价表）内容与投标文件中相应内容不一致的，以开标一览表（报价表）为准；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②大写金额和小写金额不一致的，以大写金额为准；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③单价金额小数点或者百分比有明显错位的，以开标一览表的总价为准，并修改单价；</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④总价金额与按单价汇总金额不一致的，以单价金额计算结果为准。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同时出现两种以上不一致的，按照上述①</w:t>
      </w:r>
      <w:r>
        <w:rPr>
          <w:rFonts w:ascii="宋体" w:hAnsi="宋体"/>
          <w:szCs w:val="21"/>
          <w:highlight w:val="none"/>
          <w:lang w:bidi="ar"/>
        </w:rPr>
        <w:t>-</w:t>
      </w:r>
      <w:r>
        <w:rPr>
          <w:rFonts w:hint="eastAsia" w:ascii="宋体" w:hAnsi="宋体" w:cs="宋体"/>
          <w:szCs w:val="21"/>
          <w:highlight w:val="none"/>
          <w:lang w:bidi="ar"/>
        </w:rPr>
        <w:t>④顺序修正。修正后的报价按照上述</w:t>
      </w:r>
      <w:r>
        <w:rPr>
          <w:rFonts w:ascii="宋体" w:hAnsi="宋体"/>
          <w:szCs w:val="21"/>
          <w:highlight w:val="none"/>
          <w:lang w:bidi="ar"/>
        </w:rPr>
        <w:t>“6.3.3</w:t>
      </w:r>
      <w:r>
        <w:rPr>
          <w:rFonts w:hint="eastAsia" w:ascii="宋体" w:hAnsi="宋体" w:cs="宋体"/>
          <w:szCs w:val="21"/>
          <w:highlight w:val="none"/>
          <w:lang w:bidi="ar"/>
        </w:rPr>
        <w:t>澄清、说明或补正</w:t>
      </w:r>
      <w:r>
        <w:rPr>
          <w:rFonts w:ascii="宋体" w:hAnsi="宋体"/>
          <w:szCs w:val="21"/>
          <w:highlight w:val="none"/>
          <w:lang w:bidi="ar"/>
        </w:rPr>
        <w:t>”</w:t>
      </w:r>
      <w:r>
        <w:rPr>
          <w:rFonts w:hint="eastAsia" w:ascii="宋体" w:hAnsi="宋体" w:cs="宋体"/>
          <w:szCs w:val="21"/>
          <w:highlight w:val="none"/>
          <w:lang w:bidi="ar"/>
        </w:rPr>
        <w:t>的规定经供应商确认后产生约束力，供应商不确认的，其投标无效。</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rFonts w:ascii="宋体" w:hAnsi="宋体"/>
          <w:szCs w:val="21"/>
          <w:highlight w:val="none"/>
          <w:lang w:bidi="ar"/>
        </w:rPr>
        <w:t>“6.3.3</w:t>
      </w:r>
      <w:r>
        <w:rPr>
          <w:rFonts w:hint="eastAsia" w:ascii="宋体" w:hAnsi="宋体" w:cs="宋体"/>
          <w:szCs w:val="21"/>
          <w:highlight w:val="none"/>
          <w:lang w:bidi="ar"/>
        </w:rPr>
        <w:t>澄清、说明或补正</w:t>
      </w:r>
      <w:r>
        <w:rPr>
          <w:rFonts w:ascii="宋体" w:hAnsi="宋体"/>
          <w:szCs w:val="21"/>
          <w:highlight w:val="none"/>
          <w:lang w:bidi="ar"/>
        </w:rPr>
        <w:t>”</w:t>
      </w:r>
      <w:r>
        <w:rPr>
          <w:rFonts w:hint="eastAsia" w:ascii="宋体" w:hAnsi="宋体" w:cs="宋体"/>
          <w:szCs w:val="21"/>
          <w:highlight w:val="none"/>
          <w:lang w:bidi="ar"/>
        </w:rPr>
        <w:t>的规定提交。供应商未按规定提交或不能证明其报价合理性的，评审委员会应当将其作为无效投标处理。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3</w:t>
      </w:r>
      <w:r>
        <w:rPr>
          <w:rFonts w:hint="eastAsia" w:ascii="宋体" w:hAnsi="宋体" w:cs="宋体"/>
          <w:szCs w:val="21"/>
          <w:highlight w:val="none"/>
          <w:lang w:bidi="ar"/>
        </w:rPr>
        <w:t>）经供应商确认修正后的报价若超过采购预算金额或者最高限价，其投标文件作无效投标处理。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4</w:t>
      </w:r>
      <w:r>
        <w:rPr>
          <w:rFonts w:hint="eastAsia" w:ascii="宋体" w:hAnsi="宋体" w:cs="宋体"/>
          <w:szCs w:val="21"/>
          <w:highlight w:val="none"/>
          <w:lang w:bidi="ar"/>
        </w:rPr>
        <w:t>）经供应商确认修正后的报价作为签订合同的依据，并以此报价计算价格分。</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6.3.5</w:t>
      </w:r>
      <w:r>
        <w:rPr>
          <w:rFonts w:hint="eastAsia" w:ascii="宋体" w:hAnsi="宋体" w:cs="宋体"/>
          <w:szCs w:val="21"/>
          <w:highlight w:val="none"/>
          <w:lang w:bidi="ar"/>
        </w:rPr>
        <w:t>相同品牌认定（仅适用于货物采购项目）</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）单一产品采购项目，</w:t>
      </w:r>
      <w:r>
        <w:rPr>
          <w:rFonts w:hint="eastAsia" w:ascii="宋体" w:hAnsi="宋体" w:cs="宋体"/>
          <w:highlight w:val="none"/>
          <w:lang w:bidi="ar"/>
        </w:rPr>
        <w:t>不同供应商提供的产品品牌相同时，按以下规定确定</w:t>
      </w:r>
      <w:r>
        <w:rPr>
          <w:rFonts w:hint="eastAsia" w:ascii="宋体" w:hAnsi="宋体" w:cs="宋体"/>
          <w:bCs/>
          <w:kern w:val="0"/>
          <w:szCs w:val="21"/>
          <w:highlight w:val="none"/>
          <w:lang w:bidi="ar"/>
        </w:rPr>
        <w:t>相同品牌的投标有效性</w:t>
      </w:r>
      <w:r>
        <w:rPr>
          <w:rFonts w:hint="eastAsia" w:ascii="宋体" w:hAnsi="宋体" w:cs="宋体"/>
          <w:highlight w:val="none"/>
          <w:lang w:bidi="ar"/>
        </w:rPr>
        <w:t>。</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①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②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pPr>
        <w:spacing w:line="360" w:lineRule="auto"/>
        <w:ind w:firstLine="420" w:firstLineChars="200"/>
        <w:rPr>
          <w:rFonts w:hint="eastAsia" w:ascii="宋体" w:hAnsi="宋体"/>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）非单一产品采购项目，采购人应当确定核心产品，并在招标文件中载明。不同供应商提供的核心产品品牌相同的，按上述规定处理。核心产品在第二章采购需求规定。</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6.3.6</w:t>
      </w:r>
      <w:r>
        <w:rPr>
          <w:rFonts w:hint="eastAsia" w:ascii="宋体" w:hAnsi="宋体" w:cs="宋体"/>
          <w:szCs w:val="21"/>
          <w:highlight w:val="none"/>
          <w:lang w:bidi="ar"/>
        </w:rPr>
        <w:t>串通投标认定</w:t>
      </w:r>
    </w:p>
    <w:p>
      <w:pPr>
        <w:spacing w:line="360" w:lineRule="auto"/>
        <w:ind w:firstLine="420" w:firstLineChars="200"/>
        <w:rPr>
          <w:rFonts w:hint="eastAsia" w:ascii="宋体" w:hAnsi="宋体"/>
          <w:highlight w:val="none"/>
        </w:rPr>
      </w:pPr>
      <w:r>
        <w:rPr>
          <w:rFonts w:hint="eastAsia" w:ascii="宋体" w:hAnsi="宋体" w:cs="宋体"/>
          <w:szCs w:val="21"/>
          <w:highlight w:val="none"/>
          <w:lang w:bidi="ar"/>
        </w:rPr>
        <w:t>评审委员会须根据以下规定认定供应商是否有</w:t>
      </w:r>
      <w:r>
        <w:rPr>
          <w:rFonts w:hint="eastAsia" w:ascii="宋体" w:hAnsi="宋体" w:cs="宋体"/>
          <w:bCs/>
          <w:kern w:val="0"/>
          <w:szCs w:val="21"/>
          <w:highlight w:val="none"/>
          <w:lang w:bidi="ar"/>
        </w:rPr>
        <w:t>串通投标的行为</w:t>
      </w:r>
      <w:r>
        <w:rPr>
          <w:rFonts w:hint="eastAsia" w:ascii="宋体" w:hAnsi="宋体" w:cs="宋体"/>
          <w:highlight w:val="none"/>
          <w:lang w:bidi="ar"/>
        </w:rPr>
        <w:t>。</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）根据《关于防治政府采购招标中串通投标行为的通知》（桂财采</w:t>
      </w:r>
      <w:r>
        <w:rPr>
          <w:rFonts w:ascii="宋体" w:hAnsi="宋体"/>
          <w:szCs w:val="21"/>
          <w:highlight w:val="none"/>
          <w:lang w:bidi="ar"/>
        </w:rPr>
        <w:t>[2016]42</w:t>
      </w:r>
      <w:r>
        <w:rPr>
          <w:rFonts w:hint="eastAsia" w:ascii="宋体" w:hAnsi="宋体" w:cs="宋体"/>
          <w:szCs w:val="21"/>
          <w:highlight w:val="none"/>
          <w:lang w:bidi="ar"/>
        </w:rPr>
        <w:t>号）规定，出现下述情况的，相关供应商的投标作无效投标处理。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①单位负责人为同一人或者存在直接控股、管理关系，参加同一合同项下政府采购活动的不同供应商。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②授权给供应商后参加同一合同项（分标、分包）投标的生产厂商。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③视为或被认定为串通投标的相关供应商。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）根据《关于防治政府采购招标中串通投标行为的通知》（桂财采</w:t>
      </w:r>
      <w:r>
        <w:rPr>
          <w:rFonts w:ascii="宋体" w:hAnsi="宋体"/>
          <w:szCs w:val="21"/>
          <w:highlight w:val="none"/>
          <w:lang w:bidi="ar"/>
        </w:rPr>
        <w:t>[2016]42</w:t>
      </w:r>
      <w:r>
        <w:rPr>
          <w:rFonts w:hint="eastAsia" w:ascii="宋体" w:hAnsi="宋体" w:cs="宋体"/>
          <w:szCs w:val="21"/>
          <w:highlight w:val="none"/>
          <w:lang w:bidi="ar"/>
        </w:rPr>
        <w:t>号）规定，有下列情形之一的视为供应商相互串通投标，投标文件将被视为无效。</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①不同供应商的投标文件由同一单位或者个人编制；或不同供应商报名的</w:t>
      </w:r>
      <w:r>
        <w:rPr>
          <w:rFonts w:ascii="宋体" w:hAnsi="宋体"/>
          <w:szCs w:val="21"/>
          <w:highlight w:val="none"/>
          <w:lang w:bidi="ar"/>
        </w:rPr>
        <w:t>IP</w:t>
      </w:r>
      <w:r>
        <w:rPr>
          <w:rFonts w:hint="eastAsia" w:ascii="宋体" w:hAnsi="宋体" w:cs="宋体"/>
          <w:szCs w:val="21"/>
          <w:highlight w:val="none"/>
          <w:lang w:bidi="ar"/>
        </w:rPr>
        <w:t>地址一致的；</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②不同供应商委托同一单位或者个人办理投标事宜；</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③不同的供应商的投标文件载明的项目管理员为同一个人；</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④不同供应商的投标文件异常一致或投标报价呈规律性差异；</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⑤不同供应商的投标文件相互混装；</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⑥不同供应商的保证金从同一单位或者个人账户转出。</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3</w:t>
      </w:r>
      <w:r>
        <w:rPr>
          <w:rFonts w:hint="eastAsia" w:ascii="宋体" w:hAnsi="宋体" w:cs="宋体"/>
          <w:szCs w:val="21"/>
          <w:highlight w:val="none"/>
          <w:lang w:bidi="ar"/>
        </w:rPr>
        <w:t>）根据《关于防治政府采购招标中串通投标行为的通知》（桂财采</w:t>
      </w:r>
      <w:r>
        <w:rPr>
          <w:rFonts w:ascii="宋体" w:hAnsi="宋体"/>
          <w:szCs w:val="21"/>
          <w:highlight w:val="none"/>
          <w:lang w:bidi="ar"/>
        </w:rPr>
        <w:t>[2016]42</w:t>
      </w:r>
      <w:r>
        <w:rPr>
          <w:rFonts w:hint="eastAsia" w:ascii="宋体" w:hAnsi="宋体" w:cs="宋体"/>
          <w:szCs w:val="21"/>
          <w:highlight w:val="none"/>
          <w:lang w:bidi="ar"/>
        </w:rPr>
        <w:t>号）规定，供应商有下列情形之一的，属于恶意串通行为，投标文件将被视为无效。</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①供应商直接或者间接从采购人或者采购代理机构处获得其他供应商的相关信息并修改其投标文件或者响应文件；</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②供应商按照采购人或者采购代理机构的授意撤换、修改投标文件或者响应文件</w:t>
      </w:r>
      <w:r>
        <w:rPr>
          <w:rFonts w:ascii="宋体" w:hAnsi="宋体"/>
          <w:szCs w:val="21"/>
          <w:highlight w:val="none"/>
          <w:lang w:bidi="ar"/>
        </w:rPr>
        <w:t>;</w:t>
      </w:r>
      <w:r>
        <w:rPr>
          <w:rFonts w:hint="eastAsia" w:ascii="宋体" w:hAnsi="宋体" w:cs="宋体"/>
          <w:szCs w:val="21"/>
          <w:highlight w:val="none"/>
          <w:lang w:bidi="ar"/>
        </w:rPr>
        <w:t>；</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③供应商之间协商报价、技术方案等投标文件或者响应文件的实质性内容；</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④属于同一集团、协会、商会等组织成员的供应商按照该组织要求协同参加政府采购活动；</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⑤供应商之间事先约定一致抬高或者压低投标报价，或者在招标项目中事先约定轮流以高价位或者低价位中标，或者事先约定由某一特定供应商中标，然后再参加投标；</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⑥供应商之间商定部分供应商放弃参加政府采购活动或者放弃中标；</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⑦供应商与采购人或者采购代理机构之间、供应商相互之间，为谋求特定供应商中标或者排斥其他供应商的其他串通行为。</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6.3.7</w:t>
      </w:r>
      <w:r>
        <w:rPr>
          <w:rFonts w:hint="eastAsia" w:ascii="宋体" w:hAnsi="宋体" w:cs="宋体"/>
          <w:szCs w:val="21"/>
          <w:highlight w:val="none"/>
          <w:lang w:bidi="ar"/>
        </w:rPr>
        <w:t>投标无效认定</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）在评审过程中如发现下列情形之一的，投标文件将被视为无效：</w:t>
      </w:r>
    </w:p>
    <w:p>
      <w:pPr>
        <w:spacing w:line="360" w:lineRule="auto"/>
        <w:ind w:firstLine="420" w:firstLineChars="200"/>
        <w:rPr>
          <w:rFonts w:hint="eastAsia" w:ascii="宋体" w:hAnsi="宋体"/>
          <w:highlight w:val="none"/>
        </w:rPr>
      </w:pPr>
      <w:r>
        <w:rPr>
          <w:rFonts w:hint="eastAsia" w:ascii="宋体" w:hAnsi="宋体" w:cs="宋体"/>
          <w:szCs w:val="21"/>
          <w:highlight w:val="none"/>
          <w:lang w:bidi="ar"/>
        </w:rPr>
        <w:t>①投标文件存在法律、法规及监督部门有关文件规定的无效情形。</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②投标文件存在招标文件规定的无效情形。</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）根据财库《关于促进政府采购公平竞争优化营商环境的通知》（〔</w:t>
      </w:r>
      <w:r>
        <w:rPr>
          <w:rFonts w:ascii="宋体" w:hAnsi="宋体"/>
          <w:szCs w:val="21"/>
          <w:highlight w:val="none"/>
          <w:lang w:bidi="ar"/>
        </w:rPr>
        <w:t>2019</w:t>
      </w:r>
      <w:r>
        <w:rPr>
          <w:rFonts w:hint="eastAsia" w:ascii="宋体" w:hAnsi="宋体" w:cs="宋体"/>
          <w:szCs w:val="21"/>
          <w:highlight w:val="none"/>
          <w:lang w:bidi="ar"/>
        </w:rPr>
        <w:t>〕</w:t>
      </w:r>
      <w:r>
        <w:rPr>
          <w:rFonts w:ascii="宋体" w:hAnsi="宋体"/>
          <w:szCs w:val="21"/>
          <w:highlight w:val="none"/>
          <w:lang w:bidi="ar"/>
        </w:rPr>
        <w:t>38</w:t>
      </w:r>
      <w:r>
        <w:rPr>
          <w:rFonts w:hint="eastAsia" w:ascii="宋体" w:hAnsi="宋体" w:cs="宋体"/>
          <w:szCs w:val="21"/>
          <w:highlight w:val="none"/>
          <w:lang w:bidi="ar"/>
        </w:rPr>
        <w:t>号）以及《广西壮族自治区财政厅转发财政部关于促进政府采购公平竞争优化营商环境的通知》（桂财采〔</w:t>
      </w:r>
      <w:r>
        <w:rPr>
          <w:rFonts w:ascii="宋体" w:hAnsi="宋体"/>
          <w:szCs w:val="21"/>
          <w:highlight w:val="none"/>
          <w:lang w:bidi="ar"/>
        </w:rPr>
        <w:t>2019</w:t>
      </w:r>
      <w:r>
        <w:rPr>
          <w:rFonts w:hint="eastAsia" w:ascii="宋体" w:hAnsi="宋体" w:cs="宋体"/>
          <w:szCs w:val="21"/>
          <w:highlight w:val="none"/>
          <w:lang w:bidi="ar"/>
        </w:rPr>
        <w:t>〕</w:t>
      </w:r>
      <w:r>
        <w:rPr>
          <w:rFonts w:ascii="宋体" w:hAnsi="宋体"/>
          <w:szCs w:val="21"/>
          <w:highlight w:val="none"/>
          <w:lang w:bidi="ar"/>
        </w:rPr>
        <w:t>41</w:t>
      </w:r>
      <w:r>
        <w:rPr>
          <w:rFonts w:hint="eastAsia" w:ascii="宋体" w:hAnsi="宋体" w:cs="宋体"/>
          <w:szCs w:val="21"/>
          <w:highlight w:val="none"/>
          <w:lang w:bidi="ar"/>
        </w:rPr>
        <w:t>号）规定，评审委员会不得因装订、纸张、文件排序等非实质性的格式、形式问题认定投标无效或否决投标，从而限制和影响供应商投标（响应）。</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6.3.8</w:t>
      </w:r>
      <w:r>
        <w:rPr>
          <w:rFonts w:hint="eastAsia" w:ascii="宋体" w:hAnsi="宋体" w:cs="宋体"/>
          <w:szCs w:val="21"/>
          <w:highlight w:val="none"/>
          <w:lang w:bidi="ar"/>
        </w:rPr>
        <w:t>比较与评价</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）评审委员会按招标文件中规定的评审方法和标准，对符合性审查合格的投标文件进行综合比较与评价。</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）评审委员会各成员独立对每个有效供应商的投标文件进行评价。评价有误的应及时进行修正。评分标准如有客观分定义，评审委员会所有成员的客观分评分分值应当一致。</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w:t>
      </w:r>
      <w:r>
        <w:rPr>
          <w:rFonts w:ascii="宋体" w:hAnsi="宋体"/>
          <w:szCs w:val="21"/>
          <w:highlight w:val="none"/>
          <w:lang w:bidi="ar"/>
        </w:rPr>
        <w:t>3</w:t>
      </w:r>
      <w:r>
        <w:rPr>
          <w:rFonts w:hint="eastAsia" w:ascii="宋体" w:hAnsi="宋体" w:cs="宋体"/>
          <w:szCs w:val="21"/>
          <w:highlight w:val="none"/>
          <w:lang w:bidi="ar"/>
        </w:rPr>
        <w:t>）中标候选人推荐</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1</w:t>
      </w:r>
      <w:r>
        <w:rPr>
          <w:rFonts w:hint="eastAsia" w:ascii="宋体" w:hAnsi="宋体" w:cs="宋体"/>
          <w:szCs w:val="21"/>
          <w:highlight w:val="none"/>
          <w:lang w:eastAsia="zh-CN" w:bidi="ar"/>
        </w:rPr>
        <w:t>）</w:t>
      </w:r>
      <w:r>
        <w:rPr>
          <w:rFonts w:hint="eastAsia" w:ascii="宋体" w:hAnsi="宋体" w:cs="宋体"/>
          <w:szCs w:val="21"/>
          <w:highlight w:val="none"/>
          <w:lang w:bidi="ar"/>
        </w:rPr>
        <w:t>中标候选人推荐总原则：</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①</w:t>
      </w:r>
      <w:r>
        <w:rPr>
          <w:rFonts w:hint="eastAsia" w:ascii="宋体" w:hAnsi="宋体" w:cs="宋体"/>
          <w:szCs w:val="21"/>
          <w:highlight w:val="none"/>
          <w:lang w:bidi="ar"/>
        </w:rPr>
        <w:t>中标候选人数量：每个分标推荐3个投标人为中标候选人。</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②</w:t>
      </w:r>
      <w:r>
        <w:rPr>
          <w:rFonts w:hint="eastAsia" w:ascii="宋体" w:hAnsi="宋体" w:cs="宋体"/>
          <w:szCs w:val="21"/>
          <w:highlight w:val="none"/>
          <w:lang w:bidi="ar"/>
        </w:rPr>
        <w:t>每个投标人可参与多个分标的投标，但最多只能被推荐为1个分标的中标候选人。</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③</w:t>
      </w:r>
      <w:r>
        <w:rPr>
          <w:rFonts w:hint="eastAsia" w:ascii="宋体" w:hAnsi="宋体" w:cs="宋体"/>
          <w:szCs w:val="21"/>
          <w:highlight w:val="none"/>
          <w:lang w:bidi="ar"/>
        </w:rPr>
        <w:t>评标委员会根据招标文件的评标办法对每个分标的投标人进行独立评审，按投标人各分标综合得分由高到低顺序进行排名，得出各分标投标人排名顺序。若综合得分相同的，按投标总报价由低到高顺序排列；若综合得分且投标总报价相同的，按技术部分得分由高到低顺序排列</w:t>
      </w:r>
      <w:r>
        <w:rPr>
          <w:rFonts w:hint="eastAsia" w:ascii="宋体" w:hAnsi="宋体" w:cs="宋体"/>
          <w:szCs w:val="21"/>
          <w:highlight w:val="none"/>
          <w:lang w:eastAsia="zh-CN" w:bidi="ar"/>
        </w:rPr>
        <w:t>；</w:t>
      </w:r>
      <w:r>
        <w:rPr>
          <w:rFonts w:hint="eastAsia" w:ascii="宋体" w:hAnsi="宋体" w:cs="宋体"/>
          <w:szCs w:val="21"/>
          <w:highlight w:val="none"/>
          <w:lang w:bidi="ar"/>
        </w:rPr>
        <w:t>若综合得分、投标总报价、技术部分均相同的，按商务部分得分由高到低顺序排列。</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2）</w:t>
      </w:r>
      <w:r>
        <w:rPr>
          <w:rFonts w:hint="eastAsia" w:ascii="宋体" w:hAnsi="宋体" w:cs="宋体"/>
          <w:szCs w:val="21"/>
          <w:highlight w:val="none"/>
          <w:lang w:bidi="ar"/>
        </w:rPr>
        <w:t>中标候选人推荐具体规则：</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①</w:t>
      </w:r>
      <w:r>
        <w:rPr>
          <w:rFonts w:hint="eastAsia" w:ascii="宋体" w:hAnsi="宋体" w:cs="宋体"/>
          <w:szCs w:val="21"/>
          <w:highlight w:val="none"/>
          <w:lang w:bidi="ar"/>
        </w:rPr>
        <w:t>推荐各分标排名第一的投标人为相应分标的中标候选人。若出现某投标人获得2个以上（含）分标被推荐为中标候选人资格时，按分标顺序（A分标、B分标、C分标）推荐其为1个相应分标的中标候选人。该投标人不再列入其余分标的中标候选人推荐。</w:t>
      </w:r>
    </w:p>
    <w:p>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②</w:t>
      </w:r>
      <w:r>
        <w:rPr>
          <w:rFonts w:hint="eastAsia" w:ascii="宋体" w:hAnsi="宋体" w:cs="宋体"/>
          <w:szCs w:val="21"/>
          <w:highlight w:val="none"/>
          <w:lang w:bidi="ar"/>
        </w:rPr>
        <w:t>其余未推荐出中标候选人的分标，从已被推荐为中标候选人以外的投标人中推荐排名最靠前的投标人为中标候选人。若出现某投标人获得2个以上（含）分标被推荐为中标候选人资格时，按分标顺序（A分标、B分标、C分标）推荐其为1个相应分标的中标候选人。该投标人不再列入其余分标的中标候选人推荐。按以上原则以此类推，直至完成所有分标中标候选人的推荐。</w:t>
      </w:r>
    </w:p>
    <w:p>
      <w:pPr>
        <w:spacing w:line="360" w:lineRule="auto"/>
        <w:ind w:firstLine="420" w:firstLineChars="200"/>
        <w:rPr>
          <w:rFonts w:hint="eastAsia" w:ascii="宋体" w:hAnsi="宋体"/>
          <w:highlight w:val="none"/>
        </w:rPr>
      </w:pPr>
      <w:r>
        <w:rPr>
          <w:rFonts w:hint="eastAsia" w:ascii="宋体" w:hAnsi="宋体" w:cs="宋体"/>
          <w:szCs w:val="21"/>
          <w:highlight w:val="none"/>
          <w:lang w:bidi="ar"/>
        </w:rPr>
        <w:t>（</w:t>
      </w:r>
      <w:r>
        <w:rPr>
          <w:rFonts w:ascii="宋体" w:hAnsi="宋体"/>
          <w:szCs w:val="21"/>
          <w:highlight w:val="none"/>
          <w:lang w:bidi="ar"/>
        </w:rPr>
        <w:t>4</w:t>
      </w:r>
      <w:r>
        <w:rPr>
          <w:rFonts w:hint="eastAsia" w:ascii="宋体" w:hAnsi="宋体" w:cs="宋体"/>
          <w:szCs w:val="21"/>
          <w:highlight w:val="none"/>
          <w:lang w:bidi="ar"/>
        </w:rPr>
        <w:t>）评审委员会根据评审记录及评审结果编写评审报告，评审委员会成员均应当在评审报告上签字，对自己的评审意见承担法律责任。</w:t>
      </w:r>
      <w:r>
        <w:rPr>
          <w:rFonts w:hint="eastAsia" w:ascii="宋体" w:hAnsi="宋体" w:cs="宋体"/>
          <w:highlight w:val="none"/>
          <w:lang w:bidi="ar"/>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pPr>
        <w:spacing w:line="360" w:lineRule="auto"/>
        <w:ind w:firstLine="420" w:firstLineChars="200"/>
        <w:rPr>
          <w:rFonts w:hint="eastAsia" w:ascii="宋体" w:hAnsi="宋体"/>
          <w:highlight w:val="none"/>
        </w:rPr>
      </w:pPr>
      <w:r>
        <w:rPr>
          <w:rFonts w:hint="eastAsia" w:ascii="宋体" w:hAnsi="宋体" w:cs="宋体"/>
          <w:highlight w:val="none"/>
          <w:lang w:bidi="ar"/>
        </w:rPr>
        <w:t>分值汇总计算错误的；分项评分超出评分标准范围的；评审委员会成员对客观评审因素评分不一致的；经评审委员会认定评分畸高、畸低的。</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6.4</w:t>
      </w:r>
      <w:r>
        <w:rPr>
          <w:rFonts w:hint="eastAsia" w:ascii="宋体" w:hAnsi="宋体"/>
          <w:b/>
          <w:bCs/>
          <w:kern w:val="0"/>
          <w:szCs w:val="21"/>
          <w:highlight w:val="none"/>
          <w:lang w:bidi="ar"/>
        </w:rPr>
        <w:t>确定中标人</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6.4.1</w:t>
      </w:r>
      <w:r>
        <w:rPr>
          <w:rFonts w:hint="eastAsia" w:ascii="宋体" w:hAnsi="宋体" w:cs="宋体"/>
          <w:szCs w:val="21"/>
          <w:highlight w:val="none"/>
          <w:lang w:bidi="ar"/>
        </w:rPr>
        <w:t>采购代理机构在评审结束后</w:t>
      </w:r>
      <w:r>
        <w:rPr>
          <w:rFonts w:ascii="宋体" w:hAnsi="宋体"/>
          <w:szCs w:val="21"/>
          <w:highlight w:val="none"/>
          <w:lang w:bidi="ar"/>
        </w:rPr>
        <w:t>2</w:t>
      </w:r>
      <w:r>
        <w:rPr>
          <w:rFonts w:hint="eastAsia" w:ascii="宋体" w:hAnsi="宋体" w:cs="宋体"/>
          <w:szCs w:val="21"/>
          <w:highlight w:val="none"/>
          <w:lang w:bidi="ar"/>
        </w:rPr>
        <w:t>个工作日内将评审报告送采购人，采购人在</w:t>
      </w:r>
      <w:r>
        <w:rPr>
          <w:rFonts w:ascii="宋体" w:hAnsi="宋体"/>
          <w:szCs w:val="21"/>
          <w:highlight w:val="none"/>
          <w:lang w:bidi="ar"/>
        </w:rPr>
        <w:t>5</w:t>
      </w:r>
      <w:r>
        <w:rPr>
          <w:rFonts w:hint="eastAsia" w:ascii="宋体" w:hAnsi="宋体" w:cs="宋体"/>
          <w:szCs w:val="21"/>
          <w:highlight w:val="none"/>
          <w:lang w:bidi="ar"/>
        </w:rPr>
        <w:t>个工作日内按照评审报告中推荐的中标候选供应商顺序确定中标人。</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6.4.2</w:t>
      </w:r>
      <w:r>
        <w:rPr>
          <w:rFonts w:hint="eastAsia" w:ascii="宋体" w:hAnsi="宋体" w:cs="宋体"/>
          <w:szCs w:val="21"/>
          <w:highlight w:val="none"/>
          <w:lang w:bidi="ar"/>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6.5</w:t>
      </w:r>
      <w:r>
        <w:rPr>
          <w:rFonts w:hint="eastAsia" w:ascii="宋体" w:hAnsi="宋体"/>
          <w:b/>
          <w:bCs/>
          <w:kern w:val="0"/>
          <w:szCs w:val="21"/>
          <w:highlight w:val="none"/>
          <w:lang w:bidi="ar"/>
        </w:rPr>
        <w:t>结果公告</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6.5.1</w:t>
      </w:r>
      <w:r>
        <w:rPr>
          <w:rFonts w:hint="eastAsia" w:ascii="宋体" w:hAnsi="宋体" w:cs="宋体"/>
          <w:szCs w:val="21"/>
          <w:highlight w:val="none"/>
          <w:lang w:bidi="ar"/>
        </w:rPr>
        <w:t>自中标人确定后</w:t>
      </w:r>
      <w:r>
        <w:rPr>
          <w:rFonts w:ascii="宋体" w:hAnsi="宋体"/>
          <w:szCs w:val="21"/>
          <w:highlight w:val="none"/>
          <w:lang w:bidi="ar"/>
        </w:rPr>
        <w:t>2</w:t>
      </w:r>
      <w:r>
        <w:rPr>
          <w:rFonts w:hint="eastAsia" w:ascii="宋体" w:hAnsi="宋体" w:cs="宋体"/>
          <w:szCs w:val="21"/>
          <w:highlight w:val="none"/>
          <w:lang w:bidi="ar"/>
        </w:rPr>
        <w:t>个工作日内，采购代理机构按照供应商须知</w:t>
      </w:r>
      <w:r>
        <w:rPr>
          <w:rFonts w:hint="eastAsia" w:ascii="宋体" w:hAnsi="宋体" w:cs="宋体"/>
          <w:kern w:val="0"/>
          <w:szCs w:val="21"/>
          <w:highlight w:val="none"/>
          <w:lang w:bidi="ar"/>
        </w:rPr>
        <w:t>前附表的规定公告</w:t>
      </w:r>
      <w:r>
        <w:rPr>
          <w:rFonts w:hint="eastAsia" w:ascii="宋体" w:hAnsi="宋体" w:cs="宋体"/>
          <w:szCs w:val="21"/>
          <w:highlight w:val="none"/>
          <w:lang w:bidi="ar"/>
        </w:rPr>
        <w:t>中标结果。</w:t>
      </w:r>
    </w:p>
    <w:p>
      <w:pPr>
        <w:spacing w:line="360" w:lineRule="auto"/>
        <w:ind w:firstLine="420" w:firstLineChars="200"/>
        <w:rPr>
          <w:rFonts w:hint="eastAsia" w:ascii="宋体" w:hAnsi="宋体"/>
          <w:szCs w:val="21"/>
          <w:highlight w:val="none"/>
        </w:rPr>
      </w:pPr>
      <w:r>
        <w:rPr>
          <w:rFonts w:ascii="宋体" w:hAnsi="宋体"/>
          <w:szCs w:val="21"/>
          <w:highlight w:val="none"/>
          <w:lang w:bidi="ar"/>
        </w:rPr>
        <w:t>6.5.2</w:t>
      </w:r>
      <w:r>
        <w:rPr>
          <w:rFonts w:hint="eastAsia" w:ascii="宋体" w:hAnsi="宋体" w:cs="宋体"/>
          <w:szCs w:val="21"/>
          <w:highlight w:val="none"/>
          <w:lang w:bidi="ar"/>
        </w:rPr>
        <w:t>在发布结果公告的同时，采购代理机构以供应商须知前附表规定的形式向中标人发出中标通知书。中标通知书发出后，采购人改变中标结果，或者中标人放弃中标，应当承担相应的法律责任。</w:t>
      </w:r>
    </w:p>
    <w:p>
      <w:pPr>
        <w:spacing w:line="360" w:lineRule="auto"/>
        <w:ind w:firstLine="420" w:firstLineChars="200"/>
        <w:rPr>
          <w:rFonts w:hint="eastAsia" w:ascii="宋体" w:hAnsi="宋体"/>
          <w:b/>
          <w:bCs/>
          <w:kern w:val="0"/>
          <w:szCs w:val="21"/>
          <w:highlight w:val="none"/>
        </w:rPr>
      </w:pPr>
      <w:r>
        <w:rPr>
          <w:rFonts w:ascii="宋体" w:hAnsi="宋体"/>
          <w:szCs w:val="21"/>
          <w:highlight w:val="none"/>
          <w:lang w:bidi="ar"/>
        </w:rPr>
        <w:t>6.5.3</w:t>
      </w:r>
      <w:r>
        <w:rPr>
          <w:rFonts w:hint="eastAsia" w:ascii="宋体" w:hAnsi="宋体" w:cs="宋体"/>
          <w:szCs w:val="21"/>
          <w:highlight w:val="none"/>
          <w:lang w:bidi="ar"/>
        </w:rPr>
        <w:t>在发布结果公告的同时，采购代理机构以供应商须知前附表规定的形式向未中标人发出招标结果通知书，供应商自行承担未及时查收的后果。</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6.6</w:t>
      </w:r>
      <w:r>
        <w:rPr>
          <w:rFonts w:hint="eastAsia" w:ascii="宋体" w:hAnsi="宋体"/>
          <w:b/>
          <w:bCs/>
          <w:kern w:val="0"/>
          <w:szCs w:val="21"/>
          <w:highlight w:val="none"/>
          <w:lang w:bidi="ar"/>
        </w:rPr>
        <w:t>废标</w:t>
      </w:r>
    </w:p>
    <w:p>
      <w:pPr>
        <w:spacing w:line="360" w:lineRule="auto"/>
        <w:ind w:firstLine="420" w:firstLineChars="200"/>
        <w:rPr>
          <w:rFonts w:hint="eastAsia" w:ascii="宋体" w:hAnsi="宋体"/>
          <w:kern w:val="1"/>
          <w:szCs w:val="21"/>
          <w:highlight w:val="none"/>
        </w:rPr>
      </w:pPr>
      <w:r>
        <w:rPr>
          <w:rFonts w:ascii="宋体" w:hAnsi="宋体"/>
          <w:kern w:val="1"/>
          <w:szCs w:val="21"/>
          <w:highlight w:val="none"/>
          <w:lang w:bidi="ar"/>
        </w:rPr>
        <w:t>6.6.1</w:t>
      </w:r>
      <w:r>
        <w:rPr>
          <w:rFonts w:hint="eastAsia" w:ascii="宋体" w:hAnsi="宋体" w:cs="宋体"/>
          <w:kern w:val="1"/>
          <w:szCs w:val="21"/>
          <w:highlight w:val="none"/>
          <w:lang w:bidi="ar"/>
        </w:rPr>
        <w:t>出现下列情形之一，将导致项目废标：</w:t>
      </w:r>
      <w:r>
        <w:rPr>
          <w:rFonts w:ascii="宋体" w:hAnsi="宋体"/>
          <w:kern w:val="1"/>
          <w:szCs w:val="21"/>
          <w:highlight w:val="none"/>
          <w:lang w:bidi="ar"/>
        </w:rPr>
        <w:t xml:space="preserve"> </w:t>
      </w:r>
    </w:p>
    <w:p>
      <w:pPr>
        <w:spacing w:line="360" w:lineRule="auto"/>
        <w:ind w:firstLine="420" w:firstLineChars="200"/>
        <w:rPr>
          <w:rFonts w:hint="eastAsia" w:ascii="宋体" w:hAnsi="宋体"/>
          <w:szCs w:val="21"/>
          <w:highlight w:val="none"/>
        </w:rPr>
      </w:pPr>
      <w:r>
        <w:rPr>
          <w:rFonts w:hint="eastAsia" w:ascii="宋体" w:hAnsi="宋体" w:cs="宋体"/>
          <w:kern w:val="1"/>
          <w:szCs w:val="21"/>
          <w:highlight w:val="none"/>
          <w:lang w:bidi="ar"/>
        </w:rPr>
        <w:t>（</w:t>
      </w:r>
      <w:r>
        <w:rPr>
          <w:rFonts w:ascii="宋体" w:hAnsi="宋体"/>
          <w:kern w:val="1"/>
          <w:szCs w:val="21"/>
          <w:highlight w:val="none"/>
          <w:lang w:bidi="ar"/>
        </w:rPr>
        <w:t>1</w:t>
      </w:r>
      <w:r>
        <w:rPr>
          <w:rFonts w:hint="eastAsia" w:ascii="宋体" w:hAnsi="宋体" w:cs="宋体"/>
          <w:szCs w:val="21"/>
          <w:highlight w:val="none"/>
          <w:lang w:bidi="ar"/>
        </w:rPr>
        <w:t>）符合专业条件的供应商或者对招标文件做实质性响应的供应商不足三家；</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）出现影响采购公正的违法、违规行为的；</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3</w:t>
      </w:r>
      <w:r>
        <w:rPr>
          <w:rFonts w:hint="eastAsia" w:ascii="宋体" w:hAnsi="宋体" w:cs="宋体"/>
          <w:szCs w:val="21"/>
          <w:highlight w:val="none"/>
          <w:lang w:bidi="ar"/>
        </w:rPr>
        <w:t>）供应商的报价均超过了采购预算，采购人不能支付的；</w:t>
      </w:r>
    </w:p>
    <w:p>
      <w:pPr>
        <w:spacing w:line="360" w:lineRule="auto"/>
        <w:ind w:firstLine="420" w:firstLineChars="200"/>
        <w:rPr>
          <w:rFonts w:hint="eastAsia" w:ascii="宋体" w:hAnsi="宋体"/>
          <w:highlight w:val="none"/>
        </w:rPr>
      </w:pPr>
      <w:r>
        <w:rPr>
          <w:rFonts w:hint="eastAsia" w:ascii="宋体" w:hAnsi="宋体" w:cs="宋体"/>
          <w:szCs w:val="21"/>
          <w:highlight w:val="none"/>
          <w:lang w:bidi="ar"/>
        </w:rPr>
        <w:t>（</w:t>
      </w:r>
      <w:r>
        <w:rPr>
          <w:rFonts w:ascii="宋体" w:hAnsi="宋体"/>
          <w:szCs w:val="21"/>
          <w:highlight w:val="none"/>
          <w:lang w:bidi="ar"/>
        </w:rPr>
        <w:t>4</w:t>
      </w:r>
      <w:r>
        <w:rPr>
          <w:rFonts w:hint="eastAsia" w:ascii="宋体" w:hAnsi="宋体" w:cs="宋体"/>
          <w:szCs w:val="21"/>
          <w:highlight w:val="none"/>
          <w:lang w:bidi="ar"/>
        </w:rPr>
        <w:t>）</w:t>
      </w:r>
      <w:r>
        <w:rPr>
          <w:rFonts w:hint="eastAsia" w:ascii="宋体" w:hAnsi="宋体" w:cs="宋体"/>
          <w:highlight w:val="none"/>
          <w:lang w:bidi="ar"/>
        </w:rPr>
        <w:t>因发生重大变故或采购任务取消的。</w:t>
      </w:r>
    </w:p>
    <w:p>
      <w:pPr>
        <w:spacing w:line="360" w:lineRule="auto"/>
        <w:ind w:firstLine="420" w:firstLineChars="200"/>
        <w:rPr>
          <w:rFonts w:hint="eastAsia" w:ascii="宋体" w:hAnsi="宋体"/>
          <w:szCs w:val="21"/>
          <w:highlight w:val="none"/>
        </w:rPr>
      </w:pPr>
      <w:r>
        <w:rPr>
          <w:rFonts w:ascii="宋体" w:hAnsi="宋体"/>
          <w:kern w:val="1"/>
          <w:szCs w:val="21"/>
          <w:highlight w:val="none"/>
          <w:lang w:bidi="ar"/>
        </w:rPr>
        <w:t>6.6.2</w:t>
      </w:r>
      <w:r>
        <w:rPr>
          <w:rFonts w:hint="eastAsia" w:ascii="宋体" w:hAnsi="宋体" w:cs="宋体"/>
          <w:kern w:val="1"/>
          <w:szCs w:val="21"/>
          <w:highlight w:val="none"/>
          <w:lang w:bidi="ar"/>
        </w:rPr>
        <w:t>废标后</w:t>
      </w:r>
      <w:r>
        <w:rPr>
          <w:rFonts w:hint="eastAsia" w:ascii="宋体" w:hAnsi="宋体" w:cs="宋体"/>
          <w:szCs w:val="21"/>
          <w:highlight w:val="none"/>
          <w:lang w:bidi="ar"/>
        </w:rPr>
        <w:t>采购</w:t>
      </w:r>
      <w:r>
        <w:rPr>
          <w:rFonts w:hint="eastAsia" w:ascii="宋体" w:hAnsi="宋体" w:cs="宋体"/>
          <w:kern w:val="1"/>
          <w:szCs w:val="21"/>
          <w:highlight w:val="none"/>
          <w:lang w:bidi="ar"/>
        </w:rPr>
        <w:t>代理机构将发布废标公告通知供应商。</w:t>
      </w:r>
      <w:bookmarkEnd w:id="178"/>
    </w:p>
    <w:bookmarkEnd w:id="175"/>
    <w:p>
      <w:pPr>
        <w:spacing w:line="360" w:lineRule="auto"/>
        <w:ind w:firstLine="422" w:firstLineChars="200"/>
        <w:outlineLvl w:val="2"/>
        <w:rPr>
          <w:rFonts w:hint="eastAsia" w:ascii="宋体" w:hAnsi="宋体"/>
          <w:b/>
          <w:bCs/>
          <w:kern w:val="0"/>
          <w:szCs w:val="21"/>
          <w:highlight w:val="none"/>
          <w:lang w:bidi="ar"/>
        </w:rPr>
      </w:pPr>
      <w:r>
        <w:rPr>
          <w:rFonts w:ascii="宋体" w:hAnsi="宋体"/>
          <w:b/>
          <w:bCs/>
          <w:kern w:val="0"/>
          <w:szCs w:val="21"/>
          <w:highlight w:val="none"/>
          <w:lang w:bidi="ar"/>
        </w:rPr>
        <w:t>7</w:t>
      </w:r>
      <w:r>
        <w:rPr>
          <w:rFonts w:hint="eastAsia" w:ascii="宋体" w:hAnsi="宋体"/>
          <w:b/>
          <w:bCs/>
          <w:kern w:val="0"/>
          <w:szCs w:val="21"/>
          <w:highlight w:val="none"/>
          <w:lang w:bidi="ar"/>
        </w:rPr>
        <w:t>．合同</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7.1</w:t>
      </w:r>
      <w:r>
        <w:rPr>
          <w:rFonts w:hint="eastAsia" w:ascii="宋体" w:hAnsi="宋体"/>
          <w:b/>
          <w:bCs/>
          <w:kern w:val="0"/>
          <w:szCs w:val="21"/>
          <w:highlight w:val="none"/>
          <w:lang w:bidi="ar"/>
        </w:rPr>
        <w:t>合同授予标准</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Pr>
          <w:rFonts w:ascii="宋体" w:hAnsi="宋体"/>
          <w:szCs w:val="21"/>
          <w:highlight w:val="none"/>
          <w:lang w:bidi="ar"/>
        </w:rPr>
        <w:t xml:space="preserve"> </w:t>
      </w:r>
      <w:r>
        <w:rPr>
          <w:rFonts w:hint="eastAsia" w:ascii="宋体" w:hAnsi="宋体" w:cs="宋体"/>
          <w:szCs w:val="21"/>
          <w:highlight w:val="none"/>
          <w:lang w:bidi="ar"/>
        </w:rPr>
        <w:t>，应在中标通知书发出前或签订合同前及时书面告知采购人，未主动告知，给采购人造成损失的，采购人有权取消其中标资格并没收投标保证金。</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7.2</w:t>
      </w:r>
      <w:r>
        <w:rPr>
          <w:rFonts w:hint="eastAsia" w:ascii="宋体" w:hAnsi="宋体"/>
          <w:b/>
          <w:bCs/>
          <w:kern w:val="0"/>
          <w:szCs w:val="21"/>
          <w:highlight w:val="none"/>
          <w:lang w:bidi="ar"/>
        </w:rPr>
        <w:t>签订合同</w:t>
      </w:r>
    </w:p>
    <w:p>
      <w:pPr>
        <w:spacing w:line="360" w:lineRule="auto"/>
        <w:ind w:firstLine="420" w:firstLineChars="200"/>
        <w:rPr>
          <w:rFonts w:hint="eastAsia" w:ascii="宋体" w:hAnsi="宋体"/>
          <w:szCs w:val="21"/>
          <w:highlight w:val="none"/>
        </w:rPr>
      </w:pPr>
      <w:bookmarkStart w:id="180" w:name="_Hlk93421039"/>
      <w:r>
        <w:rPr>
          <w:rFonts w:ascii="宋体" w:hAnsi="宋体"/>
          <w:szCs w:val="21"/>
          <w:highlight w:val="none"/>
          <w:lang w:bidi="ar"/>
        </w:rPr>
        <w:t>7.2.1</w:t>
      </w:r>
      <w:r>
        <w:rPr>
          <w:rFonts w:hint="eastAsia" w:ascii="宋体" w:hAnsi="宋体" w:cs="宋体"/>
          <w:szCs w:val="21"/>
          <w:highlight w:val="none"/>
          <w:lang w:bidi="ar"/>
        </w:rPr>
        <w:t>如招标文件无特别规定，中标人按招标文件确定的事项签订政府采购合同。</w:t>
      </w:r>
    </w:p>
    <w:p>
      <w:pPr>
        <w:spacing w:line="360" w:lineRule="auto"/>
        <w:ind w:firstLine="420" w:firstLineChars="200"/>
        <w:rPr>
          <w:rFonts w:hint="eastAsia" w:ascii="宋体" w:hAnsi="宋体"/>
          <w:szCs w:val="21"/>
          <w:highlight w:val="none"/>
        </w:rPr>
      </w:pPr>
      <w:r>
        <w:rPr>
          <w:rFonts w:ascii="宋体" w:hAnsi="宋体"/>
          <w:szCs w:val="21"/>
          <w:highlight w:val="none"/>
          <w:lang w:bidi="ar"/>
        </w:rPr>
        <w:t>7.2.2</w:t>
      </w:r>
      <w:r>
        <w:rPr>
          <w:rFonts w:hint="eastAsia" w:ascii="宋体" w:hAnsi="宋体" w:cs="宋体"/>
          <w:szCs w:val="21"/>
          <w:highlight w:val="none"/>
          <w:lang w:bidi="ar"/>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pPr>
        <w:spacing w:line="360" w:lineRule="auto"/>
        <w:ind w:firstLine="420" w:firstLineChars="200"/>
        <w:rPr>
          <w:rFonts w:hint="eastAsia" w:ascii="宋体" w:hAnsi="宋体"/>
          <w:szCs w:val="21"/>
          <w:highlight w:val="none"/>
        </w:rPr>
      </w:pPr>
      <w:r>
        <w:rPr>
          <w:rFonts w:ascii="宋体" w:hAnsi="宋体"/>
          <w:szCs w:val="21"/>
          <w:highlight w:val="none"/>
          <w:lang w:bidi="ar"/>
        </w:rPr>
        <w:t>7.2.3</w:t>
      </w:r>
      <w:r>
        <w:rPr>
          <w:rFonts w:hint="eastAsia" w:ascii="宋体" w:hAnsi="宋体" w:cs="宋体"/>
          <w:szCs w:val="21"/>
          <w:highlight w:val="none"/>
          <w:lang w:bidi="ar"/>
        </w:rPr>
        <w:t>如中标人不按中标通知书的规定签订合同，其投标保证金将不予退还，并报由同级政府采购监督管理部门处理。</w:t>
      </w:r>
    </w:p>
    <w:p>
      <w:pPr>
        <w:spacing w:line="360" w:lineRule="auto"/>
        <w:ind w:firstLine="420" w:firstLineChars="200"/>
        <w:rPr>
          <w:rFonts w:hint="eastAsia" w:ascii="宋体" w:hAnsi="宋体"/>
          <w:szCs w:val="21"/>
          <w:highlight w:val="none"/>
        </w:rPr>
      </w:pPr>
      <w:r>
        <w:rPr>
          <w:rFonts w:ascii="宋体" w:hAnsi="宋体"/>
          <w:szCs w:val="21"/>
          <w:highlight w:val="none"/>
          <w:lang w:bidi="ar"/>
        </w:rPr>
        <w:t>7.2.4</w:t>
      </w:r>
      <w:r>
        <w:rPr>
          <w:rFonts w:hint="eastAsia" w:ascii="宋体" w:hAnsi="宋体" w:cs="宋体"/>
          <w:szCs w:val="21"/>
          <w:highlight w:val="none"/>
          <w:lang w:bidi="ar"/>
        </w:rPr>
        <w:t>中标人拒绝与采购人签订合同的，采购人可以按照评审报告推荐的中标候选人名单排序，确定下一候选人为中标人，也可以重新开展政府采购活动。</w:t>
      </w:r>
    </w:p>
    <w:bookmarkEnd w:id="180"/>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7.3</w:t>
      </w:r>
      <w:r>
        <w:rPr>
          <w:rFonts w:hint="eastAsia" w:ascii="宋体" w:hAnsi="宋体"/>
          <w:b/>
          <w:bCs/>
          <w:kern w:val="0"/>
          <w:szCs w:val="21"/>
          <w:highlight w:val="none"/>
          <w:lang w:bidi="ar"/>
        </w:rPr>
        <w:t>合同公告</w:t>
      </w:r>
    </w:p>
    <w:p>
      <w:pPr>
        <w:spacing w:line="360" w:lineRule="auto"/>
        <w:ind w:firstLine="420" w:firstLineChars="200"/>
        <w:rPr>
          <w:rFonts w:hint="eastAsia" w:ascii="宋体" w:hAnsi="宋体"/>
          <w:szCs w:val="21"/>
          <w:highlight w:val="none"/>
        </w:rPr>
      </w:pPr>
      <w:bookmarkStart w:id="181" w:name="_Hlk93421052"/>
      <w:r>
        <w:rPr>
          <w:rFonts w:ascii="宋体" w:hAnsi="宋体"/>
          <w:szCs w:val="21"/>
          <w:highlight w:val="none"/>
          <w:lang w:bidi="ar"/>
        </w:rPr>
        <w:t>7.3.1</w:t>
      </w:r>
      <w:r>
        <w:rPr>
          <w:rFonts w:hint="eastAsia" w:ascii="宋体" w:hAnsi="宋体" w:cs="宋体"/>
          <w:szCs w:val="21"/>
          <w:highlight w:val="none"/>
          <w:lang w:bidi="ar"/>
        </w:rPr>
        <w:t>如招标文件无特殊规定，中标人应在签订合同后</w:t>
      </w:r>
      <w:r>
        <w:rPr>
          <w:rFonts w:ascii="宋体" w:hAnsi="宋体"/>
          <w:szCs w:val="21"/>
          <w:highlight w:val="none"/>
          <w:lang w:bidi="ar"/>
        </w:rPr>
        <w:t>1</w:t>
      </w:r>
      <w:r>
        <w:rPr>
          <w:rFonts w:hint="eastAsia" w:ascii="宋体" w:hAnsi="宋体" w:cs="宋体"/>
          <w:szCs w:val="21"/>
          <w:highlight w:val="none"/>
          <w:lang w:bidi="ar"/>
        </w:rPr>
        <w:t>个工作日内，将政府采购合同副本送采购代理机构存档。</w:t>
      </w:r>
    </w:p>
    <w:p>
      <w:pPr>
        <w:spacing w:line="360" w:lineRule="auto"/>
        <w:ind w:firstLine="420" w:firstLineChars="200"/>
        <w:rPr>
          <w:rFonts w:hint="eastAsia" w:ascii="宋体" w:hAnsi="宋体"/>
          <w:szCs w:val="21"/>
          <w:highlight w:val="none"/>
        </w:rPr>
      </w:pPr>
      <w:r>
        <w:rPr>
          <w:rFonts w:ascii="宋体" w:hAnsi="宋体"/>
          <w:szCs w:val="21"/>
          <w:highlight w:val="none"/>
          <w:lang w:bidi="ar"/>
        </w:rPr>
        <w:t>7.3.2</w:t>
      </w:r>
      <w:r>
        <w:rPr>
          <w:rFonts w:hint="eastAsia" w:ascii="宋体" w:hAnsi="宋体" w:cs="宋体"/>
          <w:szCs w:val="21"/>
          <w:highlight w:val="none"/>
          <w:lang w:bidi="ar"/>
        </w:rPr>
        <w:t>采购人应当自政府采购合同签订之日起</w:t>
      </w:r>
      <w:r>
        <w:rPr>
          <w:rFonts w:ascii="宋体" w:hAnsi="宋体"/>
          <w:szCs w:val="21"/>
          <w:highlight w:val="none"/>
          <w:lang w:bidi="ar"/>
        </w:rPr>
        <w:t>2</w:t>
      </w:r>
      <w:r>
        <w:rPr>
          <w:rFonts w:hint="eastAsia" w:ascii="宋体" w:hAnsi="宋体" w:cs="宋体"/>
          <w:szCs w:val="21"/>
          <w:highlight w:val="none"/>
          <w:lang w:bidi="ar"/>
        </w:rPr>
        <w:t>个工作日内，将政府采购合同在省级以上人民政府财政部门指定的媒体上公告，但政府采购合同中涉及国家秘密、商业秘密的内容除外。</w:t>
      </w:r>
    </w:p>
    <w:bookmarkEnd w:id="181"/>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 xml:space="preserve">7.4 </w:t>
      </w:r>
      <w:r>
        <w:rPr>
          <w:rFonts w:hint="eastAsia" w:ascii="宋体" w:hAnsi="宋体"/>
          <w:b/>
          <w:bCs/>
          <w:kern w:val="0"/>
          <w:szCs w:val="21"/>
          <w:highlight w:val="none"/>
          <w:lang w:bidi="ar"/>
        </w:rPr>
        <w:t>履行合同</w:t>
      </w:r>
    </w:p>
    <w:p>
      <w:pPr>
        <w:spacing w:line="360" w:lineRule="auto"/>
        <w:ind w:firstLine="420" w:firstLineChars="200"/>
        <w:rPr>
          <w:rFonts w:hint="eastAsia" w:ascii="宋体" w:hAnsi="宋体"/>
          <w:szCs w:val="21"/>
          <w:highlight w:val="none"/>
        </w:rPr>
      </w:pPr>
      <w:bookmarkStart w:id="182" w:name="_Hlk93421061"/>
      <w:r>
        <w:rPr>
          <w:rFonts w:ascii="宋体" w:hAnsi="宋体"/>
          <w:szCs w:val="21"/>
          <w:highlight w:val="none"/>
          <w:lang w:bidi="ar"/>
        </w:rPr>
        <w:t>7.4.1</w:t>
      </w:r>
      <w:bookmarkStart w:id="183" w:name="_Toc217446070"/>
      <w:bookmarkStart w:id="184" w:name="_Toc308164814"/>
      <w:r>
        <w:rPr>
          <w:rFonts w:hint="eastAsia" w:ascii="宋体" w:hAnsi="宋体" w:cs="宋体"/>
          <w:szCs w:val="21"/>
          <w:highlight w:val="none"/>
          <w:lang w:bidi="ar"/>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pPr>
        <w:spacing w:line="360" w:lineRule="auto"/>
        <w:ind w:firstLine="420" w:firstLineChars="200"/>
        <w:rPr>
          <w:rFonts w:hint="eastAsia" w:ascii="宋体" w:hAnsi="宋体"/>
          <w:szCs w:val="21"/>
          <w:highlight w:val="none"/>
        </w:rPr>
      </w:pPr>
      <w:r>
        <w:rPr>
          <w:rFonts w:ascii="宋体" w:hAnsi="宋体"/>
          <w:szCs w:val="21"/>
          <w:highlight w:val="none"/>
          <w:lang w:bidi="ar"/>
        </w:rPr>
        <w:t>7.4.2</w:t>
      </w:r>
      <w:r>
        <w:rPr>
          <w:rFonts w:hint="eastAsia" w:ascii="宋体" w:hAnsi="宋体" w:cs="宋体"/>
          <w:szCs w:val="21"/>
          <w:highlight w:val="none"/>
          <w:lang w:bidi="ar"/>
        </w:rPr>
        <w:t>对于双方解除合同的情况，</w:t>
      </w:r>
      <w:bookmarkStart w:id="185" w:name="_Hlk92189915"/>
      <w:r>
        <w:rPr>
          <w:rFonts w:hint="eastAsia" w:ascii="宋体" w:hAnsi="宋体" w:cs="宋体"/>
          <w:szCs w:val="21"/>
          <w:highlight w:val="none"/>
          <w:lang w:bidi="ar"/>
        </w:rPr>
        <w:t>应当按照民法典合同编有关规定或者合同约定执行。需要重新选定供应商的，应当重新开展采购活动。</w:t>
      </w:r>
      <w:bookmarkEnd w:id="185"/>
    </w:p>
    <w:bookmarkEnd w:id="182"/>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7.5</w:t>
      </w:r>
      <w:r>
        <w:rPr>
          <w:rFonts w:hint="eastAsia" w:ascii="宋体" w:hAnsi="宋体"/>
          <w:b/>
          <w:bCs/>
          <w:kern w:val="0"/>
          <w:szCs w:val="21"/>
          <w:highlight w:val="none"/>
          <w:lang w:bidi="ar"/>
        </w:rPr>
        <w:t>履约验收</w:t>
      </w:r>
      <w:bookmarkEnd w:id="183"/>
      <w:bookmarkEnd w:id="184"/>
    </w:p>
    <w:p>
      <w:pPr>
        <w:spacing w:line="360" w:lineRule="auto"/>
        <w:ind w:firstLine="420" w:firstLineChars="200"/>
        <w:rPr>
          <w:rFonts w:hint="eastAsia" w:ascii="宋体" w:hAnsi="宋体"/>
          <w:szCs w:val="21"/>
          <w:highlight w:val="none"/>
        </w:rPr>
      </w:pPr>
      <w:bookmarkStart w:id="186" w:name="_Hlk93421069"/>
      <w:r>
        <w:rPr>
          <w:rFonts w:ascii="宋体" w:hAnsi="宋体"/>
          <w:szCs w:val="21"/>
          <w:highlight w:val="none"/>
          <w:lang w:bidi="ar"/>
        </w:rPr>
        <w:t>7.5.1</w:t>
      </w:r>
      <w:r>
        <w:rPr>
          <w:rFonts w:hint="eastAsia" w:ascii="宋体" w:hAnsi="宋体" w:cs="宋体"/>
          <w:szCs w:val="21"/>
          <w:highlight w:val="none"/>
          <w:lang w:bidi="ar"/>
        </w:rPr>
        <w:t>采购人可以根据政府采购项目具体情况自行组织验收，或者委托政府采购代理机构、国家认可的质量检测机构开展采购项目履约验收工作。</w:t>
      </w:r>
    </w:p>
    <w:p>
      <w:pPr>
        <w:spacing w:line="360" w:lineRule="auto"/>
        <w:ind w:firstLine="420" w:firstLineChars="200"/>
        <w:rPr>
          <w:rFonts w:hint="eastAsia" w:ascii="宋体" w:hAnsi="宋体"/>
          <w:szCs w:val="21"/>
          <w:highlight w:val="none"/>
        </w:rPr>
      </w:pPr>
      <w:r>
        <w:rPr>
          <w:rFonts w:ascii="宋体" w:hAnsi="宋体"/>
          <w:szCs w:val="21"/>
          <w:highlight w:val="none"/>
          <w:lang w:bidi="ar"/>
        </w:rPr>
        <w:t>7.5.2</w:t>
      </w:r>
      <w:r>
        <w:rPr>
          <w:rFonts w:hint="eastAsia" w:ascii="宋体" w:hAnsi="宋体" w:cs="宋体"/>
          <w:szCs w:val="21"/>
          <w:highlight w:val="none"/>
          <w:lang w:bidi="ar"/>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pPr>
        <w:spacing w:line="360" w:lineRule="auto"/>
        <w:ind w:firstLine="420" w:firstLineChars="200"/>
        <w:rPr>
          <w:rFonts w:hint="eastAsia" w:ascii="宋体" w:hAnsi="宋体"/>
          <w:szCs w:val="21"/>
          <w:highlight w:val="none"/>
        </w:rPr>
      </w:pPr>
      <w:r>
        <w:rPr>
          <w:rFonts w:ascii="宋体" w:hAnsi="宋体"/>
          <w:szCs w:val="21"/>
          <w:highlight w:val="none"/>
          <w:lang w:bidi="ar"/>
        </w:rPr>
        <w:t>7.5.3</w:t>
      </w:r>
      <w:r>
        <w:rPr>
          <w:rFonts w:hint="eastAsia" w:ascii="宋体" w:hAnsi="宋体" w:cs="宋体"/>
          <w:szCs w:val="21"/>
          <w:highlight w:val="none"/>
          <w:lang w:bidi="ar"/>
        </w:rPr>
        <w:t>采购合同项目完成验收后，采购人应当将验收原始记录、验收书等资料作为该采购项目档案妥善保管，不得伪造、变造、隐匿或者销毁，验收资料保存期为采购结束之日起至少保存</w:t>
      </w:r>
      <w:r>
        <w:rPr>
          <w:rFonts w:ascii="宋体" w:hAnsi="宋体"/>
          <w:szCs w:val="21"/>
          <w:highlight w:val="none"/>
          <w:lang w:bidi="ar"/>
        </w:rPr>
        <w:t>15</w:t>
      </w:r>
      <w:r>
        <w:rPr>
          <w:rFonts w:hint="eastAsia" w:ascii="宋体" w:hAnsi="宋体" w:cs="宋体"/>
          <w:szCs w:val="21"/>
          <w:highlight w:val="none"/>
          <w:lang w:bidi="ar"/>
        </w:rPr>
        <w:t>年。</w:t>
      </w:r>
    </w:p>
    <w:p>
      <w:pPr>
        <w:spacing w:line="360" w:lineRule="auto"/>
        <w:ind w:firstLine="420" w:firstLineChars="200"/>
        <w:rPr>
          <w:rFonts w:hint="eastAsia" w:ascii="宋体" w:hAnsi="宋体"/>
          <w:szCs w:val="21"/>
          <w:highlight w:val="none"/>
        </w:rPr>
      </w:pPr>
      <w:r>
        <w:rPr>
          <w:rFonts w:ascii="宋体" w:hAnsi="宋体"/>
          <w:szCs w:val="21"/>
          <w:highlight w:val="none"/>
          <w:lang w:bidi="ar"/>
        </w:rPr>
        <w:t>7.5.4</w:t>
      </w:r>
      <w:r>
        <w:rPr>
          <w:rFonts w:hint="eastAsia" w:ascii="宋体" w:hAnsi="宋体" w:cs="宋体"/>
          <w:szCs w:val="21"/>
          <w:highlight w:val="none"/>
          <w:lang w:bidi="ar"/>
        </w:rPr>
        <w:t>本项目将严格按照本招标文件及合同有关规定进行合同履约验收。招标文件或合同未规定的按财政部关于进一步加强政府采购需求和履约验收管理的指导意见（财库〔</w:t>
      </w:r>
      <w:r>
        <w:rPr>
          <w:rFonts w:ascii="宋体" w:hAnsi="宋体"/>
          <w:szCs w:val="21"/>
          <w:highlight w:val="none"/>
          <w:lang w:bidi="ar"/>
        </w:rPr>
        <w:t>2016</w:t>
      </w:r>
      <w:r>
        <w:rPr>
          <w:rFonts w:hint="eastAsia" w:ascii="宋体" w:hAnsi="宋体" w:cs="宋体"/>
          <w:szCs w:val="21"/>
          <w:highlight w:val="none"/>
          <w:lang w:bidi="ar"/>
        </w:rPr>
        <w:t>〕</w:t>
      </w:r>
      <w:r>
        <w:rPr>
          <w:rFonts w:ascii="宋体" w:hAnsi="宋体"/>
          <w:szCs w:val="21"/>
          <w:highlight w:val="none"/>
          <w:lang w:bidi="ar"/>
        </w:rPr>
        <w:t>205</w:t>
      </w:r>
      <w:r>
        <w:rPr>
          <w:rFonts w:hint="eastAsia" w:ascii="宋体" w:hAnsi="宋体" w:cs="宋体"/>
          <w:szCs w:val="21"/>
          <w:highlight w:val="none"/>
          <w:lang w:bidi="ar"/>
        </w:rPr>
        <w:t>号）以及《广西壮族自治区政府采购项目履约验收管理办法》（桂财采〔</w:t>
      </w:r>
      <w:r>
        <w:rPr>
          <w:rFonts w:ascii="宋体" w:hAnsi="宋体"/>
          <w:szCs w:val="21"/>
          <w:highlight w:val="none"/>
          <w:lang w:bidi="ar"/>
        </w:rPr>
        <w:t>2015</w:t>
      </w:r>
      <w:r>
        <w:rPr>
          <w:rFonts w:hint="eastAsia" w:ascii="宋体" w:hAnsi="宋体" w:cs="宋体"/>
          <w:szCs w:val="21"/>
          <w:highlight w:val="none"/>
          <w:lang w:bidi="ar"/>
        </w:rPr>
        <w:t>〕</w:t>
      </w:r>
      <w:r>
        <w:rPr>
          <w:rFonts w:ascii="宋体" w:hAnsi="宋体"/>
          <w:szCs w:val="21"/>
          <w:highlight w:val="none"/>
          <w:lang w:bidi="ar"/>
        </w:rPr>
        <w:t>22</w:t>
      </w:r>
      <w:r>
        <w:rPr>
          <w:rFonts w:hint="eastAsia" w:ascii="宋体" w:hAnsi="宋体" w:cs="宋体"/>
          <w:szCs w:val="21"/>
          <w:highlight w:val="none"/>
          <w:lang w:bidi="ar"/>
        </w:rPr>
        <w:t>号）的规定执行。</w:t>
      </w:r>
    </w:p>
    <w:bookmarkEnd w:id="186"/>
    <w:p>
      <w:pPr>
        <w:spacing w:line="360" w:lineRule="auto"/>
        <w:ind w:firstLine="422" w:firstLineChars="200"/>
        <w:outlineLvl w:val="2"/>
        <w:rPr>
          <w:rFonts w:hint="eastAsia" w:ascii="宋体" w:hAnsi="宋体"/>
          <w:b/>
          <w:bCs/>
          <w:kern w:val="0"/>
          <w:szCs w:val="21"/>
          <w:highlight w:val="none"/>
          <w:lang w:bidi="ar"/>
        </w:rPr>
      </w:pPr>
      <w:bookmarkStart w:id="187" w:name="_Toc254970533"/>
      <w:bookmarkStart w:id="188" w:name="_Toc254970674"/>
      <w:r>
        <w:rPr>
          <w:rFonts w:ascii="宋体" w:hAnsi="宋体"/>
          <w:b/>
          <w:bCs/>
          <w:kern w:val="0"/>
          <w:szCs w:val="21"/>
          <w:highlight w:val="none"/>
          <w:lang w:bidi="ar"/>
        </w:rPr>
        <w:t>8</w:t>
      </w:r>
      <w:r>
        <w:rPr>
          <w:rFonts w:hint="eastAsia" w:ascii="宋体" w:hAnsi="宋体"/>
          <w:b/>
          <w:bCs/>
          <w:kern w:val="0"/>
          <w:szCs w:val="21"/>
          <w:highlight w:val="none"/>
          <w:lang w:bidi="ar"/>
        </w:rPr>
        <w:t>．质疑和投诉</w:t>
      </w:r>
      <w:bookmarkEnd w:id="187"/>
      <w:bookmarkEnd w:id="188"/>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8.1</w:t>
      </w:r>
      <w:r>
        <w:rPr>
          <w:rFonts w:hint="eastAsia" w:ascii="宋体" w:hAnsi="宋体"/>
          <w:b/>
          <w:bCs/>
          <w:kern w:val="0"/>
          <w:szCs w:val="21"/>
          <w:highlight w:val="none"/>
          <w:lang w:bidi="ar"/>
        </w:rPr>
        <w:t>质疑</w:t>
      </w:r>
    </w:p>
    <w:p>
      <w:pPr>
        <w:spacing w:line="360" w:lineRule="auto"/>
        <w:ind w:firstLine="420" w:firstLineChars="200"/>
        <w:rPr>
          <w:rFonts w:hint="eastAsia" w:ascii="宋体" w:hAnsi="宋体"/>
          <w:szCs w:val="21"/>
          <w:highlight w:val="none"/>
        </w:rPr>
      </w:pPr>
      <w:r>
        <w:rPr>
          <w:rFonts w:ascii="宋体" w:hAnsi="宋体"/>
          <w:szCs w:val="21"/>
          <w:highlight w:val="none"/>
          <w:lang w:bidi="ar"/>
        </w:rPr>
        <w:t>8.1.1</w:t>
      </w:r>
      <w:r>
        <w:rPr>
          <w:rFonts w:hint="eastAsia" w:ascii="宋体" w:hAnsi="宋体" w:cs="宋体"/>
          <w:szCs w:val="21"/>
          <w:highlight w:val="none"/>
          <w:lang w:bidi="ar"/>
        </w:rPr>
        <w:t>质疑内容、时限</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）供应商对政府采购活动有疑问的，可以向采购人或采购代理机构提出询问。采购人或者采购代理机构应当在</w:t>
      </w:r>
      <w:r>
        <w:rPr>
          <w:rFonts w:ascii="宋体" w:hAnsi="宋体"/>
          <w:szCs w:val="21"/>
          <w:highlight w:val="none"/>
          <w:lang w:bidi="ar"/>
        </w:rPr>
        <w:t>3</w:t>
      </w:r>
      <w:r>
        <w:rPr>
          <w:rFonts w:hint="eastAsia" w:ascii="宋体" w:hAnsi="宋体" w:cs="宋体"/>
          <w:szCs w:val="21"/>
          <w:highlight w:val="none"/>
          <w:lang w:bidi="ar"/>
        </w:rPr>
        <w:t>个工作日内对供应商依法提出的询问作出答复。</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）供应商为认为招标文件、采购过程、中标或者成交结果使自己的权益受到损害的，可以在知道或者应知其权益受到损害之日起</w:t>
      </w:r>
      <w:r>
        <w:rPr>
          <w:rFonts w:ascii="宋体" w:hAnsi="宋体"/>
          <w:szCs w:val="21"/>
          <w:highlight w:val="none"/>
          <w:lang w:bidi="ar"/>
        </w:rPr>
        <w:t>7</w:t>
      </w:r>
      <w:r>
        <w:rPr>
          <w:rFonts w:hint="eastAsia" w:ascii="宋体" w:hAnsi="宋体" w:cs="宋体"/>
          <w:szCs w:val="21"/>
          <w:highlight w:val="none"/>
          <w:lang w:bidi="ar"/>
        </w:rPr>
        <w:t>个工作日内向采购人或采购代理机构提出质疑。采购人或采购代理机构在收到供应商书面质疑后</w:t>
      </w:r>
      <w:r>
        <w:rPr>
          <w:rFonts w:ascii="宋体" w:hAnsi="宋体"/>
          <w:szCs w:val="21"/>
          <w:highlight w:val="none"/>
          <w:lang w:bidi="ar"/>
        </w:rPr>
        <w:t>7</w:t>
      </w:r>
      <w:r>
        <w:rPr>
          <w:rFonts w:hint="eastAsia" w:ascii="宋体" w:hAnsi="宋体" w:cs="宋体"/>
          <w:szCs w:val="21"/>
          <w:highlight w:val="none"/>
          <w:lang w:bidi="ar"/>
        </w:rPr>
        <w:t>个工作日内，对质疑内容作出答复。</w:t>
      </w:r>
    </w:p>
    <w:p>
      <w:pPr>
        <w:spacing w:line="360" w:lineRule="auto"/>
        <w:ind w:firstLine="420" w:firstLineChars="200"/>
        <w:rPr>
          <w:rFonts w:hint="eastAsia" w:ascii="宋体" w:hAnsi="宋体"/>
          <w:szCs w:val="21"/>
          <w:highlight w:val="none"/>
        </w:rPr>
      </w:pPr>
      <w:r>
        <w:rPr>
          <w:rFonts w:ascii="宋体" w:hAnsi="宋体"/>
          <w:szCs w:val="21"/>
          <w:highlight w:val="none"/>
          <w:lang w:bidi="ar"/>
        </w:rPr>
        <w:t>8.1.2</w:t>
      </w:r>
      <w:r>
        <w:rPr>
          <w:rFonts w:hint="eastAsia" w:ascii="宋体" w:hAnsi="宋体" w:cs="宋体"/>
          <w:szCs w:val="21"/>
          <w:highlight w:val="none"/>
          <w:lang w:bidi="ar"/>
        </w:rPr>
        <w:t>质疑形式</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pPr>
        <w:spacing w:line="360" w:lineRule="auto"/>
        <w:ind w:firstLine="420" w:firstLineChars="200"/>
        <w:rPr>
          <w:rFonts w:hint="eastAsia" w:ascii="宋体" w:hAnsi="宋体"/>
          <w:szCs w:val="21"/>
          <w:highlight w:val="none"/>
        </w:rPr>
      </w:pPr>
      <w:r>
        <w:rPr>
          <w:rFonts w:ascii="宋体" w:hAnsi="宋体"/>
          <w:szCs w:val="21"/>
          <w:highlight w:val="none"/>
          <w:lang w:bidi="ar"/>
        </w:rPr>
        <w:t>8.1.3</w:t>
      </w:r>
      <w:r>
        <w:rPr>
          <w:rFonts w:ascii="宋体" w:hAnsi="宋体"/>
          <w:highlight w:val="none"/>
          <w:lang w:bidi="ar"/>
        </w:rPr>
        <w:t xml:space="preserve"> </w:t>
      </w:r>
      <w:r>
        <w:rPr>
          <w:rFonts w:hint="eastAsia" w:ascii="宋体" w:hAnsi="宋体" w:cs="宋体"/>
          <w:szCs w:val="21"/>
          <w:highlight w:val="none"/>
          <w:lang w:bidi="ar"/>
        </w:rPr>
        <w:t>供应商提出质疑应当提交质疑函和必要的证明材料。质疑函应当包括下列内容：</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w:t>
      </w:r>
      <w:r>
        <w:rPr>
          <w:rFonts w:ascii="宋体" w:hAnsi="宋体"/>
          <w:szCs w:val="21"/>
          <w:highlight w:val="none"/>
          <w:lang w:bidi="ar"/>
        </w:rPr>
        <w:tab/>
      </w:r>
      <w:r>
        <w:rPr>
          <w:rFonts w:hint="eastAsia" w:ascii="宋体" w:hAnsi="宋体" w:cs="宋体"/>
          <w:szCs w:val="21"/>
          <w:highlight w:val="none"/>
          <w:lang w:bidi="ar"/>
        </w:rPr>
        <w:t>供应商的姓名或者名称、地址、邮编、联系人及联系电话；</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w:t>
      </w:r>
      <w:r>
        <w:rPr>
          <w:rFonts w:ascii="宋体" w:hAnsi="宋体"/>
          <w:szCs w:val="21"/>
          <w:highlight w:val="none"/>
          <w:lang w:bidi="ar"/>
        </w:rPr>
        <w:tab/>
      </w:r>
      <w:r>
        <w:rPr>
          <w:rFonts w:hint="eastAsia" w:ascii="宋体" w:hAnsi="宋体" w:cs="宋体"/>
          <w:szCs w:val="21"/>
          <w:highlight w:val="none"/>
          <w:lang w:bidi="ar"/>
        </w:rPr>
        <w:t>质疑项目的名称、编号；</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3</w:t>
      </w:r>
      <w:r>
        <w:rPr>
          <w:rFonts w:hint="eastAsia" w:ascii="宋体" w:hAnsi="宋体" w:cs="宋体"/>
          <w:szCs w:val="21"/>
          <w:highlight w:val="none"/>
          <w:lang w:bidi="ar"/>
        </w:rPr>
        <w:t>）</w:t>
      </w:r>
      <w:r>
        <w:rPr>
          <w:rFonts w:ascii="宋体" w:hAnsi="宋体"/>
          <w:szCs w:val="21"/>
          <w:highlight w:val="none"/>
          <w:lang w:bidi="ar"/>
        </w:rPr>
        <w:tab/>
      </w:r>
      <w:r>
        <w:rPr>
          <w:rFonts w:hint="eastAsia" w:ascii="宋体" w:hAnsi="宋体" w:cs="宋体"/>
          <w:szCs w:val="21"/>
          <w:highlight w:val="none"/>
          <w:lang w:bidi="ar"/>
        </w:rPr>
        <w:t>具体、明确的质疑事项和与质疑事项相关的请求；</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4</w:t>
      </w:r>
      <w:r>
        <w:rPr>
          <w:rFonts w:hint="eastAsia" w:ascii="宋体" w:hAnsi="宋体" w:cs="宋体"/>
          <w:szCs w:val="21"/>
          <w:highlight w:val="none"/>
          <w:lang w:bidi="ar"/>
        </w:rPr>
        <w:t>）</w:t>
      </w:r>
      <w:r>
        <w:rPr>
          <w:rFonts w:ascii="宋体" w:hAnsi="宋体"/>
          <w:szCs w:val="21"/>
          <w:highlight w:val="none"/>
          <w:lang w:bidi="ar"/>
        </w:rPr>
        <w:tab/>
      </w:r>
      <w:r>
        <w:rPr>
          <w:rFonts w:hint="eastAsia" w:ascii="宋体" w:hAnsi="宋体" w:cs="宋体"/>
          <w:szCs w:val="21"/>
          <w:highlight w:val="none"/>
          <w:lang w:bidi="ar"/>
        </w:rPr>
        <w:t>事实依据；</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5</w:t>
      </w:r>
      <w:r>
        <w:rPr>
          <w:rFonts w:hint="eastAsia" w:ascii="宋体" w:hAnsi="宋体" w:cs="宋体"/>
          <w:szCs w:val="21"/>
          <w:highlight w:val="none"/>
          <w:lang w:bidi="ar"/>
        </w:rPr>
        <w:t>）</w:t>
      </w:r>
      <w:r>
        <w:rPr>
          <w:rFonts w:ascii="宋体" w:hAnsi="宋体"/>
          <w:szCs w:val="21"/>
          <w:highlight w:val="none"/>
          <w:lang w:bidi="ar"/>
        </w:rPr>
        <w:tab/>
      </w:r>
      <w:r>
        <w:rPr>
          <w:rFonts w:hint="eastAsia" w:ascii="宋体" w:hAnsi="宋体" w:cs="宋体"/>
          <w:szCs w:val="21"/>
          <w:highlight w:val="none"/>
          <w:lang w:bidi="ar"/>
        </w:rPr>
        <w:t>必要的法律依据；</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6</w:t>
      </w:r>
      <w:r>
        <w:rPr>
          <w:rFonts w:hint="eastAsia" w:ascii="宋体" w:hAnsi="宋体" w:cs="宋体"/>
          <w:szCs w:val="21"/>
          <w:highlight w:val="none"/>
          <w:lang w:bidi="ar"/>
        </w:rPr>
        <w:t>）</w:t>
      </w:r>
      <w:r>
        <w:rPr>
          <w:rFonts w:ascii="宋体" w:hAnsi="宋体"/>
          <w:szCs w:val="21"/>
          <w:highlight w:val="none"/>
          <w:lang w:bidi="ar"/>
        </w:rPr>
        <w:tab/>
      </w:r>
      <w:r>
        <w:rPr>
          <w:rFonts w:hint="eastAsia" w:ascii="宋体" w:hAnsi="宋体" w:cs="宋体"/>
          <w:szCs w:val="21"/>
          <w:highlight w:val="none"/>
          <w:lang w:bidi="ar"/>
        </w:rPr>
        <w:t>提出质疑的日期。</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供应商为自然人的，应当由本人签字；供应商为法人或者其他组织的，应当由法定代表人、主要负责人，或者其授权代表签字或者盖章，并加盖公章。</w:t>
      </w:r>
      <w:r>
        <w:rPr>
          <w:rFonts w:ascii="宋体" w:hAnsi="宋体"/>
          <w:szCs w:val="21"/>
          <w:highlight w:val="none"/>
          <w:lang w:bidi="ar"/>
        </w:rPr>
        <w:t xml:space="preserve"> </w:t>
      </w:r>
    </w:p>
    <w:p>
      <w:pPr>
        <w:spacing w:line="360" w:lineRule="auto"/>
        <w:ind w:firstLine="422" w:firstLineChars="200"/>
        <w:outlineLvl w:val="3"/>
        <w:rPr>
          <w:rFonts w:hint="eastAsia" w:ascii="宋体" w:hAnsi="宋体"/>
          <w:b/>
          <w:bCs/>
          <w:kern w:val="0"/>
          <w:szCs w:val="21"/>
          <w:highlight w:val="none"/>
          <w:lang w:bidi="ar"/>
        </w:rPr>
      </w:pPr>
      <w:r>
        <w:rPr>
          <w:rFonts w:ascii="宋体" w:hAnsi="宋体"/>
          <w:b/>
          <w:bCs/>
          <w:kern w:val="0"/>
          <w:szCs w:val="21"/>
          <w:highlight w:val="none"/>
          <w:lang w:bidi="ar"/>
        </w:rPr>
        <w:t>8.2</w:t>
      </w:r>
      <w:r>
        <w:rPr>
          <w:rFonts w:hint="eastAsia" w:ascii="宋体" w:hAnsi="宋体"/>
          <w:b/>
          <w:bCs/>
          <w:kern w:val="0"/>
          <w:szCs w:val="21"/>
          <w:highlight w:val="none"/>
          <w:lang w:bidi="ar"/>
        </w:rPr>
        <w:t>投诉</w:t>
      </w:r>
    </w:p>
    <w:p>
      <w:pPr>
        <w:spacing w:line="360" w:lineRule="auto"/>
        <w:ind w:firstLine="420" w:firstLineChars="200"/>
        <w:rPr>
          <w:rFonts w:hint="eastAsia" w:ascii="宋体" w:hAnsi="宋体"/>
          <w:szCs w:val="21"/>
          <w:highlight w:val="none"/>
        </w:rPr>
      </w:pPr>
      <w:r>
        <w:rPr>
          <w:rFonts w:ascii="宋体" w:hAnsi="宋体"/>
          <w:szCs w:val="21"/>
          <w:highlight w:val="none"/>
          <w:lang w:bidi="ar"/>
        </w:rPr>
        <w:t>8.2.1</w:t>
      </w:r>
      <w:r>
        <w:rPr>
          <w:rFonts w:hint="eastAsia" w:ascii="宋体" w:hAnsi="宋体" w:cs="宋体"/>
          <w:szCs w:val="21"/>
          <w:highlight w:val="none"/>
          <w:lang w:bidi="ar"/>
        </w:rPr>
        <w:t>供应商对采购人、采购代理机构的答复不满意，或者采购人、采购代理机构未在规定时间内答复的，可在答复期满后</w:t>
      </w:r>
      <w:r>
        <w:rPr>
          <w:rFonts w:ascii="宋体" w:hAnsi="宋体"/>
          <w:szCs w:val="21"/>
          <w:highlight w:val="none"/>
          <w:lang w:bidi="ar"/>
        </w:rPr>
        <w:t>15</w:t>
      </w:r>
      <w:r>
        <w:rPr>
          <w:rFonts w:hint="eastAsia" w:ascii="宋体" w:hAnsi="宋体" w:cs="宋体"/>
          <w:szCs w:val="21"/>
          <w:highlight w:val="none"/>
          <w:lang w:bidi="ar"/>
        </w:rPr>
        <w:t>个工作日内按有关规定，向同级财政部门投诉。</w:t>
      </w:r>
    </w:p>
    <w:p>
      <w:pPr>
        <w:spacing w:line="360" w:lineRule="auto"/>
        <w:ind w:firstLine="420" w:firstLineChars="200"/>
        <w:rPr>
          <w:rFonts w:hint="eastAsia" w:ascii="宋体" w:hAnsi="宋体"/>
          <w:szCs w:val="21"/>
          <w:highlight w:val="none"/>
        </w:rPr>
      </w:pPr>
      <w:r>
        <w:rPr>
          <w:rFonts w:ascii="宋体" w:hAnsi="宋体"/>
          <w:szCs w:val="21"/>
          <w:highlight w:val="none"/>
          <w:lang w:bidi="ar"/>
        </w:rPr>
        <w:t>8.2.2</w:t>
      </w:r>
      <w:r>
        <w:rPr>
          <w:rFonts w:hint="eastAsia" w:ascii="宋体" w:hAnsi="宋体" w:cs="宋体"/>
          <w:szCs w:val="21"/>
          <w:highlight w:val="none"/>
          <w:lang w:bidi="ar"/>
        </w:rPr>
        <w:t>投诉书应使用财政部发布的政府采购供应投诉书范本，并应按照</w:t>
      </w:r>
      <w:r>
        <w:rPr>
          <w:rFonts w:ascii="宋体" w:hAnsi="宋体"/>
          <w:szCs w:val="21"/>
          <w:highlight w:val="none"/>
          <w:lang w:bidi="ar"/>
        </w:rPr>
        <w:t>“</w:t>
      </w:r>
      <w:r>
        <w:rPr>
          <w:rFonts w:hint="eastAsia" w:ascii="宋体" w:hAnsi="宋体" w:cs="宋体"/>
          <w:szCs w:val="21"/>
          <w:highlight w:val="none"/>
          <w:lang w:bidi="ar"/>
        </w:rPr>
        <w:t>投诉书制作说明</w:t>
      </w:r>
      <w:r>
        <w:rPr>
          <w:rFonts w:ascii="宋体" w:hAnsi="宋体"/>
          <w:szCs w:val="21"/>
          <w:highlight w:val="none"/>
          <w:lang w:bidi="ar"/>
        </w:rPr>
        <w:t>”</w:t>
      </w:r>
      <w:r>
        <w:rPr>
          <w:rFonts w:hint="eastAsia" w:ascii="宋体" w:hAnsi="宋体" w:cs="宋体"/>
          <w:szCs w:val="21"/>
          <w:highlight w:val="none"/>
          <w:lang w:bidi="ar"/>
        </w:rPr>
        <w:t>进行编写。</w:t>
      </w:r>
    </w:p>
    <w:p>
      <w:pPr>
        <w:spacing w:line="360" w:lineRule="auto"/>
        <w:ind w:firstLine="422" w:firstLineChars="200"/>
        <w:outlineLvl w:val="2"/>
        <w:rPr>
          <w:rFonts w:hint="eastAsia" w:ascii="宋体" w:hAnsi="宋体"/>
          <w:b/>
          <w:bCs/>
          <w:kern w:val="0"/>
          <w:szCs w:val="21"/>
          <w:highlight w:val="none"/>
          <w:lang w:bidi="ar"/>
        </w:rPr>
      </w:pPr>
      <w:bookmarkStart w:id="189" w:name="_Hlk93421085"/>
      <w:r>
        <w:rPr>
          <w:rFonts w:ascii="宋体" w:hAnsi="宋体"/>
          <w:b/>
          <w:bCs/>
          <w:kern w:val="0"/>
          <w:szCs w:val="21"/>
          <w:highlight w:val="none"/>
          <w:lang w:bidi="ar"/>
        </w:rPr>
        <w:t>9</w:t>
      </w:r>
      <w:r>
        <w:rPr>
          <w:rFonts w:hint="eastAsia" w:ascii="宋体" w:hAnsi="宋体"/>
          <w:b/>
          <w:bCs/>
          <w:kern w:val="0"/>
          <w:szCs w:val="21"/>
          <w:highlight w:val="none"/>
          <w:lang w:bidi="ar"/>
        </w:rPr>
        <w:t>．促进中小企业发展政策</w:t>
      </w:r>
    </w:p>
    <w:p>
      <w:pPr>
        <w:spacing w:line="360" w:lineRule="auto"/>
        <w:ind w:firstLine="420" w:firstLineChars="200"/>
        <w:outlineLvl w:val="3"/>
        <w:rPr>
          <w:rFonts w:hint="eastAsia" w:ascii="宋体" w:hAnsi="宋体"/>
          <w:szCs w:val="21"/>
          <w:highlight w:val="none"/>
        </w:rPr>
      </w:pPr>
      <w:r>
        <w:rPr>
          <w:rFonts w:ascii="宋体" w:hAnsi="宋体"/>
          <w:szCs w:val="21"/>
          <w:highlight w:val="none"/>
          <w:lang w:bidi="ar"/>
        </w:rPr>
        <w:t>9.1</w:t>
      </w:r>
      <w:r>
        <w:rPr>
          <w:rFonts w:hint="eastAsia" w:ascii="宋体" w:hAnsi="宋体" w:cs="宋体"/>
          <w:szCs w:val="21"/>
          <w:highlight w:val="none"/>
          <w:lang w:bidi="ar"/>
        </w:rPr>
        <w:t>本项目落实促进中小企业发展政策措施在前附表规定。依据促进中小企业发展政策获得政府采购合同的，小微企业不得将合同分包给大中型企业，中型企业不得将合同分包给大型企业。</w:t>
      </w:r>
    </w:p>
    <w:p>
      <w:pPr>
        <w:spacing w:line="360" w:lineRule="auto"/>
        <w:ind w:firstLine="420" w:firstLineChars="200"/>
        <w:outlineLvl w:val="3"/>
        <w:rPr>
          <w:rFonts w:hint="eastAsia" w:ascii="宋体" w:hAnsi="宋体"/>
          <w:szCs w:val="21"/>
          <w:highlight w:val="none"/>
        </w:rPr>
      </w:pPr>
      <w:r>
        <w:rPr>
          <w:rFonts w:ascii="宋体" w:hAnsi="宋体"/>
          <w:szCs w:val="21"/>
          <w:highlight w:val="none"/>
          <w:lang w:bidi="ar"/>
        </w:rPr>
        <w:t>9.2</w:t>
      </w:r>
      <w:r>
        <w:rPr>
          <w:rFonts w:hint="eastAsia" w:ascii="宋体" w:hAnsi="宋体" w:cs="宋体"/>
          <w:szCs w:val="21"/>
          <w:highlight w:val="none"/>
          <w:lang w:bidi="ar"/>
        </w:rPr>
        <w:t>本项目如为专门面向中小企业预留采购份额采购项目，供应商必须满足招标文件资格要求中的落实政府采购政策需满足的资格要求。</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招标文件中如接受联合体，供应商以联合体形式参加采购活动，联合体中中小企业承担的部分达到</w:t>
      </w:r>
      <w:r>
        <w:rPr>
          <w:rFonts w:ascii="宋体" w:hAnsi="宋体"/>
          <w:szCs w:val="21"/>
          <w:highlight w:val="none"/>
          <w:lang w:bidi="ar"/>
        </w:rPr>
        <w:t>30%</w:t>
      </w:r>
      <w:r>
        <w:rPr>
          <w:rFonts w:hint="eastAsia" w:ascii="宋体" w:hAnsi="宋体" w:cs="宋体"/>
          <w:szCs w:val="21"/>
          <w:highlight w:val="none"/>
          <w:lang w:bidi="ar"/>
        </w:rPr>
        <w:t>以上，其中预留给小微企业的比例不低于</w:t>
      </w:r>
      <w:r>
        <w:rPr>
          <w:rFonts w:ascii="宋体" w:hAnsi="宋体"/>
          <w:szCs w:val="21"/>
          <w:highlight w:val="none"/>
          <w:lang w:bidi="ar"/>
        </w:rPr>
        <w:t>60%</w:t>
      </w:r>
      <w:r>
        <w:rPr>
          <w:rFonts w:hint="eastAsia" w:ascii="宋体" w:hAnsi="宋体" w:cs="宋体"/>
          <w:szCs w:val="21"/>
          <w:highlight w:val="none"/>
          <w:lang w:bidi="ar"/>
        </w:rPr>
        <w:t>。</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招标文件中如接受分包，供应商将采购项目分包给一家或者多家中小企业的比例达到</w:t>
      </w:r>
      <w:r>
        <w:rPr>
          <w:rFonts w:ascii="宋体" w:hAnsi="宋体"/>
          <w:szCs w:val="21"/>
          <w:highlight w:val="none"/>
          <w:lang w:bidi="ar"/>
        </w:rPr>
        <w:t>30%</w:t>
      </w:r>
      <w:r>
        <w:rPr>
          <w:rFonts w:hint="eastAsia" w:ascii="宋体" w:hAnsi="宋体" w:cs="宋体"/>
          <w:szCs w:val="21"/>
          <w:highlight w:val="none"/>
          <w:lang w:bidi="ar"/>
        </w:rPr>
        <w:t>以上，其中预留给小微企业的比例不低于</w:t>
      </w:r>
      <w:r>
        <w:rPr>
          <w:rFonts w:ascii="宋体" w:hAnsi="宋体"/>
          <w:szCs w:val="21"/>
          <w:highlight w:val="none"/>
          <w:lang w:bidi="ar"/>
        </w:rPr>
        <w:t>60%</w:t>
      </w:r>
      <w:r>
        <w:rPr>
          <w:rFonts w:hint="eastAsia" w:ascii="宋体" w:hAnsi="宋体" w:cs="宋体"/>
          <w:szCs w:val="21"/>
          <w:highlight w:val="none"/>
          <w:lang w:bidi="ar"/>
        </w:rPr>
        <w:t>。</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注：专门面向中小企业预留采购份额采购项目不享受价格扣除政策。</w:t>
      </w:r>
    </w:p>
    <w:p>
      <w:pPr>
        <w:spacing w:line="360" w:lineRule="auto"/>
        <w:ind w:firstLine="420" w:firstLineChars="200"/>
        <w:outlineLvl w:val="3"/>
        <w:rPr>
          <w:rFonts w:hint="eastAsia" w:ascii="宋体" w:hAnsi="宋体"/>
          <w:szCs w:val="21"/>
          <w:highlight w:val="none"/>
        </w:rPr>
      </w:pPr>
      <w:bookmarkStart w:id="190" w:name="_Hlk92205820"/>
      <w:r>
        <w:rPr>
          <w:rFonts w:ascii="宋体" w:hAnsi="宋体"/>
          <w:szCs w:val="21"/>
          <w:highlight w:val="none"/>
          <w:lang w:bidi="ar"/>
        </w:rPr>
        <w:t>9.3</w:t>
      </w:r>
      <w:r>
        <w:rPr>
          <w:rFonts w:hint="eastAsia" w:ascii="宋体" w:hAnsi="宋体" w:cs="宋体"/>
          <w:szCs w:val="21"/>
          <w:highlight w:val="none"/>
          <w:lang w:bidi="ar"/>
        </w:rPr>
        <w:t>本项目如为非专门面向中小企业预留采购份额采购项目，评审委员会应当对小微企业报价给予价格扣除，用扣除后的价格参加评审。</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招标文件接受大中型企业与小微企业组成联合体或者允许大中型企业向一家或者多家小微企业分包时，对于联合协议或者分包意向协议约定小微企业的合同份额占合同总金额比例达到</w:t>
      </w:r>
      <w:r>
        <w:rPr>
          <w:rFonts w:ascii="宋体" w:hAnsi="宋体"/>
          <w:szCs w:val="21"/>
          <w:highlight w:val="none"/>
          <w:lang w:bidi="ar"/>
        </w:rPr>
        <w:t>30%</w:t>
      </w:r>
      <w:r>
        <w:rPr>
          <w:rFonts w:hint="eastAsia" w:ascii="宋体" w:hAnsi="宋体" w:cs="宋体"/>
          <w:szCs w:val="21"/>
          <w:highlight w:val="none"/>
          <w:lang w:bidi="ar"/>
        </w:rPr>
        <w:t>以上的，评审委员会员应当对联合体或者大中型企业的报价给予价格扣除，用扣除后的价格参加评审。</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组成联合体或者接受分包的小微企业与联合体内其他企业、分包企业之间存在直接控股、管理关系的，不享受价格扣除优惠政策。</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价格扣除比例在第四章评审方法及标准中规定，对小型企业和微型企业同等对待，不作区分。</w:t>
      </w:r>
    </w:p>
    <w:p>
      <w:pPr>
        <w:spacing w:line="360" w:lineRule="auto"/>
        <w:ind w:firstLine="420" w:firstLineChars="200"/>
        <w:outlineLvl w:val="3"/>
        <w:rPr>
          <w:rFonts w:hint="eastAsia" w:ascii="宋体" w:hAnsi="宋体"/>
          <w:szCs w:val="21"/>
          <w:highlight w:val="none"/>
        </w:rPr>
      </w:pPr>
      <w:r>
        <w:rPr>
          <w:rFonts w:ascii="宋体" w:hAnsi="宋体"/>
          <w:szCs w:val="21"/>
          <w:highlight w:val="none"/>
          <w:lang w:bidi="ar"/>
        </w:rPr>
        <w:t>9.4</w:t>
      </w:r>
      <w:r>
        <w:rPr>
          <w:rFonts w:hint="eastAsia" w:ascii="宋体" w:hAnsi="宋体" w:cs="宋体"/>
          <w:szCs w:val="21"/>
          <w:highlight w:val="none"/>
          <w:lang w:bidi="ar"/>
        </w:rPr>
        <w:t>中小企业定义</w:t>
      </w:r>
    </w:p>
    <w:p>
      <w:pPr>
        <w:spacing w:line="360" w:lineRule="auto"/>
        <w:ind w:firstLine="420" w:firstLineChars="200"/>
        <w:rPr>
          <w:rFonts w:hint="eastAsia" w:ascii="宋体" w:hAnsi="宋体"/>
          <w:szCs w:val="21"/>
          <w:highlight w:val="none"/>
        </w:rPr>
      </w:pPr>
      <w:r>
        <w:rPr>
          <w:rFonts w:ascii="宋体" w:hAnsi="宋体"/>
          <w:szCs w:val="21"/>
          <w:highlight w:val="none"/>
          <w:lang w:bidi="ar"/>
        </w:rPr>
        <w:t>9.4.1</w:t>
      </w:r>
      <w:r>
        <w:rPr>
          <w:rFonts w:hint="eastAsia" w:ascii="宋体" w:hAnsi="宋体" w:cs="宋体"/>
          <w:szCs w:val="21"/>
          <w:highlight w:val="none"/>
          <w:lang w:bidi="ar"/>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20" w:firstLineChars="200"/>
        <w:rPr>
          <w:rFonts w:hint="eastAsia" w:ascii="宋体" w:hAnsi="宋体"/>
          <w:szCs w:val="21"/>
          <w:highlight w:val="none"/>
        </w:rPr>
      </w:pPr>
      <w:r>
        <w:rPr>
          <w:rFonts w:ascii="宋体" w:hAnsi="宋体"/>
          <w:szCs w:val="21"/>
          <w:highlight w:val="none"/>
          <w:lang w:bidi="ar"/>
        </w:rPr>
        <w:t>9.4.2</w:t>
      </w:r>
      <w:r>
        <w:rPr>
          <w:rFonts w:hint="eastAsia" w:ascii="宋体" w:hAnsi="宋体" w:cs="宋体"/>
          <w:szCs w:val="21"/>
          <w:highlight w:val="none"/>
          <w:lang w:bidi="ar"/>
        </w:rPr>
        <w:t>供应商提供的货物、工程或者服务符合下列情形的，享受本款规定的促进中小企业发展政策：</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在货物采购项目中，货物由中小企业制造，即货物由中小企业生产且使用该中小企业商号或者注册商标；</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在工程采购项目中，工程由中小企业承建，即工程施工单位为中小企业；</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在服务采购项目中，服务由中小企业承接，即提供服务的人员为中小企业依照《中华人民共和国劳动合同法》订立劳动合同的从业人员。</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在货物采购项目中，供应商提供的货物既有中小企业制造货物，也有大型企业制造货物的，不享受本款规定的促进中小企业发展政策。</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szCs w:val="21"/>
          <w:highlight w:val="none"/>
        </w:rPr>
      </w:pPr>
      <w:r>
        <w:rPr>
          <w:rFonts w:ascii="宋体" w:hAnsi="宋体"/>
          <w:szCs w:val="21"/>
          <w:highlight w:val="none"/>
          <w:lang w:bidi="ar"/>
        </w:rPr>
        <w:t>9.4.3</w:t>
      </w:r>
      <w:r>
        <w:rPr>
          <w:rFonts w:hint="eastAsia" w:ascii="宋体" w:hAnsi="宋体" w:cs="宋体"/>
          <w:szCs w:val="21"/>
          <w:highlight w:val="none"/>
          <w:lang w:bidi="ar"/>
        </w:rPr>
        <w:t>本项目标的所属行业在第二章采购需求中规定。供应商根据中小企业划分标准（《关于印发中小企业划型标准规定的通知》（工信部联企业〔</w:t>
      </w:r>
      <w:r>
        <w:rPr>
          <w:rFonts w:ascii="宋体" w:hAnsi="宋体"/>
          <w:szCs w:val="21"/>
          <w:highlight w:val="none"/>
          <w:lang w:bidi="ar"/>
        </w:rPr>
        <w:t>2011</w:t>
      </w:r>
      <w:r>
        <w:rPr>
          <w:rFonts w:hint="eastAsia" w:ascii="宋体" w:hAnsi="宋体" w:cs="宋体"/>
          <w:szCs w:val="21"/>
          <w:highlight w:val="none"/>
          <w:lang w:bidi="ar"/>
        </w:rPr>
        <w:t>〕</w:t>
      </w:r>
      <w:r>
        <w:rPr>
          <w:rFonts w:ascii="宋体" w:hAnsi="宋体"/>
          <w:szCs w:val="21"/>
          <w:highlight w:val="none"/>
          <w:lang w:bidi="ar"/>
        </w:rPr>
        <w:t>300</w:t>
      </w:r>
      <w:r>
        <w:rPr>
          <w:rFonts w:hint="eastAsia" w:ascii="宋体" w:hAnsi="宋体" w:cs="宋体"/>
          <w:szCs w:val="21"/>
          <w:highlight w:val="none"/>
          <w:lang w:bidi="ar"/>
        </w:rPr>
        <w:t>号）判断是否为中小企业。</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符合条件的货物制造商、工程施工单位、服务承接单位为中小企业的，应按招标文件规定在投标文件中提供声明函。</w:t>
      </w:r>
    </w:p>
    <w:p>
      <w:pPr>
        <w:spacing w:line="360" w:lineRule="auto"/>
        <w:ind w:firstLine="420" w:firstLineChars="200"/>
        <w:rPr>
          <w:rFonts w:hint="eastAsia" w:ascii="宋体" w:hAnsi="宋体"/>
          <w:szCs w:val="21"/>
          <w:highlight w:val="none"/>
        </w:rPr>
      </w:pPr>
      <w:r>
        <w:rPr>
          <w:rFonts w:ascii="宋体" w:hAnsi="宋体"/>
          <w:szCs w:val="21"/>
          <w:highlight w:val="none"/>
          <w:lang w:bidi="ar"/>
        </w:rPr>
        <w:t>9.4.4</w:t>
      </w:r>
      <w:r>
        <w:rPr>
          <w:rFonts w:hint="eastAsia" w:ascii="宋体" w:hAnsi="宋体" w:cs="宋体"/>
          <w:szCs w:val="21"/>
          <w:highlight w:val="none"/>
          <w:lang w:bidi="ar"/>
        </w:rPr>
        <w:t>视同中小企业情形</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）符合中小企业划分标准的个体工商户，视同中小企业。</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3</w:t>
      </w:r>
      <w:r>
        <w:rPr>
          <w:rFonts w:hint="eastAsia" w:ascii="宋体" w:hAnsi="宋体" w:cs="宋体"/>
          <w:szCs w:val="21"/>
          <w:highlight w:val="none"/>
          <w:lang w:bidi="ar"/>
        </w:rPr>
        <w:t>）符合《财政部、司法部关于政府采购支持监狱企业发展有关问题的通知》（财库〔</w:t>
      </w:r>
      <w:r>
        <w:rPr>
          <w:rFonts w:ascii="宋体" w:hAnsi="宋体"/>
          <w:szCs w:val="21"/>
          <w:highlight w:val="none"/>
          <w:lang w:bidi="ar"/>
        </w:rPr>
        <w:t>2014</w:t>
      </w:r>
      <w:r>
        <w:rPr>
          <w:rFonts w:hint="eastAsia" w:ascii="宋体" w:hAnsi="宋体" w:cs="宋体"/>
          <w:szCs w:val="21"/>
          <w:highlight w:val="none"/>
          <w:lang w:bidi="ar"/>
        </w:rPr>
        <w:t>〕</w:t>
      </w:r>
      <w:r>
        <w:rPr>
          <w:rFonts w:ascii="宋体" w:hAnsi="宋体"/>
          <w:szCs w:val="21"/>
          <w:highlight w:val="none"/>
          <w:lang w:bidi="ar"/>
        </w:rPr>
        <w:t>68</w:t>
      </w:r>
      <w:r>
        <w:rPr>
          <w:rFonts w:hint="eastAsia" w:ascii="宋体" w:hAnsi="宋体" w:cs="宋体"/>
          <w:szCs w:val="21"/>
          <w:highlight w:val="none"/>
          <w:lang w:bidi="ar"/>
        </w:rPr>
        <w:t>号）规定的监狱企业，或符合《关于促进残疾人就业政府采购政策的通知》（财库〔</w:t>
      </w:r>
      <w:r>
        <w:rPr>
          <w:rFonts w:ascii="宋体" w:hAnsi="宋体"/>
          <w:szCs w:val="21"/>
          <w:highlight w:val="none"/>
          <w:lang w:bidi="ar"/>
        </w:rPr>
        <w:t>2017</w:t>
      </w:r>
      <w:r>
        <w:rPr>
          <w:rFonts w:hint="eastAsia" w:ascii="宋体" w:hAnsi="宋体" w:cs="宋体"/>
          <w:szCs w:val="21"/>
          <w:highlight w:val="none"/>
          <w:lang w:bidi="ar"/>
        </w:rPr>
        <w:t>〕</w:t>
      </w:r>
      <w:r>
        <w:rPr>
          <w:rFonts w:ascii="宋体" w:hAnsi="宋体"/>
          <w:szCs w:val="21"/>
          <w:highlight w:val="none"/>
          <w:lang w:bidi="ar"/>
        </w:rPr>
        <w:t>141</w:t>
      </w:r>
      <w:r>
        <w:rPr>
          <w:rFonts w:hint="eastAsia" w:ascii="宋体" w:hAnsi="宋体" w:cs="宋体"/>
          <w:szCs w:val="21"/>
          <w:highlight w:val="none"/>
          <w:lang w:bidi="ar"/>
        </w:rPr>
        <w:t>号）规定的残疾人福利性单位，视同小型、微型企业。</w:t>
      </w:r>
    </w:p>
    <w:p>
      <w:pPr>
        <w:spacing w:line="360" w:lineRule="auto"/>
        <w:ind w:firstLine="420" w:firstLineChars="200"/>
        <w:rPr>
          <w:rFonts w:hint="eastAsia" w:ascii="宋体" w:hAnsi="宋体"/>
          <w:szCs w:val="21"/>
          <w:highlight w:val="none"/>
        </w:rPr>
      </w:pPr>
      <w:r>
        <w:rPr>
          <w:rFonts w:hint="eastAsia" w:ascii="宋体" w:hAnsi="宋体" w:cs="宋体"/>
          <w:szCs w:val="21"/>
          <w:highlight w:val="none"/>
          <w:lang w:bidi="ar"/>
        </w:rPr>
        <w:t>符合条件的货物制造商、工程施工单位、服务承接单位为监狱企业或残疾人福利性单位的，应按招标文件规定在投标文件中提供相关证明文件。</w:t>
      </w:r>
    </w:p>
    <w:bookmarkEnd w:id="189"/>
    <w:bookmarkEnd w:id="190"/>
    <w:p>
      <w:pPr>
        <w:spacing w:line="360" w:lineRule="auto"/>
        <w:ind w:firstLine="422" w:firstLineChars="200"/>
        <w:outlineLvl w:val="2"/>
        <w:rPr>
          <w:rFonts w:hint="eastAsia" w:ascii="宋体" w:hAnsi="宋体"/>
          <w:b/>
          <w:bCs/>
          <w:kern w:val="0"/>
          <w:szCs w:val="21"/>
          <w:highlight w:val="none"/>
          <w:lang w:bidi="ar"/>
        </w:rPr>
      </w:pPr>
      <w:r>
        <w:rPr>
          <w:rFonts w:ascii="宋体" w:hAnsi="宋体"/>
          <w:b/>
          <w:bCs/>
          <w:kern w:val="0"/>
          <w:szCs w:val="21"/>
          <w:highlight w:val="none"/>
          <w:lang w:bidi="ar"/>
        </w:rPr>
        <w:t>10</w:t>
      </w:r>
      <w:r>
        <w:rPr>
          <w:rFonts w:hint="eastAsia" w:ascii="宋体" w:hAnsi="宋体"/>
          <w:b/>
          <w:bCs/>
          <w:kern w:val="0"/>
          <w:szCs w:val="21"/>
          <w:highlight w:val="none"/>
          <w:lang w:bidi="ar"/>
        </w:rPr>
        <w:t>．其他事项</w:t>
      </w:r>
    </w:p>
    <w:p>
      <w:pPr>
        <w:spacing w:line="360" w:lineRule="auto"/>
        <w:ind w:firstLine="420" w:firstLineChars="200"/>
        <w:outlineLvl w:val="3"/>
        <w:rPr>
          <w:rFonts w:hint="eastAsia" w:ascii="宋体" w:hAnsi="宋体"/>
          <w:szCs w:val="21"/>
          <w:highlight w:val="none"/>
        </w:rPr>
      </w:pPr>
      <w:r>
        <w:rPr>
          <w:rFonts w:ascii="宋体" w:hAnsi="宋体"/>
          <w:szCs w:val="21"/>
          <w:highlight w:val="none"/>
          <w:lang w:bidi="ar"/>
        </w:rPr>
        <w:t>10.1</w:t>
      </w:r>
      <w:r>
        <w:rPr>
          <w:rFonts w:hint="eastAsia" w:ascii="宋体" w:hAnsi="宋体" w:cs="宋体"/>
          <w:szCs w:val="21"/>
          <w:highlight w:val="none"/>
          <w:lang w:bidi="ar"/>
        </w:rPr>
        <w:t>代理服务收费由采购代理机构向中标人收取。签订合同前，中标人应向采购代理机构一次付清代理服务费。</w:t>
      </w:r>
    </w:p>
    <w:p>
      <w:pPr>
        <w:spacing w:line="360" w:lineRule="auto"/>
        <w:ind w:firstLine="420" w:firstLineChars="200"/>
        <w:outlineLvl w:val="3"/>
        <w:rPr>
          <w:rFonts w:hint="eastAsia" w:ascii="宋体" w:hAnsi="宋体"/>
          <w:szCs w:val="21"/>
          <w:highlight w:val="none"/>
        </w:rPr>
      </w:pPr>
      <w:r>
        <w:rPr>
          <w:rFonts w:ascii="宋体" w:hAnsi="宋体"/>
          <w:szCs w:val="21"/>
          <w:highlight w:val="none"/>
          <w:lang w:bidi="ar"/>
        </w:rPr>
        <w:t>10.2</w:t>
      </w:r>
      <w:r>
        <w:rPr>
          <w:rFonts w:hint="eastAsia" w:ascii="宋体" w:hAnsi="宋体" w:cs="宋体"/>
          <w:szCs w:val="21"/>
          <w:highlight w:val="none"/>
          <w:lang w:bidi="ar"/>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1</w:t>
      </w:r>
      <w:r>
        <w:rPr>
          <w:rFonts w:hint="eastAsia" w:ascii="宋体" w:hAnsi="宋体" w:cs="宋体"/>
          <w:szCs w:val="21"/>
          <w:highlight w:val="none"/>
          <w:lang w:bidi="ar"/>
        </w:rPr>
        <w:t>）电子交易平台发生故障而无法登录访问的；</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2</w:t>
      </w:r>
      <w:r>
        <w:rPr>
          <w:rFonts w:hint="eastAsia" w:ascii="宋体" w:hAnsi="宋体" w:cs="宋体"/>
          <w:szCs w:val="21"/>
          <w:highlight w:val="none"/>
          <w:lang w:bidi="ar"/>
        </w:rPr>
        <w:t>）电子交易平台应用或数据库出现错误，不能进行正常操作的；</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3</w:t>
      </w:r>
      <w:r>
        <w:rPr>
          <w:rFonts w:hint="eastAsia" w:ascii="宋体" w:hAnsi="宋体" w:cs="宋体"/>
          <w:szCs w:val="21"/>
          <w:highlight w:val="none"/>
          <w:lang w:bidi="ar"/>
        </w:rPr>
        <w:t>）电子交易平台发现严重安全漏洞，有潜在泄密危险的；</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4</w:t>
      </w:r>
      <w:r>
        <w:rPr>
          <w:rFonts w:hint="eastAsia" w:ascii="宋体" w:hAnsi="宋体" w:cs="宋体"/>
          <w:szCs w:val="21"/>
          <w:highlight w:val="none"/>
          <w:lang w:bidi="ar"/>
        </w:rPr>
        <w:t>）病毒发作导致不能进行正常操作的；</w:t>
      </w:r>
    </w:p>
    <w:p>
      <w:pPr>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w:t>
      </w:r>
      <w:r>
        <w:rPr>
          <w:rFonts w:ascii="宋体" w:hAnsi="宋体"/>
          <w:szCs w:val="21"/>
          <w:highlight w:val="none"/>
          <w:lang w:bidi="ar"/>
        </w:rPr>
        <w:t>4</w:t>
      </w:r>
      <w:r>
        <w:rPr>
          <w:rFonts w:hint="eastAsia" w:ascii="宋体" w:hAnsi="宋体" w:cs="宋体"/>
          <w:szCs w:val="21"/>
          <w:highlight w:val="none"/>
          <w:lang w:bidi="ar"/>
        </w:rPr>
        <w:t>）其他无法保证电子交易的公平、公正和安全的情况。</w:t>
      </w:r>
    </w:p>
    <w:p>
      <w:pPr>
        <w:tabs>
          <w:tab w:val="left" w:pos="4820"/>
        </w:tabs>
        <w:spacing w:line="360" w:lineRule="auto"/>
        <w:ind w:firstLine="420" w:firstLineChars="200"/>
        <w:outlineLvl w:val="3"/>
        <w:rPr>
          <w:rFonts w:hint="eastAsia" w:ascii="宋体" w:hAnsi="宋体"/>
          <w:szCs w:val="21"/>
          <w:highlight w:val="none"/>
        </w:rPr>
      </w:pPr>
      <w:r>
        <w:rPr>
          <w:rFonts w:hint="eastAsia" w:ascii="宋体" w:hAnsi="宋体" w:cs="宋体"/>
          <w:szCs w:val="21"/>
          <w:highlight w:val="none"/>
          <w:lang w:bidi="ar"/>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ascii="宋体" w:hAnsi="宋体"/>
          <w:szCs w:val="21"/>
          <w:highlight w:val="none"/>
          <w:lang w:bidi="ar"/>
        </w:rPr>
        <w:t xml:space="preserve"> </w:t>
      </w:r>
    </w:p>
    <w:p>
      <w:pPr>
        <w:spacing w:line="360" w:lineRule="auto"/>
        <w:ind w:firstLine="420" w:firstLineChars="200"/>
        <w:outlineLvl w:val="3"/>
        <w:rPr>
          <w:rFonts w:hint="eastAsia" w:ascii="宋体" w:hAnsi="宋体"/>
          <w:szCs w:val="21"/>
          <w:highlight w:val="none"/>
        </w:rPr>
      </w:pPr>
      <w:r>
        <w:rPr>
          <w:rFonts w:ascii="宋体" w:hAnsi="宋体"/>
          <w:szCs w:val="21"/>
          <w:highlight w:val="none"/>
          <w:lang w:bidi="ar"/>
        </w:rPr>
        <w:t>10.3</w:t>
      </w:r>
      <w:r>
        <w:rPr>
          <w:rFonts w:hint="eastAsia" w:ascii="宋体" w:hAnsi="宋体" w:cs="宋体"/>
          <w:szCs w:val="21"/>
          <w:highlight w:val="none"/>
          <w:lang w:bidi="ar"/>
        </w:rPr>
        <w:t>本项目的附件及图纸详见供应商须知前附表。</w:t>
      </w:r>
    </w:p>
    <w:p>
      <w:pPr>
        <w:spacing w:line="360" w:lineRule="auto"/>
        <w:ind w:firstLine="420" w:firstLineChars="200"/>
        <w:outlineLvl w:val="3"/>
        <w:rPr>
          <w:rFonts w:hint="eastAsia" w:ascii="宋体" w:hAnsi="宋体"/>
          <w:szCs w:val="21"/>
          <w:highlight w:val="none"/>
        </w:rPr>
      </w:pPr>
      <w:r>
        <w:rPr>
          <w:rFonts w:ascii="宋体" w:hAnsi="宋体"/>
          <w:szCs w:val="21"/>
          <w:highlight w:val="none"/>
          <w:lang w:bidi="ar"/>
        </w:rPr>
        <w:t>10.4</w:t>
      </w:r>
      <w:r>
        <w:rPr>
          <w:rFonts w:hint="eastAsia" w:ascii="宋体" w:hAnsi="宋体" w:cs="宋体"/>
          <w:szCs w:val="21"/>
          <w:highlight w:val="none"/>
          <w:lang w:bidi="ar"/>
        </w:rPr>
        <w:t>本项目的其他事项详见供应商须知前附表。</w:t>
      </w:r>
    </w:p>
    <w:p>
      <w:pPr>
        <w:spacing w:line="360" w:lineRule="auto"/>
        <w:ind w:firstLine="422" w:firstLineChars="200"/>
        <w:outlineLvl w:val="2"/>
        <w:rPr>
          <w:rFonts w:hint="eastAsia" w:ascii="宋体" w:hAnsi="宋体"/>
          <w:b/>
          <w:bCs/>
          <w:kern w:val="0"/>
          <w:szCs w:val="21"/>
          <w:highlight w:val="none"/>
          <w:lang w:bidi="ar"/>
        </w:rPr>
      </w:pPr>
      <w:r>
        <w:rPr>
          <w:rFonts w:ascii="宋体" w:hAnsi="宋体"/>
          <w:b/>
          <w:bCs/>
          <w:kern w:val="0"/>
          <w:szCs w:val="21"/>
          <w:highlight w:val="none"/>
          <w:lang w:bidi="ar"/>
        </w:rPr>
        <w:t>11</w:t>
      </w:r>
      <w:r>
        <w:rPr>
          <w:rFonts w:hint="eastAsia" w:ascii="宋体" w:hAnsi="宋体"/>
          <w:b/>
          <w:bCs/>
          <w:kern w:val="0"/>
          <w:szCs w:val="21"/>
          <w:highlight w:val="none"/>
          <w:lang w:bidi="ar"/>
        </w:rPr>
        <w:t>．其他说明</w:t>
      </w:r>
    </w:p>
    <w:p>
      <w:pPr>
        <w:spacing w:line="360" w:lineRule="auto"/>
        <w:ind w:firstLine="420" w:firstLineChars="200"/>
        <w:outlineLvl w:val="3"/>
        <w:rPr>
          <w:rFonts w:hint="eastAsia" w:ascii="宋体" w:hAnsi="宋体"/>
          <w:kern w:val="0"/>
          <w:szCs w:val="21"/>
          <w:highlight w:val="none"/>
        </w:rPr>
      </w:pPr>
      <w:r>
        <w:rPr>
          <w:rFonts w:ascii="宋体" w:hAnsi="宋体"/>
          <w:kern w:val="0"/>
          <w:szCs w:val="21"/>
          <w:highlight w:val="none"/>
          <w:lang w:bidi="ar"/>
        </w:rPr>
        <w:t>11.1</w:t>
      </w:r>
      <w:r>
        <w:rPr>
          <w:rFonts w:hint="eastAsia" w:ascii="宋体" w:hAnsi="宋体" w:cs="宋体"/>
          <w:kern w:val="0"/>
          <w:szCs w:val="21"/>
          <w:highlight w:val="none"/>
          <w:lang w:bidi="ar"/>
        </w:rPr>
        <w:t>其余未尽事宜按《中华人民共和国政府采购法》、《中华人民共和国政府采购法实施条例》的相关规定执行。</w:t>
      </w:r>
    </w:p>
    <w:p>
      <w:pPr>
        <w:spacing w:line="360" w:lineRule="auto"/>
        <w:ind w:firstLine="420" w:firstLineChars="200"/>
        <w:outlineLvl w:val="3"/>
        <w:rPr>
          <w:rFonts w:hint="eastAsia" w:ascii="宋体" w:hAnsi="宋体"/>
          <w:highlight w:val="none"/>
        </w:rPr>
      </w:pPr>
      <w:r>
        <w:rPr>
          <w:rFonts w:ascii="宋体" w:hAnsi="宋体"/>
          <w:kern w:val="0"/>
          <w:szCs w:val="21"/>
          <w:highlight w:val="none"/>
          <w:lang w:bidi="ar"/>
        </w:rPr>
        <w:t>11.2</w:t>
      </w:r>
      <w:r>
        <w:rPr>
          <w:rFonts w:hint="eastAsia" w:ascii="宋体" w:hAnsi="宋体" w:cs="宋体"/>
          <w:highlight w:val="none"/>
          <w:lang w:bidi="ar"/>
        </w:rPr>
        <w:t>本招标文件是根据国家有关法律及有关政策、法规和参照国际惯例编制，解释权属采购代理机构。</w:t>
      </w:r>
    </w:p>
    <w:bookmarkEnd w:id="139"/>
    <w:p>
      <w:pPr>
        <w:spacing w:before="120" w:line="320" w:lineRule="atLeast"/>
        <w:outlineLvl w:val="1"/>
        <w:rPr>
          <w:bCs/>
          <w:kern w:val="0"/>
          <w:sz w:val="28"/>
          <w:szCs w:val="28"/>
          <w:highlight w:val="none"/>
        </w:rPr>
        <w:sectPr>
          <w:footerReference r:id="rId8" w:type="default"/>
          <w:pgSz w:w="11906" w:h="16838"/>
          <w:pgMar w:top="1440" w:right="1800" w:bottom="1440" w:left="1800" w:header="851" w:footer="992" w:gutter="0"/>
          <w:cols w:space="720" w:num="1"/>
          <w:titlePg/>
          <w:docGrid w:linePitch="312" w:charSpace="0"/>
        </w:sectPr>
      </w:pPr>
    </w:p>
    <w:p>
      <w:pPr>
        <w:spacing w:line="360" w:lineRule="auto"/>
        <w:ind w:firstLine="422" w:firstLineChars="200"/>
        <w:outlineLvl w:val="2"/>
        <w:rPr>
          <w:rFonts w:hint="eastAsia" w:ascii="宋体" w:hAnsi="宋体"/>
          <w:b/>
          <w:bCs/>
          <w:kern w:val="0"/>
          <w:szCs w:val="21"/>
          <w:highlight w:val="none"/>
          <w:lang w:bidi="ar"/>
        </w:rPr>
      </w:pPr>
      <w:r>
        <w:rPr>
          <w:rFonts w:hint="eastAsia" w:ascii="宋体" w:hAnsi="宋体"/>
          <w:b/>
          <w:bCs/>
          <w:kern w:val="0"/>
          <w:szCs w:val="21"/>
          <w:highlight w:val="none"/>
          <w:lang w:bidi="ar"/>
        </w:rPr>
        <w:t>一、质疑函（格式）</w:t>
      </w:r>
    </w:p>
    <w:p>
      <w:pPr>
        <w:spacing w:line="360" w:lineRule="auto"/>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质疑函（格式）</w:t>
      </w:r>
    </w:p>
    <w:p>
      <w:pPr>
        <w:pStyle w:val="29"/>
        <w:snapToGrid w:val="0"/>
        <w:spacing w:line="360" w:lineRule="auto"/>
        <w:ind w:firstLine="482" w:firstLineChars="200"/>
        <w:rPr>
          <w:rFonts w:hint="eastAsia" w:hAnsi="宋体"/>
          <w:b/>
          <w:bCs/>
          <w:color w:val="000000"/>
          <w:sz w:val="24"/>
          <w:szCs w:val="24"/>
          <w:highlight w:val="none"/>
        </w:rPr>
      </w:pPr>
      <w:r>
        <w:rPr>
          <w:rFonts w:hint="eastAsia" w:hAnsi="宋体"/>
          <w:b/>
          <w:bCs/>
          <w:color w:val="000000"/>
          <w:sz w:val="24"/>
          <w:szCs w:val="24"/>
          <w:highlight w:val="none"/>
        </w:rPr>
        <w:t>一、质疑供应商基本信息：</w:t>
      </w:r>
    </w:p>
    <w:p>
      <w:pPr>
        <w:pStyle w:val="29"/>
        <w:snapToGrid w:val="0"/>
        <w:spacing w:line="360" w:lineRule="auto"/>
        <w:ind w:firstLine="480" w:firstLineChars="200"/>
        <w:rPr>
          <w:rFonts w:hint="eastAsia" w:hAnsi="宋体"/>
          <w:bCs/>
          <w:color w:val="000000"/>
          <w:sz w:val="24"/>
          <w:szCs w:val="24"/>
          <w:highlight w:val="none"/>
          <w:u w:val="single"/>
        </w:rPr>
      </w:pPr>
      <w:r>
        <w:rPr>
          <w:rFonts w:hint="eastAsia" w:hAnsi="宋体"/>
          <w:bCs/>
          <w:color w:val="000000"/>
          <w:sz w:val="24"/>
          <w:szCs w:val="24"/>
          <w:highlight w:val="none"/>
        </w:rPr>
        <w:t>质疑供应商：</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pPr>
        <w:pStyle w:val="29"/>
        <w:snapToGrid w:val="0"/>
        <w:spacing w:line="360" w:lineRule="auto"/>
        <w:ind w:firstLine="480" w:firstLineChars="200"/>
        <w:rPr>
          <w:rFonts w:hint="eastAsia" w:hAnsi="宋体"/>
          <w:bCs/>
          <w:color w:val="000000"/>
          <w:sz w:val="24"/>
          <w:szCs w:val="24"/>
          <w:highlight w:val="non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pPr>
        <w:pStyle w:val="29"/>
        <w:snapToGrid w:val="0"/>
        <w:spacing w:line="360" w:lineRule="auto"/>
        <w:ind w:firstLine="480" w:firstLineChars="200"/>
        <w:rPr>
          <w:rFonts w:hint="eastAsia" w:hAnsi="宋体"/>
          <w:bCs/>
          <w:color w:val="000000"/>
          <w:sz w:val="24"/>
          <w:szCs w:val="24"/>
          <w:highlight w:val="none"/>
        </w:rPr>
      </w:pPr>
      <w:r>
        <w:rPr>
          <w:rFonts w:hAnsi="宋体"/>
          <w:bCs/>
          <w:color w:val="000000"/>
          <w:sz w:val="24"/>
          <w:szCs w:val="24"/>
          <w:highlight w:val="none"/>
        </w:rPr>
        <w:t>联系人</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联系电话</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pPr>
        <w:pStyle w:val="29"/>
        <w:snapToGrid w:val="0"/>
        <w:spacing w:line="360" w:lineRule="auto"/>
        <w:ind w:firstLine="480" w:firstLineChars="200"/>
        <w:rPr>
          <w:rFonts w:hint="eastAsia" w:hAnsi="宋体"/>
          <w:bCs/>
          <w:color w:val="000000"/>
          <w:sz w:val="24"/>
          <w:szCs w:val="24"/>
          <w:highlight w:val="none"/>
        </w:rPr>
      </w:pPr>
      <w:r>
        <w:rPr>
          <w:rFonts w:hint="eastAsia" w:hAnsi="宋体"/>
          <w:bCs/>
          <w:color w:val="000000"/>
          <w:sz w:val="24"/>
          <w:szCs w:val="24"/>
          <w:highlight w:val="none"/>
        </w:rPr>
        <w:t>授权代表：</w:t>
      </w:r>
      <w:r>
        <w:rPr>
          <w:rFonts w:hint="eastAsia" w:hAnsi="宋体"/>
          <w:bCs/>
          <w:color w:val="000000"/>
          <w:sz w:val="24"/>
          <w:szCs w:val="24"/>
          <w:highlight w:val="none"/>
          <w:u w:val="single"/>
        </w:rPr>
        <w:t xml:space="preserve">                      </w:t>
      </w:r>
    </w:p>
    <w:p>
      <w:pPr>
        <w:pStyle w:val="29"/>
        <w:snapToGrid w:val="0"/>
        <w:spacing w:line="360" w:lineRule="auto"/>
        <w:ind w:firstLine="480" w:firstLineChars="200"/>
        <w:rPr>
          <w:rFonts w:hint="eastAsia" w:hAnsi="宋体"/>
          <w:bCs/>
          <w:color w:val="000000"/>
          <w:sz w:val="24"/>
          <w:szCs w:val="24"/>
          <w:highlight w:val="none"/>
          <w:u w:val="single"/>
        </w:rPr>
      </w:pP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p>
    <w:p>
      <w:pPr>
        <w:pStyle w:val="29"/>
        <w:snapToGrid w:val="0"/>
        <w:spacing w:line="360" w:lineRule="auto"/>
        <w:ind w:firstLine="480" w:firstLineChars="200"/>
        <w:rPr>
          <w:rFonts w:hint="eastAsia" w:hAnsi="宋体"/>
          <w:bCs/>
          <w:color w:val="000000"/>
          <w:sz w:val="24"/>
          <w:szCs w:val="24"/>
          <w:highlight w:val="non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pPr>
        <w:pStyle w:val="29"/>
        <w:snapToGrid w:val="0"/>
        <w:spacing w:line="360" w:lineRule="auto"/>
        <w:ind w:firstLine="482" w:firstLineChars="200"/>
        <w:rPr>
          <w:rFonts w:hint="eastAsia" w:hAnsi="宋体"/>
          <w:b/>
          <w:bCs/>
          <w:color w:val="000000"/>
          <w:sz w:val="24"/>
          <w:szCs w:val="24"/>
          <w:highlight w:val="none"/>
        </w:rPr>
      </w:pPr>
      <w:r>
        <w:rPr>
          <w:rFonts w:hint="eastAsia" w:hAnsi="宋体"/>
          <w:b/>
          <w:bCs/>
          <w:color w:val="000000"/>
          <w:sz w:val="24"/>
          <w:szCs w:val="24"/>
          <w:highlight w:val="none"/>
        </w:rPr>
        <w:t>二、质疑项目基本情况：</w:t>
      </w:r>
    </w:p>
    <w:p>
      <w:pPr>
        <w:pStyle w:val="29"/>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质疑</w:t>
      </w:r>
      <w:r>
        <w:rPr>
          <w:rFonts w:hint="eastAsia" w:hAnsi="宋体"/>
          <w:color w:val="000000"/>
          <w:sz w:val="24"/>
          <w:szCs w:val="24"/>
          <w:highlight w:val="none"/>
        </w:rPr>
        <w:t>项目的名称：</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质疑</w:t>
      </w:r>
      <w:r>
        <w:rPr>
          <w:rFonts w:hint="eastAsia" w:hAnsi="宋体"/>
          <w:color w:val="000000"/>
          <w:sz w:val="24"/>
          <w:szCs w:val="24"/>
          <w:highlight w:val="none"/>
        </w:rPr>
        <w:t>项目的编号：</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采购人名称：</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质疑事项：</w:t>
      </w:r>
    </w:p>
    <w:p>
      <w:pPr>
        <w:pStyle w:val="29"/>
        <w:spacing w:line="360" w:lineRule="auto"/>
        <w:ind w:left="25" w:leftChars="12" w:firstLine="352" w:firstLineChars="147"/>
        <w:rPr>
          <w:rFonts w:hint="eastAsia" w:hAnsi="宋体"/>
          <w:color w:val="000000"/>
          <w:sz w:val="24"/>
          <w:szCs w:val="24"/>
          <w:highlight w:val="none"/>
        </w:rPr>
      </w:pPr>
      <w:r>
        <w:rPr>
          <w:rFonts w:hint="eastAsia" w:hAnsi="宋体"/>
          <w:color w:val="000000"/>
          <w:sz w:val="24"/>
          <w:szCs w:val="24"/>
          <w:highlight w:val="none"/>
        </w:rPr>
        <w:t>□招标文件   招标文件获取日期：</w:t>
      </w:r>
      <w:r>
        <w:rPr>
          <w:rFonts w:hint="eastAsia" w:hAnsi="宋体"/>
          <w:bCs/>
          <w:color w:val="000000"/>
          <w:sz w:val="24"/>
          <w:szCs w:val="24"/>
          <w:highlight w:val="none"/>
          <w:u w:val="single"/>
        </w:rPr>
        <w:t xml:space="preserve">                                   </w:t>
      </w:r>
    </w:p>
    <w:p>
      <w:pPr>
        <w:pStyle w:val="29"/>
        <w:spacing w:line="360" w:lineRule="auto"/>
        <w:ind w:left="25" w:leftChars="12" w:firstLine="352" w:firstLineChars="147"/>
        <w:rPr>
          <w:rFonts w:hint="eastAsia" w:hAnsi="宋体"/>
          <w:color w:val="000000"/>
          <w:sz w:val="24"/>
          <w:szCs w:val="24"/>
          <w:highlight w:val="none"/>
        </w:rPr>
      </w:pPr>
      <w:r>
        <w:rPr>
          <w:rFonts w:hint="eastAsia" w:hAnsi="宋体"/>
          <w:color w:val="000000"/>
          <w:sz w:val="24"/>
          <w:szCs w:val="24"/>
          <w:highlight w:val="none"/>
        </w:rPr>
        <w:t xml:space="preserve">□采购过程   </w:t>
      </w:r>
    </w:p>
    <w:p>
      <w:pPr>
        <w:pStyle w:val="29"/>
        <w:spacing w:line="360" w:lineRule="auto"/>
        <w:ind w:left="25" w:leftChars="12" w:firstLine="352" w:firstLineChars="147"/>
        <w:rPr>
          <w:rFonts w:hint="eastAsia" w:hAnsi="宋体"/>
          <w:bCs/>
          <w:color w:val="000000"/>
          <w:sz w:val="24"/>
          <w:szCs w:val="24"/>
          <w:highlight w:val="none"/>
          <w:u w:val="single"/>
        </w:rPr>
      </w:pPr>
      <w:r>
        <w:rPr>
          <w:rFonts w:hint="eastAsia" w:hAnsi="宋体"/>
          <w:color w:val="000000"/>
          <w:sz w:val="24"/>
          <w:szCs w:val="24"/>
          <w:highlight w:val="none"/>
        </w:rPr>
        <w:t xml:space="preserve">□中标结果   </w:t>
      </w:r>
    </w:p>
    <w:p>
      <w:pPr>
        <w:pStyle w:val="29"/>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三、质疑事项具体内容</w:t>
      </w: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质疑事项1：</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事实依据：</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法律依据：</w:t>
      </w:r>
      <w:r>
        <w:rPr>
          <w:rFonts w:hint="eastAsia" w:hAnsi="宋体"/>
          <w:color w:val="000000"/>
          <w:sz w:val="24"/>
          <w:szCs w:val="24"/>
          <w:highlight w:val="none"/>
          <w:u w:val="single"/>
        </w:rPr>
        <w:t xml:space="preserve">                                                        </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质疑事项2</w:t>
      </w:r>
    </w:p>
    <w:p>
      <w:pPr>
        <w:pStyle w:val="29"/>
        <w:spacing w:line="360" w:lineRule="auto"/>
        <w:ind w:left="25" w:leftChars="12" w:firstLine="472" w:firstLineChars="197"/>
        <w:rPr>
          <w:rFonts w:hint="eastAsia" w:hAnsi="宋体"/>
          <w:color w:val="000000"/>
          <w:sz w:val="24"/>
          <w:szCs w:val="24"/>
          <w:highlight w:val="none"/>
        </w:rPr>
      </w:pPr>
      <w:r>
        <w:rPr>
          <w:rFonts w:hAnsi="宋体"/>
          <w:color w:val="000000"/>
          <w:sz w:val="24"/>
          <w:szCs w:val="24"/>
          <w:highlight w:val="none"/>
        </w:rPr>
        <w:t>……</w:t>
      </w: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四、与质疑事项相关的质疑请求：</w:t>
      </w: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请求：</w:t>
      </w:r>
      <w:r>
        <w:rPr>
          <w:rFonts w:hint="eastAsia" w:hAnsi="宋体"/>
          <w:bCs/>
          <w:color w:val="000000"/>
          <w:sz w:val="24"/>
          <w:szCs w:val="24"/>
          <w:highlight w:val="none"/>
          <w:u w:val="single"/>
        </w:rPr>
        <w:t xml:space="preserve">                                                                </w:t>
      </w:r>
    </w:p>
    <w:p>
      <w:pPr>
        <w:pStyle w:val="29"/>
        <w:spacing w:line="360" w:lineRule="auto"/>
        <w:ind w:left="25" w:leftChars="12" w:firstLine="352" w:firstLineChars="147"/>
        <w:rPr>
          <w:rFonts w:hint="eastAsia" w:hAnsi="宋体"/>
          <w:color w:val="000000"/>
          <w:sz w:val="24"/>
          <w:szCs w:val="24"/>
          <w:highlight w:val="none"/>
        </w:rPr>
      </w:pP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签字（签章）：                                       公章：</w:t>
      </w:r>
    </w:p>
    <w:p>
      <w:pPr>
        <w:pStyle w:val="29"/>
        <w:spacing w:line="360" w:lineRule="auto"/>
        <w:ind w:left="25" w:leftChars="12" w:firstLine="352" w:firstLineChars="147"/>
        <w:rPr>
          <w:rFonts w:hint="eastAsia" w:hAnsi="宋体"/>
          <w:color w:val="000000"/>
          <w:sz w:val="24"/>
          <w:szCs w:val="24"/>
          <w:highlight w:val="none"/>
        </w:rPr>
      </w:pP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日期：</w:t>
      </w:r>
    </w:p>
    <w:p>
      <w:pPr>
        <w:pStyle w:val="29"/>
        <w:snapToGrid w:val="0"/>
        <w:spacing w:line="360" w:lineRule="auto"/>
        <w:rPr>
          <w:rFonts w:hint="eastAsia" w:hAnsi="宋体"/>
          <w:b/>
          <w:color w:val="000000"/>
          <w:sz w:val="24"/>
          <w:szCs w:val="24"/>
          <w:highlight w:val="none"/>
        </w:rPr>
      </w:pPr>
    </w:p>
    <w:p>
      <w:pPr>
        <w:pStyle w:val="29"/>
        <w:snapToGrid w:val="0"/>
        <w:spacing w:line="360" w:lineRule="auto"/>
        <w:rPr>
          <w:rFonts w:hint="eastAsia" w:hAnsi="宋体"/>
          <w:b/>
          <w:color w:val="000000"/>
          <w:sz w:val="24"/>
          <w:szCs w:val="24"/>
          <w:highlight w:val="none"/>
        </w:rPr>
      </w:pPr>
      <w:r>
        <w:rPr>
          <w:rFonts w:hint="eastAsia" w:hAnsi="宋体"/>
          <w:b/>
          <w:color w:val="000000"/>
          <w:sz w:val="24"/>
          <w:szCs w:val="24"/>
          <w:highlight w:val="none"/>
        </w:rPr>
        <w:t>说明：</w:t>
      </w:r>
    </w:p>
    <w:p>
      <w:pPr>
        <w:pStyle w:val="29"/>
        <w:spacing w:line="360" w:lineRule="auto"/>
        <w:ind w:left="25" w:leftChars="12" w:firstLine="354" w:firstLineChars="147"/>
        <w:rPr>
          <w:rFonts w:hint="eastAsia" w:hAnsi="宋体"/>
          <w:b/>
          <w:bCs/>
          <w:color w:val="000000"/>
          <w:sz w:val="24"/>
          <w:szCs w:val="24"/>
          <w:highlight w:val="none"/>
        </w:rPr>
      </w:pPr>
      <w:r>
        <w:rPr>
          <w:rFonts w:hint="eastAsia" w:hAnsi="宋体"/>
          <w:b/>
          <w:color w:val="000000"/>
          <w:sz w:val="24"/>
          <w:szCs w:val="24"/>
          <w:highlight w:val="none"/>
        </w:rPr>
        <w:t>1.供应商提出质疑时，应提交质疑函和必要的证明材料</w:t>
      </w:r>
      <w:r>
        <w:rPr>
          <w:rFonts w:hint="eastAsia" w:hAnsi="宋体"/>
          <w:b/>
          <w:bCs/>
          <w:color w:val="000000"/>
          <w:sz w:val="24"/>
          <w:szCs w:val="24"/>
          <w:highlight w:val="none"/>
        </w:rPr>
        <w:t>。</w:t>
      </w:r>
    </w:p>
    <w:p>
      <w:pPr>
        <w:pStyle w:val="29"/>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9"/>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3.质疑函的质疑事项应具体、明确，并有必要的事实依据和法律依据。</w:t>
      </w:r>
    </w:p>
    <w:p>
      <w:pPr>
        <w:pStyle w:val="29"/>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4.质疑函的质疑请求应与质疑事项相关。</w:t>
      </w:r>
    </w:p>
    <w:p>
      <w:pPr>
        <w:pStyle w:val="29"/>
        <w:spacing w:line="360" w:lineRule="auto"/>
        <w:ind w:left="25" w:leftChars="12" w:firstLine="354" w:firstLineChars="147"/>
        <w:rPr>
          <w:rFonts w:hint="eastAsia" w:hAnsi="宋体"/>
          <w:b/>
          <w:color w:val="000000"/>
          <w:highlight w:val="none"/>
        </w:rPr>
      </w:pPr>
      <w:r>
        <w:rPr>
          <w:rFonts w:hint="eastAsia" w:hAnsi="宋体"/>
          <w:b/>
          <w:color w:val="000000"/>
          <w:sz w:val="24"/>
          <w:szCs w:val="24"/>
          <w:highlight w:val="none"/>
        </w:rPr>
        <w:t>5.质疑供应商为法人或者其他组织的，质疑函应由法定代表人、主要负责人，或者其授权代表签字或者盖章，并加盖公章。</w:t>
      </w:r>
    </w:p>
    <w:p>
      <w:pPr>
        <w:pStyle w:val="29"/>
        <w:snapToGrid w:val="0"/>
        <w:rPr>
          <w:b/>
          <w:color w:val="000000"/>
          <w:sz w:val="24"/>
          <w:szCs w:val="24"/>
          <w:highlight w:val="none"/>
        </w:rPr>
      </w:pPr>
    </w:p>
    <w:p>
      <w:pPr>
        <w:spacing w:line="360" w:lineRule="auto"/>
        <w:jc w:val="left"/>
        <w:outlineLvl w:val="2"/>
        <w:rPr>
          <w:rFonts w:hint="eastAsia" w:ascii="宋体" w:hAnsi="宋体"/>
          <w:b/>
          <w:bCs/>
          <w:kern w:val="0"/>
          <w:szCs w:val="21"/>
          <w:highlight w:val="none"/>
          <w:lang w:bidi="ar"/>
        </w:rPr>
      </w:pPr>
      <w:r>
        <w:rPr>
          <w:rFonts w:eastAsia="隶书"/>
          <w:color w:val="000000"/>
          <w:sz w:val="44"/>
          <w:highlight w:val="none"/>
        </w:rPr>
        <w:br w:type="page"/>
      </w:r>
      <w:r>
        <w:rPr>
          <w:rFonts w:hint="eastAsia" w:ascii="宋体" w:hAnsi="宋体"/>
          <w:b/>
          <w:bCs/>
          <w:kern w:val="0"/>
          <w:szCs w:val="21"/>
          <w:highlight w:val="none"/>
          <w:lang w:bidi="ar"/>
        </w:rPr>
        <w:t>二、投诉书（格式）</w:t>
      </w:r>
    </w:p>
    <w:p>
      <w:pPr>
        <w:spacing w:line="360" w:lineRule="auto"/>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投诉书（格式）</w:t>
      </w:r>
    </w:p>
    <w:p>
      <w:pPr>
        <w:pStyle w:val="29"/>
        <w:snapToGrid w:val="0"/>
        <w:spacing w:line="360" w:lineRule="auto"/>
        <w:ind w:firstLine="482" w:firstLineChars="200"/>
        <w:rPr>
          <w:rFonts w:hint="eastAsia" w:hAnsi="宋体"/>
          <w:b/>
          <w:bCs/>
          <w:color w:val="000000"/>
          <w:sz w:val="24"/>
          <w:szCs w:val="24"/>
          <w:highlight w:val="none"/>
        </w:rPr>
      </w:pPr>
      <w:r>
        <w:rPr>
          <w:rFonts w:hint="eastAsia" w:hAnsi="宋体"/>
          <w:b/>
          <w:bCs/>
          <w:color w:val="000000"/>
          <w:sz w:val="24"/>
          <w:szCs w:val="24"/>
          <w:highlight w:val="none"/>
        </w:rPr>
        <w:t>一、投诉相关主体基本情况：</w:t>
      </w:r>
    </w:p>
    <w:p>
      <w:pPr>
        <w:pStyle w:val="29"/>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投标人：</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pPr>
        <w:pStyle w:val="29"/>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pPr>
        <w:pStyle w:val="29"/>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法定代表人/主要负责人：</w:t>
      </w:r>
      <w:r>
        <w:rPr>
          <w:rFonts w:hint="eastAsia" w:hAnsi="宋体"/>
          <w:bCs/>
          <w:color w:val="000000"/>
          <w:sz w:val="24"/>
          <w:szCs w:val="24"/>
          <w:highlight w:val="none"/>
          <w:u w:val="single"/>
        </w:rPr>
        <w:t xml:space="preserve">                                                         </w:t>
      </w:r>
    </w:p>
    <w:p>
      <w:pPr>
        <w:pStyle w:val="29"/>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联系电话</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pPr>
        <w:pStyle w:val="29"/>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授权代表：</w:t>
      </w:r>
      <w:r>
        <w:rPr>
          <w:rFonts w:hint="eastAsia" w:hAnsi="宋体"/>
          <w:bCs/>
          <w:color w:val="000000"/>
          <w:sz w:val="24"/>
          <w:szCs w:val="24"/>
          <w:highlight w:val="none"/>
          <w:u w:val="single"/>
        </w:rPr>
        <w:t xml:space="preserve">                                         </w:t>
      </w: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p>
    <w:p>
      <w:pPr>
        <w:pStyle w:val="29"/>
        <w:snapToGrid w:val="0"/>
        <w:spacing w:line="360" w:lineRule="auto"/>
        <w:ind w:firstLine="480" w:firstLineChars="200"/>
        <w:jc w:val="left"/>
        <w:rPr>
          <w:rFonts w:hint="eastAsia" w:hAnsi="宋体"/>
          <w:bCs/>
          <w:color w:val="000000"/>
          <w:sz w:val="24"/>
          <w:szCs w:val="24"/>
          <w:highlight w:val="none"/>
          <w:u w:val="singl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pPr>
        <w:pStyle w:val="29"/>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pPr>
        <w:pStyle w:val="29"/>
        <w:snapToGrid w:val="0"/>
        <w:spacing w:line="360" w:lineRule="auto"/>
        <w:ind w:firstLine="480" w:firstLineChars="200"/>
        <w:jc w:val="left"/>
        <w:rPr>
          <w:rFonts w:hint="eastAsia" w:hAnsi="宋体"/>
          <w:bCs/>
          <w:color w:val="000000"/>
          <w:sz w:val="24"/>
          <w:szCs w:val="24"/>
          <w:highlight w:val="none"/>
        </w:rPr>
      </w:pPr>
      <w:r>
        <w:rPr>
          <w:rFonts w:hint="eastAsia" w:hAnsi="宋体"/>
          <w:bCs/>
          <w:color w:val="000000"/>
          <w:sz w:val="24"/>
          <w:szCs w:val="24"/>
          <w:highlight w:val="none"/>
        </w:rPr>
        <w:t>被投诉人1：</w:t>
      </w:r>
    </w:p>
    <w:p>
      <w:pPr>
        <w:pStyle w:val="29"/>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地址：</w:t>
      </w:r>
      <w:r>
        <w:rPr>
          <w:rFonts w:hint="eastAsia" w:hAnsi="宋体"/>
          <w:bCs/>
          <w:color w:val="000000"/>
          <w:sz w:val="24"/>
          <w:szCs w:val="24"/>
          <w:highlight w:val="none"/>
          <w:u w:val="single"/>
        </w:rPr>
        <w:t xml:space="preserve">                                                            </w:t>
      </w:r>
    </w:p>
    <w:p>
      <w:pPr>
        <w:pStyle w:val="29"/>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pPr>
        <w:pStyle w:val="29"/>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联系人：</w:t>
      </w:r>
      <w:r>
        <w:rPr>
          <w:rFonts w:hint="eastAsia" w:hAnsi="宋体"/>
          <w:bCs/>
          <w:color w:val="000000"/>
          <w:sz w:val="24"/>
          <w:szCs w:val="24"/>
          <w:highlight w:val="none"/>
          <w:u w:val="single"/>
        </w:rPr>
        <w:t xml:space="preserve">                            </w:t>
      </w: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p>
    <w:p>
      <w:pPr>
        <w:pStyle w:val="29"/>
        <w:snapToGrid w:val="0"/>
        <w:spacing w:line="360" w:lineRule="auto"/>
        <w:ind w:firstLine="480" w:firstLineChars="200"/>
        <w:jc w:val="left"/>
        <w:rPr>
          <w:rFonts w:hint="eastAsia" w:hAnsi="宋体"/>
          <w:bCs/>
          <w:color w:val="000000"/>
          <w:sz w:val="24"/>
          <w:szCs w:val="24"/>
          <w:highlight w:val="none"/>
        </w:rPr>
      </w:pPr>
      <w:r>
        <w:rPr>
          <w:rFonts w:hint="eastAsia" w:hAnsi="宋体"/>
          <w:bCs/>
          <w:color w:val="000000"/>
          <w:sz w:val="24"/>
          <w:szCs w:val="24"/>
          <w:highlight w:val="none"/>
        </w:rPr>
        <w:t>被投诉人2：</w:t>
      </w:r>
    </w:p>
    <w:p>
      <w:pPr>
        <w:pStyle w:val="29"/>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w:t>
      </w:r>
    </w:p>
    <w:p>
      <w:pPr>
        <w:pStyle w:val="29"/>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相关供应商：</w:t>
      </w:r>
      <w:r>
        <w:rPr>
          <w:rFonts w:hint="eastAsia" w:hAnsi="宋体"/>
          <w:bCs/>
          <w:color w:val="000000"/>
          <w:sz w:val="24"/>
          <w:szCs w:val="24"/>
          <w:highlight w:val="none"/>
          <w:u w:val="single"/>
        </w:rPr>
        <w:t xml:space="preserve">                                                                       </w:t>
      </w:r>
    </w:p>
    <w:p>
      <w:pPr>
        <w:pStyle w:val="29"/>
        <w:snapToGrid w:val="0"/>
        <w:spacing w:line="360" w:lineRule="auto"/>
        <w:ind w:firstLine="480" w:firstLineChars="200"/>
        <w:jc w:val="left"/>
        <w:rPr>
          <w:rFonts w:hint="eastAsia" w:hAnsi="宋体"/>
          <w:bCs/>
          <w:color w:val="000000"/>
          <w:sz w:val="24"/>
          <w:szCs w:val="24"/>
          <w:highlight w:val="none"/>
          <w:u w:val="singl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pPr>
        <w:pStyle w:val="29"/>
        <w:snapToGrid w:val="0"/>
        <w:spacing w:line="360" w:lineRule="auto"/>
        <w:ind w:firstLine="480" w:firstLineChars="200"/>
        <w:jc w:val="left"/>
        <w:rPr>
          <w:rFonts w:hint="eastAsia" w:hAnsi="宋体"/>
          <w:bCs/>
          <w:color w:val="000000"/>
          <w:sz w:val="24"/>
          <w:szCs w:val="24"/>
          <w:highlight w:val="none"/>
        </w:rPr>
      </w:pPr>
      <w:r>
        <w:rPr>
          <w:rFonts w:hint="eastAsia" w:hAnsi="宋体"/>
          <w:bCs/>
          <w:color w:val="000000"/>
          <w:sz w:val="24"/>
          <w:szCs w:val="24"/>
          <w:highlight w:val="none"/>
        </w:rPr>
        <w:t>联系人：</w:t>
      </w:r>
      <w:r>
        <w:rPr>
          <w:rFonts w:hint="eastAsia" w:hAnsi="宋体"/>
          <w:bCs/>
          <w:color w:val="000000"/>
          <w:sz w:val="24"/>
          <w:szCs w:val="24"/>
          <w:highlight w:val="none"/>
          <w:u w:val="single"/>
        </w:rPr>
        <w:t xml:space="preserve">                                            </w:t>
      </w: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pPr>
        <w:pStyle w:val="29"/>
        <w:snapToGrid w:val="0"/>
        <w:spacing w:line="360" w:lineRule="auto"/>
        <w:ind w:firstLine="482" w:firstLineChars="200"/>
        <w:rPr>
          <w:rFonts w:hint="eastAsia" w:hAnsi="宋体"/>
          <w:b/>
          <w:bCs/>
          <w:color w:val="000000"/>
          <w:sz w:val="24"/>
          <w:szCs w:val="24"/>
          <w:highlight w:val="none"/>
        </w:rPr>
      </w:pPr>
      <w:r>
        <w:rPr>
          <w:rFonts w:hint="eastAsia" w:hAnsi="宋体"/>
          <w:b/>
          <w:bCs/>
          <w:color w:val="000000"/>
          <w:sz w:val="24"/>
          <w:szCs w:val="24"/>
          <w:highlight w:val="none"/>
        </w:rPr>
        <w:t>二、投诉项目基本情况：</w:t>
      </w:r>
    </w:p>
    <w:p>
      <w:pPr>
        <w:pStyle w:val="29"/>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采购</w:t>
      </w:r>
      <w:r>
        <w:rPr>
          <w:rFonts w:hint="eastAsia" w:hAnsi="宋体"/>
          <w:color w:val="000000"/>
          <w:sz w:val="24"/>
          <w:szCs w:val="24"/>
          <w:highlight w:val="none"/>
        </w:rPr>
        <w:t>项目的名称：</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采购</w:t>
      </w:r>
      <w:r>
        <w:rPr>
          <w:rFonts w:hint="eastAsia" w:hAnsi="宋体"/>
          <w:color w:val="000000"/>
          <w:sz w:val="24"/>
          <w:szCs w:val="24"/>
          <w:highlight w:val="none"/>
        </w:rPr>
        <w:t>项目的编号：</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采购人名称：</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代理机构名称：</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bCs/>
          <w:color w:val="000000"/>
          <w:sz w:val="24"/>
          <w:szCs w:val="24"/>
          <w:highlight w:val="none"/>
          <w:u w:val="single"/>
        </w:rPr>
      </w:pPr>
      <w:r>
        <w:rPr>
          <w:rFonts w:hint="eastAsia" w:hAnsi="宋体"/>
          <w:bCs/>
          <w:color w:val="000000"/>
          <w:sz w:val="24"/>
          <w:szCs w:val="24"/>
          <w:highlight w:val="none"/>
        </w:rPr>
        <w:t>招标文件公告：</w:t>
      </w:r>
      <w:r>
        <w:rPr>
          <w:rFonts w:hint="eastAsia" w:hAnsi="宋体"/>
          <w:bCs/>
          <w:color w:val="000000"/>
          <w:sz w:val="24"/>
          <w:szCs w:val="24"/>
          <w:highlight w:val="none"/>
          <w:u w:val="single"/>
        </w:rPr>
        <w:t>是/否</w:t>
      </w:r>
      <w:r>
        <w:rPr>
          <w:rFonts w:hint="eastAsia" w:hAnsi="宋体"/>
          <w:bCs/>
          <w:color w:val="000000"/>
          <w:sz w:val="24"/>
          <w:szCs w:val="24"/>
          <w:highlight w:val="none"/>
        </w:rPr>
        <w:t>公告期限：</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b/>
          <w:color w:val="000000"/>
          <w:sz w:val="24"/>
          <w:szCs w:val="24"/>
          <w:highlight w:val="none"/>
        </w:rPr>
      </w:pPr>
      <w:r>
        <w:rPr>
          <w:rFonts w:hint="eastAsia" w:hAnsi="宋体"/>
          <w:bCs/>
          <w:color w:val="000000"/>
          <w:sz w:val="24"/>
          <w:szCs w:val="24"/>
          <w:highlight w:val="none"/>
        </w:rPr>
        <w:t>采购结果公告：</w:t>
      </w:r>
      <w:r>
        <w:rPr>
          <w:rFonts w:hint="eastAsia" w:hAnsi="宋体"/>
          <w:bCs/>
          <w:color w:val="000000"/>
          <w:sz w:val="24"/>
          <w:szCs w:val="24"/>
          <w:highlight w:val="none"/>
          <w:u w:val="single"/>
        </w:rPr>
        <w:t>是/否</w:t>
      </w:r>
      <w:r>
        <w:rPr>
          <w:rFonts w:hint="eastAsia" w:hAnsi="宋体"/>
          <w:bCs/>
          <w:color w:val="000000"/>
          <w:sz w:val="24"/>
          <w:szCs w:val="24"/>
          <w:highlight w:val="none"/>
        </w:rPr>
        <w:t>公告期限：</w:t>
      </w:r>
      <w:r>
        <w:rPr>
          <w:rFonts w:hint="eastAsia" w:hAnsi="宋体"/>
          <w:bCs/>
          <w:color w:val="000000"/>
          <w:sz w:val="24"/>
          <w:szCs w:val="24"/>
          <w:highlight w:val="none"/>
          <w:u w:val="single"/>
        </w:rPr>
        <w:t xml:space="preserve">                                                       </w:t>
      </w:r>
    </w:p>
    <w:p>
      <w:pPr>
        <w:pStyle w:val="29"/>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三、质疑基本情况</w:t>
      </w:r>
    </w:p>
    <w:p>
      <w:pPr>
        <w:pStyle w:val="29"/>
        <w:spacing w:line="360" w:lineRule="auto"/>
        <w:ind w:left="25" w:leftChars="12" w:firstLine="480" w:firstLineChars="200"/>
        <w:rPr>
          <w:rFonts w:hint="eastAsia" w:hAnsi="宋体"/>
          <w:color w:val="000000"/>
          <w:sz w:val="24"/>
          <w:szCs w:val="24"/>
          <w:highlight w:val="none"/>
        </w:rPr>
      </w:pPr>
      <w:r>
        <w:rPr>
          <w:rFonts w:hint="eastAsia" w:hAnsi="宋体"/>
          <w:color w:val="000000"/>
          <w:sz w:val="24"/>
          <w:szCs w:val="24"/>
          <w:highlight w:val="none"/>
        </w:rPr>
        <w:t>投诉人于</w:t>
      </w:r>
      <w:r>
        <w:rPr>
          <w:rFonts w:hint="eastAsia" w:hAnsi="宋体"/>
          <w:color w:val="000000"/>
          <w:sz w:val="24"/>
          <w:szCs w:val="24"/>
          <w:highlight w:val="none"/>
          <w:u w:val="single"/>
        </w:rPr>
        <w:t xml:space="preserve">      </w:t>
      </w:r>
      <w:r>
        <w:rPr>
          <w:rFonts w:hint="eastAsia" w:hAnsi="宋体"/>
          <w:color w:val="000000"/>
          <w:sz w:val="24"/>
          <w:szCs w:val="24"/>
          <w:highlight w:val="none"/>
        </w:rPr>
        <w:t>年</w:t>
      </w:r>
      <w:r>
        <w:rPr>
          <w:rFonts w:hint="eastAsia" w:hAnsi="宋体"/>
          <w:color w:val="000000"/>
          <w:sz w:val="24"/>
          <w:szCs w:val="24"/>
          <w:highlight w:val="none"/>
          <w:u w:val="single"/>
        </w:rPr>
        <w:t xml:space="preserve">   </w:t>
      </w:r>
      <w:r>
        <w:rPr>
          <w:rFonts w:hint="eastAsia" w:hAnsi="宋体"/>
          <w:color w:val="000000"/>
          <w:sz w:val="24"/>
          <w:szCs w:val="24"/>
          <w:highlight w:val="none"/>
        </w:rPr>
        <w:t>月</w:t>
      </w:r>
      <w:r>
        <w:rPr>
          <w:rFonts w:hint="eastAsia" w:hAnsi="宋体"/>
          <w:color w:val="000000"/>
          <w:sz w:val="24"/>
          <w:szCs w:val="24"/>
          <w:highlight w:val="none"/>
          <w:u w:val="single"/>
        </w:rPr>
        <w:t xml:space="preserve">   </w:t>
      </w:r>
      <w:r>
        <w:rPr>
          <w:rFonts w:hint="eastAsia" w:hAnsi="宋体"/>
          <w:color w:val="000000"/>
          <w:sz w:val="24"/>
          <w:szCs w:val="24"/>
          <w:highlight w:val="none"/>
        </w:rPr>
        <w:t>日，向</w:t>
      </w:r>
      <w:r>
        <w:rPr>
          <w:rFonts w:hint="eastAsia" w:hAnsi="宋体"/>
          <w:color w:val="000000"/>
          <w:sz w:val="24"/>
          <w:szCs w:val="24"/>
          <w:highlight w:val="none"/>
          <w:u w:val="single"/>
        </w:rPr>
        <w:t xml:space="preserve">                                </w:t>
      </w:r>
      <w:r>
        <w:rPr>
          <w:rFonts w:hint="eastAsia" w:hAnsi="宋体"/>
          <w:color w:val="000000"/>
          <w:sz w:val="24"/>
          <w:szCs w:val="24"/>
          <w:highlight w:val="none"/>
        </w:rPr>
        <w:t>提出质疑，质疑事项为：</w:t>
      </w:r>
    </w:p>
    <w:p>
      <w:pPr>
        <w:pStyle w:val="29"/>
        <w:spacing w:line="360" w:lineRule="auto"/>
        <w:ind w:firstLine="241"/>
        <w:rPr>
          <w:rFonts w:hint="eastAsia" w:hAnsi="宋体"/>
          <w:bCs/>
          <w:color w:val="000000"/>
          <w:sz w:val="24"/>
          <w:szCs w:val="24"/>
          <w:highlight w:val="none"/>
          <w:u w:val="single"/>
        </w:rPr>
      </w:pPr>
      <w:r>
        <w:rPr>
          <w:rFonts w:hint="eastAsia" w:hAnsi="宋体"/>
          <w:color w:val="000000"/>
          <w:sz w:val="24"/>
          <w:szCs w:val="24"/>
          <w:highlight w:val="none"/>
        </w:rPr>
        <w:t xml:space="preserve">    </w:t>
      </w:r>
      <w:r>
        <w:rPr>
          <w:rFonts w:hint="eastAsia" w:hAnsi="宋体"/>
          <w:bCs/>
          <w:color w:val="000000"/>
          <w:sz w:val="24"/>
          <w:szCs w:val="24"/>
          <w:highlight w:val="none"/>
          <w:u w:val="single"/>
        </w:rPr>
        <w:t xml:space="preserve">                                                                                      </w:t>
      </w:r>
    </w:p>
    <w:p>
      <w:pPr>
        <w:pStyle w:val="29"/>
        <w:spacing w:line="360" w:lineRule="auto"/>
        <w:ind w:firstLine="241"/>
        <w:rPr>
          <w:rFonts w:hint="eastAsia" w:hAnsi="宋体"/>
          <w:bCs/>
          <w:color w:val="000000"/>
          <w:sz w:val="24"/>
          <w:szCs w:val="24"/>
          <w:highlight w:val="none"/>
          <w:u w:val="single"/>
        </w:rPr>
      </w:pPr>
      <w:r>
        <w:rPr>
          <w:rFonts w:hint="eastAsia" w:hAnsi="宋体"/>
          <w:bCs/>
          <w:color w:val="000000"/>
          <w:sz w:val="24"/>
          <w:szCs w:val="24"/>
          <w:highlight w:val="none"/>
        </w:rPr>
        <w:t xml:space="preserve">    </w:t>
      </w:r>
      <w:r>
        <w:rPr>
          <w:rFonts w:hint="eastAsia" w:hAnsi="宋体"/>
          <w:bCs/>
          <w:color w:val="000000"/>
          <w:sz w:val="24"/>
          <w:szCs w:val="24"/>
          <w:highlight w:val="none"/>
          <w:u w:val="single"/>
        </w:rPr>
        <w:t xml:space="preserve">                                                                                      </w:t>
      </w:r>
    </w:p>
    <w:p>
      <w:pPr>
        <w:pStyle w:val="29"/>
        <w:spacing w:line="360" w:lineRule="auto"/>
        <w:ind w:firstLine="480" w:firstLineChars="200"/>
        <w:rPr>
          <w:rFonts w:hint="eastAsia" w:hAnsi="宋体"/>
          <w:color w:val="000000"/>
          <w:sz w:val="24"/>
          <w:szCs w:val="24"/>
          <w:highlight w:val="none"/>
        </w:rPr>
      </w:pPr>
      <w:r>
        <w:rPr>
          <w:rFonts w:hint="eastAsia" w:hAnsi="宋体"/>
          <w:bCs/>
          <w:color w:val="000000"/>
          <w:sz w:val="24"/>
          <w:szCs w:val="24"/>
          <w:highlight w:val="none"/>
          <w:u w:val="single"/>
        </w:rPr>
        <w:t>采购人/代理机构</w:t>
      </w:r>
      <w:r>
        <w:rPr>
          <w:rFonts w:hint="eastAsia" w:hAnsi="宋体"/>
          <w:bCs/>
          <w:color w:val="000000"/>
          <w:sz w:val="24"/>
          <w:szCs w:val="24"/>
          <w:highlight w:val="none"/>
        </w:rPr>
        <w:t>于</w:t>
      </w:r>
      <w:r>
        <w:rPr>
          <w:rFonts w:hint="eastAsia" w:hAnsi="宋体"/>
          <w:color w:val="000000"/>
          <w:sz w:val="24"/>
          <w:szCs w:val="24"/>
          <w:highlight w:val="none"/>
          <w:u w:val="single"/>
        </w:rPr>
        <w:t xml:space="preserve">      </w:t>
      </w:r>
      <w:r>
        <w:rPr>
          <w:rFonts w:hint="eastAsia" w:hAnsi="宋体"/>
          <w:color w:val="000000"/>
          <w:sz w:val="24"/>
          <w:szCs w:val="24"/>
          <w:highlight w:val="none"/>
        </w:rPr>
        <w:t>年</w:t>
      </w:r>
      <w:r>
        <w:rPr>
          <w:rFonts w:hint="eastAsia" w:hAnsi="宋体"/>
          <w:color w:val="000000"/>
          <w:sz w:val="24"/>
          <w:szCs w:val="24"/>
          <w:highlight w:val="none"/>
          <w:u w:val="single"/>
        </w:rPr>
        <w:t xml:space="preserve">   </w:t>
      </w:r>
      <w:r>
        <w:rPr>
          <w:rFonts w:hint="eastAsia" w:hAnsi="宋体"/>
          <w:color w:val="000000"/>
          <w:sz w:val="24"/>
          <w:szCs w:val="24"/>
          <w:highlight w:val="none"/>
        </w:rPr>
        <w:t>月</w:t>
      </w:r>
      <w:r>
        <w:rPr>
          <w:rFonts w:hint="eastAsia" w:hAnsi="宋体"/>
          <w:color w:val="000000"/>
          <w:sz w:val="24"/>
          <w:szCs w:val="24"/>
          <w:highlight w:val="none"/>
          <w:u w:val="single"/>
        </w:rPr>
        <w:t xml:space="preserve">   </w:t>
      </w:r>
      <w:r>
        <w:rPr>
          <w:rFonts w:hint="eastAsia" w:hAnsi="宋体"/>
          <w:color w:val="000000"/>
          <w:sz w:val="24"/>
          <w:szCs w:val="24"/>
          <w:highlight w:val="none"/>
        </w:rPr>
        <w:t>日，</w:t>
      </w:r>
      <w:r>
        <w:rPr>
          <w:rFonts w:hint="eastAsia" w:hAnsi="宋体"/>
          <w:bCs/>
          <w:color w:val="000000"/>
          <w:sz w:val="24"/>
          <w:szCs w:val="24"/>
          <w:highlight w:val="none"/>
        </w:rPr>
        <w:t xml:space="preserve">就质疑事项作出了答复/没有在法定期限内作出答复。                                                                                             </w:t>
      </w:r>
    </w:p>
    <w:p>
      <w:pPr>
        <w:pStyle w:val="29"/>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四、投诉事项具体内容</w:t>
      </w:r>
    </w:p>
    <w:p>
      <w:pPr>
        <w:pStyle w:val="29"/>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投诉事项1：</w:t>
      </w:r>
      <w:r>
        <w:rPr>
          <w:rFonts w:hint="eastAsia" w:hAnsi="宋体"/>
          <w:bCs/>
          <w:color w:val="000000"/>
          <w:sz w:val="24"/>
          <w:szCs w:val="24"/>
          <w:highlight w:val="none"/>
          <w:u w:val="single"/>
        </w:rPr>
        <w:t xml:space="preserve">                                                                           </w:t>
      </w:r>
    </w:p>
    <w:p>
      <w:pPr>
        <w:pStyle w:val="29"/>
        <w:spacing w:line="360" w:lineRule="auto"/>
        <w:ind w:firstLine="480" w:firstLineChars="200"/>
        <w:rPr>
          <w:rFonts w:hint="eastAsia" w:hAnsi="宋体"/>
          <w:bCs/>
          <w:color w:val="000000"/>
          <w:sz w:val="24"/>
          <w:szCs w:val="24"/>
          <w:highlight w:val="none"/>
          <w:u w:val="single"/>
        </w:rPr>
      </w:pPr>
      <w:r>
        <w:rPr>
          <w:rFonts w:hint="eastAsia" w:hAnsi="宋体"/>
          <w:bCs/>
          <w:color w:val="000000"/>
          <w:sz w:val="24"/>
          <w:szCs w:val="24"/>
          <w:highlight w:val="none"/>
        </w:rPr>
        <w:t>事实依据：</w:t>
      </w:r>
      <w:r>
        <w:rPr>
          <w:rFonts w:hint="eastAsia" w:hAnsi="宋体"/>
          <w:color w:val="000000"/>
          <w:sz w:val="24"/>
          <w:szCs w:val="24"/>
          <w:highlight w:val="none"/>
        </w:rPr>
        <w:t xml:space="preserve"> </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u w:val="single"/>
        </w:rPr>
        <w:t xml:space="preserve">                                                                                        </w:t>
      </w:r>
    </w:p>
    <w:p>
      <w:pPr>
        <w:pStyle w:val="29"/>
        <w:spacing w:line="360" w:lineRule="auto"/>
        <w:ind w:firstLine="480" w:firstLineChars="200"/>
        <w:rPr>
          <w:rFonts w:hint="eastAsia" w:hAnsi="宋体"/>
          <w:bCs/>
          <w:color w:val="000000"/>
          <w:sz w:val="24"/>
          <w:szCs w:val="24"/>
          <w:highlight w:val="none"/>
          <w:u w:val="single"/>
        </w:rPr>
      </w:pPr>
      <w:r>
        <w:rPr>
          <w:rFonts w:hint="eastAsia" w:hAnsi="宋体"/>
          <w:bCs/>
          <w:color w:val="000000"/>
          <w:sz w:val="24"/>
          <w:szCs w:val="24"/>
          <w:highlight w:val="none"/>
        </w:rPr>
        <w:t>法律依据：</w:t>
      </w:r>
      <w:r>
        <w:rPr>
          <w:rFonts w:hint="eastAsia" w:hAnsi="宋体"/>
          <w:color w:val="000000"/>
          <w:sz w:val="24"/>
          <w:szCs w:val="24"/>
          <w:highlight w:val="none"/>
        </w:rPr>
        <w:t xml:space="preserve"> </w:t>
      </w:r>
      <w:r>
        <w:rPr>
          <w:rFonts w:hint="eastAsia" w:hAnsi="宋体"/>
          <w:bCs/>
          <w:color w:val="000000"/>
          <w:sz w:val="24"/>
          <w:szCs w:val="24"/>
          <w:highlight w:val="none"/>
          <w:u w:val="single"/>
        </w:rPr>
        <w:t xml:space="preserve">                                                                                      </w:t>
      </w:r>
    </w:p>
    <w:p>
      <w:pPr>
        <w:pStyle w:val="29"/>
        <w:spacing w:line="360" w:lineRule="auto"/>
        <w:ind w:left="25" w:leftChars="12" w:firstLine="352" w:firstLineChars="147"/>
        <w:rPr>
          <w:rFonts w:hint="eastAsia" w:hAnsi="宋体"/>
          <w:bCs/>
          <w:color w:val="000000"/>
          <w:sz w:val="24"/>
          <w:szCs w:val="24"/>
          <w:highlight w:val="none"/>
          <w:u w:val="single"/>
        </w:rPr>
      </w:pPr>
      <w:r>
        <w:rPr>
          <w:rFonts w:hint="eastAsia" w:hAnsi="宋体"/>
          <w:bCs/>
          <w:color w:val="000000"/>
          <w:sz w:val="24"/>
          <w:szCs w:val="24"/>
          <w:highlight w:val="none"/>
        </w:rPr>
        <w:t xml:space="preserve"> </w:t>
      </w:r>
      <w:r>
        <w:rPr>
          <w:rFonts w:hint="eastAsia" w:hAnsi="宋体"/>
          <w:bCs/>
          <w:color w:val="000000"/>
          <w:sz w:val="24"/>
          <w:szCs w:val="24"/>
          <w:highlight w:val="none"/>
          <w:u w:val="single"/>
        </w:rPr>
        <w:t xml:space="preserve">                                                                                        </w:t>
      </w:r>
    </w:p>
    <w:p>
      <w:pPr>
        <w:pStyle w:val="29"/>
        <w:spacing w:line="360" w:lineRule="auto"/>
        <w:ind w:left="25" w:leftChars="12" w:firstLine="472" w:firstLineChars="197"/>
        <w:rPr>
          <w:rFonts w:hint="eastAsia" w:hAnsi="宋体"/>
          <w:bCs/>
          <w:color w:val="000000"/>
          <w:sz w:val="24"/>
          <w:szCs w:val="24"/>
          <w:highlight w:val="none"/>
        </w:rPr>
      </w:pPr>
      <w:r>
        <w:rPr>
          <w:rFonts w:hint="eastAsia" w:hAnsi="宋体"/>
          <w:color w:val="000000"/>
          <w:sz w:val="24"/>
          <w:szCs w:val="24"/>
          <w:highlight w:val="none"/>
        </w:rPr>
        <w:t xml:space="preserve">投诉事项2  </w:t>
      </w:r>
      <w:r>
        <w:rPr>
          <w:rFonts w:hint="eastAsia" w:hAnsi="宋体"/>
          <w:bCs/>
          <w:color w:val="000000"/>
          <w:sz w:val="24"/>
          <w:szCs w:val="24"/>
          <w:highlight w:val="none"/>
        </w:rPr>
        <w:t xml:space="preserve">   </w:t>
      </w:r>
    </w:p>
    <w:p>
      <w:pPr>
        <w:pStyle w:val="29"/>
        <w:spacing w:line="360" w:lineRule="auto"/>
        <w:ind w:left="25" w:leftChars="12" w:firstLine="472" w:firstLineChars="197"/>
        <w:rPr>
          <w:rFonts w:hint="eastAsia" w:hAnsi="宋体"/>
          <w:bCs/>
          <w:color w:val="000000"/>
          <w:sz w:val="24"/>
          <w:szCs w:val="24"/>
          <w:highlight w:val="none"/>
        </w:rPr>
      </w:pPr>
      <w:r>
        <w:rPr>
          <w:rFonts w:hAnsi="宋体"/>
          <w:bCs/>
          <w:color w:val="000000"/>
          <w:sz w:val="24"/>
          <w:szCs w:val="24"/>
          <w:highlight w:val="none"/>
        </w:rPr>
        <w:t>……</w:t>
      </w:r>
    </w:p>
    <w:p>
      <w:pPr>
        <w:pStyle w:val="29"/>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五、与投诉事项相关的投诉请求：</w:t>
      </w: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请求：</w:t>
      </w:r>
      <w:r>
        <w:rPr>
          <w:rFonts w:hint="eastAsia" w:hAnsi="宋体"/>
          <w:bCs/>
          <w:color w:val="000000"/>
          <w:sz w:val="24"/>
          <w:szCs w:val="24"/>
          <w:highlight w:val="none"/>
          <w:u w:val="single"/>
        </w:rPr>
        <w:t xml:space="preserve">                                                                                 </w:t>
      </w:r>
    </w:p>
    <w:p>
      <w:pPr>
        <w:pStyle w:val="29"/>
        <w:spacing w:line="360" w:lineRule="auto"/>
        <w:ind w:left="25" w:leftChars="12" w:firstLine="352" w:firstLineChars="147"/>
        <w:rPr>
          <w:rFonts w:hint="eastAsia" w:hAnsi="宋体"/>
          <w:color w:val="000000"/>
          <w:sz w:val="24"/>
          <w:szCs w:val="24"/>
          <w:highlight w:val="none"/>
        </w:rPr>
      </w:pP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签字（签章）：                                       公章：</w:t>
      </w:r>
    </w:p>
    <w:p>
      <w:pPr>
        <w:pStyle w:val="29"/>
        <w:spacing w:line="360" w:lineRule="auto"/>
        <w:ind w:left="25" w:leftChars="12" w:firstLine="352" w:firstLineChars="147"/>
        <w:rPr>
          <w:rFonts w:hint="eastAsia" w:hAnsi="宋体"/>
          <w:color w:val="000000"/>
          <w:sz w:val="24"/>
          <w:szCs w:val="24"/>
          <w:highlight w:val="none"/>
        </w:rPr>
      </w:pPr>
    </w:p>
    <w:p>
      <w:pPr>
        <w:pStyle w:val="29"/>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日期：</w:t>
      </w:r>
    </w:p>
    <w:p>
      <w:pPr>
        <w:pStyle w:val="29"/>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 xml:space="preserve">                                                                              </w:t>
      </w:r>
    </w:p>
    <w:p>
      <w:pPr>
        <w:pStyle w:val="29"/>
        <w:snapToGrid w:val="0"/>
        <w:spacing w:line="360" w:lineRule="auto"/>
        <w:rPr>
          <w:rFonts w:hint="eastAsia" w:hAnsi="宋体"/>
          <w:b/>
          <w:color w:val="000000"/>
          <w:sz w:val="24"/>
          <w:szCs w:val="24"/>
          <w:highlight w:val="none"/>
        </w:rPr>
      </w:pPr>
      <w:r>
        <w:rPr>
          <w:rFonts w:hint="eastAsia" w:hAnsi="宋体"/>
          <w:b/>
          <w:color w:val="000000"/>
          <w:sz w:val="24"/>
          <w:szCs w:val="24"/>
          <w:highlight w:val="none"/>
        </w:rPr>
        <w:t>说明：</w:t>
      </w:r>
    </w:p>
    <w:p>
      <w:pPr>
        <w:pStyle w:val="29"/>
        <w:spacing w:line="360" w:lineRule="auto"/>
        <w:ind w:left="25" w:leftChars="12" w:firstLine="354" w:firstLineChars="147"/>
        <w:rPr>
          <w:rFonts w:hint="eastAsia" w:hAnsi="宋体"/>
          <w:b/>
          <w:bCs/>
          <w:color w:val="000000"/>
          <w:sz w:val="24"/>
          <w:szCs w:val="24"/>
          <w:highlight w:val="none"/>
        </w:rPr>
      </w:pPr>
      <w:r>
        <w:rPr>
          <w:rFonts w:hint="eastAsia" w:hAnsi="宋体"/>
          <w:b/>
          <w:color w:val="000000"/>
          <w:sz w:val="24"/>
          <w:szCs w:val="24"/>
          <w:highlight w:val="none"/>
        </w:rPr>
        <w:t>1.投诉人提起投诉时，应当提交投诉书和必要的证明材料，并按照被投诉人和与投诉事项有关的供应商数量提供投诉书副本</w:t>
      </w:r>
      <w:r>
        <w:rPr>
          <w:rFonts w:hint="eastAsia" w:hAnsi="宋体"/>
          <w:b/>
          <w:bCs/>
          <w:color w:val="000000"/>
          <w:sz w:val="24"/>
          <w:szCs w:val="24"/>
          <w:highlight w:val="none"/>
        </w:rPr>
        <w:t>。</w:t>
      </w:r>
    </w:p>
    <w:p>
      <w:pPr>
        <w:pStyle w:val="29"/>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9"/>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3.投诉书应简要列明质疑事项，质疑函、质疑答复等作为附件材料提供。</w:t>
      </w:r>
    </w:p>
    <w:p>
      <w:pPr>
        <w:pStyle w:val="29"/>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4.投诉书的投诉事项应具体、明确，并有必要的事实依据和法律依据。</w:t>
      </w:r>
    </w:p>
    <w:p>
      <w:pPr>
        <w:pStyle w:val="29"/>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5.投诉书的投诉请求应与投诉事项相关。</w:t>
      </w:r>
    </w:p>
    <w:p>
      <w:pPr>
        <w:pStyle w:val="29"/>
        <w:spacing w:line="360" w:lineRule="auto"/>
        <w:ind w:left="25" w:leftChars="12" w:firstLine="354" w:firstLineChars="147"/>
        <w:rPr>
          <w:rFonts w:hint="eastAsia" w:hAnsi="宋体"/>
          <w:b/>
          <w:color w:val="000000"/>
          <w:highlight w:val="none"/>
        </w:rPr>
      </w:pPr>
      <w:r>
        <w:rPr>
          <w:rFonts w:hint="eastAsia" w:hAnsi="宋体"/>
          <w:b/>
          <w:color w:val="000000"/>
          <w:sz w:val="24"/>
          <w:szCs w:val="24"/>
          <w:highlight w:val="none"/>
        </w:rPr>
        <w:t>6.投诉人为法人或者其他组织的，投诉书应由法定代表人、主要负责人，或者其授权代表签字或者盖章，并加盖公章。</w:t>
      </w:r>
    </w:p>
    <w:p>
      <w:pPr>
        <w:pStyle w:val="34"/>
        <w:rPr>
          <w:highlight w:val="none"/>
        </w:rPr>
        <w:sectPr>
          <w:pgSz w:w="11906" w:h="16838"/>
          <w:pgMar w:top="1440" w:right="1800" w:bottom="1440" w:left="1800" w:header="851" w:footer="992" w:gutter="0"/>
          <w:cols w:space="720" w:num="1"/>
          <w:titlePg/>
          <w:docGrid w:linePitch="312" w:charSpace="0"/>
        </w:sectPr>
      </w:pPr>
    </w:p>
    <w:p>
      <w:pPr>
        <w:rPr>
          <w:szCs w:val="21"/>
          <w:highlight w:val="none"/>
        </w:rPr>
      </w:pPr>
      <w:bookmarkStart w:id="191" w:name="OLE_LINK32"/>
    </w:p>
    <w:p>
      <w:pPr>
        <w:pStyle w:val="29"/>
        <w:snapToGrid w:val="0"/>
        <w:spacing w:before="60" w:beforeLines="25" w:after="60" w:afterLines="25" w:line="360" w:lineRule="auto"/>
        <w:jc w:val="center"/>
        <w:outlineLvl w:val="0"/>
        <w:rPr>
          <w:rFonts w:ascii="Times New Roman" w:hAnsi="Times New Roman" w:cs="Times New Roman"/>
          <w:b/>
          <w:sz w:val="36"/>
          <w:szCs w:val="36"/>
          <w:highlight w:val="none"/>
        </w:rPr>
      </w:pPr>
      <w:bookmarkStart w:id="192" w:name="_Toc3819"/>
      <w:bookmarkStart w:id="193" w:name="OLE_LINK38"/>
      <w:bookmarkStart w:id="194" w:name="_Toc254970549"/>
      <w:bookmarkStart w:id="195" w:name="_Toc254970690"/>
      <w:r>
        <w:rPr>
          <w:rFonts w:hint="eastAsia" w:ascii="Times New Roman" w:hAnsi="Times New Roman" w:cs="Times New Roman"/>
          <w:b/>
          <w:sz w:val="36"/>
          <w:szCs w:val="36"/>
          <w:highlight w:val="none"/>
        </w:rPr>
        <w:t>第四章  评标方法及评标标准</w:t>
      </w:r>
      <w:bookmarkEnd w:id="192"/>
    </w:p>
    <w:bookmarkEnd w:id="191"/>
    <w:bookmarkEnd w:id="193"/>
    <w:p>
      <w:pPr>
        <w:spacing w:line="360" w:lineRule="auto"/>
        <w:ind w:firstLine="422" w:firstLineChars="200"/>
        <w:outlineLvl w:val="1"/>
        <w:rPr>
          <w:b/>
          <w:bCs/>
          <w:kern w:val="0"/>
          <w:szCs w:val="21"/>
          <w:highlight w:val="none"/>
        </w:rPr>
      </w:pPr>
      <w:r>
        <w:rPr>
          <w:b/>
          <w:bCs/>
          <w:kern w:val="0"/>
          <w:szCs w:val="21"/>
          <w:highlight w:val="none"/>
        </w:rPr>
        <w:t>一、评标方法</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1.评标方法</w:t>
      </w:r>
    </w:p>
    <w:p>
      <w:pPr>
        <w:suppressAutoHyphens/>
        <w:spacing w:line="360" w:lineRule="auto"/>
        <w:ind w:firstLine="420" w:firstLineChars="200"/>
        <w:rPr>
          <w:highlight w:val="none"/>
        </w:rPr>
      </w:pPr>
      <w:r>
        <w:rPr>
          <w:highlight w:val="none"/>
        </w:rPr>
        <w:t>本项目采用综合评分法进行评标。综合评分法指投标文件满足招标文件全部实质性要求且按照评标因素的量化指标评标得分最高的供应商为中标候选人的评标方法。</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2.评标依据</w:t>
      </w:r>
    </w:p>
    <w:p>
      <w:pPr>
        <w:suppressAutoHyphens/>
        <w:spacing w:line="360" w:lineRule="auto"/>
        <w:ind w:firstLine="420" w:firstLineChars="200"/>
        <w:rPr>
          <w:highlight w:val="none"/>
        </w:rPr>
      </w:pPr>
      <w:r>
        <w:rPr>
          <w:rFonts w:hint="eastAsia"/>
          <w:highlight w:val="none"/>
        </w:rPr>
        <w:t>评标委员会</w:t>
      </w:r>
      <w:r>
        <w:rPr>
          <w:highlight w:val="none"/>
        </w:rPr>
        <w:t>以</w:t>
      </w:r>
      <w:r>
        <w:rPr>
          <w:rFonts w:hint="eastAsia"/>
          <w:highlight w:val="none"/>
        </w:rPr>
        <w:t>招标</w:t>
      </w:r>
      <w:r>
        <w:rPr>
          <w:highlight w:val="none"/>
        </w:rPr>
        <w:t>文件、补充文件、</w:t>
      </w:r>
      <w:r>
        <w:rPr>
          <w:rFonts w:hint="eastAsia"/>
          <w:highlight w:val="none"/>
        </w:rPr>
        <w:t>投标</w:t>
      </w:r>
      <w:r>
        <w:rPr>
          <w:highlight w:val="none"/>
        </w:rPr>
        <w:t>文件、澄清及答复为评</w:t>
      </w:r>
      <w:r>
        <w:rPr>
          <w:rFonts w:hint="eastAsia"/>
          <w:highlight w:val="none"/>
        </w:rPr>
        <w:t>标</w:t>
      </w:r>
      <w:r>
        <w:rPr>
          <w:highlight w:val="none"/>
        </w:rPr>
        <w:t>依据。</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3.评标委员会</w:t>
      </w:r>
      <w:bookmarkStart w:id="196" w:name="_Hlk19051932"/>
    </w:p>
    <w:p>
      <w:pPr>
        <w:suppressAutoHyphens/>
        <w:spacing w:line="360" w:lineRule="auto"/>
        <w:ind w:firstLine="420" w:firstLineChars="200"/>
        <w:rPr>
          <w:highlight w:val="none"/>
        </w:rPr>
      </w:pPr>
      <w:r>
        <w:rPr>
          <w:rFonts w:hint="eastAsia"/>
          <w:highlight w:val="none"/>
        </w:rPr>
        <w:t>本项目评标委员会由政府采购评审专家和采购人代表组成，成员人数应当为5人以上单数，其中评审专家不得少于成员总数的三分之二。</w:t>
      </w:r>
      <w:bookmarkEnd w:id="196"/>
      <w:bookmarkStart w:id="197" w:name="_Hlk19051968"/>
      <w:r>
        <w:rPr>
          <w:rFonts w:hint="eastAsia"/>
          <w:highlight w:val="none"/>
        </w:rPr>
        <w:t>评标委员会必须公平、公正、客观，不带任何倾向性和启发性；不得向外界透露任何与评审有关的内容；任何单位和个人不得干扰、影响评审的正常进行；评标委员会及有关工作人员不得私下与供应商接触。评审专家发现本人与参加采购活动的供应商有利害关系的，应当主动提出回避。</w:t>
      </w:r>
      <w:bookmarkEnd w:id="197"/>
    </w:p>
    <w:p>
      <w:pPr>
        <w:spacing w:line="360" w:lineRule="auto"/>
        <w:ind w:firstLine="422" w:firstLineChars="200"/>
        <w:outlineLvl w:val="1"/>
        <w:rPr>
          <w:b/>
          <w:bCs/>
          <w:kern w:val="0"/>
          <w:szCs w:val="21"/>
          <w:highlight w:val="none"/>
        </w:rPr>
      </w:pPr>
      <w:r>
        <w:rPr>
          <w:rFonts w:hint="eastAsia"/>
          <w:b/>
          <w:bCs/>
          <w:kern w:val="0"/>
          <w:szCs w:val="21"/>
          <w:highlight w:val="none"/>
        </w:rPr>
        <w:t>二、</w:t>
      </w:r>
      <w:r>
        <w:rPr>
          <w:b/>
          <w:bCs/>
          <w:kern w:val="0"/>
          <w:szCs w:val="21"/>
          <w:highlight w:val="none"/>
        </w:rPr>
        <w:t>评标程序</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1</w:t>
      </w:r>
      <w:bookmarkStart w:id="198" w:name="_Hlk19175507"/>
      <w:r>
        <w:rPr>
          <w:rFonts w:hint="eastAsia"/>
          <w:b/>
          <w:bCs/>
          <w:kern w:val="0"/>
          <w:szCs w:val="21"/>
          <w:highlight w:val="none"/>
        </w:rPr>
        <w:t>.初步评审：初步评审包括资格检查及符合性检查。</w:t>
      </w:r>
      <w:bookmarkEnd w:id="198"/>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2.澄清（如需要）。</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3.详细评审。</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4.推荐中标候选人。</w:t>
      </w:r>
    </w:p>
    <w:p>
      <w:pPr>
        <w:spacing w:line="360" w:lineRule="auto"/>
        <w:ind w:firstLine="422" w:firstLineChars="200"/>
        <w:outlineLvl w:val="1"/>
        <w:rPr>
          <w:b/>
          <w:bCs/>
          <w:kern w:val="0"/>
          <w:szCs w:val="21"/>
          <w:highlight w:val="none"/>
        </w:rPr>
      </w:pPr>
      <w:r>
        <w:rPr>
          <w:rFonts w:hint="eastAsia"/>
          <w:b/>
          <w:bCs/>
          <w:kern w:val="0"/>
          <w:szCs w:val="21"/>
          <w:highlight w:val="none"/>
        </w:rPr>
        <w:t>三、评标内容</w:t>
      </w:r>
    </w:p>
    <w:p>
      <w:pPr>
        <w:adjustRightInd w:val="0"/>
        <w:spacing w:before="60" w:beforeLines="25" w:after="60" w:afterLines="25" w:line="360" w:lineRule="auto"/>
        <w:ind w:firstLine="422" w:firstLineChars="200"/>
        <w:outlineLvl w:val="2"/>
        <w:rPr>
          <w:b/>
          <w:bCs/>
          <w:kern w:val="0"/>
          <w:szCs w:val="21"/>
          <w:highlight w:val="none"/>
        </w:rPr>
      </w:pPr>
      <w:bookmarkStart w:id="199" w:name="_Hlk19052412"/>
      <w:r>
        <w:rPr>
          <w:rFonts w:hint="eastAsia"/>
          <w:b/>
          <w:bCs/>
          <w:kern w:val="0"/>
          <w:szCs w:val="21"/>
          <w:highlight w:val="none"/>
        </w:rPr>
        <w:t>1.资格审查（适用所有分标）</w:t>
      </w:r>
    </w:p>
    <w:p>
      <w:pPr>
        <w:suppressAutoHyphens/>
        <w:spacing w:line="360" w:lineRule="auto"/>
        <w:ind w:firstLine="420" w:firstLineChars="200"/>
        <w:rPr>
          <w:szCs w:val="21"/>
          <w:highlight w:val="none"/>
        </w:rPr>
      </w:pPr>
      <w:r>
        <w:rPr>
          <w:highlight w:val="none"/>
        </w:rPr>
        <w:t>采购人</w:t>
      </w:r>
      <w:r>
        <w:rPr>
          <w:rFonts w:hint="eastAsia"/>
          <w:highlight w:val="none"/>
        </w:rPr>
        <w:t>代表或采购代理机构</w:t>
      </w:r>
      <w:r>
        <w:rPr>
          <w:highlight w:val="none"/>
        </w:rPr>
        <w:t>对所有供应商的投标文件进行资格审查。</w:t>
      </w:r>
      <w:r>
        <w:rPr>
          <w:szCs w:val="21"/>
          <w:highlight w:val="none"/>
        </w:rPr>
        <w:t>以确定供应商是否具备投标资格。资格审查表如下，缺少任何一项或有任何一项不合格者，其资格审查视为不合格。</w:t>
      </w: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2264"/>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49" w:type="pct"/>
            <w:vAlign w:val="center"/>
          </w:tcPr>
          <w:p>
            <w:pPr>
              <w:spacing w:line="360" w:lineRule="exact"/>
              <w:jc w:val="center"/>
              <w:rPr>
                <w:rFonts w:hint="eastAsia" w:ascii="宋体" w:hAnsi="宋体"/>
                <w:b/>
                <w:kern w:val="0"/>
                <w:szCs w:val="21"/>
                <w:highlight w:val="none"/>
              </w:rPr>
            </w:pPr>
            <w:r>
              <w:rPr>
                <w:rFonts w:ascii="宋体" w:hAnsi="宋体"/>
                <w:b/>
                <w:kern w:val="0"/>
                <w:szCs w:val="21"/>
                <w:highlight w:val="none"/>
              </w:rPr>
              <w:t>序号</w:t>
            </w:r>
          </w:p>
        </w:tc>
        <w:tc>
          <w:tcPr>
            <w:tcW w:w="1328" w:type="pct"/>
            <w:vAlign w:val="center"/>
          </w:tcPr>
          <w:p>
            <w:pPr>
              <w:spacing w:line="360" w:lineRule="exact"/>
              <w:jc w:val="center"/>
              <w:rPr>
                <w:rFonts w:hint="eastAsia" w:ascii="宋体" w:hAnsi="宋体"/>
                <w:b/>
                <w:kern w:val="0"/>
                <w:szCs w:val="21"/>
                <w:highlight w:val="none"/>
              </w:rPr>
            </w:pPr>
            <w:r>
              <w:rPr>
                <w:rFonts w:ascii="宋体" w:hAnsi="宋体"/>
                <w:b/>
                <w:kern w:val="0"/>
                <w:szCs w:val="21"/>
                <w:highlight w:val="none"/>
              </w:rPr>
              <w:t>评标因素</w:t>
            </w:r>
          </w:p>
        </w:tc>
        <w:tc>
          <w:tcPr>
            <w:tcW w:w="3322" w:type="pct"/>
            <w:vAlign w:val="center"/>
          </w:tcPr>
          <w:p>
            <w:pPr>
              <w:spacing w:line="360" w:lineRule="exact"/>
              <w:jc w:val="center"/>
              <w:rPr>
                <w:rFonts w:hint="eastAsia" w:ascii="宋体" w:hAnsi="宋体"/>
                <w:b/>
                <w:kern w:val="0"/>
                <w:szCs w:val="21"/>
                <w:highlight w:val="none"/>
              </w:rPr>
            </w:pPr>
            <w:r>
              <w:rPr>
                <w:rFonts w:ascii="宋体" w:hAnsi="宋体"/>
                <w:b/>
                <w:kern w:val="0"/>
                <w:szCs w:val="21"/>
                <w:highlight w:val="none"/>
              </w:rPr>
              <w:t>评标内容及评标标准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349" w:type="pct"/>
            <w:vMerge w:val="restart"/>
            <w:vAlign w:val="center"/>
          </w:tcPr>
          <w:p>
            <w:pPr>
              <w:spacing w:line="360" w:lineRule="exact"/>
              <w:jc w:val="center"/>
              <w:rPr>
                <w:rFonts w:hint="eastAsia" w:ascii="宋体" w:hAnsi="宋体"/>
                <w:szCs w:val="21"/>
                <w:highlight w:val="none"/>
              </w:rPr>
            </w:pPr>
            <w:r>
              <w:rPr>
                <w:rFonts w:ascii="宋体" w:hAnsi="宋体"/>
                <w:szCs w:val="21"/>
                <w:highlight w:val="none"/>
              </w:rPr>
              <w:t>1</w:t>
            </w:r>
          </w:p>
        </w:tc>
        <w:tc>
          <w:tcPr>
            <w:tcW w:w="1328" w:type="pct"/>
            <w:vAlign w:val="center"/>
          </w:tcPr>
          <w:p>
            <w:pPr>
              <w:spacing w:line="360" w:lineRule="exact"/>
              <w:rPr>
                <w:rFonts w:hint="eastAsia" w:ascii="宋体" w:hAnsi="宋体"/>
                <w:szCs w:val="21"/>
                <w:highlight w:val="none"/>
              </w:rPr>
            </w:pPr>
            <w:r>
              <w:rPr>
                <w:rFonts w:ascii="宋体" w:hAnsi="宋体"/>
                <w:szCs w:val="21"/>
                <w:highlight w:val="none"/>
              </w:rPr>
              <w:t>（1）具有独立承担民事责任的能力</w:t>
            </w:r>
          </w:p>
        </w:tc>
        <w:tc>
          <w:tcPr>
            <w:tcW w:w="3322" w:type="pct"/>
          </w:tcPr>
          <w:p>
            <w:pPr>
              <w:spacing w:line="360" w:lineRule="exact"/>
              <w:jc w:val="left"/>
              <w:rPr>
                <w:rFonts w:hint="eastAsia" w:ascii="宋体" w:hAnsi="宋体"/>
                <w:szCs w:val="21"/>
                <w:highlight w:val="none"/>
              </w:rPr>
            </w:pPr>
            <w:r>
              <w:rPr>
                <w:rFonts w:ascii="宋体" w:hAnsi="宋体"/>
                <w:szCs w:val="21"/>
                <w:highlight w:val="none"/>
              </w:rPr>
              <w:t>审查法人或者其他组织的营业执照等证明文件、自然人的身份证明。须按以下要求提供，材料须有效。</w:t>
            </w:r>
          </w:p>
          <w:p>
            <w:pPr>
              <w:spacing w:line="360" w:lineRule="exact"/>
              <w:jc w:val="left"/>
              <w:rPr>
                <w:rFonts w:hint="eastAsia" w:ascii="宋体" w:hAnsi="宋体"/>
                <w:szCs w:val="21"/>
                <w:highlight w:val="none"/>
              </w:rPr>
            </w:pPr>
            <w:r>
              <w:rPr>
                <w:rFonts w:ascii="宋体" w:hAnsi="宋体"/>
                <w:szCs w:val="21"/>
                <w:highlight w:val="none"/>
              </w:rPr>
              <w:t>供应商是企业则审查营业执照（副本）</w:t>
            </w:r>
            <w:r>
              <w:rPr>
                <w:rFonts w:hint="eastAsia" w:ascii="宋体" w:hAnsi="宋体"/>
                <w:szCs w:val="21"/>
                <w:highlight w:val="none"/>
              </w:rPr>
              <w:t>扫描件</w:t>
            </w:r>
            <w:r>
              <w:rPr>
                <w:rFonts w:ascii="宋体" w:hAnsi="宋体"/>
                <w:szCs w:val="21"/>
                <w:highlight w:val="none"/>
              </w:rPr>
              <w:t>；供应商是事业单位，则审查事业单位法人证书（副本）</w:t>
            </w:r>
            <w:r>
              <w:rPr>
                <w:rFonts w:hint="eastAsia" w:ascii="宋体" w:hAnsi="宋体"/>
                <w:szCs w:val="21"/>
                <w:highlight w:val="none"/>
              </w:rPr>
              <w:t>扫描件</w:t>
            </w:r>
            <w:r>
              <w:rPr>
                <w:rFonts w:ascii="宋体" w:hAnsi="宋体"/>
                <w:szCs w:val="21"/>
                <w:highlight w:val="none"/>
              </w:rPr>
              <w:t>；供应商是非企业专业服务机构的，则审查执业许可证等证明文件</w:t>
            </w:r>
            <w:r>
              <w:rPr>
                <w:rFonts w:hint="eastAsia" w:ascii="宋体" w:hAnsi="宋体"/>
                <w:szCs w:val="21"/>
                <w:highlight w:val="none"/>
              </w:rPr>
              <w:t>扫描件</w:t>
            </w:r>
            <w:r>
              <w:rPr>
                <w:rFonts w:ascii="宋体" w:hAnsi="宋体"/>
                <w:szCs w:val="21"/>
                <w:highlight w:val="none"/>
              </w:rPr>
              <w:t>；供应商是个体工商户，则审查个体工商户营业执照</w:t>
            </w:r>
            <w:r>
              <w:rPr>
                <w:rFonts w:hint="eastAsia" w:ascii="宋体" w:hAnsi="宋体"/>
                <w:szCs w:val="21"/>
                <w:highlight w:val="none"/>
              </w:rPr>
              <w:t>扫描件</w:t>
            </w:r>
            <w:r>
              <w:rPr>
                <w:rFonts w:ascii="宋体" w:hAnsi="宋体"/>
                <w:szCs w:val="21"/>
                <w:highlight w:val="none"/>
              </w:rPr>
              <w:t>；供应商是自然人，则审查自然人身份证明</w:t>
            </w:r>
            <w:r>
              <w:rPr>
                <w:rFonts w:hint="eastAsia" w:ascii="宋体" w:hAnsi="宋体"/>
                <w:szCs w:val="21"/>
                <w:highlight w:val="none"/>
              </w:rPr>
              <w:t>扫描件</w:t>
            </w:r>
            <w:r>
              <w:rPr>
                <w:rFonts w:ascii="宋体" w:hAnsi="宋体"/>
                <w:szCs w:val="21"/>
                <w:highlight w:val="none"/>
              </w:rPr>
              <w:t>；如供应商不是以上所列的法人、组织、自然人的，则提供国家规定的相关证明材料。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349" w:type="pct"/>
            <w:vMerge w:val="continue"/>
            <w:vAlign w:val="center"/>
          </w:tcPr>
          <w:p>
            <w:pPr>
              <w:spacing w:line="360" w:lineRule="exact"/>
              <w:jc w:val="center"/>
              <w:rPr>
                <w:rFonts w:hint="eastAsia" w:ascii="宋体" w:hAnsi="宋体"/>
                <w:szCs w:val="21"/>
                <w:highlight w:val="none"/>
              </w:rPr>
            </w:pPr>
          </w:p>
        </w:tc>
        <w:tc>
          <w:tcPr>
            <w:tcW w:w="1328" w:type="pct"/>
            <w:vAlign w:val="center"/>
          </w:tcPr>
          <w:p>
            <w:pPr>
              <w:spacing w:line="360" w:lineRule="exact"/>
              <w:rPr>
                <w:rFonts w:hint="eastAsia" w:ascii="宋体" w:hAnsi="宋体"/>
                <w:szCs w:val="21"/>
                <w:highlight w:val="none"/>
              </w:rPr>
            </w:pPr>
            <w:r>
              <w:rPr>
                <w:rFonts w:ascii="宋体" w:hAnsi="宋体"/>
                <w:szCs w:val="21"/>
                <w:highlight w:val="none"/>
                <w:lang w:val="zh-CN"/>
              </w:rPr>
              <w:t>（2）</w:t>
            </w:r>
            <w:r>
              <w:rPr>
                <w:rFonts w:ascii="宋体" w:hAnsi="宋体"/>
                <w:szCs w:val="21"/>
                <w:highlight w:val="none"/>
              </w:rPr>
              <w:t>具有良好的商业信誉和健全的财务会计制度</w:t>
            </w:r>
          </w:p>
        </w:tc>
        <w:tc>
          <w:tcPr>
            <w:tcW w:w="3322" w:type="pct"/>
          </w:tcPr>
          <w:p>
            <w:pPr>
              <w:spacing w:line="360" w:lineRule="exact"/>
              <w:jc w:val="left"/>
              <w:rPr>
                <w:rFonts w:hint="eastAsia" w:ascii="宋体" w:hAnsi="宋体"/>
                <w:szCs w:val="21"/>
                <w:highlight w:val="none"/>
              </w:rPr>
            </w:pPr>
            <w:r>
              <w:rPr>
                <w:rFonts w:hint="eastAsia" w:ascii="宋体" w:hAnsi="宋体" w:cs="宋体"/>
                <w:szCs w:val="21"/>
                <w:highlight w:val="none"/>
              </w:rPr>
              <w:t>①</w:t>
            </w:r>
            <w:r>
              <w:rPr>
                <w:rFonts w:ascii="宋体" w:hAnsi="宋体"/>
                <w:szCs w:val="21"/>
                <w:highlight w:val="none"/>
              </w:rPr>
              <w:t>审查商业信誉声明。须提供，</w:t>
            </w:r>
            <w:bookmarkStart w:id="200" w:name="OLE_LINK17"/>
            <w:r>
              <w:rPr>
                <w:rFonts w:ascii="宋体" w:hAnsi="宋体"/>
                <w:szCs w:val="21"/>
                <w:highlight w:val="none"/>
              </w:rPr>
              <w:t>格式见</w:t>
            </w:r>
            <w:bookmarkStart w:id="201" w:name="OLE_LINK19"/>
            <w:r>
              <w:rPr>
                <w:rFonts w:hint="eastAsia" w:ascii="宋体" w:hAnsi="宋体"/>
                <w:szCs w:val="21"/>
                <w:highlight w:val="none"/>
              </w:rPr>
              <w:t>“</w:t>
            </w:r>
            <w:r>
              <w:rPr>
                <w:rFonts w:ascii="宋体" w:hAnsi="宋体"/>
                <w:szCs w:val="21"/>
                <w:highlight w:val="none"/>
              </w:rPr>
              <w:t>第六章</w:t>
            </w:r>
            <w:r>
              <w:rPr>
                <w:rFonts w:hint="eastAsia" w:ascii="宋体" w:hAnsi="宋体"/>
                <w:szCs w:val="21"/>
                <w:highlight w:val="none"/>
              </w:rPr>
              <w:t xml:space="preserve"> </w:t>
            </w:r>
            <w:r>
              <w:rPr>
                <w:rFonts w:ascii="宋体" w:hAnsi="宋体"/>
                <w:szCs w:val="21"/>
                <w:highlight w:val="none"/>
              </w:rPr>
              <w:t>投标文件格式</w:t>
            </w:r>
            <w:r>
              <w:rPr>
                <w:rFonts w:hint="eastAsia" w:ascii="宋体" w:hAnsi="宋体"/>
                <w:szCs w:val="21"/>
                <w:highlight w:val="none"/>
              </w:rPr>
              <w:t>”</w:t>
            </w:r>
            <w:bookmarkEnd w:id="201"/>
            <w:r>
              <w:rPr>
                <w:rFonts w:hint="eastAsia" w:ascii="宋体" w:hAnsi="宋体"/>
                <w:szCs w:val="21"/>
                <w:highlight w:val="none"/>
              </w:rPr>
              <w:t>中</w:t>
            </w:r>
            <w:r>
              <w:rPr>
                <w:rFonts w:ascii="宋体" w:hAnsi="宋体"/>
                <w:szCs w:val="21"/>
                <w:highlight w:val="none"/>
              </w:rPr>
              <w:t>“投标声明书”</w:t>
            </w:r>
            <w:bookmarkEnd w:id="200"/>
            <w:r>
              <w:rPr>
                <w:rFonts w:ascii="宋体" w:hAnsi="宋体"/>
                <w:szCs w:val="21"/>
                <w:highlight w:val="none"/>
              </w:rPr>
              <w:t>。</w:t>
            </w:r>
          </w:p>
          <w:p>
            <w:pPr>
              <w:spacing w:line="360" w:lineRule="exact"/>
              <w:jc w:val="left"/>
              <w:rPr>
                <w:rFonts w:hint="eastAsia" w:ascii="宋体" w:hAnsi="宋体"/>
                <w:szCs w:val="21"/>
                <w:highlight w:val="none"/>
              </w:rPr>
            </w:pPr>
            <w:r>
              <w:rPr>
                <w:rFonts w:hint="eastAsia" w:ascii="宋体" w:hAnsi="宋体" w:cs="宋体"/>
                <w:szCs w:val="21"/>
                <w:highlight w:val="none"/>
              </w:rPr>
              <w:t>②</w:t>
            </w:r>
            <w:bookmarkStart w:id="202" w:name="OLE_LINK90"/>
            <w:r>
              <w:rPr>
                <w:rFonts w:hint="eastAsia" w:ascii="宋体" w:hAnsi="宋体"/>
                <w:szCs w:val="21"/>
                <w:highlight w:val="none"/>
              </w:rPr>
              <w:t>审查</w:t>
            </w:r>
            <w:r>
              <w:rPr>
                <w:rFonts w:hint="eastAsia" w:ascii="宋体" w:hAnsi="宋体"/>
                <w:color w:val="FF0000"/>
                <w:szCs w:val="21"/>
                <w:highlight w:val="none"/>
              </w:rPr>
              <w:t>2024年</w:t>
            </w:r>
            <w:r>
              <w:rPr>
                <w:rFonts w:hint="eastAsia" w:ascii="宋体" w:hAnsi="宋体"/>
                <w:szCs w:val="21"/>
                <w:highlight w:val="none"/>
              </w:rPr>
              <w:t>财务报表或经审计的财务报告（审计报告）</w:t>
            </w:r>
            <w:r>
              <w:rPr>
                <w:rFonts w:hint="eastAsia" w:ascii="宋体" w:hAnsi="宋体"/>
                <w:color w:val="FF0000"/>
                <w:szCs w:val="21"/>
                <w:highlight w:val="none"/>
              </w:rPr>
              <w:t>（如提供审计报告的，审计报告须经过“注册会计师行业统一监管平台”自动赋码，审计报告编码（二维码）能通过统一监管平台进行查验，否则无效）</w:t>
            </w:r>
            <w:r>
              <w:rPr>
                <w:rFonts w:hint="eastAsia" w:ascii="宋体" w:hAnsi="宋体"/>
                <w:szCs w:val="21"/>
                <w:highlight w:val="none"/>
              </w:rPr>
              <w:t>扫描件，或者银行出具的资信证明扫描件；</w:t>
            </w:r>
            <w:bookmarkEnd w:id="202"/>
            <w:r>
              <w:rPr>
                <w:rFonts w:hint="eastAsia" w:ascii="宋体" w:hAnsi="宋体"/>
                <w:szCs w:val="21"/>
                <w:highlight w:val="none"/>
              </w:rPr>
              <w:t>成立年限不足一年的，按实际月份财务报表提供，或者中国人民银行征信中心出具的信用报告（企业竞标的提供企业信用报告，自然人竞标的提供个人信用报告）；供应商属于成立时间在规定年度之后的，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349" w:type="pct"/>
            <w:vMerge w:val="continue"/>
            <w:vAlign w:val="center"/>
          </w:tcPr>
          <w:p>
            <w:pPr>
              <w:spacing w:line="360" w:lineRule="exact"/>
              <w:jc w:val="center"/>
              <w:rPr>
                <w:rFonts w:hint="eastAsia" w:ascii="宋体" w:hAnsi="宋体"/>
                <w:szCs w:val="21"/>
                <w:highlight w:val="none"/>
              </w:rPr>
            </w:pPr>
          </w:p>
        </w:tc>
        <w:tc>
          <w:tcPr>
            <w:tcW w:w="1328" w:type="pct"/>
            <w:vAlign w:val="center"/>
          </w:tcPr>
          <w:p>
            <w:pPr>
              <w:spacing w:line="360" w:lineRule="exact"/>
              <w:rPr>
                <w:rFonts w:hint="eastAsia" w:ascii="宋体" w:hAnsi="宋体"/>
                <w:szCs w:val="21"/>
                <w:highlight w:val="none"/>
                <w:lang w:val="zh-CN"/>
              </w:rPr>
            </w:pPr>
            <w:r>
              <w:rPr>
                <w:rFonts w:ascii="宋体" w:hAnsi="宋体"/>
                <w:szCs w:val="21"/>
                <w:highlight w:val="none"/>
                <w:lang w:val="zh-CN"/>
              </w:rPr>
              <w:t>（3）具有履行合同所必需的设备和专业技术能力</w:t>
            </w:r>
          </w:p>
        </w:tc>
        <w:tc>
          <w:tcPr>
            <w:tcW w:w="3322" w:type="pct"/>
          </w:tcPr>
          <w:p>
            <w:pPr>
              <w:spacing w:line="360" w:lineRule="exact"/>
              <w:jc w:val="left"/>
              <w:rPr>
                <w:rFonts w:hint="eastAsia" w:ascii="宋体" w:hAnsi="宋体"/>
                <w:szCs w:val="21"/>
                <w:highlight w:val="none"/>
              </w:rPr>
            </w:pPr>
            <w:r>
              <w:rPr>
                <w:rFonts w:ascii="宋体" w:hAnsi="宋体"/>
                <w:szCs w:val="21"/>
                <w:highlight w:val="none"/>
              </w:rPr>
              <w:t>审查书面声明。须提供，格式见</w:t>
            </w:r>
            <w:r>
              <w:rPr>
                <w:rFonts w:hint="eastAsia" w:ascii="宋体" w:hAnsi="宋体"/>
                <w:szCs w:val="21"/>
                <w:highlight w:val="none"/>
              </w:rPr>
              <w:t>“</w:t>
            </w:r>
            <w:r>
              <w:rPr>
                <w:rFonts w:ascii="宋体" w:hAnsi="宋体"/>
                <w:szCs w:val="21"/>
                <w:highlight w:val="none"/>
              </w:rPr>
              <w:t>第六章</w:t>
            </w:r>
            <w:r>
              <w:rPr>
                <w:rFonts w:hint="eastAsia" w:ascii="宋体" w:hAnsi="宋体"/>
                <w:szCs w:val="21"/>
                <w:highlight w:val="none"/>
              </w:rPr>
              <w:t xml:space="preserve"> </w:t>
            </w:r>
            <w:r>
              <w:rPr>
                <w:rFonts w:ascii="宋体" w:hAnsi="宋体"/>
                <w:szCs w:val="21"/>
                <w:highlight w:val="none"/>
              </w:rPr>
              <w:t>投标文件格式</w:t>
            </w:r>
            <w:r>
              <w:rPr>
                <w:rFonts w:hint="eastAsia" w:ascii="宋体" w:hAnsi="宋体"/>
                <w:szCs w:val="21"/>
                <w:highlight w:val="none"/>
              </w:rPr>
              <w:t>”中</w:t>
            </w:r>
            <w:r>
              <w:rPr>
                <w:rFonts w:ascii="宋体" w:hAnsi="宋体"/>
                <w:szCs w:val="21"/>
                <w:highlight w:val="none"/>
              </w:rPr>
              <w:t>“投标声明书”。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349" w:type="pct"/>
            <w:vMerge w:val="continue"/>
            <w:vAlign w:val="center"/>
          </w:tcPr>
          <w:p>
            <w:pPr>
              <w:spacing w:line="360" w:lineRule="exact"/>
              <w:jc w:val="center"/>
              <w:rPr>
                <w:rFonts w:hint="eastAsia" w:ascii="宋体" w:hAnsi="宋体"/>
                <w:szCs w:val="21"/>
                <w:highlight w:val="none"/>
              </w:rPr>
            </w:pPr>
          </w:p>
        </w:tc>
        <w:tc>
          <w:tcPr>
            <w:tcW w:w="1328" w:type="pct"/>
            <w:vAlign w:val="center"/>
          </w:tcPr>
          <w:p>
            <w:pPr>
              <w:spacing w:line="360" w:lineRule="exact"/>
              <w:rPr>
                <w:rFonts w:hint="eastAsia" w:ascii="宋体" w:hAnsi="宋体"/>
                <w:szCs w:val="21"/>
                <w:highlight w:val="none"/>
                <w:lang w:val="zh-CN"/>
              </w:rPr>
            </w:pPr>
            <w:r>
              <w:rPr>
                <w:rFonts w:ascii="宋体" w:hAnsi="宋体"/>
                <w:szCs w:val="21"/>
                <w:highlight w:val="none"/>
                <w:lang w:val="zh-CN"/>
              </w:rPr>
              <w:t>（4）有依法缴纳税收和社会保障金的良好记录</w:t>
            </w:r>
          </w:p>
        </w:tc>
        <w:tc>
          <w:tcPr>
            <w:tcW w:w="3322" w:type="pct"/>
          </w:tcPr>
          <w:p>
            <w:pPr>
              <w:spacing w:line="360" w:lineRule="exact"/>
              <w:jc w:val="left"/>
              <w:rPr>
                <w:rFonts w:hint="eastAsia" w:ascii="宋体" w:hAnsi="宋体"/>
                <w:szCs w:val="21"/>
                <w:highlight w:val="none"/>
              </w:rPr>
            </w:pPr>
            <w:r>
              <w:rPr>
                <w:rFonts w:hint="eastAsia" w:ascii="宋体" w:hAnsi="宋体" w:cs="宋体"/>
                <w:szCs w:val="21"/>
                <w:highlight w:val="none"/>
              </w:rPr>
              <w:t>①</w:t>
            </w:r>
            <w:r>
              <w:rPr>
                <w:rFonts w:ascii="宋体" w:hAnsi="宋体"/>
                <w:szCs w:val="21"/>
                <w:highlight w:val="none"/>
              </w:rPr>
              <w:t>审查</w:t>
            </w:r>
            <w:bookmarkStart w:id="203" w:name="OLE_LINK21"/>
            <w:r>
              <w:rPr>
                <w:rFonts w:hint="eastAsia" w:ascii="宋体" w:hAnsi="宋体"/>
                <w:b/>
                <w:bCs/>
                <w:szCs w:val="21"/>
                <w:highlight w:val="none"/>
              </w:rPr>
              <w:t>2025年4月至投标截止时间内</w:t>
            </w:r>
            <w:bookmarkEnd w:id="203"/>
            <w:r>
              <w:rPr>
                <w:rFonts w:hint="eastAsia" w:ascii="宋体" w:hAnsi="宋体"/>
                <w:szCs w:val="21"/>
                <w:highlight w:val="none"/>
              </w:rPr>
              <w:t>供应商</w:t>
            </w:r>
            <w:r>
              <w:rPr>
                <w:rFonts w:ascii="宋体" w:hAnsi="宋体"/>
                <w:szCs w:val="21"/>
                <w:highlight w:val="none"/>
              </w:rPr>
              <w:t>任意</w:t>
            </w:r>
            <w:r>
              <w:rPr>
                <w:rFonts w:hint="eastAsia" w:ascii="宋体" w:hAnsi="宋体"/>
                <w:szCs w:val="21"/>
                <w:highlight w:val="none"/>
              </w:rPr>
              <w:t>1个月</w:t>
            </w:r>
            <w:r>
              <w:rPr>
                <w:rFonts w:ascii="宋体" w:hAnsi="宋体"/>
                <w:szCs w:val="21"/>
                <w:highlight w:val="none"/>
              </w:rPr>
              <w:t>依法缴纳税费证明</w:t>
            </w:r>
            <w:r>
              <w:rPr>
                <w:rFonts w:hint="eastAsia" w:ascii="宋体" w:hAnsi="宋体"/>
                <w:szCs w:val="21"/>
                <w:highlight w:val="none"/>
              </w:rPr>
              <w:t>扫描件，并</w:t>
            </w:r>
            <w:r>
              <w:rPr>
                <w:rFonts w:ascii="宋体" w:hAnsi="宋体"/>
                <w:szCs w:val="21"/>
                <w:highlight w:val="none"/>
              </w:rPr>
              <w:t>加盖</w:t>
            </w:r>
            <w:bookmarkStart w:id="204" w:name="OLE_LINK20"/>
            <w:r>
              <w:rPr>
                <w:rFonts w:hint="eastAsia" w:ascii="宋体" w:hAnsi="宋体"/>
                <w:szCs w:val="21"/>
                <w:highlight w:val="none"/>
              </w:rPr>
              <w:t>供应商公章（或电子签章）</w:t>
            </w:r>
            <w:bookmarkEnd w:id="204"/>
            <w:r>
              <w:rPr>
                <w:rFonts w:ascii="宋体" w:hAnsi="宋体"/>
                <w:szCs w:val="21"/>
                <w:highlight w:val="none"/>
              </w:rPr>
              <w:t>。</w:t>
            </w:r>
          </w:p>
          <w:p>
            <w:pPr>
              <w:spacing w:line="360" w:lineRule="exact"/>
              <w:jc w:val="left"/>
              <w:rPr>
                <w:rFonts w:hint="eastAsia" w:ascii="宋体" w:hAnsi="宋体"/>
                <w:szCs w:val="21"/>
                <w:highlight w:val="none"/>
              </w:rPr>
            </w:pPr>
            <w:r>
              <w:rPr>
                <w:rFonts w:hint="eastAsia" w:ascii="宋体" w:hAnsi="宋体" w:cs="宋体"/>
                <w:szCs w:val="21"/>
                <w:highlight w:val="none"/>
              </w:rPr>
              <w:t>②</w:t>
            </w:r>
            <w:r>
              <w:rPr>
                <w:rFonts w:ascii="宋体" w:hAnsi="宋体"/>
                <w:szCs w:val="21"/>
                <w:highlight w:val="none"/>
              </w:rPr>
              <w:t>审查</w:t>
            </w:r>
            <w:r>
              <w:rPr>
                <w:rFonts w:hint="eastAsia" w:ascii="宋体" w:hAnsi="宋体"/>
                <w:b/>
                <w:bCs/>
                <w:szCs w:val="21"/>
                <w:highlight w:val="none"/>
              </w:rPr>
              <w:t>2025年4月至投标截止时间内</w:t>
            </w:r>
            <w:r>
              <w:rPr>
                <w:rFonts w:hint="eastAsia" w:ascii="宋体" w:hAnsi="宋体"/>
                <w:szCs w:val="21"/>
                <w:highlight w:val="none"/>
              </w:rPr>
              <w:t>供应商</w:t>
            </w:r>
            <w:r>
              <w:rPr>
                <w:rFonts w:ascii="宋体" w:hAnsi="宋体"/>
                <w:szCs w:val="21"/>
                <w:highlight w:val="none"/>
              </w:rPr>
              <w:t>任意</w:t>
            </w:r>
            <w:r>
              <w:rPr>
                <w:rFonts w:hint="eastAsia" w:ascii="宋体" w:hAnsi="宋体"/>
                <w:szCs w:val="21"/>
                <w:highlight w:val="none"/>
              </w:rPr>
              <w:t>1个月</w:t>
            </w:r>
            <w:r>
              <w:rPr>
                <w:rFonts w:ascii="宋体" w:hAnsi="宋体"/>
                <w:szCs w:val="21"/>
                <w:highlight w:val="none"/>
              </w:rPr>
              <w:t>的社保缴费证明记录</w:t>
            </w:r>
            <w:r>
              <w:rPr>
                <w:rFonts w:hint="eastAsia" w:ascii="宋体" w:hAnsi="宋体"/>
                <w:szCs w:val="21"/>
                <w:highlight w:val="none"/>
              </w:rPr>
              <w:t>扫描件</w:t>
            </w:r>
            <w:bookmarkStart w:id="205" w:name="OLE_LINK22"/>
            <w:r>
              <w:rPr>
                <w:rFonts w:hint="eastAsia" w:ascii="宋体" w:hAnsi="宋体"/>
                <w:szCs w:val="21"/>
                <w:highlight w:val="none"/>
              </w:rPr>
              <w:t>，并</w:t>
            </w:r>
            <w:bookmarkEnd w:id="205"/>
            <w:r>
              <w:rPr>
                <w:rFonts w:ascii="宋体" w:hAnsi="宋体"/>
                <w:szCs w:val="21"/>
                <w:highlight w:val="none"/>
              </w:rPr>
              <w:t>加盖</w:t>
            </w:r>
            <w:r>
              <w:rPr>
                <w:rFonts w:hint="eastAsia" w:ascii="宋体" w:hAnsi="宋体"/>
                <w:szCs w:val="21"/>
                <w:highlight w:val="none"/>
              </w:rPr>
              <w:t>供应商公章（或电子签章）</w:t>
            </w:r>
            <w:r>
              <w:rPr>
                <w:rFonts w:ascii="宋体" w:hAnsi="宋体"/>
                <w:szCs w:val="21"/>
                <w:highlight w:val="none"/>
              </w:rPr>
              <w:t>。</w:t>
            </w:r>
          </w:p>
          <w:p>
            <w:pPr>
              <w:spacing w:line="360" w:lineRule="exact"/>
              <w:jc w:val="left"/>
              <w:rPr>
                <w:rFonts w:hint="eastAsia" w:ascii="宋体" w:hAnsi="宋体"/>
                <w:szCs w:val="21"/>
                <w:highlight w:val="none"/>
              </w:rPr>
            </w:pPr>
            <w:r>
              <w:rPr>
                <w:rFonts w:ascii="宋体" w:hAnsi="宋体"/>
                <w:szCs w:val="21"/>
                <w:highlight w:val="none"/>
              </w:rPr>
              <w:t>供应商成立不足</w:t>
            </w:r>
            <w:r>
              <w:rPr>
                <w:rFonts w:hint="eastAsia" w:ascii="宋体" w:hAnsi="宋体"/>
                <w:szCs w:val="21"/>
                <w:highlight w:val="none"/>
              </w:rPr>
              <w:t>1个月的，无须提供</w:t>
            </w:r>
            <w:r>
              <w:rPr>
                <w:rFonts w:ascii="宋体" w:hAnsi="宋体"/>
                <w:szCs w:val="21"/>
                <w:highlight w:val="none"/>
              </w:rPr>
              <w:t>缴纳税费证明及社保缴费证明</w:t>
            </w:r>
            <w:r>
              <w:rPr>
                <w:rFonts w:hint="eastAsia" w:ascii="宋体" w:hAnsi="宋体"/>
                <w:szCs w:val="21"/>
                <w:highlight w:val="none"/>
              </w:rPr>
              <w:t>。</w:t>
            </w:r>
          </w:p>
          <w:p>
            <w:pPr>
              <w:spacing w:line="360" w:lineRule="exact"/>
              <w:jc w:val="left"/>
              <w:rPr>
                <w:rFonts w:hint="eastAsia" w:ascii="宋体" w:hAnsi="宋体"/>
                <w:szCs w:val="21"/>
                <w:highlight w:val="none"/>
              </w:rPr>
            </w:pPr>
            <w:r>
              <w:rPr>
                <w:rFonts w:ascii="宋体" w:hAnsi="宋体"/>
                <w:szCs w:val="21"/>
                <w:highlight w:val="none"/>
              </w:rPr>
              <w:t>依法免税或不需要缴纳社会保障资金的供应商，须提供相应文件证明其依法免税或不需要缴纳社会保障资金</w:t>
            </w:r>
            <w:r>
              <w:rPr>
                <w:rFonts w:hint="eastAsia" w:ascii="宋体" w:hAnsi="宋体"/>
                <w:szCs w:val="21"/>
                <w:highlight w:val="none"/>
              </w:rPr>
              <w:t>证明材料</w:t>
            </w:r>
            <w:r>
              <w:rPr>
                <w:rFonts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349" w:type="pct"/>
            <w:vMerge w:val="continue"/>
            <w:vAlign w:val="center"/>
          </w:tcPr>
          <w:p>
            <w:pPr>
              <w:spacing w:line="360" w:lineRule="exact"/>
              <w:jc w:val="center"/>
              <w:rPr>
                <w:rFonts w:hint="eastAsia" w:ascii="宋体" w:hAnsi="宋体"/>
                <w:szCs w:val="21"/>
                <w:highlight w:val="none"/>
              </w:rPr>
            </w:pPr>
          </w:p>
        </w:tc>
        <w:tc>
          <w:tcPr>
            <w:tcW w:w="1328" w:type="pct"/>
            <w:vAlign w:val="center"/>
          </w:tcPr>
          <w:p>
            <w:pPr>
              <w:spacing w:line="360" w:lineRule="exact"/>
              <w:rPr>
                <w:rFonts w:hint="eastAsia" w:ascii="宋体" w:hAnsi="宋体"/>
                <w:szCs w:val="21"/>
                <w:highlight w:val="none"/>
                <w:lang w:val="zh-CN"/>
              </w:rPr>
            </w:pPr>
            <w:r>
              <w:rPr>
                <w:rFonts w:ascii="宋体" w:hAnsi="宋体"/>
                <w:szCs w:val="21"/>
                <w:highlight w:val="none"/>
              </w:rPr>
              <w:t>（5）参加政府采购活动前三年内，在经营活动中没有重大违法记录及不良信用记录</w:t>
            </w:r>
          </w:p>
        </w:tc>
        <w:tc>
          <w:tcPr>
            <w:tcW w:w="3322" w:type="pct"/>
            <w:vAlign w:val="center"/>
          </w:tcPr>
          <w:p>
            <w:pPr>
              <w:spacing w:line="360" w:lineRule="exact"/>
              <w:jc w:val="left"/>
              <w:rPr>
                <w:rFonts w:hint="eastAsia" w:ascii="宋体" w:hAnsi="宋体"/>
                <w:szCs w:val="21"/>
                <w:highlight w:val="none"/>
              </w:rPr>
            </w:pPr>
            <w:r>
              <w:rPr>
                <w:rFonts w:ascii="宋体" w:hAnsi="宋体"/>
                <w:szCs w:val="21"/>
                <w:highlight w:val="none"/>
              </w:rPr>
              <w:t>审查无重大违法记录声明。须提供，格式见</w:t>
            </w:r>
            <w:bookmarkStart w:id="206" w:name="OLE_LINK18"/>
            <w:r>
              <w:rPr>
                <w:rFonts w:hint="eastAsia" w:ascii="宋体" w:hAnsi="宋体"/>
                <w:szCs w:val="21"/>
                <w:highlight w:val="none"/>
              </w:rPr>
              <w:t>“</w:t>
            </w:r>
            <w:r>
              <w:rPr>
                <w:rFonts w:ascii="宋体" w:hAnsi="宋体"/>
                <w:szCs w:val="21"/>
                <w:highlight w:val="none"/>
              </w:rPr>
              <w:t>第六章</w:t>
            </w:r>
            <w:r>
              <w:rPr>
                <w:rFonts w:hint="eastAsia" w:ascii="宋体" w:hAnsi="宋体"/>
                <w:szCs w:val="21"/>
                <w:highlight w:val="none"/>
              </w:rPr>
              <w:t xml:space="preserve"> </w:t>
            </w:r>
            <w:r>
              <w:rPr>
                <w:rFonts w:ascii="宋体" w:hAnsi="宋体"/>
                <w:szCs w:val="21"/>
                <w:highlight w:val="none"/>
              </w:rPr>
              <w:t>投标文件格式</w:t>
            </w:r>
            <w:r>
              <w:rPr>
                <w:rFonts w:hint="eastAsia" w:ascii="宋体" w:hAnsi="宋体"/>
                <w:szCs w:val="21"/>
                <w:highlight w:val="none"/>
              </w:rPr>
              <w:t>”</w:t>
            </w:r>
            <w:bookmarkEnd w:id="206"/>
            <w:r>
              <w:rPr>
                <w:rFonts w:hint="eastAsia" w:ascii="宋体" w:hAnsi="宋体"/>
                <w:szCs w:val="21"/>
                <w:highlight w:val="none"/>
              </w:rPr>
              <w:t>中</w:t>
            </w:r>
            <w:r>
              <w:rPr>
                <w:rFonts w:ascii="宋体" w:hAnsi="宋体"/>
                <w:szCs w:val="21"/>
                <w:highlight w:val="none"/>
              </w:rPr>
              <w:t>“投标声明书”。一旦发现供应商提供的投标声明书不实时，则按照《政府采购法》有关提供虚假材料的规定给予处罚。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0" w:hRule="atLeast"/>
        </w:trPr>
        <w:tc>
          <w:tcPr>
            <w:tcW w:w="349" w:type="pct"/>
            <w:vAlign w:val="center"/>
          </w:tcPr>
          <w:p>
            <w:pPr>
              <w:spacing w:line="360" w:lineRule="exact"/>
              <w:jc w:val="center"/>
              <w:rPr>
                <w:rFonts w:hint="eastAsia" w:ascii="宋体" w:hAnsi="宋体"/>
                <w:szCs w:val="21"/>
                <w:highlight w:val="none"/>
              </w:rPr>
            </w:pPr>
            <w:r>
              <w:rPr>
                <w:rFonts w:hint="eastAsia" w:ascii="宋体" w:hAnsi="宋体"/>
                <w:szCs w:val="21"/>
                <w:highlight w:val="none"/>
              </w:rPr>
              <w:t>2</w:t>
            </w:r>
          </w:p>
        </w:tc>
        <w:tc>
          <w:tcPr>
            <w:tcW w:w="1328" w:type="pct"/>
            <w:vAlign w:val="center"/>
          </w:tcPr>
          <w:p>
            <w:pPr>
              <w:spacing w:line="360" w:lineRule="exact"/>
              <w:jc w:val="center"/>
              <w:rPr>
                <w:rFonts w:hint="eastAsia" w:ascii="宋体" w:hAnsi="宋体"/>
                <w:szCs w:val="21"/>
                <w:highlight w:val="none"/>
              </w:rPr>
            </w:pPr>
            <w:r>
              <w:rPr>
                <w:rFonts w:hint="eastAsia" w:ascii="宋体" w:hAnsi="宋体"/>
                <w:kern w:val="0"/>
                <w:szCs w:val="21"/>
                <w:highlight w:val="none"/>
              </w:rPr>
              <w:t>特定资格要求</w:t>
            </w:r>
          </w:p>
        </w:tc>
        <w:tc>
          <w:tcPr>
            <w:tcW w:w="3322" w:type="pct"/>
            <w:vAlign w:val="center"/>
          </w:tcPr>
          <w:p>
            <w:pPr>
              <w:spacing w:line="360" w:lineRule="exact"/>
              <w:rPr>
                <w:rFonts w:hint="eastAsia" w:ascii="宋体" w:hAnsi="宋体"/>
                <w:kern w:val="0"/>
                <w:szCs w:val="21"/>
                <w:highlight w:val="none"/>
              </w:rPr>
            </w:pPr>
            <w:r>
              <w:rPr>
                <w:rFonts w:hint="eastAsia" w:ascii="宋体" w:hAnsi="宋体"/>
                <w:kern w:val="0"/>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exact"/>
              <w:rPr>
                <w:rFonts w:hint="eastAsia" w:ascii="宋体" w:hAnsi="宋体"/>
                <w:kern w:val="0"/>
                <w:szCs w:val="21"/>
                <w:highlight w:val="none"/>
              </w:rPr>
            </w:pPr>
            <w:r>
              <w:rPr>
                <w:rFonts w:hint="eastAsia" w:ascii="宋体" w:hAnsi="宋体"/>
                <w:kern w:val="0"/>
                <w:szCs w:val="21"/>
                <w:highlight w:val="none"/>
              </w:rPr>
              <w:t>审查</w:t>
            </w:r>
            <w:bookmarkStart w:id="207" w:name="OLE_LINK27"/>
            <w:bookmarkStart w:id="208" w:name="OLE_LINK28"/>
            <w:r>
              <w:rPr>
                <w:rFonts w:hint="eastAsia" w:ascii="宋体" w:hAnsi="宋体"/>
                <w:kern w:val="0"/>
                <w:szCs w:val="21"/>
                <w:highlight w:val="none"/>
              </w:rPr>
              <w:t>“投标人直接控股股东信息表”</w:t>
            </w:r>
            <w:bookmarkEnd w:id="207"/>
            <w:r>
              <w:rPr>
                <w:rFonts w:hint="eastAsia" w:ascii="宋体" w:hAnsi="宋体"/>
                <w:kern w:val="0"/>
                <w:szCs w:val="21"/>
                <w:highlight w:val="none"/>
              </w:rPr>
              <w:t>、“投标人直接管理关系信息表”</w:t>
            </w:r>
            <w:bookmarkEnd w:id="208"/>
            <w:r>
              <w:rPr>
                <w:rFonts w:hint="eastAsia" w:ascii="宋体" w:hAnsi="宋体"/>
                <w:kern w:val="0"/>
                <w:szCs w:val="21"/>
                <w:highlight w:val="none"/>
              </w:rPr>
              <w:t>。须提供，格式见“第六章 投标文件格式”中“投标人直接控股股东信息表”、“投标人直接管理关系信息表”。</w:t>
            </w:r>
          </w:p>
          <w:p>
            <w:pPr>
              <w:spacing w:line="360" w:lineRule="exact"/>
              <w:jc w:val="left"/>
              <w:rPr>
                <w:rFonts w:hint="eastAsia" w:ascii="宋体" w:hAnsi="宋体"/>
                <w:kern w:val="0"/>
                <w:szCs w:val="21"/>
                <w:highlight w:val="none"/>
              </w:rPr>
            </w:pPr>
          </w:p>
          <w:p>
            <w:pPr>
              <w:spacing w:line="360" w:lineRule="exact"/>
              <w:jc w:val="left"/>
              <w:rPr>
                <w:rFonts w:hint="eastAsia" w:ascii="宋体" w:hAnsi="宋体" w:cs="宋体"/>
                <w:szCs w:val="21"/>
                <w:highlight w:val="none"/>
              </w:rPr>
            </w:pPr>
            <w:r>
              <w:rPr>
                <w:rFonts w:hint="eastAsia" w:ascii="宋体" w:hAnsi="宋体"/>
                <w:kern w:val="0"/>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60" w:lineRule="exact"/>
              <w:jc w:val="left"/>
              <w:rPr>
                <w:rFonts w:hint="eastAsia" w:ascii="宋体" w:hAnsi="宋体"/>
                <w:szCs w:val="21"/>
                <w:highlight w:val="none"/>
              </w:rPr>
            </w:pPr>
            <w:r>
              <w:rPr>
                <w:rFonts w:hint="eastAsia" w:ascii="宋体" w:hAnsi="宋体" w:cs="宋体"/>
                <w:szCs w:val="21"/>
                <w:highlight w:val="none"/>
              </w:rPr>
              <w:t>①</w:t>
            </w:r>
            <w:r>
              <w:rPr>
                <w:rFonts w:ascii="宋体" w:hAnsi="宋体"/>
                <w:szCs w:val="21"/>
                <w:highlight w:val="none"/>
              </w:rPr>
              <w:t>审核</w:t>
            </w:r>
            <w:r>
              <w:rPr>
                <w:rFonts w:hint="eastAsia" w:ascii="宋体" w:hAnsi="宋体"/>
                <w:szCs w:val="21"/>
                <w:highlight w:val="none"/>
              </w:rPr>
              <w:t>标准</w:t>
            </w:r>
            <w:r>
              <w:rPr>
                <w:rFonts w:ascii="宋体" w:hAnsi="宋体"/>
                <w:szCs w:val="21"/>
                <w:highlight w:val="none"/>
              </w:rPr>
              <w:t>：供应商</w:t>
            </w:r>
            <w:r>
              <w:rPr>
                <w:rFonts w:hint="eastAsia" w:ascii="宋体" w:hAnsi="宋体"/>
                <w:szCs w:val="21"/>
                <w:highlight w:val="none"/>
              </w:rPr>
              <w:t>如</w:t>
            </w:r>
            <w:r>
              <w:rPr>
                <w:rFonts w:ascii="宋体" w:hAnsi="宋体"/>
                <w:szCs w:val="21"/>
                <w:highlight w:val="none"/>
              </w:rPr>
              <w:t>被列入</w:t>
            </w:r>
            <w:r>
              <w:rPr>
                <w:rFonts w:hint="eastAsia" w:ascii="宋体" w:hAnsi="宋体"/>
                <w:szCs w:val="21"/>
                <w:highlight w:val="none"/>
              </w:rPr>
              <w:t>失信被执行人、重大税收违法失信主体、政府采购严重违法失信行为记录名单，</w:t>
            </w:r>
            <w:r>
              <w:rPr>
                <w:rFonts w:ascii="宋体" w:hAnsi="宋体"/>
                <w:szCs w:val="21"/>
                <w:highlight w:val="none"/>
              </w:rPr>
              <w:t>则资格审查不予通过，</w:t>
            </w:r>
            <w:r>
              <w:rPr>
                <w:rFonts w:hint="eastAsia" w:ascii="宋体" w:hAnsi="宋体"/>
                <w:szCs w:val="21"/>
                <w:highlight w:val="none"/>
              </w:rPr>
              <w:t>其</w:t>
            </w:r>
            <w:r>
              <w:rPr>
                <w:rFonts w:ascii="宋体" w:hAnsi="宋体"/>
                <w:szCs w:val="21"/>
                <w:highlight w:val="none"/>
              </w:rPr>
              <w:t>投标被否决。</w:t>
            </w:r>
          </w:p>
          <w:p>
            <w:pPr>
              <w:spacing w:line="360" w:lineRule="exact"/>
              <w:jc w:val="left"/>
              <w:rPr>
                <w:rFonts w:hint="eastAsia" w:ascii="宋体" w:hAnsi="宋体"/>
                <w:szCs w:val="21"/>
                <w:highlight w:val="none"/>
              </w:rPr>
            </w:pPr>
            <w:r>
              <w:rPr>
                <w:rFonts w:hint="eastAsia" w:ascii="宋体" w:hAnsi="宋体"/>
                <w:szCs w:val="21"/>
                <w:highlight w:val="none"/>
              </w:rPr>
              <w:t>②</w:t>
            </w:r>
            <w:r>
              <w:rPr>
                <w:rFonts w:ascii="宋体" w:hAnsi="宋体"/>
                <w:szCs w:val="21"/>
                <w:highlight w:val="none"/>
              </w:rPr>
              <w:t xml:space="preserve">信用信息查询渠道：中国政府采购网 </w:t>
            </w:r>
            <w:r>
              <w:rPr>
                <w:rFonts w:hint="eastAsia" w:ascii="宋体" w:hAnsi="宋体"/>
                <w:szCs w:val="21"/>
                <w:highlight w:val="none"/>
              </w:rPr>
              <w:t>、</w:t>
            </w:r>
            <w:r>
              <w:rPr>
                <w:rFonts w:ascii="宋体" w:hAnsi="宋体"/>
                <w:szCs w:val="21"/>
                <w:highlight w:val="none"/>
              </w:rPr>
              <w:t>信用中国。</w:t>
            </w:r>
          </w:p>
          <w:p>
            <w:pPr>
              <w:spacing w:line="360" w:lineRule="exact"/>
              <w:jc w:val="left"/>
              <w:rPr>
                <w:rFonts w:hint="eastAsia" w:ascii="宋体" w:hAnsi="宋体"/>
                <w:szCs w:val="21"/>
                <w:highlight w:val="none"/>
              </w:rPr>
            </w:pPr>
            <w:r>
              <w:rPr>
                <w:rFonts w:hint="eastAsia" w:ascii="宋体" w:hAnsi="宋体"/>
                <w:szCs w:val="21"/>
                <w:highlight w:val="none"/>
              </w:rPr>
              <w:t>③查询方式：资格审查时，采购人或采购代理机构通过上述渠道查询供应商的信用记录供评委审核。</w:t>
            </w:r>
          </w:p>
          <w:p>
            <w:pPr>
              <w:spacing w:line="360" w:lineRule="exact"/>
              <w:rPr>
                <w:rFonts w:hint="eastAsia" w:ascii="宋体" w:hAnsi="宋体"/>
                <w:kern w:val="0"/>
                <w:szCs w:val="21"/>
                <w:highlight w:val="none"/>
              </w:rPr>
            </w:pPr>
            <w:r>
              <w:rPr>
                <w:rFonts w:hint="eastAsia" w:ascii="宋体" w:hAnsi="宋体" w:cs="宋体"/>
                <w:szCs w:val="21"/>
                <w:highlight w:val="none"/>
                <w:lang w:eastAsia="ja-JP"/>
              </w:rPr>
              <w:t>④</w:t>
            </w:r>
            <w:r>
              <w:rPr>
                <w:rFonts w:ascii="宋体" w:hAnsi="宋体"/>
                <w:szCs w:val="21"/>
                <w:highlight w:val="none"/>
              </w:rPr>
              <w:t>信用信息查询记录和证据留存的具体方式：</w:t>
            </w:r>
            <w:r>
              <w:rPr>
                <w:rFonts w:hint="eastAsia" w:ascii="宋体" w:hAnsi="宋体"/>
                <w:szCs w:val="21"/>
                <w:highlight w:val="none"/>
              </w:rPr>
              <w:t>通过</w:t>
            </w:r>
            <w:r>
              <w:rPr>
                <w:rFonts w:ascii="宋体" w:hAnsi="宋体"/>
                <w:szCs w:val="21"/>
                <w:highlight w:val="none"/>
              </w:rPr>
              <w:t>上述查询渠道查询</w:t>
            </w:r>
            <w:r>
              <w:rPr>
                <w:rFonts w:hint="eastAsia" w:ascii="宋体" w:hAnsi="宋体"/>
                <w:szCs w:val="21"/>
                <w:highlight w:val="none"/>
              </w:rPr>
              <w:t>的供应商信用记录查询结果</w:t>
            </w:r>
            <w:r>
              <w:rPr>
                <w:rFonts w:ascii="宋体" w:hAnsi="宋体"/>
                <w:szCs w:val="21"/>
                <w:highlight w:val="none"/>
              </w:rPr>
              <w:t>，将作为政府采购活动档案留存</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49" w:type="pct"/>
            <w:vAlign w:val="center"/>
          </w:tcPr>
          <w:p>
            <w:pPr>
              <w:spacing w:line="360" w:lineRule="exact"/>
              <w:jc w:val="center"/>
              <w:rPr>
                <w:rFonts w:hint="eastAsia" w:ascii="宋体" w:hAnsi="宋体"/>
                <w:szCs w:val="21"/>
                <w:highlight w:val="none"/>
              </w:rPr>
            </w:pPr>
            <w:r>
              <w:rPr>
                <w:rFonts w:hint="eastAsia" w:ascii="宋体" w:hAnsi="宋体"/>
                <w:szCs w:val="21"/>
                <w:highlight w:val="none"/>
              </w:rPr>
              <w:t>3</w:t>
            </w:r>
          </w:p>
        </w:tc>
        <w:tc>
          <w:tcPr>
            <w:tcW w:w="1328" w:type="pct"/>
            <w:vAlign w:val="center"/>
          </w:tcPr>
          <w:p>
            <w:pPr>
              <w:spacing w:line="360" w:lineRule="exact"/>
              <w:jc w:val="center"/>
              <w:rPr>
                <w:rFonts w:hint="eastAsia" w:ascii="宋体" w:hAnsi="宋体"/>
                <w:szCs w:val="21"/>
                <w:highlight w:val="none"/>
              </w:rPr>
            </w:pPr>
            <w:r>
              <w:rPr>
                <w:rFonts w:ascii="宋体" w:hAnsi="宋体"/>
                <w:szCs w:val="21"/>
                <w:highlight w:val="none"/>
              </w:rPr>
              <w:t>投标保证金</w:t>
            </w:r>
          </w:p>
        </w:tc>
        <w:tc>
          <w:tcPr>
            <w:tcW w:w="3322" w:type="pct"/>
            <w:vAlign w:val="center"/>
          </w:tcPr>
          <w:p>
            <w:pPr>
              <w:spacing w:line="360" w:lineRule="exact"/>
              <w:rPr>
                <w:rFonts w:hint="eastAsia" w:ascii="宋体" w:hAnsi="宋体"/>
                <w:szCs w:val="21"/>
                <w:highlight w:val="none"/>
              </w:rPr>
            </w:pPr>
            <w:r>
              <w:rPr>
                <w:rFonts w:hint="eastAsia" w:ascii="宋体" w:hAnsi="宋体"/>
                <w:szCs w:val="21"/>
                <w:highlight w:val="none"/>
              </w:rPr>
              <w:t>按照</w:t>
            </w:r>
            <w:r>
              <w:rPr>
                <w:rFonts w:ascii="宋体" w:hAnsi="宋体"/>
                <w:szCs w:val="21"/>
                <w:highlight w:val="none"/>
              </w:rPr>
              <w:t>招标文件要求足额缴纳投标保证金</w:t>
            </w:r>
            <w:r>
              <w:rPr>
                <w:rFonts w:hint="eastAsia" w:ascii="宋体" w:hAnsi="宋体"/>
                <w:szCs w:val="21"/>
                <w:highlight w:val="none"/>
              </w:rPr>
              <w:t>。</w:t>
            </w:r>
          </w:p>
        </w:tc>
      </w:tr>
    </w:tbl>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2.符合性检查（适用所有分标）</w:t>
      </w:r>
    </w:p>
    <w:p>
      <w:pPr>
        <w:spacing w:line="360" w:lineRule="auto"/>
        <w:ind w:firstLine="420" w:firstLineChars="200"/>
        <w:rPr>
          <w:szCs w:val="21"/>
          <w:highlight w:val="none"/>
        </w:rPr>
      </w:pPr>
      <w:r>
        <w:rPr>
          <w:bCs/>
          <w:kern w:val="1"/>
          <w:szCs w:val="21"/>
          <w:highlight w:val="none"/>
        </w:rPr>
        <w:t>资格审查结束后，由评标委员会对</w:t>
      </w:r>
      <w:r>
        <w:rPr>
          <w:highlight w:val="none"/>
        </w:rPr>
        <w:t>通过资格审查的供应商的投标文件进行符合性审查，以确定其是否满足招标文件的实质性要求。</w:t>
      </w:r>
      <w:r>
        <w:rPr>
          <w:szCs w:val="21"/>
          <w:highlight w:val="none"/>
        </w:rPr>
        <w:t>符合性检查表如下，缺少任何一项或有任何一项不合格者，其符合性检查视为不合格。</w:t>
      </w: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381"/>
        <w:gridCol w:w="1756"/>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49" w:type="pct"/>
            <w:vAlign w:val="center"/>
          </w:tcPr>
          <w:p>
            <w:pPr>
              <w:spacing w:line="360" w:lineRule="exact"/>
              <w:jc w:val="center"/>
              <w:rPr>
                <w:b/>
                <w:kern w:val="0"/>
                <w:szCs w:val="21"/>
                <w:highlight w:val="none"/>
              </w:rPr>
            </w:pPr>
            <w:bookmarkStart w:id="209" w:name="OLE_LINK36"/>
            <w:r>
              <w:rPr>
                <w:b/>
                <w:kern w:val="0"/>
                <w:szCs w:val="21"/>
                <w:highlight w:val="none"/>
              </w:rPr>
              <w:t>序号</w:t>
            </w:r>
          </w:p>
        </w:tc>
        <w:tc>
          <w:tcPr>
            <w:tcW w:w="1840" w:type="pct"/>
            <w:gridSpan w:val="2"/>
            <w:vAlign w:val="center"/>
          </w:tcPr>
          <w:p>
            <w:pPr>
              <w:spacing w:line="360" w:lineRule="exact"/>
              <w:jc w:val="center"/>
              <w:rPr>
                <w:b/>
                <w:kern w:val="0"/>
                <w:szCs w:val="21"/>
                <w:highlight w:val="none"/>
              </w:rPr>
            </w:pPr>
            <w:r>
              <w:rPr>
                <w:b/>
                <w:kern w:val="0"/>
                <w:szCs w:val="21"/>
                <w:highlight w:val="none"/>
              </w:rPr>
              <w:t>评标因素</w:t>
            </w:r>
          </w:p>
        </w:tc>
        <w:tc>
          <w:tcPr>
            <w:tcW w:w="2809" w:type="pct"/>
            <w:vAlign w:val="center"/>
          </w:tcPr>
          <w:p>
            <w:pPr>
              <w:spacing w:line="360" w:lineRule="exact"/>
              <w:jc w:val="center"/>
              <w:rPr>
                <w:b/>
                <w:kern w:val="0"/>
                <w:szCs w:val="21"/>
                <w:highlight w:val="none"/>
              </w:rPr>
            </w:pPr>
            <w:r>
              <w:rPr>
                <w:b/>
                <w:kern w:val="0"/>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49" w:type="pct"/>
            <w:vMerge w:val="restart"/>
            <w:vAlign w:val="center"/>
          </w:tcPr>
          <w:p>
            <w:pPr>
              <w:spacing w:line="360" w:lineRule="exact"/>
              <w:jc w:val="center"/>
              <w:rPr>
                <w:szCs w:val="21"/>
                <w:highlight w:val="none"/>
              </w:rPr>
            </w:pPr>
            <w:r>
              <w:rPr>
                <w:rFonts w:hint="eastAsia"/>
                <w:szCs w:val="21"/>
                <w:highlight w:val="none"/>
              </w:rPr>
              <w:t>1</w:t>
            </w:r>
          </w:p>
        </w:tc>
        <w:tc>
          <w:tcPr>
            <w:tcW w:w="810" w:type="pct"/>
            <w:vMerge w:val="restart"/>
            <w:vAlign w:val="center"/>
          </w:tcPr>
          <w:p>
            <w:pPr>
              <w:spacing w:line="360" w:lineRule="exact"/>
              <w:rPr>
                <w:kern w:val="0"/>
                <w:szCs w:val="21"/>
                <w:highlight w:val="none"/>
              </w:rPr>
            </w:pPr>
            <w:r>
              <w:rPr>
                <w:kern w:val="0"/>
                <w:szCs w:val="21"/>
                <w:highlight w:val="none"/>
              </w:rPr>
              <w:t>有效性审查</w:t>
            </w:r>
          </w:p>
        </w:tc>
        <w:tc>
          <w:tcPr>
            <w:tcW w:w="1030" w:type="pct"/>
            <w:vAlign w:val="center"/>
          </w:tcPr>
          <w:p>
            <w:pPr>
              <w:spacing w:line="360" w:lineRule="exact"/>
              <w:rPr>
                <w:kern w:val="0"/>
                <w:szCs w:val="21"/>
                <w:highlight w:val="none"/>
              </w:rPr>
            </w:pPr>
            <w:r>
              <w:rPr>
                <w:szCs w:val="21"/>
                <w:highlight w:val="none"/>
              </w:rPr>
              <w:t>投标文件签署</w:t>
            </w:r>
          </w:p>
        </w:tc>
        <w:tc>
          <w:tcPr>
            <w:tcW w:w="2809" w:type="pct"/>
            <w:vAlign w:val="center"/>
          </w:tcPr>
          <w:p>
            <w:pPr>
              <w:spacing w:line="360" w:lineRule="exact"/>
              <w:rPr>
                <w:kern w:val="0"/>
                <w:szCs w:val="21"/>
                <w:highlight w:val="none"/>
              </w:rPr>
            </w:pPr>
            <w:r>
              <w:rPr>
                <w:szCs w:val="21"/>
                <w:highlight w:val="none"/>
              </w:rPr>
              <w:t>投标文件上法定代表人或其授权代表人已按要求签字（或签章）盖章（或电子签章）。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9" w:type="pct"/>
            <w:vMerge w:val="continue"/>
            <w:vAlign w:val="center"/>
          </w:tcPr>
          <w:p>
            <w:pPr>
              <w:spacing w:line="360" w:lineRule="exact"/>
              <w:jc w:val="center"/>
              <w:rPr>
                <w:szCs w:val="21"/>
                <w:highlight w:val="none"/>
              </w:rPr>
            </w:pPr>
          </w:p>
        </w:tc>
        <w:tc>
          <w:tcPr>
            <w:tcW w:w="810" w:type="pct"/>
            <w:vMerge w:val="continue"/>
            <w:vAlign w:val="center"/>
          </w:tcPr>
          <w:p>
            <w:pPr>
              <w:spacing w:line="360" w:lineRule="exact"/>
              <w:rPr>
                <w:kern w:val="0"/>
                <w:szCs w:val="21"/>
                <w:highlight w:val="none"/>
              </w:rPr>
            </w:pPr>
          </w:p>
        </w:tc>
        <w:tc>
          <w:tcPr>
            <w:tcW w:w="1030" w:type="pct"/>
            <w:vAlign w:val="center"/>
          </w:tcPr>
          <w:p>
            <w:pPr>
              <w:spacing w:line="360" w:lineRule="exact"/>
              <w:rPr>
                <w:szCs w:val="21"/>
                <w:highlight w:val="none"/>
              </w:rPr>
            </w:pPr>
            <w:r>
              <w:rPr>
                <w:szCs w:val="21"/>
                <w:highlight w:val="none"/>
              </w:rPr>
              <w:t>法定代表人身份证明及授权委托书</w:t>
            </w:r>
          </w:p>
        </w:tc>
        <w:tc>
          <w:tcPr>
            <w:tcW w:w="2809" w:type="pct"/>
            <w:vAlign w:val="center"/>
          </w:tcPr>
          <w:p>
            <w:pPr>
              <w:spacing w:line="360" w:lineRule="exact"/>
              <w:rPr>
                <w:szCs w:val="21"/>
                <w:highlight w:val="none"/>
              </w:rPr>
            </w:pPr>
            <w:r>
              <w:rPr>
                <w:rFonts w:hint="eastAsia"/>
                <w:szCs w:val="21"/>
                <w:highlight w:val="none"/>
              </w:rPr>
              <w:t>授权</w:t>
            </w:r>
            <w:r>
              <w:rPr>
                <w:szCs w:val="21"/>
                <w:highlight w:val="none"/>
              </w:rPr>
              <w:t>代表</w:t>
            </w:r>
            <w:r>
              <w:rPr>
                <w:rFonts w:hint="eastAsia"/>
                <w:szCs w:val="21"/>
                <w:highlight w:val="none"/>
              </w:rPr>
              <w:t>参加投标</w:t>
            </w:r>
            <w:r>
              <w:rPr>
                <w:szCs w:val="21"/>
                <w:highlight w:val="none"/>
              </w:rPr>
              <w:t>时审查</w:t>
            </w:r>
            <w:r>
              <w:rPr>
                <w:highlight w:val="none"/>
              </w:rPr>
              <w:t>：</w:t>
            </w:r>
            <w:r>
              <w:rPr>
                <w:rFonts w:ascii="宋体" w:hAnsi="宋体"/>
                <w:szCs w:val="21"/>
                <w:highlight w:val="none"/>
              </w:rPr>
              <w:t>法定代表人授权委托书及附件，格式及附件见</w:t>
            </w:r>
            <w:bookmarkStart w:id="210" w:name="OLE_LINK31"/>
            <w:r>
              <w:rPr>
                <w:rFonts w:hint="eastAsia" w:ascii="宋体" w:hAnsi="宋体"/>
                <w:szCs w:val="21"/>
                <w:highlight w:val="none"/>
              </w:rPr>
              <w:t>“</w:t>
            </w:r>
            <w:r>
              <w:rPr>
                <w:rFonts w:ascii="宋体" w:hAnsi="宋体"/>
                <w:szCs w:val="21"/>
                <w:highlight w:val="none"/>
              </w:rPr>
              <w:t>第六章</w:t>
            </w:r>
            <w:r>
              <w:rPr>
                <w:rFonts w:hint="eastAsia" w:ascii="宋体" w:hAnsi="宋体"/>
                <w:szCs w:val="21"/>
                <w:highlight w:val="none"/>
              </w:rPr>
              <w:t xml:space="preserve"> </w:t>
            </w:r>
            <w:r>
              <w:rPr>
                <w:rFonts w:ascii="宋体" w:hAnsi="宋体"/>
                <w:szCs w:val="21"/>
                <w:highlight w:val="none"/>
              </w:rPr>
              <w:t>投标文件格式</w:t>
            </w:r>
            <w:r>
              <w:rPr>
                <w:rFonts w:hint="eastAsia" w:ascii="宋体" w:hAnsi="宋体"/>
                <w:szCs w:val="21"/>
                <w:highlight w:val="none"/>
              </w:rPr>
              <w:t>”</w:t>
            </w:r>
            <w:bookmarkEnd w:id="210"/>
            <w:r>
              <w:rPr>
                <w:rFonts w:ascii="宋体" w:hAnsi="宋体"/>
                <w:szCs w:val="21"/>
                <w:highlight w:val="none"/>
              </w:rPr>
              <w:t>要求；</w:t>
            </w:r>
          </w:p>
          <w:p>
            <w:pPr>
              <w:spacing w:line="360" w:lineRule="exact"/>
              <w:rPr>
                <w:szCs w:val="21"/>
                <w:highlight w:val="none"/>
              </w:rPr>
            </w:pPr>
            <w:r>
              <w:rPr>
                <w:rFonts w:hint="eastAsia"/>
                <w:szCs w:val="21"/>
                <w:highlight w:val="none"/>
              </w:rPr>
              <w:t>法定代表人直接参加投标</w:t>
            </w:r>
            <w:r>
              <w:rPr>
                <w:szCs w:val="21"/>
                <w:highlight w:val="none"/>
              </w:rPr>
              <w:t>时审查</w:t>
            </w:r>
            <w:r>
              <w:rPr>
                <w:highlight w:val="none"/>
              </w:rPr>
              <w:t>：</w:t>
            </w:r>
            <w:r>
              <w:rPr>
                <w:rFonts w:ascii="宋体" w:hAnsi="宋体"/>
                <w:szCs w:val="21"/>
                <w:highlight w:val="none"/>
              </w:rPr>
              <w:t>法定代表人身份证明</w:t>
            </w:r>
            <w:r>
              <w:rPr>
                <w:rFonts w:hint="eastAsia" w:ascii="宋体" w:hAnsi="宋体"/>
                <w:szCs w:val="21"/>
                <w:highlight w:val="none"/>
              </w:rPr>
              <w:t>及</w:t>
            </w:r>
            <w:r>
              <w:rPr>
                <w:rFonts w:ascii="宋体" w:hAnsi="宋体"/>
                <w:szCs w:val="21"/>
                <w:highlight w:val="none"/>
              </w:rPr>
              <w:t>附件，格式及附件见</w:t>
            </w:r>
            <w:r>
              <w:rPr>
                <w:rFonts w:hint="eastAsia" w:ascii="宋体" w:hAnsi="宋体"/>
                <w:szCs w:val="21"/>
                <w:highlight w:val="none"/>
              </w:rPr>
              <w:t>“</w:t>
            </w:r>
            <w:r>
              <w:rPr>
                <w:rFonts w:ascii="宋体" w:hAnsi="宋体"/>
                <w:szCs w:val="21"/>
                <w:highlight w:val="none"/>
              </w:rPr>
              <w:t>第六章</w:t>
            </w:r>
            <w:r>
              <w:rPr>
                <w:rFonts w:hint="eastAsia" w:ascii="宋体" w:hAnsi="宋体"/>
                <w:szCs w:val="21"/>
                <w:highlight w:val="none"/>
              </w:rPr>
              <w:t xml:space="preserve"> </w:t>
            </w:r>
            <w:r>
              <w:rPr>
                <w:rFonts w:ascii="宋体" w:hAnsi="宋体"/>
                <w:szCs w:val="21"/>
                <w:highlight w:val="none"/>
              </w:rPr>
              <w:t>投标文件格式</w:t>
            </w:r>
            <w:r>
              <w:rPr>
                <w:rFonts w:hint="eastAsia" w:ascii="宋体" w:hAnsi="宋体"/>
                <w:szCs w:val="21"/>
                <w:highlight w:val="none"/>
              </w:rPr>
              <w:t>”</w:t>
            </w:r>
            <w:r>
              <w:rPr>
                <w:rFonts w:ascii="宋体" w:hAnsi="宋体"/>
                <w:szCs w:val="21"/>
                <w:highlight w:val="none"/>
              </w:rPr>
              <w:t>要求</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49" w:type="pct"/>
            <w:vMerge w:val="continue"/>
            <w:vAlign w:val="center"/>
          </w:tcPr>
          <w:p>
            <w:pPr>
              <w:spacing w:line="360" w:lineRule="exact"/>
              <w:jc w:val="center"/>
              <w:rPr>
                <w:kern w:val="0"/>
                <w:szCs w:val="21"/>
                <w:highlight w:val="none"/>
              </w:rPr>
            </w:pPr>
          </w:p>
        </w:tc>
        <w:tc>
          <w:tcPr>
            <w:tcW w:w="810" w:type="pct"/>
            <w:vMerge w:val="continue"/>
            <w:vAlign w:val="center"/>
          </w:tcPr>
          <w:p>
            <w:pPr>
              <w:spacing w:line="360" w:lineRule="exact"/>
              <w:rPr>
                <w:kern w:val="0"/>
                <w:szCs w:val="21"/>
                <w:highlight w:val="none"/>
              </w:rPr>
            </w:pPr>
          </w:p>
        </w:tc>
        <w:tc>
          <w:tcPr>
            <w:tcW w:w="1030" w:type="pct"/>
            <w:vAlign w:val="center"/>
          </w:tcPr>
          <w:p>
            <w:pPr>
              <w:spacing w:line="360" w:lineRule="exact"/>
              <w:rPr>
                <w:szCs w:val="21"/>
                <w:highlight w:val="none"/>
                <w:lang w:val="zh-CN"/>
              </w:rPr>
            </w:pPr>
            <w:r>
              <w:rPr>
                <w:rFonts w:hint="eastAsia"/>
                <w:highlight w:val="none"/>
              </w:rPr>
              <w:t>投标文件或者投标报价唯一性</w:t>
            </w:r>
          </w:p>
        </w:tc>
        <w:tc>
          <w:tcPr>
            <w:tcW w:w="2809" w:type="pct"/>
            <w:vAlign w:val="center"/>
          </w:tcPr>
          <w:p>
            <w:pPr>
              <w:spacing w:line="360" w:lineRule="exact"/>
              <w:rPr>
                <w:kern w:val="0"/>
                <w:szCs w:val="21"/>
                <w:highlight w:val="none"/>
              </w:rPr>
            </w:pPr>
            <w:r>
              <w:rPr>
                <w:rFonts w:hint="eastAsia"/>
                <w:highlight w:val="none"/>
              </w:rPr>
              <w:t>同</w:t>
            </w:r>
            <w:r>
              <w:rPr>
                <w:rFonts w:hint="eastAsia"/>
                <w:szCs w:val="21"/>
                <w:highlight w:val="none"/>
              </w:rPr>
              <w:t>一供应商不得提交两个以上不同的投标文件或者投标报价，但招标文件要求提交</w:t>
            </w:r>
            <w:r>
              <w:rPr>
                <w:szCs w:val="21"/>
                <w:highlight w:val="none"/>
              </w:rPr>
              <w:t>备选</w:t>
            </w:r>
            <w:r>
              <w:rPr>
                <w:rFonts w:hint="eastAsia"/>
                <w:szCs w:val="21"/>
                <w:highlight w:val="none"/>
              </w:rPr>
              <w:t>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49" w:type="pct"/>
            <w:vMerge w:val="continue"/>
            <w:vAlign w:val="center"/>
          </w:tcPr>
          <w:p>
            <w:pPr>
              <w:spacing w:line="360" w:lineRule="exact"/>
              <w:jc w:val="center"/>
              <w:rPr>
                <w:kern w:val="0"/>
                <w:szCs w:val="21"/>
                <w:highlight w:val="none"/>
              </w:rPr>
            </w:pPr>
          </w:p>
        </w:tc>
        <w:tc>
          <w:tcPr>
            <w:tcW w:w="810" w:type="pct"/>
            <w:vMerge w:val="continue"/>
            <w:vAlign w:val="center"/>
          </w:tcPr>
          <w:p>
            <w:pPr>
              <w:spacing w:line="360" w:lineRule="exact"/>
              <w:rPr>
                <w:kern w:val="0"/>
                <w:szCs w:val="21"/>
                <w:highlight w:val="none"/>
              </w:rPr>
            </w:pPr>
          </w:p>
        </w:tc>
        <w:tc>
          <w:tcPr>
            <w:tcW w:w="1030" w:type="pct"/>
            <w:vAlign w:val="center"/>
          </w:tcPr>
          <w:p>
            <w:pPr>
              <w:spacing w:line="360" w:lineRule="exact"/>
              <w:rPr>
                <w:highlight w:val="none"/>
              </w:rPr>
            </w:pPr>
            <w:r>
              <w:rPr>
                <w:highlight w:val="none"/>
              </w:rPr>
              <w:t>投标报价</w:t>
            </w:r>
          </w:p>
        </w:tc>
        <w:tc>
          <w:tcPr>
            <w:tcW w:w="2809" w:type="pct"/>
          </w:tcPr>
          <w:p>
            <w:pPr>
              <w:spacing w:line="360" w:lineRule="exact"/>
              <w:rPr>
                <w:highlight w:val="none"/>
              </w:rPr>
            </w:pPr>
            <w:r>
              <w:rPr>
                <w:szCs w:val="21"/>
                <w:highlight w:val="none"/>
              </w:rPr>
              <w:t>报价超出采购预算金额或最高限价（如有）的，否决其投标</w:t>
            </w:r>
            <w:r>
              <w:rPr>
                <w:highlight w:val="none"/>
              </w:rPr>
              <w:t>。</w:t>
            </w:r>
            <w:r>
              <w:rPr>
                <w:szCs w:val="21"/>
                <w:highlight w:val="none"/>
              </w:rPr>
              <w:t>提交选择性报价的，否决其投标。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9" w:type="pct"/>
            <w:vMerge w:val="continue"/>
            <w:vAlign w:val="center"/>
          </w:tcPr>
          <w:p>
            <w:pPr>
              <w:spacing w:line="360" w:lineRule="exact"/>
              <w:jc w:val="center"/>
              <w:rPr>
                <w:kern w:val="0"/>
                <w:szCs w:val="21"/>
                <w:highlight w:val="none"/>
              </w:rPr>
            </w:pPr>
          </w:p>
        </w:tc>
        <w:tc>
          <w:tcPr>
            <w:tcW w:w="810" w:type="pct"/>
            <w:vMerge w:val="continue"/>
            <w:vAlign w:val="center"/>
          </w:tcPr>
          <w:p>
            <w:pPr>
              <w:spacing w:line="360" w:lineRule="exact"/>
              <w:rPr>
                <w:kern w:val="0"/>
                <w:szCs w:val="21"/>
                <w:highlight w:val="none"/>
              </w:rPr>
            </w:pPr>
          </w:p>
        </w:tc>
        <w:tc>
          <w:tcPr>
            <w:tcW w:w="1030" w:type="pct"/>
            <w:vAlign w:val="center"/>
          </w:tcPr>
          <w:p>
            <w:pPr>
              <w:spacing w:line="360" w:lineRule="exact"/>
              <w:rPr>
                <w:szCs w:val="21"/>
                <w:highlight w:val="none"/>
                <w:lang w:val="zh-CN"/>
              </w:rPr>
            </w:pPr>
            <w:r>
              <w:rPr>
                <w:szCs w:val="21"/>
                <w:highlight w:val="none"/>
                <w:lang w:val="zh-CN"/>
              </w:rPr>
              <w:t>联合体供应商</w:t>
            </w:r>
          </w:p>
        </w:tc>
        <w:tc>
          <w:tcPr>
            <w:tcW w:w="2809" w:type="pct"/>
            <w:vAlign w:val="center"/>
          </w:tcPr>
          <w:p>
            <w:pPr>
              <w:spacing w:line="360" w:lineRule="exact"/>
              <w:rPr>
                <w:kern w:val="0"/>
                <w:szCs w:val="21"/>
                <w:highlight w:val="none"/>
              </w:rPr>
            </w:pPr>
            <w:r>
              <w:rPr>
                <w:rFonts w:hint="eastAsia"/>
                <w:szCs w:val="21"/>
                <w:highlight w:val="none"/>
                <w:lang w:val="zh-CN"/>
              </w:rPr>
              <w:t>不</w:t>
            </w:r>
            <w:r>
              <w:rPr>
                <w:szCs w:val="21"/>
                <w:highlight w:val="none"/>
                <w:lang w:val="zh-CN"/>
              </w:rPr>
              <w:t>接受联合体</w:t>
            </w:r>
            <w:r>
              <w:rPr>
                <w:rFonts w:hint="eastAsia"/>
                <w:szCs w:val="21"/>
                <w:highlight w:val="none"/>
                <w:lang w:val="zh-CN"/>
              </w:rPr>
              <w:t>。联合体投标的，作无效投标处理。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9" w:type="pct"/>
            <w:vMerge w:val="continue"/>
            <w:vAlign w:val="center"/>
          </w:tcPr>
          <w:p>
            <w:pPr>
              <w:spacing w:line="360" w:lineRule="exact"/>
              <w:jc w:val="center"/>
              <w:rPr>
                <w:kern w:val="0"/>
                <w:szCs w:val="21"/>
                <w:highlight w:val="none"/>
              </w:rPr>
            </w:pPr>
          </w:p>
        </w:tc>
        <w:tc>
          <w:tcPr>
            <w:tcW w:w="810" w:type="pct"/>
            <w:vMerge w:val="continue"/>
            <w:vAlign w:val="center"/>
          </w:tcPr>
          <w:p>
            <w:pPr>
              <w:spacing w:line="360" w:lineRule="exact"/>
              <w:rPr>
                <w:kern w:val="0"/>
                <w:szCs w:val="21"/>
                <w:highlight w:val="none"/>
              </w:rPr>
            </w:pPr>
          </w:p>
        </w:tc>
        <w:tc>
          <w:tcPr>
            <w:tcW w:w="1030" w:type="pct"/>
            <w:vAlign w:val="center"/>
          </w:tcPr>
          <w:p>
            <w:pPr>
              <w:spacing w:line="360" w:lineRule="exact"/>
              <w:rPr>
                <w:szCs w:val="21"/>
                <w:highlight w:val="none"/>
              </w:rPr>
            </w:pPr>
            <w:r>
              <w:rPr>
                <w:szCs w:val="21"/>
                <w:highlight w:val="none"/>
              </w:rPr>
              <w:t>转包</w:t>
            </w:r>
            <w:r>
              <w:rPr>
                <w:rFonts w:hint="eastAsia"/>
                <w:szCs w:val="21"/>
                <w:highlight w:val="none"/>
              </w:rPr>
              <w:t>及</w:t>
            </w:r>
            <w:r>
              <w:rPr>
                <w:szCs w:val="21"/>
                <w:highlight w:val="none"/>
              </w:rPr>
              <w:t>分包</w:t>
            </w:r>
          </w:p>
        </w:tc>
        <w:tc>
          <w:tcPr>
            <w:tcW w:w="2809" w:type="pct"/>
            <w:vAlign w:val="center"/>
          </w:tcPr>
          <w:p>
            <w:pPr>
              <w:spacing w:line="360" w:lineRule="exact"/>
              <w:rPr>
                <w:szCs w:val="21"/>
                <w:highlight w:val="none"/>
              </w:rPr>
            </w:pPr>
            <w:r>
              <w:rPr>
                <w:szCs w:val="21"/>
                <w:highlight w:val="none"/>
              </w:rPr>
              <w:t>满足招标文件规定</w:t>
            </w: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49" w:type="pct"/>
            <w:vMerge w:val="restart"/>
            <w:vAlign w:val="center"/>
          </w:tcPr>
          <w:p>
            <w:pPr>
              <w:spacing w:line="360" w:lineRule="exact"/>
              <w:jc w:val="center"/>
              <w:rPr>
                <w:szCs w:val="21"/>
                <w:highlight w:val="none"/>
              </w:rPr>
            </w:pPr>
            <w:r>
              <w:rPr>
                <w:rFonts w:hint="eastAsia"/>
                <w:szCs w:val="21"/>
                <w:highlight w:val="none"/>
              </w:rPr>
              <w:t>2</w:t>
            </w:r>
          </w:p>
        </w:tc>
        <w:tc>
          <w:tcPr>
            <w:tcW w:w="810" w:type="pct"/>
            <w:vMerge w:val="restart"/>
            <w:vAlign w:val="center"/>
          </w:tcPr>
          <w:p>
            <w:pPr>
              <w:spacing w:line="360" w:lineRule="exact"/>
              <w:rPr>
                <w:szCs w:val="21"/>
                <w:highlight w:val="none"/>
                <w:lang w:val="zh-CN"/>
              </w:rPr>
            </w:pPr>
            <w:r>
              <w:rPr>
                <w:kern w:val="0"/>
                <w:szCs w:val="21"/>
                <w:highlight w:val="none"/>
              </w:rPr>
              <w:t>对招标文件的响应程度审查</w:t>
            </w:r>
          </w:p>
        </w:tc>
        <w:tc>
          <w:tcPr>
            <w:tcW w:w="1030" w:type="pct"/>
            <w:vAlign w:val="center"/>
          </w:tcPr>
          <w:p>
            <w:pPr>
              <w:spacing w:line="360" w:lineRule="exact"/>
              <w:rPr>
                <w:szCs w:val="21"/>
                <w:highlight w:val="none"/>
                <w:lang w:val="zh-CN"/>
              </w:rPr>
            </w:pPr>
            <w:r>
              <w:rPr>
                <w:szCs w:val="21"/>
                <w:highlight w:val="none"/>
                <w:lang w:val="zh-CN"/>
              </w:rPr>
              <w:t>实质性条款响应</w:t>
            </w:r>
          </w:p>
        </w:tc>
        <w:tc>
          <w:tcPr>
            <w:tcW w:w="2809" w:type="pct"/>
            <w:vAlign w:val="center"/>
          </w:tcPr>
          <w:p>
            <w:pPr>
              <w:spacing w:line="360" w:lineRule="exact"/>
              <w:rPr>
                <w:szCs w:val="21"/>
                <w:highlight w:val="none"/>
                <w:lang w:val="zh-CN"/>
              </w:rPr>
            </w:pPr>
            <w:r>
              <w:rPr>
                <w:szCs w:val="21"/>
                <w:highlight w:val="none"/>
                <w:lang w:val="zh-CN"/>
              </w:rPr>
              <w:t>对招标文件中所有标注▲号的实质性条款要求响应均无负偏离</w:t>
            </w:r>
            <w:r>
              <w:rPr>
                <w:rFonts w:hint="eastAsia"/>
                <w:szCs w:val="21"/>
                <w:highlight w:val="none"/>
                <w:lang w:val="zh-CN"/>
              </w:rPr>
              <w:t>，并符合</w:t>
            </w:r>
            <w:r>
              <w:rPr>
                <w:rFonts w:hint="eastAsia"/>
                <w:szCs w:val="21"/>
                <w:highlight w:val="none"/>
              </w:rPr>
              <w:t>招标</w:t>
            </w:r>
            <w:r>
              <w:rPr>
                <w:rFonts w:hint="eastAsia"/>
                <w:szCs w:val="21"/>
                <w:highlight w:val="none"/>
                <w:lang w:val="zh-CN"/>
              </w:rPr>
              <w:t>文件其他实质性要求。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9" w:type="pct"/>
            <w:vMerge w:val="continue"/>
            <w:vAlign w:val="center"/>
          </w:tcPr>
          <w:p>
            <w:pPr>
              <w:spacing w:line="360" w:lineRule="exact"/>
              <w:jc w:val="center"/>
              <w:rPr>
                <w:kern w:val="0"/>
                <w:szCs w:val="21"/>
                <w:highlight w:val="none"/>
              </w:rPr>
            </w:pPr>
          </w:p>
        </w:tc>
        <w:tc>
          <w:tcPr>
            <w:tcW w:w="810" w:type="pct"/>
            <w:vMerge w:val="continue"/>
            <w:vAlign w:val="center"/>
          </w:tcPr>
          <w:p>
            <w:pPr>
              <w:spacing w:line="360" w:lineRule="exact"/>
              <w:rPr>
                <w:szCs w:val="21"/>
                <w:highlight w:val="none"/>
                <w:lang w:val="zh-CN"/>
              </w:rPr>
            </w:pPr>
          </w:p>
        </w:tc>
        <w:tc>
          <w:tcPr>
            <w:tcW w:w="1030" w:type="pct"/>
            <w:vAlign w:val="center"/>
          </w:tcPr>
          <w:p>
            <w:pPr>
              <w:spacing w:line="360" w:lineRule="exact"/>
              <w:rPr>
                <w:szCs w:val="21"/>
                <w:highlight w:val="none"/>
              </w:rPr>
            </w:pPr>
            <w:r>
              <w:rPr>
                <w:szCs w:val="21"/>
                <w:highlight w:val="none"/>
              </w:rPr>
              <w:t>投标有效期</w:t>
            </w:r>
          </w:p>
        </w:tc>
        <w:tc>
          <w:tcPr>
            <w:tcW w:w="2809" w:type="pct"/>
            <w:vAlign w:val="center"/>
          </w:tcPr>
          <w:p>
            <w:pPr>
              <w:spacing w:line="360" w:lineRule="exact"/>
              <w:rPr>
                <w:szCs w:val="21"/>
                <w:highlight w:val="none"/>
              </w:rPr>
            </w:pPr>
            <w:r>
              <w:rPr>
                <w:szCs w:val="21"/>
                <w:highlight w:val="none"/>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9" w:type="pct"/>
            <w:vMerge w:val="continue"/>
            <w:vAlign w:val="center"/>
          </w:tcPr>
          <w:p>
            <w:pPr>
              <w:spacing w:line="360" w:lineRule="exact"/>
              <w:jc w:val="center"/>
              <w:rPr>
                <w:kern w:val="0"/>
                <w:szCs w:val="21"/>
                <w:highlight w:val="none"/>
              </w:rPr>
            </w:pPr>
            <w:bookmarkStart w:id="211" w:name="_Hlk47714684"/>
          </w:p>
        </w:tc>
        <w:tc>
          <w:tcPr>
            <w:tcW w:w="810" w:type="pct"/>
            <w:vMerge w:val="continue"/>
            <w:vAlign w:val="center"/>
          </w:tcPr>
          <w:p>
            <w:pPr>
              <w:spacing w:line="360" w:lineRule="exact"/>
              <w:rPr>
                <w:szCs w:val="21"/>
                <w:highlight w:val="none"/>
                <w:lang w:val="zh-CN"/>
              </w:rPr>
            </w:pPr>
          </w:p>
        </w:tc>
        <w:tc>
          <w:tcPr>
            <w:tcW w:w="1030" w:type="pct"/>
            <w:vAlign w:val="center"/>
          </w:tcPr>
          <w:p>
            <w:pPr>
              <w:spacing w:line="360" w:lineRule="exact"/>
              <w:rPr>
                <w:szCs w:val="21"/>
                <w:highlight w:val="none"/>
              </w:rPr>
            </w:pPr>
            <w:r>
              <w:rPr>
                <w:rFonts w:hint="eastAsia"/>
                <w:szCs w:val="21"/>
                <w:highlight w:val="none"/>
              </w:rPr>
              <w:t>应答</w:t>
            </w:r>
            <w:r>
              <w:rPr>
                <w:szCs w:val="21"/>
                <w:highlight w:val="none"/>
                <w:lang w:val="zh-CN"/>
              </w:rPr>
              <w:t>响应</w:t>
            </w:r>
            <w:r>
              <w:rPr>
                <w:rFonts w:hint="eastAsia"/>
                <w:szCs w:val="21"/>
                <w:highlight w:val="none"/>
              </w:rPr>
              <w:t>有效性</w:t>
            </w:r>
          </w:p>
        </w:tc>
        <w:tc>
          <w:tcPr>
            <w:tcW w:w="2809" w:type="pct"/>
            <w:vAlign w:val="center"/>
          </w:tcPr>
          <w:p>
            <w:pPr>
              <w:spacing w:line="360" w:lineRule="exact"/>
              <w:rPr>
                <w:szCs w:val="21"/>
                <w:highlight w:val="none"/>
              </w:rPr>
            </w:pPr>
            <w:r>
              <w:rPr>
                <w:rFonts w:hint="eastAsia"/>
                <w:szCs w:val="21"/>
                <w:highlight w:val="none"/>
              </w:rPr>
              <w:t>不属于招标文件“第四章  评标方法及评标标准”中“6.投标有效性的认定（2）”被视为投标文件无效的情形。</w:t>
            </w:r>
          </w:p>
        </w:tc>
      </w:tr>
      <w:bookmarkEnd w:id="209"/>
    </w:tbl>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3.部分节能产品强制性采购要求</w:t>
      </w:r>
    </w:p>
    <w:p>
      <w:pPr>
        <w:suppressAutoHyphens/>
        <w:spacing w:line="360" w:lineRule="auto"/>
        <w:ind w:firstLine="420" w:firstLineChars="200"/>
        <w:rPr>
          <w:szCs w:val="21"/>
          <w:highlight w:val="none"/>
        </w:rPr>
      </w:pPr>
      <w:bookmarkStart w:id="212" w:name="OLE_LINK46"/>
      <w:r>
        <w:rPr>
          <w:szCs w:val="21"/>
          <w:highlight w:val="none"/>
        </w:rPr>
        <w:t>本项目采购范围如果包括</w:t>
      </w:r>
      <w:r>
        <w:rPr>
          <w:kern w:val="1"/>
          <w:szCs w:val="21"/>
          <w:highlight w:val="none"/>
          <w:lang w:eastAsia="ar-SA"/>
        </w:rPr>
        <w:t>政府强制采购的节能产品时</w:t>
      </w:r>
      <w:r>
        <w:rPr>
          <w:rFonts w:hint="eastAsia"/>
          <w:kern w:val="1"/>
          <w:szCs w:val="21"/>
          <w:highlight w:val="none"/>
        </w:rPr>
        <w:t>，</w:t>
      </w:r>
      <w:r>
        <w:rPr>
          <w:highlight w:val="none"/>
        </w:rPr>
        <w:t>评标委员会须根据</w:t>
      </w:r>
      <w:r>
        <w:rPr>
          <w:rFonts w:hint="eastAsia"/>
          <w:highlight w:val="none"/>
        </w:rPr>
        <w:t>以下</w:t>
      </w:r>
      <w:r>
        <w:rPr>
          <w:highlight w:val="none"/>
        </w:rPr>
        <w:t>规定评审</w:t>
      </w:r>
      <w:r>
        <w:rPr>
          <w:bCs/>
          <w:kern w:val="0"/>
          <w:szCs w:val="21"/>
          <w:highlight w:val="none"/>
        </w:rPr>
        <w:t>投标有效性</w:t>
      </w:r>
      <w:r>
        <w:rPr>
          <w:highlight w:val="none"/>
        </w:rPr>
        <w:t>。</w:t>
      </w:r>
    </w:p>
    <w:p>
      <w:pPr>
        <w:spacing w:line="360" w:lineRule="auto"/>
        <w:ind w:firstLine="420" w:firstLineChars="200"/>
        <w:rPr>
          <w:szCs w:val="21"/>
          <w:highlight w:val="none"/>
        </w:rPr>
      </w:pPr>
      <w:r>
        <w:rPr>
          <w:szCs w:val="21"/>
          <w:highlight w:val="none"/>
        </w:rPr>
        <w:t>本项目采购范围如果包括台式计算机、便携式计算机、平板式微型计算机、激光打印机、针式打印机、液晶显示器、制冷</w:t>
      </w:r>
      <w:r>
        <w:rPr>
          <w:rFonts w:hint="eastAsia"/>
          <w:szCs w:val="21"/>
          <w:highlight w:val="none"/>
        </w:rPr>
        <w:t>压缩机</w:t>
      </w:r>
      <w:r>
        <w:rPr>
          <w:szCs w:val="21"/>
          <w:highlight w:val="none"/>
        </w:rPr>
        <w:t>、空调机</w:t>
      </w:r>
      <w:r>
        <w:rPr>
          <w:rFonts w:hint="eastAsia"/>
          <w:szCs w:val="21"/>
          <w:highlight w:val="none"/>
        </w:rPr>
        <w:t>组</w:t>
      </w:r>
      <w:r>
        <w:rPr>
          <w:szCs w:val="21"/>
          <w:highlight w:val="none"/>
        </w:rPr>
        <w:t>、</w:t>
      </w:r>
      <w:r>
        <w:rPr>
          <w:rFonts w:hint="eastAsia"/>
          <w:szCs w:val="21"/>
          <w:highlight w:val="none"/>
        </w:rPr>
        <w:t>专用制冷、空调设备、</w:t>
      </w:r>
      <w:r>
        <w:rPr>
          <w:szCs w:val="21"/>
          <w:highlight w:val="none"/>
        </w:rPr>
        <w:t>镇流器、</w:t>
      </w:r>
      <w:r>
        <w:rPr>
          <w:rFonts w:hint="eastAsia"/>
          <w:szCs w:val="21"/>
          <w:highlight w:val="none"/>
        </w:rPr>
        <w:t>空调机、</w:t>
      </w:r>
      <w:r>
        <w:rPr>
          <w:szCs w:val="21"/>
          <w:highlight w:val="none"/>
        </w:rPr>
        <w:t>电热水器、普通照明用双端荧光灯、电视设备，</w:t>
      </w:r>
      <w:r>
        <w:rPr>
          <w:rFonts w:hint="eastAsia"/>
          <w:szCs w:val="21"/>
          <w:highlight w:val="none"/>
        </w:rPr>
        <w:t>视频设备</w:t>
      </w:r>
      <w:r>
        <w:rPr>
          <w:szCs w:val="21"/>
          <w:highlight w:val="none"/>
        </w:rPr>
        <w:t>、以及便器、水嘴等政府强制采购节能产品，相应产品</w:t>
      </w:r>
      <w:r>
        <w:rPr>
          <w:rFonts w:hint="eastAsia"/>
          <w:szCs w:val="21"/>
          <w:highlight w:val="none"/>
        </w:rPr>
        <w:t>必须使用节能产品政府采购品目清单内的产品，并处于有效期之内。否则，投标无效。</w:t>
      </w:r>
    </w:p>
    <w:bookmarkEnd w:id="211"/>
    <w:bookmarkEnd w:id="212"/>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4.相同品牌投标有效性认定</w:t>
      </w:r>
    </w:p>
    <w:p>
      <w:pPr>
        <w:spacing w:line="360" w:lineRule="auto"/>
        <w:ind w:firstLine="420" w:firstLineChars="200"/>
        <w:rPr>
          <w:highlight w:val="none"/>
        </w:rPr>
      </w:pPr>
      <w:r>
        <w:rPr>
          <w:highlight w:val="none"/>
        </w:rPr>
        <w:t>不同供应商提供的投标产品品牌相同时，评标委员会须根据</w:t>
      </w:r>
      <w:r>
        <w:rPr>
          <w:rFonts w:hint="eastAsia"/>
          <w:highlight w:val="none"/>
        </w:rPr>
        <w:t>以下</w:t>
      </w:r>
      <w:r>
        <w:rPr>
          <w:highlight w:val="none"/>
        </w:rPr>
        <w:t>规定评审</w:t>
      </w:r>
      <w:r>
        <w:rPr>
          <w:bCs/>
          <w:kern w:val="0"/>
          <w:szCs w:val="21"/>
          <w:highlight w:val="none"/>
        </w:rPr>
        <w:t>相同品牌的投标有效性</w:t>
      </w:r>
      <w:r>
        <w:rPr>
          <w:highlight w:val="none"/>
        </w:rPr>
        <w:t>。</w:t>
      </w:r>
    </w:p>
    <w:p>
      <w:pPr>
        <w:spacing w:line="360" w:lineRule="auto"/>
        <w:ind w:firstLine="420" w:firstLineChars="200"/>
        <w:rPr>
          <w:szCs w:val="21"/>
          <w:highlight w:val="none"/>
        </w:rPr>
      </w:pPr>
      <w:r>
        <w:rPr>
          <w:rFonts w:hint="eastAsia"/>
          <w:szCs w:val="21"/>
          <w:highlight w:val="none"/>
        </w:rPr>
        <w:t>（1）</w:t>
      </w:r>
      <w:r>
        <w:rPr>
          <w:szCs w:val="21"/>
          <w:highlight w:val="none"/>
        </w:rPr>
        <w:t>如若提供相同品牌产品且通过资格审查、符合性审查的不同供应商参加同一合同项下投标的，按一家供应商计算，评审后得分最高的同品牌供应商获得中标人推荐资格；评审得分相同的，</w:t>
      </w:r>
      <w:r>
        <w:rPr>
          <w:highlight w:val="none"/>
        </w:rPr>
        <w:t>由（</w:t>
      </w:r>
      <w:r>
        <w:rPr>
          <w:szCs w:val="21"/>
          <w:highlight w:val="none"/>
        </w:rPr>
        <w:sym w:font="Wingdings 2" w:char="F052"/>
      </w:r>
      <w:r>
        <w:rPr>
          <w:highlight w:val="none"/>
        </w:rPr>
        <w:t>采购人</w:t>
      </w:r>
      <w:r>
        <w:rPr>
          <w:szCs w:val="21"/>
          <w:highlight w:val="none"/>
        </w:rPr>
        <w:t>；</w:t>
      </w:r>
      <w:r>
        <w:rPr>
          <w:szCs w:val="21"/>
          <w:highlight w:val="none"/>
        </w:rPr>
        <w:sym w:font="Wingdings 2" w:char="F0A3"/>
      </w:r>
      <w:r>
        <w:rPr>
          <w:highlight w:val="none"/>
        </w:rPr>
        <w:t>采购人委托评标委员会）按照报价低者推荐</w:t>
      </w:r>
      <w:r>
        <w:rPr>
          <w:szCs w:val="21"/>
          <w:highlight w:val="none"/>
        </w:rPr>
        <w:t>中标人资格</w:t>
      </w:r>
      <w:r>
        <w:rPr>
          <w:highlight w:val="none"/>
        </w:rPr>
        <w:t>，如报价仍相同，则按技术部分得分高者推荐</w:t>
      </w:r>
      <w:r>
        <w:rPr>
          <w:szCs w:val="21"/>
          <w:highlight w:val="none"/>
        </w:rPr>
        <w:t>中标人资格</w:t>
      </w:r>
      <w:r>
        <w:rPr>
          <w:highlight w:val="none"/>
        </w:rPr>
        <w:t>，仍相同的，则按商务部分得分高者推荐</w:t>
      </w:r>
      <w:r>
        <w:rPr>
          <w:szCs w:val="21"/>
          <w:highlight w:val="none"/>
        </w:rPr>
        <w:t>中标人资格</w:t>
      </w:r>
      <w:r>
        <w:rPr>
          <w:highlight w:val="none"/>
        </w:rPr>
        <w:t>，若仍相同，则按业绩得分高者推荐中标人资格，其他同品牌供应商不作为中标候选人。</w:t>
      </w:r>
    </w:p>
    <w:p>
      <w:pPr>
        <w:spacing w:line="360" w:lineRule="auto"/>
        <w:ind w:firstLine="420" w:firstLineChars="200"/>
        <w:rPr>
          <w:szCs w:val="21"/>
          <w:highlight w:val="none"/>
        </w:rPr>
      </w:pPr>
      <w:r>
        <w:rPr>
          <w:rFonts w:hint="eastAsia"/>
          <w:szCs w:val="21"/>
          <w:highlight w:val="none"/>
        </w:rPr>
        <w:t>（2）</w:t>
      </w:r>
      <w:r>
        <w:rPr>
          <w:szCs w:val="21"/>
          <w:highlight w:val="none"/>
        </w:rPr>
        <w:t>非单一产品采购项目，采购人应当确定核心产品，并在招标文件中载明。多家供应商提供的核心产品品牌相同的，按上述规定处理。核心产品的定义见“采购需求”规定。</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5.串通投标的认定</w:t>
      </w:r>
    </w:p>
    <w:p>
      <w:pPr>
        <w:spacing w:line="360" w:lineRule="auto"/>
        <w:ind w:firstLine="420" w:firstLineChars="200"/>
        <w:rPr>
          <w:highlight w:val="none"/>
        </w:rPr>
      </w:pPr>
      <w:r>
        <w:rPr>
          <w:highlight w:val="none"/>
        </w:rPr>
        <w:t>评标委员会须根据</w:t>
      </w:r>
      <w:r>
        <w:rPr>
          <w:rFonts w:hint="eastAsia"/>
          <w:highlight w:val="none"/>
        </w:rPr>
        <w:t>以下</w:t>
      </w:r>
      <w:r>
        <w:rPr>
          <w:highlight w:val="none"/>
        </w:rPr>
        <w:t>规定评审</w:t>
      </w:r>
      <w:r>
        <w:rPr>
          <w:bCs/>
          <w:kern w:val="0"/>
          <w:szCs w:val="21"/>
          <w:highlight w:val="none"/>
        </w:rPr>
        <w:t>供应商是否有串通投标的行为，并按规定判定投标是否有效</w:t>
      </w:r>
      <w:r>
        <w:rPr>
          <w:highlight w:val="none"/>
        </w:rPr>
        <w:t>。</w:t>
      </w:r>
    </w:p>
    <w:p>
      <w:pPr>
        <w:spacing w:line="360" w:lineRule="auto"/>
        <w:ind w:firstLine="420" w:firstLineChars="200"/>
        <w:rPr>
          <w:szCs w:val="21"/>
          <w:highlight w:val="none"/>
        </w:rPr>
      </w:pPr>
      <w:bookmarkStart w:id="213" w:name="_Hlk19122026"/>
      <w:r>
        <w:rPr>
          <w:rFonts w:hint="eastAsia"/>
          <w:szCs w:val="21"/>
          <w:highlight w:val="none"/>
        </w:rPr>
        <w:t>（1）</w:t>
      </w:r>
      <w:bookmarkEnd w:id="213"/>
      <w:r>
        <w:rPr>
          <w:szCs w:val="21"/>
          <w:highlight w:val="none"/>
        </w:rPr>
        <w:t>根据桂财采[2016]42号《关于防治政府采购招标中串通投标行为的通知》规定，出现下述情况的，相关供应商的投标作无效投标处理。</w:t>
      </w:r>
    </w:p>
    <w:p>
      <w:pPr>
        <w:spacing w:line="360" w:lineRule="auto"/>
        <w:ind w:firstLine="420" w:firstLineChars="200"/>
        <w:rPr>
          <w:szCs w:val="21"/>
          <w:highlight w:val="none"/>
        </w:rPr>
      </w:pPr>
      <w:bookmarkStart w:id="214" w:name="_Hlk19122039"/>
      <w:r>
        <w:rPr>
          <w:rFonts w:hint="eastAsia" w:ascii="宋体" w:hAnsi="宋体" w:cs="宋体"/>
          <w:szCs w:val="21"/>
          <w:highlight w:val="none"/>
        </w:rPr>
        <w:t>①</w:t>
      </w:r>
      <w:r>
        <w:rPr>
          <w:szCs w:val="21"/>
          <w:highlight w:val="none"/>
        </w:rPr>
        <w:t>单位负责人为同一人或者存在直接控股、管理关系，参加同一合同项下政府采购活动的不同供应商。</w:t>
      </w:r>
    </w:p>
    <w:p>
      <w:pPr>
        <w:spacing w:line="360" w:lineRule="auto"/>
        <w:ind w:firstLine="420" w:firstLineChars="200"/>
        <w:rPr>
          <w:szCs w:val="21"/>
          <w:highlight w:val="none"/>
        </w:rPr>
      </w:pPr>
      <w:r>
        <w:rPr>
          <w:rFonts w:hint="eastAsia"/>
          <w:szCs w:val="21"/>
          <w:highlight w:val="none"/>
        </w:rPr>
        <w:t>②</w:t>
      </w:r>
      <w:r>
        <w:rPr>
          <w:szCs w:val="21"/>
          <w:highlight w:val="none"/>
        </w:rPr>
        <w:t>授权给供应商后参加同一合同项（分标、分包）投标的生产厂商。</w:t>
      </w:r>
    </w:p>
    <w:p>
      <w:pPr>
        <w:spacing w:line="360" w:lineRule="auto"/>
        <w:ind w:firstLine="420" w:firstLineChars="200"/>
        <w:rPr>
          <w:szCs w:val="21"/>
          <w:highlight w:val="none"/>
        </w:rPr>
      </w:pPr>
      <w:r>
        <w:rPr>
          <w:rFonts w:hint="eastAsia"/>
          <w:szCs w:val="21"/>
          <w:highlight w:val="none"/>
        </w:rPr>
        <w:t>③</w:t>
      </w:r>
      <w:r>
        <w:rPr>
          <w:szCs w:val="21"/>
          <w:highlight w:val="none"/>
        </w:rPr>
        <w:t>视为或被认定为串通投标的相关供应商。</w:t>
      </w:r>
    </w:p>
    <w:bookmarkEnd w:id="214"/>
    <w:p>
      <w:pPr>
        <w:spacing w:line="360" w:lineRule="auto"/>
        <w:ind w:firstLine="420" w:firstLineChars="200"/>
        <w:rPr>
          <w:szCs w:val="21"/>
          <w:highlight w:val="none"/>
        </w:rPr>
      </w:pPr>
      <w:bookmarkStart w:id="215" w:name="_Hlk19122058"/>
      <w:r>
        <w:rPr>
          <w:rFonts w:hint="eastAsia"/>
          <w:szCs w:val="21"/>
          <w:highlight w:val="none"/>
        </w:rPr>
        <w:t>（2）</w:t>
      </w:r>
      <w:bookmarkEnd w:id="215"/>
      <w:r>
        <w:rPr>
          <w:szCs w:val="21"/>
          <w:highlight w:val="none"/>
        </w:rPr>
        <w:t>根据桂财采[2016]42号《关于防治政府采购招标中串通投标行为的通知》规定，有下列情形之一的视为供应商相互串通投标，投标文件将被视为无效。</w:t>
      </w:r>
    </w:p>
    <w:p>
      <w:pPr>
        <w:spacing w:line="360" w:lineRule="auto"/>
        <w:ind w:firstLine="420" w:firstLineChars="200"/>
        <w:rPr>
          <w:szCs w:val="21"/>
          <w:highlight w:val="none"/>
        </w:rPr>
      </w:pPr>
      <w:bookmarkStart w:id="216" w:name="_Hlk19122048"/>
      <w:r>
        <w:rPr>
          <w:rFonts w:hint="eastAsia" w:ascii="宋体" w:hAnsi="宋体" w:cs="宋体"/>
          <w:szCs w:val="21"/>
          <w:highlight w:val="none"/>
        </w:rPr>
        <w:t>①</w:t>
      </w:r>
      <w:r>
        <w:rPr>
          <w:szCs w:val="21"/>
          <w:highlight w:val="none"/>
        </w:rPr>
        <w:t>不同供应商的投标文件由同一单位或者个人编制；或不同供应商报名的IP地址一致的；</w:t>
      </w:r>
    </w:p>
    <w:p>
      <w:pPr>
        <w:spacing w:line="360" w:lineRule="auto"/>
        <w:ind w:firstLine="420" w:firstLineChars="200"/>
        <w:rPr>
          <w:szCs w:val="21"/>
          <w:highlight w:val="none"/>
        </w:rPr>
      </w:pPr>
      <w:r>
        <w:rPr>
          <w:rFonts w:hint="eastAsia"/>
          <w:szCs w:val="21"/>
          <w:highlight w:val="none"/>
        </w:rPr>
        <w:t>②</w:t>
      </w:r>
      <w:r>
        <w:rPr>
          <w:szCs w:val="21"/>
          <w:highlight w:val="none"/>
        </w:rPr>
        <w:t>不同供应商委托同一单位或者个人办理投标事宜；</w:t>
      </w:r>
    </w:p>
    <w:p>
      <w:pPr>
        <w:spacing w:line="360" w:lineRule="auto"/>
        <w:ind w:firstLine="420" w:firstLineChars="200"/>
        <w:rPr>
          <w:szCs w:val="21"/>
          <w:highlight w:val="none"/>
        </w:rPr>
      </w:pPr>
      <w:r>
        <w:rPr>
          <w:rFonts w:hint="eastAsia"/>
          <w:szCs w:val="21"/>
          <w:highlight w:val="none"/>
        </w:rPr>
        <w:t>③</w:t>
      </w:r>
      <w:r>
        <w:rPr>
          <w:szCs w:val="21"/>
          <w:highlight w:val="none"/>
        </w:rPr>
        <w:t>不同的供应商的投标文件载明的项目管理员为同一个人；</w:t>
      </w:r>
    </w:p>
    <w:p>
      <w:pPr>
        <w:spacing w:line="360" w:lineRule="auto"/>
        <w:ind w:firstLine="420" w:firstLineChars="200"/>
        <w:rPr>
          <w:szCs w:val="21"/>
          <w:highlight w:val="none"/>
        </w:rPr>
      </w:pPr>
      <w:r>
        <w:rPr>
          <w:rFonts w:hint="eastAsia"/>
          <w:szCs w:val="21"/>
          <w:highlight w:val="none"/>
        </w:rPr>
        <w:t>④</w:t>
      </w:r>
      <w:r>
        <w:rPr>
          <w:szCs w:val="21"/>
          <w:highlight w:val="none"/>
        </w:rPr>
        <w:t>不同供应商的投标文件异常一致或投标报价呈规律性差异；</w:t>
      </w:r>
    </w:p>
    <w:p>
      <w:pPr>
        <w:spacing w:line="360" w:lineRule="auto"/>
        <w:ind w:firstLine="420" w:firstLineChars="200"/>
        <w:rPr>
          <w:szCs w:val="21"/>
          <w:highlight w:val="none"/>
        </w:rPr>
      </w:pPr>
      <w:r>
        <w:rPr>
          <w:rFonts w:hint="eastAsia"/>
          <w:szCs w:val="21"/>
          <w:highlight w:val="none"/>
        </w:rPr>
        <w:t>⑤</w:t>
      </w:r>
      <w:r>
        <w:rPr>
          <w:szCs w:val="21"/>
          <w:highlight w:val="none"/>
        </w:rPr>
        <w:t>不同供应商的投标文件相互混装；</w:t>
      </w:r>
    </w:p>
    <w:p>
      <w:pPr>
        <w:spacing w:line="360" w:lineRule="auto"/>
        <w:ind w:firstLine="420" w:firstLineChars="200"/>
        <w:rPr>
          <w:szCs w:val="21"/>
          <w:highlight w:val="none"/>
        </w:rPr>
      </w:pPr>
      <w:r>
        <w:rPr>
          <w:rFonts w:hint="eastAsia"/>
          <w:szCs w:val="21"/>
          <w:highlight w:val="none"/>
        </w:rPr>
        <w:t>⑥</w:t>
      </w:r>
      <w:r>
        <w:rPr>
          <w:szCs w:val="21"/>
          <w:highlight w:val="none"/>
        </w:rPr>
        <w:t>不同供应商的保证金从同一单位或者个人账户转出。</w:t>
      </w:r>
    </w:p>
    <w:bookmarkEnd w:id="216"/>
    <w:p>
      <w:pPr>
        <w:spacing w:line="360" w:lineRule="auto"/>
        <w:ind w:firstLine="420" w:firstLineChars="200"/>
        <w:rPr>
          <w:szCs w:val="21"/>
          <w:highlight w:val="none"/>
        </w:rPr>
      </w:pPr>
      <w:bookmarkStart w:id="217" w:name="_Hlk19122102"/>
      <w:r>
        <w:rPr>
          <w:rFonts w:hint="eastAsia"/>
          <w:szCs w:val="21"/>
          <w:highlight w:val="none"/>
        </w:rPr>
        <w:t>（3）</w:t>
      </w:r>
      <w:bookmarkEnd w:id="217"/>
      <w:r>
        <w:rPr>
          <w:szCs w:val="21"/>
          <w:highlight w:val="none"/>
        </w:rPr>
        <w:t>根据桂财采[2016]42号《关于防治政府采购招标中串通投标行为的通知》规定，供应商有下列情形之一的，属于恶意串通行为，投标文件将被视为无效。</w:t>
      </w:r>
    </w:p>
    <w:p>
      <w:pPr>
        <w:spacing w:line="360" w:lineRule="auto"/>
        <w:ind w:firstLine="420" w:firstLineChars="200"/>
        <w:rPr>
          <w:szCs w:val="21"/>
          <w:highlight w:val="none"/>
        </w:rPr>
      </w:pPr>
      <w:bookmarkStart w:id="218" w:name="_Hlk19122095"/>
      <w:r>
        <w:rPr>
          <w:rFonts w:hint="eastAsia"/>
          <w:szCs w:val="21"/>
          <w:highlight w:val="none"/>
        </w:rPr>
        <w:t>①</w:t>
      </w:r>
      <w:r>
        <w:rPr>
          <w:szCs w:val="21"/>
          <w:highlight w:val="none"/>
        </w:rPr>
        <w:t>供应商直接或者间接从采购人或者采购代理机构处获得其他供应商的相关信息并修改其投标文件或者响应文件；</w:t>
      </w:r>
    </w:p>
    <w:p>
      <w:pPr>
        <w:spacing w:line="360" w:lineRule="auto"/>
        <w:ind w:firstLine="420" w:firstLineChars="200"/>
        <w:rPr>
          <w:szCs w:val="21"/>
          <w:highlight w:val="none"/>
        </w:rPr>
      </w:pPr>
      <w:r>
        <w:rPr>
          <w:rFonts w:hint="eastAsia"/>
          <w:szCs w:val="21"/>
          <w:highlight w:val="none"/>
        </w:rPr>
        <w:t>②</w:t>
      </w:r>
      <w:r>
        <w:rPr>
          <w:szCs w:val="21"/>
          <w:highlight w:val="none"/>
        </w:rPr>
        <w:t>供应商按照采购人或者采购代理机构的授意撤换、修改投标文件或者响应文件;；</w:t>
      </w:r>
    </w:p>
    <w:p>
      <w:pPr>
        <w:spacing w:line="360" w:lineRule="auto"/>
        <w:ind w:firstLine="420" w:firstLineChars="200"/>
        <w:rPr>
          <w:szCs w:val="21"/>
          <w:highlight w:val="none"/>
        </w:rPr>
      </w:pPr>
      <w:r>
        <w:rPr>
          <w:rFonts w:hint="eastAsia"/>
          <w:szCs w:val="21"/>
          <w:highlight w:val="none"/>
        </w:rPr>
        <w:t>③</w:t>
      </w:r>
      <w:r>
        <w:rPr>
          <w:szCs w:val="21"/>
          <w:highlight w:val="none"/>
        </w:rPr>
        <w:t>供应商之间协商报价、技术方案等投标文件或者响应文件的实质性内容；</w:t>
      </w:r>
    </w:p>
    <w:p>
      <w:pPr>
        <w:spacing w:line="360" w:lineRule="auto"/>
        <w:ind w:firstLine="420" w:firstLineChars="200"/>
        <w:rPr>
          <w:szCs w:val="21"/>
          <w:highlight w:val="none"/>
        </w:rPr>
      </w:pPr>
      <w:r>
        <w:rPr>
          <w:rFonts w:hint="eastAsia"/>
          <w:szCs w:val="21"/>
          <w:highlight w:val="none"/>
        </w:rPr>
        <w:t>④</w:t>
      </w:r>
      <w:r>
        <w:rPr>
          <w:szCs w:val="21"/>
          <w:highlight w:val="none"/>
        </w:rPr>
        <w:t>属于同一集团、协会、商会等组织成员的供应商按照该组织要求协同参加政府采购活动；</w:t>
      </w:r>
    </w:p>
    <w:p>
      <w:pPr>
        <w:spacing w:line="360" w:lineRule="auto"/>
        <w:ind w:firstLine="420" w:firstLineChars="200"/>
        <w:rPr>
          <w:szCs w:val="21"/>
          <w:highlight w:val="none"/>
        </w:rPr>
      </w:pPr>
      <w:r>
        <w:rPr>
          <w:rFonts w:hint="eastAsia"/>
          <w:szCs w:val="21"/>
          <w:highlight w:val="none"/>
        </w:rPr>
        <w:t>⑤</w:t>
      </w:r>
      <w:r>
        <w:rPr>
          <w:szCs w:val="21"/>
          <w:highlight w:val="none"/>
        </w:rPr>
        <w:t>供应商之间事先约定一致抬高或者压低投标报价，或者在招标项目中事先约定轮流以高价位或者低价位中标，或者事先约定由某一特定供应商中标，然后再参加投标；</w:t>
      </w:r>
    </w:p>
    <w:p>
      <w:pPr>
        <w:spacing w:line="360" w:lineRule="auto"/>
        <w:ind w:firstLine="420" w:firstLineChars="200"/>
        <w:rPr>
          <w:szCs w:val="21"/>
          <w:highlight w:val="none"/>
        </w:rPr>
      </w:pPr>
      <w:r>
        <w:rPr>
          <w:rFonts w:hint="eastAsia"/>
          <w:szCs w:val="21"/>
          <w:highlight w:val="none"/>
        </w:rPr>
        <w:t>⑥</w:t>
      </w:r>
      <w:r>
        <w:rPr>
          <w:szCs w:val="21"/>
          <w:highlight w:val="none"/>
        </w:rPr>
        <w:t>供应商之间商定部分供应商放弃参加政府采购活动或者放弃中标；</w:t>
      </w:r>
    </w:p>
    <w:p>
      <w:pPr>
        <w:spacing w:line="360" w:lineRule="auto"/>
        <w:ind w:firstLine="420" w:firstLineChars="200"/>
        <w:rPr>
          <w:szCs w:val="21"/>
          <w:highlight w:val="none"/>
        </w:rPr>
      </w:pPr>
      <w:r>
        <w:rPr>
          <w:rFonts w:hint="eastAsia"/>
          <w:szCs w:val="21"/>
          <w:highlight w:val="none"/>
        </w:rPr>
        <w:t>⑦</w:t>
      </w:r>
      <w:r>
        <w:rPr>
          <w:szCs w:val="21"/>
          <w:highlight w:val="none"/>
        </w:rPr>
        <w:t>供应商与采购人或者采购代理机构之间、供应商相互之间，为谋求特定供应商中标或者排斥其他供应商的其他串通行为。</w:t>
      </w:r>
    </w:p>
    <w:bookmarkEnd w:id="218"/>
    <w:p>
      <w:pPr>
        <w:adjustRightInd w:val="0"/>
        <w:spacing w:before="60" w:beforeLines="25" w:after="60" w:afterLines="25" w:line="360" w:lineRule="auto"/>
        <w:ind w:firstLine="422" w:firstLineChars="200"/>
        <w:outlineLvl w:val="2"/>
        <w:rPr>
          <w:b/>
          <w:bCs/>
          <w:kern w:val="0"/>
          <w:szCs w:val="21"/>
          <w:highlight w:val="none"/>
        </w:rPr>
      </w:pPr>
      <w:bookmarkStart w:id="219" w:name="OLE_LINK33"/>
      <w:r>
        <w:rPr>
          <w:rFonts w:hint="eastAsia"/>
          <w:b/>
          <w:bCs/>
          <w:kern w:val="0"/>
          <w:szCs w:val="21"/>
          <w:highlight w:val="none"/>
        </w:rPr>
        <w:t>6.投标有效性的认定</w:t>
      </w:r>
      <w:bookmarkEnd w:id="219"/>
    </w:p>
    <w:p>
      <w:pPr>
        <w:spacing w:line="360" w:lineRule="auto"/>
        <w:ind w:firstLine="422" w:firstLineChars="200"/>
        <w:rPr>
          <w:b/>
          <w:bCs/>
          <w:szCs w:val="21"/>
          <w:highlight w:val="none"/>
        </w:rPr>
      </w:pPr>
      <w:bookmarkStart w:id="220" w:name="_Hlk19113301"/>
      <w:r>
        <w:rPr>
          <w:rFonts w:hint="eastAsia"/>
          <w:b/>
          <w:bCs/>
          <w:szCs w:val="21"/>
          <w:highlight w:val="none"/>
        </w:rPr>
        <w:t>（</w:t>
      </w:r>
      <w:r>
        <w:rPr>
          <w:b/>
          <w:bCs/>
          <w:szCs w:val="21"/>
          <w:highlight w:val="none"/>
        </w:rPr>
        <w:t>1）资格审查时，如发现下列情形之一的，投标文件将被视为无效：</w:t>
      </w:r>
    </w:p>
    <w:p>
      <w:pPr>
        <w:spacing w:line="360" w:lineRule="auto"/>
        <w:ind w:firstLine="420" w:firstLineChars="200"/>
        <w:rPr>
          <w:rStyle w:val="138"/>
          <w:highlight w:val="none"/>
        </w:rPr>
      </w:pPr>
      <w:r>
        <w:rPr>
          <w:rFonts w:hint="eastAsia"/>
          <w:szCs w:val="21"/>
          <w:highlight w:val="none"/>
        </w:rPr>
        <w:t>①</w:t>
      </w:r>
      <w:r>
        <w:rPr>
          <w:highlight w:val="none"/>
        </w:rPr>
        <w:t>未按照招标文件的规定提交投标保证金的；</w:t>
      </w:r>
    </w:p>
    <w:p>
      <w:pPr>
        <w:spacing w:line="360" w:lineRule="auto"/>
        <w:ind w:firstLine="420" w:firstLineChars="200"/>
        <w:rPr>
          <w:highlight w:val="none"/>
        </w:rPr>
      </w:pPr>
      <w:r>
        <w:rPr>
          <w:rFonts w:hint="eastAsia"/>
          <w:szCs w:val="21"/>
          <w:highlight w:val="none"/>
        </w:rPr>
        <w:t>②</w:t>
      </w:r>
      <w:r>
        <w:rPr>
          <w:highlight w:val="none"/>
        </w:rPr>
        <w:t>不具备招标文件中规定的资格要求的；</w:t>
      </w:r>
    </w:p>
    <w:p>
      <w:pPr>
        <w:spacing w:line="360" w:lineRule="auto"/>
        <w:ind w:firstLine="420" w:firstLineChars="200"/>
        <w:rPr>
          <w:rStyle w:val="138"/>
          <w:szCs w:val="21"/>
          <w:highlight w:val="none"/>
        </w:rPr>
      </w:pPr>
      <w:r>
        <w:rPr>
          <w:rFonts w:hint="eastAsia"/>
          <w:szCs w:val="21"/>
          <w:highlight w:val="none"/>
        </w:rPr>
        <w:t>③</w:t>
      </w:r>
      <w:r>
        <w:rPr>
          <w:szCs w:val="21"/>
          <w:highlight w:val="none"/>
        </w:rPr>
        <w:t>投标文件签</w:t>
      </w:r>
      <w:r>
        <w:rPr>
          <w:rFonts w:hint="eastAsia"/>
          <w:szCs w:val="21"/>
          <w:highlight w:val="none"/>
        </w:rPr>
        <w:t>署（签</w:t>
      </w:r>
      <w:r>
        <w:rPr>
          <w:szCs w:val="21"/>
          <w:highlight w:val="none"/>
        </w:rPr>
        <w:t>名</w:t>
      </w:r>
      <w:r>
        <w:rPr>
          <w:rFonts w:hint="eastAsia"/>
          <w:szCs w:val="21"/>
          <w:highlight w:val="none"/>
        </w:rPr>
        <w:t>）</w:t>
      </w:r>
      <w:r>
        <w:rPr>
          <w:szCs w:val="21"/>
          <w:highlight w:val="none"/>
        </w:rPr>
        <w:t>、盖章不符合招标文件要求的</w:t>
      </w:r>
      <w:r>
        <w:rPr>
          <w:rFonts w:hint="eastAsia"/>
          <w:szCs w:val="21"/>
          <w:highlight w:val="none"/>
        </w:rPr>
        <w:t>；</w:t>
      </w:r>
    </w:p>
    <w:p>
      <w:pPr>
        <w:spacing w:line="360" w:lineRule="auto"/>
        <w:ind w:firstLine="422" w:firstLineChars="200"/>
        <w:rPr>
          <w:b/>
          <w:bCs/>
          <w:szCs w:val="21"/>
          <w:highlight w:val="none"/>
        </w:rPr>
      </w:pPr>
      <w:r>
        <w:rPr>
          <w:rFonts w:hint="eastAsia"/>
          <w:b/>
          <w:bCs/>
          <w:szCs w:val="21"/>
          <w:highlight w:val="none"/>
        </w:rPr>
        <w:t>（2</w:t>
      </w:r>
      <w:r>
        <w:rPr>
          <w:b/>
          <w:bCs/>
          <w:szCs w:val="21"/>
          <w:highlight w:val="none"/>
        </w:rPr>
        <w:t>）在符合性审查、商务和技术</w:t>
      </w:r>
      <w:r>
        <w:rPr>
          <w:rFonts w:hint="eastAsia"/>
          <w:b/>
          <w:bCs/>
          <w:szCs w:val="21"/>
          <w:highlight w:val="none"/>
        </w:rPr>
        <w:t>评审</w:t>
      </w:r>
      <w:r>
        <w:rPr>
          <w:b/>
          <w:bCs/>
          <w:szCs w:val="21"/>
          <w:highlight w:val="none"/>
        </w:rPr>
        <w:t>时，如发现下列情形之一的，</w:t>
      </w:r>
      <w:bookmarkStart w:id="221" w:name="OLE_LINK34"/>
      <w:bookmarkStart w:id="222" w:name="OLE_LINK35"/>
      <w:r>
        <w:rPr>
          <w:b/>
          <w:bCs/>
          <w:szCs w:val="21"/>
          <w:highlight w:val="none"/>
        </w:rPr>
        <w:t>投标文件</w:t>
      </w:r>
      <w:bookmarkEnd w:id="221"/>
      <w:r>
        <w:rPr>
          <w:b/>
          <w:bCs/>
          <w:szCs w:val="21"/>
          <w:highlight w:val="none"/>
        </w:rPr>
        <w:t>将被视为无效</w:t>
      </w:r>
      <w:bookmarkEnd w:id="222"/>
      <w:r>
        <w:rPr>
          <w:b/>
          <w:bCs/>
          <w:szCs w:val="21"/>
          <w:highlight w:val="none"/>
        </w:rPr>
        <w:t>：</w:t>
      </w:r>
    </w:p>
    <w:p>
      <w:pPr>
        <w:spacing w:line="360" w:lineRule="auto"/>
        <w:ind w:firstLine="420" w:firstLineChars="200"/>
        <w:rPr>
          <w:highlight w:val="none"/>
        </w:rPr>
      </w:pPr>
      <w:r>
        <w:rPr>
          <w:rFonts w:hint="eastAsia"/>
          <w:szCs w:val="21"/>
          <w:highlight w:val="none"/>
        </w:rPr>
        <w:t>①</w:t>
      </w:r>
      <w:r>
        <w:rPr>
          <w:highlight w:val="none"/>
        </w:rPr>
        <w:t>投标文件未按招标文件要求签署、盖章的；</w:t>
      </w:r>
    </w:p>
    <w:p>
      <w:pPr>
        <w:spacing w:line="360" w:lineRule="auto"/>
        <w:ind w:firstLine="420" w:firstLineChars="200"/>
        <w:rPr>
          <w:rStyle w:val="138"/>
          <w:highlight w:val="none"/>
        </w:rPr>
      </w:pPr>
      <w:r>
        <w:rPr>
          <w:rFonts w:hint="eastAsia"/>
          <w:szCs w:val="21"/>
          <w:highlight w:val="none"/>
        </w:rPr>
        <w:t>②</w:t>
      </w:r>
      <w:r>
        <w:rPr>
          <w:highlight w:val="none"/>
        </w:rPr>
        <w:t>投标文件未按招标文件要求</w:t>
      </w:r>
      <w:r>
        <w:rPr>
          <w:rFonts w:hint="eastAsia"/>
          <w:highlight w:val="none"/>
        </w:rPr>
        <w:t>提供第六章要求“必须提供”的内容</w:t>
      </w:r>
      <w:r>
        <w:rPr>
          <w:highlight w:val="none"/>
        </w:rPr>
        <w:t>的；</w:t>
      </w:r>
    </w:p>
    <w:p>
      <w:pPr>
        <w:spacing w:line="360" w:lineRule="auto"/>
        <w:ind w:firstLine="420" w:firstLineChars="200"/>
        <w:rPr>
          <w:rStyle w:val="138"/>
          <w:highlight w:val="none"/>
        </w:rPr>
      </w:pPr>
      <w:r>
        <w:rPr>
          <w:rFonts w:hint="eastAsia"/>
          <w:szCs w:val="21"/>
          <w:highlight w:val="none"/>
        </w:rPr>
        <w:t>③</w:t>
      </w:r>
      <w:r>
        <w:rPr>
          <w:highlight w:val="none"/>
        </w:rPr>
        <w:t>报价超过招标文件中规定的预算金额或者最高限价的；</w:t>
      </w:r>
    </w:p>
    <w:p>
      <w:pPr>
        <w:spacing w:line="360" w:lineRule="auto"/>
        <w:ind w:firstLine="420" w:firstLineChars="200"/>
        <w:rPr>
          <w:highlight w:val="none"/>
        </w:rPr>
      </w:pPr>
      <w:r>
        <w:rPr>
          <w:rFonts w:hint="eastAsia"/>
          <w:szCs w:val="21"/>
          <w:highlight w:val="none"/>
        </w:rPr>
        <w:t>④</w:t>
      </w:r>
      <w:r>
        <w:rPr>
          <w:highlight w:val="none"/>
        </w:rPr>
        <w:t>投标文件含有采购人不能接受的附加条件的</w:t>
      </w:r>
      <w:r>
        <w:rPr>
          <w:rFonts w:hint="eastAsia"/>
          <w:highlight w:val="none"/>
        </w:rPr>
        <w:t>；</w:t>
      </w:r>
    </w:p>
    <w:p>
      <w:pPr>
        <w:spacing w:line="360" w:lineRule="auto"/>
        <w:ind w:firstLine="420" w:firstLineChars="200"/>
        <w:rPr>
          <w:szCs w:val="21"/>
          <w:highlight w:val="none"/>
        </w:rPr>
      </w:pPr>
      <w:r>
        <w:rPr>
          <w:rFonts w:hint="eastAsia"/>
          <w:szCs w:val="21"/>
          <w:highlight w:val="none"/>
        </w:rPr>
        <w:t>⑤评审过程中发现投标文件中提供虚假材料的；</w:t>
      </w:r>
    </w:p>
    <w:p>
      <w:pPr>
        <w:spacing w:line="360" w:lineRule="auto"/>
        <w:ind w:firstLine="420" w:firstLineChars="200"/>
        <w:rPr>
          <w:szCs w:val="21"/>
          <w:highlight w:val="none"/>
        </w:rPr>
      </w:pPr>
      <w:r>
        <w:rPr>
          <w:rFonts w:hint="eastAsia" w:ascii="宋体" w:hAnsi="宋体"/>
          <w:szCs w:val="21"/>
          <w:highlight w:val="none"/>
        </w:rPr>
        <w:t>⑥</w:t>
      </w:r>
      <w:r>
        <w:rPr>
          <w:szCs w:val="21"/>
          <w:highlight w:val="none"/>
        </w:rPr>
        <w:t>法律、法规和招标文件规定的其他无效情形。</w:t>
      </w:r>
    </w:p>
    <w:bookmarkEnd w:id="220"/>
    <w:p>
      <w:pPr>
        <w:spacing w:line="360" w:lineRule="auto"/>
        <w:ind w:firstLine="420" w:firstLineChars="200"/>
        <w:rPr>
          <w:szCs w:val="21"/>
          <w:highlight w:val="none"/>
        </w:rPr>
      </w:pPr>
      <w:bookmarkStart w:id="223" w:name="_Hlk19113313"/>
      <w:r>
        <w:rPr>
          <w:rFonts w:hint="eastAsia"/>
          <w:szCs w:val="21"/>
          <w:highlight w:val="none"/>
        </w:rPr>
        <w:t>（</w:t>
      </w:r>
      <w:r>
        <w:rPr>
          <w:szCs w:val="21"/>
          <w:highlight w:val="none"/>
        </w:rPr>
        <w:t>3</w:t>
      </w:r>
      <w:r>
        <w:rPr>
          <w:rFonts w:hint="eastAsia"/>
          <w:szCs w:val="21"/>
          <w:highlight w:val="none"/>
        </w:rPr>
        <w:t>）根据</w:t>
      </w:r>
      <w:r>
        <w:rPr>
          <w:szCs w:val="21"/>
          <w:highlight w:val="none"/>
        </w:rPr>
        <w:t>财库〔2019〕38号</w:t>
      </w:r>
      <w:r>
        <w:rPr>
          <w:rFonts w:hint="eastAsia"/>
          <w:szCs w:val="21"/>
          <w:highlight w:val="none"/>
        </w:rPr>
        <w:t>《</w:t>
      </w:r>
      <w:r>
        <w:rPr>
          <w:szCs w:val="21"/>
          <w:highlight w:val="none"/>
        </w:rPr>
        <w:t>关于促进政府采购公平竞争优化营商环境的通知</w:t>
      </w:r>
      <w:r>
        <w:rPr>
          <w:rFonts w:hint="eastAsia"/>
          <w:szCs w:val="21"/>
          <w:highlight w:val="none"/>
        </w:rPr>
        <w:t>》以及桂财采〔2019〕41号 《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bookmarkEnd w:id="223"/>
    <w:p>
      <w:pPr>
        <w:adjustRightInd w:val="0"/>
        <w:spacing w:before="60" w:beforeLines="25" w:after="60" w:afterLines="25" w:line="360" w:lineRule="auto"/>
        <w:ind w:firstLine="422" w:firstLineChars="200"/>
        <w:outlineLvl w:val="2"/>
        <w:rPr>
          <w:b/>
          <w:bCs/>
          <w:kern w:val="0"/>
          <w:szCs w:val="21"/>
          <w:highlight w:val="none"/>
        </w:rPr>
      </w:pPr>
      <w:bookmarkStart w:id="224" w:name="_Hlk19176155"/>
      <w:r>
        <w:rPr>
          <w:rFonts w:hint="eastAsia"/>
          <w:b/>
          <w:bCs/>
          <w:kern w:val="0"/>
          <w:szCs w:val="21"/>
          <w:highlight w:val="none"/>
        </w:rPr>
        <w:t>7.澄清、说明或补正</w:t>
      </w:r>
    </w:p>
    <w:p>
      <w:pPr>
        <w:adjustRightInd w:val="0"/>
        <w:snapToGrid w:val="0"/>
        <w:spacing w:line="360" w:lineRule="auto"/>
        <w:ind w:firstLine="420" w:firstLineChars="200"/>
        <w:jc w:val="left"/>
        <w:rPr>
          <w:szCs w:val="21"/>
          <w:highlight w:val="none"/>
        </w:rPr>
      </w:pPr>
      <w:bookmarkStart w:id="225" w:name="_Hlk19113333"/>
      <w:r>
        <w:rPr>
          <w:szCs w:val="21"/>
          <w:highlight w:val="none"/>
        </w:rPr>
        <w:t>对投标文件中含义不明确、同类问题表述不一致或者有明显文字和计算错误的内容，</w:t>
      </w:r>
      <w:r>
        <w:rPr>
          <w:rFonts w:hint="eastAsia"/>
          <w:szCs w:val="21"/>
          <w:highlight w:val="none"/>
        </w:rPr>
        <w:t>评标委员会可要求供应商在合理时间内通过电话、电子邮件或传真等不见面、不接触的方式作出必要的澄清、说明或者纠正。内容不得超出投标文件的范围或者改变投标文件的实质性内容。逾期未做澄清、说明或者纠正的，经电话催告仍不澄清的，视为放弃。</w:t>
      </w:r>
    </w:p>
    <w:bookmarkEnd w:id="225"/>
    <w:p>
      <w:pPr>
        <w:adjustRightInd w:val="0"/>
        <w:spacing w:before="60" w:beforeLines="25" w:after="60" w:afterLines="25" w:line="360" w:lineRule="auto"/>
        <w:ind w:firstLine="422" w:firstLineChars="200"/>
        <w:outlineLvl w:val="2"/>
        <w:rPr>
          <w:b/>
          <w:bCs/>
          <w:kern w:val="0"/>
          <w:szCs w:val="21"/>
          <w:highlight w:val="none"/>
        </w:rPr>
      </w:pPr>
      <w:bookmarkStart w:id="226" w:name="_Hlk19113363"/>
      <w:r>
        <w:rPr>
          <w:rFonts w:hint="eastAsia"/>
          <w:b/>
          <w:bCs/>
          <w:kern w:val="0"/>
          <w:szCs w:val="21"/>
          <w:highlight w:val="none"/>
        </w:rPr>
        <w:t>8.报价修正</w:t>
      </w:r>
    </w:p>
    <w:p>
      <w:pPr>
        <w:spacing w:line="360" w:lineRule="auto"/>
        <w:ind w:firstLine="420" w:firstLineChars="200"/>
        <w:rPr>
          <w:szCs w:val="21"/>
          <w:highlight w:val="none"/>
        </w:rPr>
      </w:pPr>
      <w:r>
        <w:rPr>
          <w:szCs w:val="21"/>
          <w:highlight w:val="none"/>
        </w:rPr>
        <w:t>投标文件</w:t>
      </w:r>
      <w:r>
        <w:rPr>
          <w:rFonts w:hint="eastAsia"/>
          <w:szCs w:val="21"/>
          <w:highlight w:val="none"/>
        </w:rPr>
        <w:t>报价</w:t>
      </w:r>
      <w:r>
        <w:rPr>
          <w:szCs w:val="21"/>
          <w:highlight w:val="none"/>
        </w:rPr>
        <w:t>如果出现计算或表达上的错误，修正错误的原则如下：</w:t>
      </w:r>
    </w:p>
    <w:p>
      <w:pPr>
        <w:spacing w:line="360" w:lineRule="auto"/>
        <w:ind w:firstLine="420" w:firstLineChars="200"/>
        <w:rPr>
          <w:szCs w:val="21"/>
          <w:highlight w:val="none"/>
        </w:rPr>
      </w:pPr>
      <w:r>
        <w:rPr>
          <w:szCs w:val="21"/>
          <w:highlight w:val="none"/>
        </w:rPr>
        <w:t>（1）投标文件中开标一览表（报价表）内容与投标文件中相应内容不一致的，以开标一览表（报价表）为准；</w:t>
      </w:r>
    </w:p>
    <w:p>
      <w:pPr>
        <w:spacing w:line="360" w:lineRule="auto"/>
        <w:ind w:firstLine="420" w:firstLineChars="200"/>
        <w:rPr>
          <w:szCs w:val="21"/>
          <w:highlight w:val="none"/>
        </w:rPr>
      </w:pPr>
      <w:r>
        <w:rPr>
          <w:szCs w:val="21"/>
          <w:highlight w:val="none"/>
        </w:rPr>
        <w:t>（2）大写金额和小写金额不一致的，以大写金额为准；</w:t>
      </w:r>
    </w:p>
    <w:p>
      <w:pPr>
        <w:spacing w:line="360" w:lineRule="auto"/>
        <w:ind w:firstLine="420" w:firstLineChars="200"/>
        <w:rPr>
          <w:szCs w:val="21"/>
          <w:highlight w:val="none"/>
        </w:rPr>
      </w:pPr>
      <w:r>
        <w:rPr>
          <w:szCs w:val="21"/>
          <w:highlight w:val="none"/>
        </w:rPr>
        <w:t>（3）单价金额小数点或者百分比有明显错位的，以开标一览表的总价为准，并修改单价；</w:t>
      </w:r>
    </w:p>
    <w:p>
      <w:pPr>
        <w:spacing w:line="360" w:lineRule="auto"/>
        <w:ind w:firstLine="420" w:firstLineChars="200"/>
        <w:rPr>
          <w:szCs w:val="21"/>
          <w:highlight w:val="none"/>
        </w:rPr>
      </w:pPr>
      <w:r>
        <w:rPr>
          <w:szCs w:val="21"/>
          <w:highlight w:val="none"/>
        </w:rPr>
        <w:t>（4）总价金额与按单价汇总金额不一致的，以单价金额计算结果为准</w:t>
      </w:r>
      <w:r>
        <w:rPr>
          <w:rFonts w:hint="eastAsia"/>
          <w:szCs w:val="21"/>
          <w:highlight w:val="none"/>
        </w:rPr>
        <w:t>。</w:t>
      </w:r>
    </w:p>
    <w:p>
      <w:pPr>
        <w:spacing w:line="360" w:lineRule="auto"/>
        <w:ind w:firstLine="420" w:firstLineChars="200"/>
        <w:rPr>
          <w:szCs w:val="21"/>
          <w:highlight w:val="none"/>
        </w:rPr>
      </w:pPr>
      <w:r>
        <w:rPr>
          <w:rFonts w:hint="eastAsia"/>
          <w:szCs w:val="21"/>
          <w:highlight w:val="none"/>
        </w:rPr>
        <w:t>同时出现两种以上不一致的，按照上述顺序修正。修正后的报价按照上述“</w:t>
      </w:r>
      <w:r>
        <w:rPr>
          <w:szCs w:val="21"/>
          <w:highlight w:val="none"/>
        </w:rPr>
        <w:t>8</w:t>
      </w:r>
      <w:r>
        <w:rPr>
          <w:rFonts w:hint="eastAsia"/>
          <w:szCs w:val="21"/>
          <w:highlight w:val="none"/>
        </w:rPr>
        <w:t>、澄清、说明或补正”的规定经供应商确认后产生约束力，供应商不确认的，其投标无效。</w:t>
      </w:r>
    </w:p>
    <w:bookmarkEnd w:id="224"/>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9.过低报价合理性的审查</w:t>
      </w:r>
    </w:p>
    <w:p>
      <w:pPr>
        <w:spacing w:line="360" w:lineRule="auto"/>
        <w:ind w:firstLine="420" w:firstLineChars="200"/>
        <w:rPr>
          <w:szCs w:val="21"/>
          <w:highlight w:val="none"/>
        </w:rPr>
      </w:pPr>
      <w:r>
        <w:rPr>
          <w:highlight w:val="none"/>
        </w:rPr>
        <w:t>评标委员会认为供应商的报价明显低于其他通过符合性审查供应商的报价，有可能影响产品质量或者不能诚信履约的，应当要求其在合理的时间内提供书面说明并提交相关证明材料；</w:t>
      </w:r>
      <w:r>
        <w:rPr>
          <w:rFonts w:hint="eastAsia"/>
          <w:highlight w:val="none"/>
        </w:rPr>
        <w:t>评标委员会可以要求</w:t>
      </w:r>
      <w:r>
        <w:rPr>
          <w:highlight w:val="none"/>
        </w:rPr>
        <w:t>供应商就提供货物的主</w:t>
      </w:r>
      <w:r>
        <w:rPr>
          <w:rFonts w:hint="eastAsia"/>
          <w:highlight w:val="none"/>
        </w:rPr>
        <w:t>要</w:t>
      </w:r>
      <w:r>
        <w:rPr>
          <w:highlight w:val="none"/>
        </w:rPr>
        <w:t>成本、销售费用、管理费用、财务费用、履约费用、计划利润、税金及附加等成本构成事项</w:t>
      </w:r>
      <w:r>
        <w:rPr>
          <w:rFonts w:hint="eastAsia"/>
          <w:highlight w:val="none"/>
        </w:rPr>
        <w:t>进行</w:t>
      </w:r>
      <w:r>
        <w:rPr>
          <w:highlight w:val="none"/>
        </w:rPr>
        <w:t>详细陈述。书面说明应当</w:t>
      </w:r>
      <w:r>
        <w:rPr>
          <w:rFonts w:hint="eastAsia"/>
          <w:szCs w:val="21"/>
          <w:highlight w:val="none"/>
        </w:rPr>
        <w:t>按照上述“</w:t>
      </w:r>
      <w:r>
        <w:rPr>
          <w:szCs w:val="21"/>
          <w:highlight w:val="none"/>
        </w:rPr>
        <w:t>8</w:t>
      </w:r>
      <w:r>
        <w:rPr>
          <w:rFonts w:hint="eastAsia"/>
          <w:szCs w:val="21"/>
          <w:highlight w:val="none"/>
        </w:rPr>
        <w:t>、澄清、说明或补正”的规定经供应商确认后提交给评标委员会。</w:t>
      </w:r>
      <w:r>
        <w:rPr>
          <w:highlight w:val="none"/>
        </w:rPr>
        <w:t>供应商</w:t>
      </w:r>
      <w:r>
        <w:rPr>
          <w:rFonts w:hint="eastAsia"/>
          <w:highlight w:val="none"/>
        </w:rPr>
        <w:t>未按规定提供说明或</w:t>
      </w:r>
      <w:r>
        <w:rPr>
          <w:highlight w:val="none"/>
        </w:rPr>
        <w:t>不能证明其报价合理性的，评标委员会应当将其作为无效投标处理。</w:t>
      </w:r>
    </w:p>
    <w:p>
      <w:pPr>
        <w:spacing w:line="360" w:lineRule="auto"/>
        <w:ind w:firstLine="420" w:firstLineChars="200"/>
        <w:rPr>
          <w:highlight w:val="none"/>
        </w:rPr>
      </w:pPr>
      <w:r>
        <w:rPr>
          <w:highlight w:val="none"/>
        </w:rPr>
        <w:t>报价合理性书面说明</w:t>
      </w:r>
      <w:r>
        <w:rPr>
          <w:rFonts w:hint="eastAsia"/>
          <w:highlight w:val="none"/>
        </w:rPr>
        <w:t>应当有</w:t>
      </w:r>
      <w:r>
        <w:rPr>
          <w:highlight w:val="none"/>
        </w:rPr>
        <w:t>签字或盖章确认，供应商为法人的，由其法定代表人或者授权代表签名或盖章确认；供应商为其他组织的，由其主要负责人或者授权代表签名或盖章确认；供应商为自然人的，由其本人或者授权代表签名或盖章确认。</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10.商务和技术评估、综合比较与评价</w:t>
      </w:r>
    </w:p>
    <w:p>
      <w:pPr>
        <w:spacing w:line="360" w:lineRule="auto"/>
        <w:ind w:firstLine="420" w:firstLineChars="200"/>
        <w:rPr>
          <w:szCs w:val="21"/>
          <w:highlight w:val="none"/>
        </w:rPr>
      </w:pPr>
      <w:r>
        <w:rPr>
          <w:rFonts w:hint="eastAsia"/>
          <w:szCs w:val="21"/>
          <w:highlight w:val="none"/>
        </w:rPr>
        <w:t>评标委员会</w:t>
      </w:r>
      <w:r>
        <w:rPr>
          <w:szCs w:val="21"/>
          <w:highlight w:val="none"/>
        </w:rPr>
        <w:t>按招标文件中规定的评标方法和标准，对资格审查和符合性审查合格的投标文件进行商务和技术评估，综合比较与评价。</w:t>
      </w:r>
      <w:r>
        <w:rPr>
          <w:rStyle w:val="138"/>
          <w:rFonts w:hint="eastAsia"/>
          <w:highlight w:val="none"/>
        </w:rPr>
        <w:t>具体评标标准见《</w:t>
      </w:r>
      <w:r>
        <w:rPr>
          <w:bCs/>
          <w:kern w:val="0"/>
          <w:szCs w:val="21"/>
          <w:highlight w:val="none"/>
        </w:rPr>
        <w:t>评分表</w:t>
      </w:r>
      <w:r>
        <w:rPr>
          <w:rStyle w:val="138"/>
          <w:rFonts w:hint="eastAsia"/>
          <w:highlight w:val="none"/>
        </w:rPr>
        <w:t>》。</w:t>
      </w:r>
    </w:p>
    <w:p>
      <w:pPr>
        <w:spacing w:line="360" w:lineRule="auto"/>
        <w:ind w:firstLine="420" w:firstLineChars="200"/>
        <w:rPr>
          <w:szCs w:val="21"/>
          <w:highlight w:val="none"/>
        </w:rPr>
      </w:pPr>
      <w:r>
        <w:rPr>
          <w:szCs w:val="21"/>
          <w:highlight w:val="none"/>
        </w:rPr>
        <w:t>评标委员会各成员独立对每个有效供应商的投标文件进行评价、打分，然后由评标组长组织评标委员会对各成员打分情况进行核查及复核，</w:t>
      </w:r>
      <w:r>
        <w:rPr>
          <w:rFonts w:hint="eastAsia"/>
          <w:szCs w:val="21"/>
          <w:highlight w:val="none"/>
        </w:rPr>
        <w:t>评</w:t>
      </w:r>
      <w:r>
        <w:rPr>
          <w:szCs w:val="21"/>
          <w:highlight w:val="none"/>
        </w:rPr>
        <w:t>分有误的，应及时进行修正。评标标准如有主客观分定义，评标委员会所有成员的客观分打分分数应当一致。</w:t>
      </w:r>
    </w:p>
    <w:p>
      <w:pPr>
        <w:spacing w:line="360" w:lineRule="auto"/>
        <w:ind w:firstLine="420" w:firstLineChars="200"/>
        <w:rPr>
          <w:highlight w:val="none"/>
        </w:rPr>
      </w:pPr>
      <w:r>
        <w:rPr>
          <w:szCs w:val="21"/>
          <w:highlight w:val="none"/>
        </w:rPr>
        <w:t>复核后，评标委员会汇总每个供应商每项评分因素的得分。</w:t>
      </w:r>
      <w:r>
        <w:rPr>
          <w:highlight w:val="none"/>
        </w:rPr>
        <w:t>评标结果汇总完成后，除下列情形外，任何人不得修改评标结果：（1）分值汇总计算错误的；（2）分项评分超出评分标准范围的；（3）评标委员会成员对客观评审因素评分不一致的；（4）经评标委员会认定评分畸高、畸低的。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11.中标候选人推荐原则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中标候选人推荐总原则：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①中标候选人数量：每个分标推荐3个投标人为中标候选人。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highlight w:val="none"/>
          <w:lang w:val="en-US" w:eastAsia="zh-CN"/>
        </w:rPr>
      </w:pPr>
      <w:r>
        <w:rPr>
          <w:rFonts w:hint="eastAsia"/>
          <w:b/>
          <w:bCs/>
          <w:highlight w:val="none"/>
          <w:lang w:val="en-US" w:eastAsia="zh-CN"/>
        </w:rPr>
        <w:t>②每个投标人可参与多个分标的投标，但最多只能被推荐为1个分标的中标候选人。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③评标委员会根据招标文件的评标办法对每个分标的投标人进行独立评审，按投标人各分标综合得分由高到低顺序进行排名，得出各分标投标人排名顺序。若综合得分相同的，按投标总报价由低到高顺序排列；若综合得分且投标总报价相同的，按技术部分得分由高到低顺序排列；若综合得分、投标总报价、技术部分均相同的，按商务部分得分由高到低顺序排列。</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中标候选人推荐具体规则：</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①</w:t>
      </w:r>
      <w:r>
        <w:rPr>
          <w:rFonts w:hint="eastAsia" w:ascii="宋体" w:hAnsi="宋体" w:eastAsia="宋体" w:cs="宋体"/>
          <w:i w:val="0"/>
          <w:iCs w:val="0"/>
          <w:color w:val="000000"/>
          <w:kern w:val="0"/>
          <w:sz w:val="21"/>
          <w:szCs w:val="21"/>
          <w:highlight w:val="none"/>
          <w:u w:val="none"/>
          <w:lang w:val="en-US" w:eastAsia="zh-CN" w:bidi="ar"/>
        </w:rPr>
        <w:t>推荐各分标排名第一的投标人为相应分标的中标候选人。若出现某投标人获得2个以上（含）分标被推荐为中标候选人资格时，按分标顺序（A分标、B分标、C分标）推荐其为1个相应分标的中标候选人。该投标人不再列入其余分标的中标候选人推荐。</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textAlignment w:val="auto"/>
        <w:rPr>
          <w:rFonts w:hint="eastAsia"/>
          <w:b/>
          <w:bCs/>
          <w:kern w:val="0"/>
          <w:szCs w:val="21"/>
          <w:highlight w:val="none"/>
        </w:rPr>
      </w:pPr>
      <w:r>
        <w:rPr>
          <w:rFonts w:hint="eastAsia"/>
          <w:highlight w:val="none"/>
          <w:lang w:val="en-US" w:eastAsia="zh-CN"/>
        </w:rPr>
        <w:t>②其余未推荐出中标候选人的分标，从已被推荐为中标候选人以外的投标人中推荐排名最靠前的投标人为中标候选人。若出现某投标人获得2个以上（含）分标被推荐为中标候选人资格时，按分标顺序（A分标、B分标、C分标）推荐其为1个相应分标的中标候选人。该投标人不再列入其余</w:t>
      </w:r>
      <w:r>
        <w:rPr>
          <w:rFonts w:hint="eastAsia" w:ascii="宋体" w:hAnsi="宋体" w:eastAsia="宋体" w:cs="宋体"/>
          <w:i w:val="0"/>
          <w:iCs w:val="0"/>
          <w:color w:val="000000"/>
          <w:kern w:val="0"/>
          <w:sz w:val="21"/>
          <w:szCs w:val="21"/>
          <w:highlight w:val="none"/>
          <w:u w:val="none"/>
          <w:lang w:val="en-US" w:eastAsia="zh-CN" w:bidi="ar"/>
        </w:rPr>
        <w:t>分标的中标候选人推荐。按以上原则以此类推，直至完成所有分标中标候选人的推荐。</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12.评标争议处理</w:t>
      </w:r>
    </w:p>
    <w:p>
      <w:pPr>
        <w:spacing w:line="360" w:lineRule="auto"/>
        <w:ind w:firstLine="420" w:firstLineChars="200"/>
        <w:rPr>
          <w:highlight w:val="none"/>
        </w:rPr>
      </w:pPr>
      <w:r>
        <w:rPr>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226"/>
    <w:p>
      <w:pPr>
        <w:spacing w:line="360" w:lineRule="auto"/>
        <w:ind w:firstLine="422" w:firstLineChars="200"/>
        <w:outlineLvl w:val="1"/>
        <w:rPr>
          <w:b/>
          <w:bCs/>
          <w:kern w:val="0"/>
          <w:szCs w:val="21"/>
          <w:highlight w:val="none"/>
        </w:rPr>
      </w:pPr>
      <w:r>
        <w:rPr>
          <w:b/>
          <w:bCs/>
          <w:kern w:val="0"/>
          <w:highlight w:val="none"/>
        </w:rPr>
        <w:br w:type="page"/>
      </w:r>
      <w:bookmarkStart w:id="227" w:name="_Hlk19113393"/>
      <w:r>
        <w:rPr>
          <w:rFonts w:hint="eastAsia"/>
          <w:b/>
          <w:bCs/>
          <w:kern w:val="0"/>
          <w:szCs w:val="21"/>
          <w:highlight w:val="none"/>
        </w:rPr>
        <w:t>四</w:t>
      </w:r>
      <w:r>
        <w:rPr>
          <w:b/>
          <w:bCs/>
          <w:kern w:val="0"/>
          <w:szCs w:val="21"/>
          <w:highlight w:val="none"/>
        </w:rPr>
        <w:t>、评标标准</w:t>
      </w:r>
    </w:p>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1.评分表（适用所有分标）</w:t>
      </w:r>
    </w:p>
    <w:bookmarkEnd w:id="194"/>
    <w:bookmarkEnd w:id="195"/>
    <w:bookmarkEnd w:id="227"/>
    <w:tbl>
      <w:tblPr>
        <w:tblStyle w:val="54"/>
        <w:tblW w:w="0" w:type="auto"/>
        <w:jc w:val="center"/>
        <w:tblLayout w:type="autofit"/>
        <w:tblCellMar>
          <w:top w:w="0" w:type="dxa"/>
          <w:left w:w="108" w:type="dxa"/>
          <w:bottom w:w="0" w:type="dxa"/>
          <w:right w:w="108" w:type="dxa"/>
        </w:tblCellMar>
      </w:tblPr>
      <w:tblGrid>
        <w:gridCol w:w="427"/>
        <w:gridCol w:w="426"/>
        <w:gridCol w:w="636"/>
        <w:gridCol w:w="6596"/>
        <w:gridCol w:w="437"/>
      </w:tblGrid>
      <w:tr>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序号</w:t>
            </w:r>
          </w:p>
        </w:tc>
        <w:tc>
          <w:tcPr>
            <w:tcW w:w="0" w:type="auto"/>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评审因素</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评标标准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分值</w:t>
            </w:r>
          </w:p>
        </w:tc>
      </w:tr>
      <w:tr>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价格分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投标报价</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（1）评标报价为投标人的投标报价进行政策性扣除后的价格，评标报价只是作为评标时使用。最终中标人的中标金额等于投标报价。</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（2）按照《政府采购促进中小企业发展管理办法》（财库﹝2020﹞46 号）、《广西壮族自治区财政厅关于持续优化政府采购营商环境推动高质量发展的通知》（桂财采〔2024〕55号）等规定，投标人在其投标文件中提供《中小企业声明函》，并且其所投标产品全部为小型和微型企业制造的，对其投标价格给予10%的扣除。</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（5）政策性扣除计算方法。</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投标人被评定为监狱企业或者残疾人福利性单位或者小型和微型企业且其所投标全部产品为小型和微型企业制造的，该投标人的投标报价给予10%的扣除，扣除后的价格为评标报价，即评标报价=投标报价×（1-10%）；大中型企业和其他自然人、法人或者其他组织与小型、微型企业组成联合体投标，且联合体协议中约定小型、微型企业的协议合同金额占到联合体协议合同总金额30%以上的，联合体投标价给予4 %的扣除，扣除后的价格为评标价，即评标报价=投标报价×（1-4 %）；除上述情况外，评标报价=投标报价。</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（6）满足招标文件要求且评标报价最低的评标报价为评标基准价，基准价报价得分为30分。</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（7）价格分计算公式：价格分=(评标基准价／评标报价)× 30分。</w:t>
            </w:r>
          </w:p>
          <w:p>
            <w:pPr>
              <w:widowControl/>
              <w:spacing w:line="360" w:lineRule="auto"/>
              <w:jc w:val="left"/>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p>
          <w:p>
            <w:pPr>
              <w:widowControl/>
              <w:spacing w:line="360" w:lineRule="auto"/>
              <w:jc w:val="left"/>
              <w:textAlignment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①若投标人在投标文件中提供《中小企业声明函》的，则《中小企业声明函》中的“标的”、“制造商”必须与投标报价明细表中提供的货物一致。</w:t>
            </w:r>
          </w:p>
          <w:p>
            <w:pPr>
              <w:widowControl/>
              <w:spacing w:line="360" w:lineRule="auto"/>
              <w:jc w:val="left"/>
              <w:textAlignment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②</w:t>
            </w:r>
            <w:r>
              <w:rPr>
                <w:rFonts w:hint="eastAsia" w:ascii="宋体" w:hAnsi="宋体" w:cs="宋体"/>
                <w:b/>
                <w:bCs/>
                <w:color w:val="000000" w:themeColor="text1"/>
                <w:szCs w:val="21"/>
                <w:highlight w:val="none"/>
                <w14:textFill>
                  <w14:solidFill>
                    <w14:schemeClr w14:val="tx1"/>
                  </w14:solidFill>
                </w14:textFill>
              </w:rPr>
              <w:t>上述所指制造商均为中小企业，在货物采购项目中，货物由中小企业制造，即货物由中小企业生产且使用该中小企业商号或者注册商标。</w:t>
            </w:r>
          </w:p>
          <w:p>
            <w:pPr>
              <w:widowControl/>
              <w:spacing w:line="360" w:lineRule="auto"/>
              <w:jc w:val="left"/>
              <w:textAlignment w:val="center"/>
              <w:rPr>
                <w:rFonts w:hint="eastAsia" w:ascii="宋体" w:hAnsi="宋体" w:cs="宋体"/>
                <w:color w:val="EE0000"/>
                <w:szCs w:val="21"/>
                <w:highlight w:val="none"/>
              </w:rPr>
            </w:pPr>
            <w:r>
              <w:rPr>
                <w:rFonts w:hint="eastAsia" w:ascii="宋体" w:hAnsi="宋体" w:cs="宋体"/>
                <w:b/>
                <w:bCs/>
                <w:color w:val="000000" w:themeColor="text1"/>
                <w:szCs w:val="21"/>
                <w:highlight w:val="none"/>
                <w14:textFill>
                  <w14:solidFill>
                    <w14:schemeClr w14:val="tx1"/>
                  </w14:solidFill>
                </w14:textFill>
              </w:rPr>
              <w:t>如不符合上述以及《中小企业声明函》相关要求的，则《中小企业声明函》无效，不予认可。</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w:t>
            </w:r>
          </w:p>
        </w:tc>
      </w:tr>
      <w:tr>
        <w:tblPrEx>
          <w:tblCellMar>
            <w:top w:w="0" w:type="dxa"/>
            <w:left w:w="108" w:type="dxa"/>
            <w:bottom w:w="0" w:type="dxa"/>
            <w:right w:w="108" w:type="dxa"/>
          </w:tblCellMar>
        </w:tblPrEx>
        <w:trPr>
          <w:trHeight w:val="2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技术分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团队人员配备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根据投标人拟投入的团队人员（技术负责人和技术服务人员）进行评分：</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拟派本项目技术负责人具备计算机集成类或电子类或信息类中级职称、或具备计算机技术与软件专业技术资格（水平）考试中级资格（信息系统管理工程师或信息安全工程师或系统集成项目管理工程师）的得0.5分，具备计算机集成类或电子类或信息类高级（含）以上职称、或具备计算机技术与软件专业技术资格（水平）考试高级资格（信息系统项目管理师）的得1分，本项最高得1分。</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（2）拟投入本项目的技术服务人员需满足4人以上（含4人），否则本项不得分。技术服务人员中每具有1个人员具备无线电相关专业中级（含）以上工程师职称的得0.5分，本项最高得1分。</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注：需提供拟投入团队人员名单、身份证正反面扫描件、相关证书扫描件以及投标人为拟投入团队人员缴纳的2025年4月至投标文件提交截止时间内任意1个月的社保证明或劳动合同扫描件；提供的身份证及相关证明扫描件须加盖投标人公章（或电子签章），否则不得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r>
      <w:tr>
        <w:tblPrEx>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技术要求（指标）响应</w:t>
            </w:r>
          </w:p>
        </w:tc>
        <w:tc>
          <w:tcPr>
            <w:tcW w:w="6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投标文件对招标文件“第二章  采购需求”应答的所有技术要求（指标）中无负偏离的得10分；对重要技术要求（指标）应答（指招标文件“第二章  采购需求”标注“#”的技术要求（指标））每有一项正偏离的加1分，最高加5分。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cs="宋体"/>
                <w:color w:val="000000"/>
                <w:szCs w:val="21"/>
                <w:highlight w:val="none"/>
              </w:rPr>
            </w:pPr>
            <w:r>
              <w:rPr>
                <w:rFonts w:hint="eastAsia" w:ascii="宋体" w:hAnsi="宋体" w:cs="宋体"/>
                <w:i w:val="0"/>
                <w:iCs w:val="0"/>
                <w:color w:val="auto"/>
                <w:kern w:val="0"/>
                <w:sz w:val="21"/>
                <w:szCs w:val="21"/>
                <w:highlight w:val="none"/>
                <w:u w:val="none"/>
                <w:lang w:val="en-US" w:eastAsia="zh-CN" w:bidi="ar"/>
              </w:rPr>
              <w:t>应答的所有技术要求（指标）中有一项及以上负偏离的，此整项得0分。</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000000"/>
                <w:szCs w:val="21"/>
                <w:highlight w:val="none"/>
              </w:rPr>
            </w:pPr>
            <w:r>
              <w:rPr>
                <w:rFonts w:hint="eastAsia" w:ascii="宋体" w:hAnsi="宋体" w:cs="宋体"/>
                <w:i w:val="0"/>
                <w:iCs w:val="0"/>
                <w:color w:val="auto"/>
                <w:kern w:val="0"/>
                <w:sz w:val="21"/>
                <w:szCs w:val="21"/>
                <w:highlight w:val="none"/>
                <w:u w:val="none"/>
                <w:lang w:val="en-US" w:eastAsia="zh-CN" w:bidi="ar"/>
              </w:rPr>
              <w:t>15</w:t>
            </w:r>
          </w:p>
        </w:tc>
      </w:tr>
      <w:tr>
        <w:tblPrEx>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技术方案</w:t>
            </w:r>
          </w:p>
        </w:tc>
        <w:tc>
          <w:tcPr>
            <w:tcW w:w="6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color w:val="000000"/>
                <w:szCs w:val="21"/>
                <w:highlight w:val="none"/>
              </w:rPr>
            </w:pPr>
            <w:r>
              <w:rPr>
                <w:rFonts w:hint="eastAsia" w:ascii="宋体" w:hAnsi="宋体" w:eastAsia="宋体" w:cs="宋体"/>
                <w:i w:val="0"/>
                <w:iCs w:val="0"/>
                <w:color w:val="auto"/>
                <w:kern w:val="0"/>
                <w:sz w:val="21"/>
                <w:szCs w:val="21"/>
                <w:highlight w:val="none"/>
                <w:u w:val="none"/>
                <w:lang w:val="en-US" w:eastAsia="zh-CN" w:bidi="ar"/>
              </w:rPr>
              <w:t>根据投标人提供的技术方案（包括总体设计、硬件配置、配套设施、监测测向及集成安装要求等）进行综合评分：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（1）四档（</w:t>
            </w: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分）：能准确理解本项目的建设内容、目标，总体设计方案详细，能根据本项目实施地点、实施环境等特点准确把握本项目需求的重点、难点和要求，硬件配置、配套设施、监测测向及集成安装要求等方案满足度高，方案整体架构、网络架构合理，技术性能指标和系统功能完全符合本项目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（2）三档（1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分）：较准确理解本项目的建设内容、目标，总体设计方案较为详细，较好地把握本项目需求的重点、难点和要求，硬件配置、配套设施、监测测向及集成安装要求等方案满足度较高，方案整体架构、网络架构较为合理，技术性能指标和系统功能比较符合本项目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（3）二档（</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分）：基本理解本项目的建设内容、目标，总体设计方案较为简单，总体设计方案整体性、可靠性、优先性、兼容性较弱，技术性能指标和系统功能基本满足本项目要求。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（4）一档（0分）：未提供方案的，或提供的方案明显与本项目严重不符或不合理的。</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000000"/>
                <w:szCs w:val="21"/>
                <w:highlight w:val="none"/>
              </w:rPr>
            </w:pPr>
            <w:r>
              <w:rPr>
                <w:rFonts w:hint="eastAsia" w:ascii="宋体" w:hAnsi="宋体" w:cs="宋体"/>
                <w:i w:val="0"/>
                <w:iCs w:val="0"/>
                <w:color w:val="auto"/>
                <w:kern w:val="0"/>
                <w:sz w:val="21"/>
                <w:szCs w:val="21"/>
                <w:highlight w:val="none"/>
                <w:u w:val="none"/>
                <w:lang w:val="en-US" w:eastAsia="zh-CN" w:bidi="ar"/>
              </w:rPr>
              <w:t>15</w:t>
            </w:r>
          </w:p>
        </w:tc>
      </w:tr>
      <w:tr>
        <w:tblPrEx>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项目实施方案</w:t>
            </w:r>
          </w:p>
        </w:tc>
        <w:tc>
          <w:tcPr>
            <w:tcW w:w="6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color w:val="000000"/>
                <w:szCs w:val="21"/>
                <w:highlight w:val="none"/>
              </w:rPr>
            </w:pPr>
            <w:r>
              <w:rPr>
                <w:rFonts w:hint="eastAsia" w:ascii="宋体" w:hAnsi="宋体" w:eastAsia="宋体" w:cs="宋体"/>
                <w:i w:val="0"/>
                <w:iCs w:val="0"/>
                <w:color w:val="auto"/>
                <w:kern w:val="0"/>
                <w:sz w:val="21"/>
                <w:szCs w:val="21"/>
                <w:highlight w:val="none"/>
                <w:u w:val="none"/>
                <w:lang w:val="en-US" w:eastAsia="zh-CN" w:bidi="ar"/>
              </w:rPr>
              <w:t>根据投标人提供的针对本项目的实施方案（包括质量管理体系与措施、实施组织与工期保证措施、实施计划与时间安排）进行综合评分：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四档（15分）：实施方案详细完善、合理可行，针对性强，包含质量控制、组织机构与进度计划、设备进场与配套设施集成方案等。质量管理体系与措施可行性强，实施组织与工期保证措施科学合理，实施计划与时间安排全面可行，各阶段进度安排措施和质量控制内容完整，完全满足采购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（2）三档（10分）：实施方案详细、合理，有较强的针对性，质量管理体系与措施可行性较强，实施组织与工期保证措施科学合理，实施计划与时间安排基本可行。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（3）二档（5分）：实施方案较详细、合理，有一定的针对性，质量管理体系与措施、实施组织与工期保证措施、实施计划与时间安排的可行性、合理性一般。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（4）一档（0分）：未提供方案的，或提供的方案明显与本项目严重不符或不合理的。</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000000"/>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r>
      <w:tr>
        <w:tblPrEx>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售后服务方案</w:t>
            </w:r>
          </w:p>
        </w:tc>
        <w:tc>
          <w:tcPr>
            <w:tcW w:w="6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color w:val="000000"/>
                <w:szCs w:val="21"/>
                <w:highlight w:val="none"/>
              </w:rPr>
            </w:pPr>
            <w:r>
              <w:rPr>
                <w:rFonts w:hint="eastAsia" w:ascii="宋体" w:hAnsi="宋体" w:eastAsia="宋体" w:cs="宋体"/>
                <w:i w:val="0"/>
                <w:iCs w:val="0"/>
                <w:color w:val="auto"/>
                <w:kern w:val="0"/>
                <w:sz w:val="21"/>
                <w:szCs w:val="21"/>
                <w:highlight w:val="none"/>
                <w:u w:val="none"/>
                <w:lang w:val="en-US" w:eastAsia="zh-CN" w:bidi="ar"/>
              </w:rPr>
              <w:t>根据投标人提供的售后服务方案中服务承诺和质量保证措施进行综合评价，包括服务保障体系、售后服务响应时间、备品备件配置、故障处理流程等方面。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四档（10分）：针对本项目有专门的售后服务机构、专职协调人员及专职工程技术人员,售后服务保障体系及措施完善，技术支持能力强，服务响应快，响应程度高或优于采购需求，质保期后长期保修、维护、服务以及今后技术支持的措施计划和承诺（包括收费维修维护的内容、费用及服务方式）满足要求。（提供人员名单及学历、职称、同类项目服务经验证明材料及投标人为其缴纳的2025年4月至投标文件提交截止时间内任意1个月的社保证明或劳动合同扫描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三档（6分）：售后服务保障体系及措施较好，技术支持能力较强，服务响应较快，满足采购需求，质保期后长期保修、维护、服务以及今后技术支持的措施计划和承诺（包括收费维修维护的内容、费用及服务方式）基本满足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二档（3分）：售后服务保障体系及措施基本符合招标要求，但技术支持能力和服务响应速度一般，质保期后长期保修、维护、服务以及今后技术支持的措施计划和承诺（包括收费维修维护的内容、费用及服务方式）不满足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（4）一档（0分）：未提供方案的，或提供的方案明显与本项目严重不符或不合理的。</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000000"/>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r>
      <w:tr>
        <w:tblPrEx>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培训方案</w:t>
            </w:r>
          </w:p>
        </w:tc>
        <w:tc>
          <w:tcPr>
            <w:tcW w:w="6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color w:val="000000"/>
                <w:szCs w:val="21"/>
                <w:highlight w:val="none"/>
              </w:rPr>
            </w:pPr>
            <w:r>
              <w:rPr>
                <w:rFonts w:hint="eastAsia" w:ascii="宋体" w:hAnsi="宋体" w:eastAsia="宋体" w:cs="宋体"/>
                <w:i w:val="0"/>
                <w:iCs w:val="0"/>
                <w:color w:val="auto"/>
                <w:kern w:val="0"/>
                <w:sz w:val="21"/>
                <w:szCs w:val="21"/>
                <w:highlight w:val="none"/>
                <w:u w:val="none"/>
                <w:lang w:val="en-US" w:eastAsia="zh-CN" w:bidi="ar"/>
              </w:rPr>
              <w:t>根据投标人所提供的培训方案是否具体完整、科学、合理，是否有严谨且可执行的保障措施，各投标人需对培训方案作详细说明和承诺（包括培训方式、培训内容、培训时间、培训资料等）：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四档（5分）：培训方案能体现详细的培训方式（线上或线下培训），培训内容符合本项目实际需要，培训时间安排科学合理，培训资料包含与本项目需求所需详细资料，培训方案中包含详细可实施的培训保障方案，可操作及针对性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三档（3分）：培训方案能体现完整的培训方式（线上或线下培训），培训内容比较符合本项目实际需要，培训时间安排比较合理，培训资料包含与本项目需求所需完整资料，培训方案中包含完整可实施的培训保障方案，方案整体可操作性较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（3）二档（1分）：培训方案能体现培训方式（线上或线下培训），培训内容基本满足本项目需求，培训时间安排基本合理，培训资料较简单，方案整体可操作及针对性一般。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（4）一档（0分）：未提供方案的，或提供的方案明显与本项目严重不符或不合理的。</w:t>
            </w:r>
          </w:p>
        </w:tc>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000000"/>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CellMar>
            <w:top w:w="0" w:type="dxa"/>
            <w:left w:w="108" w:type="dxa"/>
            <w:bottom w:w="0" w:type="dxa"/>
            <w:right w:w="108" w:type="dxa"/>
          </w:tblCellMar>
        </w:tblPrEx>
        <w:trPr>
          <w:trHeight w:val="2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商务分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项目业绩</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2022年1月1日至投标文件递交截止时间内（以合同签订日期为准），投标人承接过无线电固定监测站新建或升级改造项目业绩的，每项得1分，本项最高得3分。</w:t>
            </w:r>
            <w:r>
              <w:rPr>
                <w:rFonts w:hint="eastAsia" w:ascii="宋体" w:hAnsi="宋体" w:cs="宋体"/>
                <w:color w:val="000000"/>
                <w:kern w:val="0"/>
                <w:szCs w:val="21"/>
                <w:highlight w:val="none"/>
                <w:lang w:bidi="ar"/>
              </w:rPr>
              <w:br w:type="textWrapping"/>
            </w:r>
            <w:r>
              <w:rPr>
                <w:rFonts w:hint="eastAsia" w:ascii="宋体" w:hAnsi="宋体" w:cs="宋体"/>
                <w:b/>
                <w:bCs/>
                <w:color w:val="000000"/>
                <w:kern w:val="0"/>
                <w:szCs w:val="21"/>
                <w:highlight w:val="none"/>
                <w:lang w:bidi="ar"/>
              </w:rPr>
              <w:t>注：需提供项目合同扫描件，并加盖投标人公章（或电子签章），否则不得分。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r>
      <w:tr>
        <w:tblPrEx>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highlight w:val="none"/>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管理体系认证</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根据投标人提供的管理体系认证证书进行评分：</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（1）具备有效的质量管理体系认证证书得1分；</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（2）具备有效的信息技术服务管理体系认证证书得1分；</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（3）具备有效的信息安全管理体系认证证书得1分。</w:t>
            </w:r>
            <w:r>
              <w:rPr>
                <w:rFonts w:hint="eastAsia" w:ascii="宋体" w:hAnsi="宋体" w:cs="宋体"/>
                <w:color w:val="000000"/>
                <w:kern w:val="0"/>
                <w:szCs w:val="21"/>
                <w:highlight w:val="none"/>
                <w:lang w:bidi="ar"/>
              </w:rPr>
              <w:br w:type="textWrapping"/>
            </w:r>
            <w:r>
              <w:rPr>
                <w:rFonts w:hint="eastAsia" w:ascii="宋体" w:hAnsi="宋体" w:cs="宋体"/>
                <w:b/>
                <w:bCs/>
                <w:color w:val="000000"/>
                <w:kern w:val="0"/>
                <w:szCs w:val="21"/>
                <w:highlight w:val="none"/>
                <w:lang w:bidi="ar"/>
              </w:rPr>
              <w:t>注：需提供认证证书扫描件，并加盖投标人公章（或电子签章），否则不得分。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r>
      <w:tr>
        <w:tblPrEx>
          <w:tblCellMar>
            <w:top w:w="0" w:type="dxa"/>
            <w:left w:w="108" w:type="dxa"/>
            <w:bottom w:w="0" w:type="dxa"/>
            <w:right w:w="108"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政策功能分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政策功能</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1.属于财政部《节能产品政府采购品目清单》内优先采购的产品，根据其所占项目预算金额比例得0至1分，本项满分1分。</w:t>
            </w:r>
            <w:r>
              <w:rPr>
                <w:rFonts w:hint="eastAsia" w:ascii="宋体" w:hAnsi="宋体" w:cs="宋体"/>
                <w:color w:val="000000"/>
                <w:kern w:val="0"/>
                <w:szCs w:val="21"/>
                <w:highlight w:val="none"/>
                <w:lang w:bidi="ar"/>
              </w:rPr>
              <w:br w:type="textWrapping"/>
            </w:r>
            <w:r>
              <w:rPr>
                <w:rFonts w:hint="eastAsia" w:ascii="宋体" w:hAnsi="宋体" w:cs="宋体"/>
                <w:b/>
                <w:bCs/>
                <w:color w:val="000000"/>
                <w:kern w:val="0"/>
                <w:szCs w:val="21"/>
                <w:highlight w:val="none"/>
                <w:lang w:bidi="ar"/>
              </w:rPr>
              <w:t>注：清单内未标注“★”的品目为优先采购的产品，须在投标文件中提供有效的认证证书扫描件及品目清单（标注出投标产品在品目清单中所属的品目），并加盖投标人公章（或电子签章），否则不得分。</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2.属于财政部《环境标志产品政府采购品目清单》内的产品，根据其所占项目预算金额比例得0至1分，本项满分1分。</w:t>
            </w:r>
            <w:r>
              <w:rPr>
                <w:rFonts w:hint="eastAsia" w:ascii="宋体" w:hAnsi="宋体" w:cs="宋体"/>
                <w:color w:val="000000"/>
                <w:kern w:val="0"/>
                <w:szCs w:val="21"/>
                <w:highlight w:val="none"/>
                <w:lang w:bidi="ar"/>
              </w:rPr>
              <w:br w:type="textWrapping"/>
            </w:r>
            <w:r>
              <w:rPr>
                <w:rFonts w:hint="eastAsia" w:ascii="宋体" w:hAnsi="宋体" w:cs="宋体"/>
                <w:b/>
                <w:bCs/>
                <w:color w:val="000000"/>
                <w:kern w:val="0"/>
                <w:szCs w:val="21"/>
                <w:highlight w:val="none"/>
                <w:lang w:bidi="ar"/>
              </w:rPr>
              <w:t>注：需在投标文件中提供有效的认证证书扫描件及品目清单（标注出投标产品在品目清单中所属的品目），并加盖投标人公章（或电子签章），否则不得分。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r>
      <w:tr>
        <w:tblPrEx>
          <w:tblCellMar>
            <w:top w:w="0" w:type="dxa"/>
            <w:left w:w="108" w:type="dxa"/>
            <w:bottom w:w="0" w:type="dxa"/>
            <w:right w:w="108" w:type="dxa"/>
          </w:tblCellMar>
        </w:tblPrEx>
        <w:trPr>
          <w:trHeight w:val="23" w:hRule="atLeast"/>
          <w:jc w:val="center"/>
        </w:trPr>
        <w:tc>
          <w:tcPr>
            <w:tcW w:w="0" w:type="auto"/>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总得分＝价格分＋技术分＋商务分+政策功能分</w:t>
            </w:r>
          </w:p>
        </w:tc>
      </w:tr>
    </w:tbl>
    <w:p>
      <w:pPr>
        <w:adjustRightInd w:val="0"/>
        <w:spacing w:before="60" w:beforeLines="25" w:after="60" w:afterLines="25" w:line="360" w:lineRule="auto"/>
        <w:ind w:firstLine="422" w:firstLineChars="200"/>
        <w:outlineLvl w:val="2"/>
        <w:rPr>
          <w:b/>
          <w:bCs/>
          <w:kern w:val="0"/>
          <w:szCs w:val="21"/>
          <w:highlight w:val="none"/>
        </w:rPr>
      </w:pPr>
      <w:r>
        <w:rPr>
          <w:rFonts w:hint="eastAsia"/>
          <w:b/>
          <w:bCs/>
          <w:kern w:val="0"/>
          <w:szCs w:val="21"/>
          <w:highlight w:val="none"/>
        </w:rPr>
        <w:t>2.政府采购政策应用说明</w:t>
      </w:r>
    </w:p>
    <w:p>
      <w:pPr>
        <w:spacing w:line="360" w:lineRule="auto"/>
        <w:ind w:firstLine="422" w:firstLineChars="200"/>
        <w:outlineLvl w:val="3"/>
        <w:rPr>
          <w:b/>
          <w:bCs/>
          <w:kern w:val="0"/>
          <w:szCs w:val="21"/>
          <w:highlight w:val="none"/>
        </w:rPr>
      </w:pPr>
      <w:r>
        <w:rPr>
          <w:rFonts w:hint="eastAsia"/>
          <w:b/>
          <w:bCs/>
          <w:kern w:val="0"/>
          <w:szCs w:val="21"/>
          <w:highlight w:val="none"/>
        </w:rPr>
        <w:t>2.1</w:t>
      </w:r>
      <w:r>
        <w:rPr>
          <w:b/>
          <w:bCs/>
          <w:kern w:val="0"/>
          <w:szCs w:val="21"/>
          <w:highlight w:val="none"/>
        </w:rPr>
        <w:t>政策性加分说明</w:t>
      </w:r>
    </w:p>
    <w:p>
      <w:pPr>
        <w:spacing w:line="360" w:lineRule="auto"/>
        <w:ind w:firstLine="420" w:firstLineChars="200"/>
        <w:rPr>
          <w:szCs w:val="21"/>
          <w:highlight w:val="none"/>
        </w:rPr>
      </w:pPr>
      <w:bookmarkStart w:id="228" w:name="_Hlk47714530"/>
      <w:r>
        <w:rPr>
          <w:szCs w:val="21"/>
          <w:highlight w:val="none"/>
        </w:rPr>
        <w:t>节能产品、</w:t>
      </w:r>
      <w:r>
        <w:rPr>
          <w:rFonts w:hint="eastAsia"/>
          <w:szCs w:val="21"/>
          <w:highlight w:val="none"/>
        </w:rPr>
        <w:t>环境</w:t>
      </w:r>
      <w:r>
        <w:rPr>
          <w:szCs w:val="21"/>
          <w:highlight w:val="none"/>
        </w:rPr>
        <w:t>标志产品</w:t>
      </w:r>
    </w:p>
    <w:p>
      <w:pPr>
        <w:spacing w:line="360" w:lineRule="auto"/>
        <w:ind w:firstLine="420" w:firstLineChars="200"/>
        <w:rPr>
          <w:bCs/>
          <w:szCs w:val="21"/>
          <w:highlight w:val="none"/>
        </w:rPr>
      </w:pPr>
      <w:r>
        <w:rPr>
          <w:bCs/>
          <w:szCs w:val="21"/>
          <w:highlight w:val="none"/>
        </w:rPr>
        <w:t>节能、</w:t>
      </w:r>
      <w:r>
        <w:rPr>
          <w:rFonts w:hint="eastAsia"/>
          <w:bCs/>
          <w:szCs w:val="21"/>
          <w:highlight w:val="none"/>
        </w:rPr>
        <w:t>环境</w:t>
      </w:r>
      <w:r>
        <w:rPr>
          <w:bCs/>
          <w:szCs w:val="21"/>
          <w:highlight w:val="none"/>
        </w:rPr>
        <w:t>标志产品以</w:t>
      </w:r>
      <w:r>
        <w:rPr>
          <w:rFonts w:hint="eastAsia" w:ascii="宋体" w:hAnsi="宋体"/>
          <w:highlight w:val="none"/>
        </w:rPr>
        <w:t>国家财政部等部门</w:t>
      </w:r>
      <w:r>
        <w:rPr>
          <w:rFonts w:hint="eastAsia"/>
          <w:bCs/>
          <w:szCs w:val="21"/>
          <w:highlight w:val="none"/>
        </w:rPr>
        <w:t>颁布的</w:t>
      </w:r>
      <w:r>
        <w:rPr>
          <w:rFonts w:hint="eastAsia" w:ascii="宋体" w:hAnsi="宋体"/>
          <w:highlight w:val="none"/>
        </w:rPr>
        <w:t>节能产品政府采购品目清单和环境标志产品政府采购品目清单为准</w:t>
      </w:r>
      <w:r>
        <w:rPr>
          <w:bCs/>
          <w:szCs w:val="21"/>
          <w:highlight w:val="none"/>
        </w:rPr>
        <w:t>，</w:t>
      </w:r>
      <w:r>
        <w:rPr>
          <w:rFonts w:hint="eastAsia"/>
          <w:szCs w:val="21"/>
          <w:highlight w:val="none"/>
        </w:rPr>
        <w:t>采购人或采购代理机构通过中国政府采购网“节能产品查询”及“环境标志产品查询”进行</w:t>
      </w:r>
      <w:r>
        <w:rPr>
          <w:szCs w:val="21"/>
          <w:highlight w:val="none"/>
        </w:rPr>
        <w:t>。</w:t>
      </w:r>
    </w:p>
    <w:bookmarkEnd w:id="228"/>
    <w:p>
      <w:pPr>
        <w:spacing w:line="360" w:lineRule="auto"/>
        <w:ind w:firstLine="422" w:firstLineChars="200"/>
        <w:outlineLvl w:val="3"/>
        <w:rPr>
          <w:b/>
          <w:bCs/>
          <w:kern w:val="0"/>
          <w:szCs w:val="21"/>
          <w:highlight w:val="none"/>
        </w:rPr>
      </w:pPr>
      <w:r>
        <w:rPr>
          <w:rFonts w:hint="eastAsia"/>
          <w:b/>
          <w:bCs/>
          <w:kern w:val="0"/>
          <w:szCs w:val="21"/>
          <w:highlight w:val="none"/>
        </w:rPr>
        <w:t>2.2政策性扣除计算方法</w:t>
      </w:r>
    </w:p>
    <w:p>
      <w:pPr>
        <w:spacing w:line="360" w:lineRule="auto"/>
        <w:ind w:firstLine="420" w:firstLineChars="200"/>
        <w:rPr>
          <w:szCs w:val="21"/>
          <w:highlight w:val="none"/>
        </w:rPr>
      </w:pPr>
      <w:r>
        <w:rPr>
          <w:szCs w:val="21"/>
          <w:highlight w:val="none"/>
        </w:rPr>
        <w:t>供应商符合小型、微型企业、监狱企业或残疾人福利性单位条件的，其</w:t>
      </w:r>
      <w:r>
        <w:rPr>
          <w:rFonts w:hint="eastAsia"/>
          <w:szCs w:val="21"/>
          <w:highlight w:val="none"/>
        </w:rPr>
        <w:t>投标</w:t>
      </w:r>
      <w:r>
        <w:rPr>
          <w:szCs w:val="21"/>
          <w:highlight w:val="none"/>
        </w:rPr>
        <w:t>报价将按相应比例进行扣除，用扣除后的价格参与评审（计算价格分）。</w:t>
      </w:r>
    </w:p>
    <w:p>
      <w:pPr>
        <w:spacing w:line="360" w:lineRule="auto"/>
        <w:ind w:firstLine="420" w:firstLineChars="200"/>
        <w:rPr>
          <w:szCs w:val="21"/>
          <w:highlight w:val="none"/>
        </w:rPr>
      </w:pPr>
      <w:r>
        <w:rPr>
          <w:szCs w:val="21"/>
          <w:highlight w:val="none"/>
        </w:rPr>
        <w:t>（1）小型、微型企业</w:t>
      </w:r>
    </w:p>
    <w:p>
      <w:pPr>
        <w:spacing w:line="360" w:lineRule="auto"/>
        <w:ind w:firstLine="420" w:firstLineChars="200"/>
        <w:rPr>
          <w:szCs w:val="21"/>
          <w:highlight w:val="none"/>
        </w:rPr>
      </w:pPr>
      <w:r>
        <w:rPr>
          <w:szCs w:val="21"/>
          <w:highlight w:val="none"/>
        </w:rPr>
        <w:t>供应商为非联合体的情况下</w:t>
      </w:r>
      <w:r>
        <w:rPr>
          <w:rFonts w:hint="eastAsia"/>
          <w:szCs w:val="21"/>
          <w:highlight w:val="none"/>
        </w:rPr>
        <w:t>投标</w:t>
      </w:r>
      <w:r>
        <w:rPr>
          <w:szCs w:val="21"/>
          <w:highlight w:val="none"/>
        </w:rPr>
        <w:t>报价扣除方式：对小型、微型企业</w:t>
      </w:r>
      <w:r>
        <w:rPr>
          <w:rFonts w:hint="eastAsia"/>
          <w:szCs w:val="21"/>
          <w:highlight w:val="none"/>
        </w:rPr>
        <w:t>投标</w:t>
      </w:r>
      <w:r>
        <w:rPr>
          <w:szCs w:val="21"/>
          <w:highlight w:val="none"/>
        </w:rPr>
        <w:t>报价给予</w:t>
      </w:r>
      <w:r>
        <w:rPr>
          <w:rFonts w:hint="eastAsia"/>
          <w:szCs w:val="21"/>
          <w:highlight w:val="none"/>
        </w:rPr>
        <w:t>10</w:t>
      </w:r>
      <w:r>
        <w:rPr>
          <w:szCs w:val="21"/>
          <w:highlight w:val="none"/>
        </w:rPr>
        <w:t>%的扣除，以扣除后的</w:t>
      </w:r>
      <w:r>
        <w:rPr>
          <w:rFonts w:hint="eastAsia"/>
          <w:szCs w:val="21"/>
          <w:highlight w:val="none"/>
        </w:rPr>
        <w:t>投标</w:t>
      </w:r>
      <w:r>
        <w:rPr>
          <w:szCs w:val="21"/>
          <w:highlight w:val="none"/>
        </w:rPr>
        <w:t>报价参与评审（计算价格分）。</w:t>
      </w:r>
    </w:p>
    <w:p>
      <w:pPr>
        <w:spacing w:line="360" w:lineRule="auto"/>
        <w:ind w:firstLine="420" w:firstLineChars="200"/>
        <w:rPr>
          <w:szCs w:val="21"/>
          <w:highlight w:val="none"/>
        </w:rPr>
      </w:pPr>
      <w:r>
        <w:rPr>
          <w:szCs w:val="21"/>
          <w:highlight w:val="none"/>
        </w:rPr>
        <w:t>（2）监狱企业</w:t>
      </w:r>
    </w:p>
    <w:p>
      <w:pPr>
        <w:spacing w:line="360" w:lineRule="auto"/>
        <w:ind w:firstLine="420" w:firstLineChars="200"/>
        <w:rPr>
          <w:szCs w:val="21"/>
          <w:highlight w:val="none"/>
        </w:rPr>
      </w:pPr>
      <w:r>
        <w:rPr>
          <w:szCs w:val="21"/>
          <w:highlight w:val="none"/>
        </w:rPr>
        <w:t>根据财政部、司法部关于政府采购支持监狱企业发展有关问题的通知（财库[2014]68号），监狱企业视同小型、微型企业，享受小型、微型企业评审时</w:t>
      </w:r>
      <w:r>
        <w:rPr>
          <w:rFonts w:hint="eastAsia"/>
          <w:bCs/>
          <w:szCs w:val="21"/>
          <w:highlight w:val="none"/>
        </w:rPr>
        <w:t>投标</w:t>
      </w:r>
      <w:r>
        <w:rPr>
          <w:szCs w:val="21"/>
          <w:highlight w:val="none"/>
        </w:rPr>
        <w:t>价格扣除</w:t>
      </w:r>
      <w:r>
        <w:rPr>
          <w:rFonts w:hint="eastAsia"/>
          <w:szCs w:val="21"/>
          <w:highlight w:val="none"/>
        </w:rPr>
        <w:t>10</w:t>
      </w:r>
      <w:r>
        <w:rPr>
          <w:szCs w:val="21"/>
          <w:highlight w:val="none"/>
        </w:rPr>
        <w:t>%的政府采购政策。</w:t>
      </w:r>
    </w:p>
    <w:p>
      <w:pPr>
        <w:spacing w:line="360" w:lineRule="auto"/>
        <w:ind w:firstLine="420" w:firstLineChars="200"/>
        <w:rPr>
          <w:szCs w:val="21"/>
          <w:highlight w:val="none"/>
        </w:rPr>
      </w:pPr>
      <w:r>
        <w:rPr>
          <w:szCs w:val="21"/>
          <w:highlight w:val="none"/>
        </w:rPr>
        <w:t>（3）残疾人福利性单位</w:t>
      </w:r>
    </w:p>
    <w:p>
      <w:pPr>
        <w:spacing w:line="360" w:lineRule="auto"/>
        <w:ind w:firstLine="420" w:firstLineChars="200"/>
        <w:rPr>
          <w:szCs w:val="21"/>
          <w:highlight w:val="none"/>
        </w:rPr>
      </w:pPr>
      <w:r>
        <w:rPr>
          <w:szCs w:val="21"/>
          <w:highlight w:val="none"/>
        </w:rPr>
        <w:t>根据财政部、民政部、中国残疾人联合会三部门发布的关于促进残疾人就业政府采购政策的通知（财库〔2017〕141号），残疾人福利性单位视同小型、微型企业，享受小型、微型企业</w:t>
      </w:r>
      <w:r>
        <w:rPr>
          <w:rFonts w:hint="eastAsia"/>
          <w:szCs w:val="21"/>
          <w:highlight w:val="none"/>
        </w:rPr>
        <w:t>评标</w:t>
      </w:r>
      <w:r>
        <w:rPr>
          <w:szCs w:val="21"/>
          <w:highlight w:val="none"/>
        </w:rPr>
        <w:t>时</w:t>
      </w:r>
      <w:r>
        <w:rPr>
          <w:rFonts w:hint="eastAsia"/>
          <w:szCs w:val="21"/>
          <w:highlight w:val="none"/>
        </w:rPr>
        <w:t>投标</w:t>
      </w:r>
      <w:r>
        <w:rPr>
          <w:szCs w:val="21"/>
          <w:highlight w:val="none"/>
        </w:rPr>
        <w:t>报价扣除</w:t>
      </w:r>
      <w:r>
        <w:rPr>
          <w:rFonts w:hint="eastAsia"/>
          <w:szCs w:val="21"/>
          <w:highlight w:val="none"/>
        </w:rPr>
        <w:t>10</w:t>
      </w:r>
      <w:r>
        <w:rPr>
          <w:szCs w:val="21"/>
          <w:highlight w:val="none"/>
        </w:rPr>
        <w:t>%的政府采购政策。供应商既属于残疾人福利性单位又属于小型、微型企业的，其只能享受</w:t>
      </w:r>
      <w:r>
        <w:rPr>
          <w:rFonts w:hint="eastAsia"/>
          <w:szCs w:val="21"/>
          <w:highlight w:val="none"/>
        </w:rPr>
        <w:t>投标</w:t>
      </w:r>
      <w:r>
        <w:rPr>
          <w:szCs w:val="21"/>
          <w:highlight w:val="none"/>
        </w:rPr>
        <w:t>报价一次性</w:t>
      </w:r>
      <w:r>
        <w:rPr>
          <w:rFonts w:hint="eastAsia"/>
          <w:szCs w:val="21"/>
          <w:highlight w:val="none"/>
        </w:rPr>
        <w:t>10</w:t>
      </w:r>
      <w:r>
        <w:rPr>
          <w:szCs w:val="21"/>
          <w:highlight w:val="none"/>
        </w:rPr>
        <w:t>%的扣除，不重复享受政策。</w:t>
      </w:r>
    </w:p>
    <w:p>
      <w:pPr>
        <w:spacing w:line="360" w:lineRule="auto"/>
        <w:ind w:firstLine="422" w:firstLineChars="200"/>
        <w:outlineLvl w:val="3"/>
        <w:rPr>
          <w:b/>
          <w:bCs/>
          <w:kern w:val="0"/>
          <w:szCs w:val="21"/>
          <w:highlight w:val="none"/>
        </w:rPr>
      </w:pPr>
      <w:r>
        <w:rPr>
          <w:rFonts w:hint="eastAsia"/>
          <w:b/>
          <w:bCs/>
          <w:kern w:val="0"/>
          <w:szCs w:val="21"/>
          <w:highlight w:val="none"/>
        </w:rPr>
        <w:t>2.3符合政府采购政策的相关条件</w:t>
      </w:r>
    </w:p>
    <w:p>
      <w:pPr>
        <w:spacing w:line="360" w:lineRule="auto"/>
        <w:ind w:firstLine="420" w:firstLineChars="200"/>
        <w:rPr>
          <w:szCs w:val="21"/>
          <w:highlight w:val="none"/>
        </w:rPr>
      </w:pPr>
      <w:r>
        <w:rPr>
          <w:szCs w:val="21"/>
          <w:highlight w:val="none"/>
        </w:rPr>
        <w:t>（1）小型、微型企业</w:t>
      </w:r>
    </w:p>
    <w:p>
      <w:pPr>
        <w:spacing w:line="360" w:lineRule="auto"/>
        <w:ind w:firstLine="420" w:firstLineChars="200"/>
        <w:rPr>
          <w:szCs w:val="21"/>
          <w:highlight w:val="none"/>
        </w:rPr>
      </w:pPr>
      <w:r>
        <w:rPr>
          <w:szCs w:val="21"/>
          <w:highlight w:val="none"/>
        </w:rPr>
        <w:t>依照</w:t>
      </w:r>
      <w:r>
        <w:rPr>
          <w:rFonts w:hint="eastAsia" w:cs="宋体"/>
          <w:bCs/>
          <w:szCs w:val="21"/>
          <w:highlight w:val="none"/>
          <w:lang w:bidi="ar"/>
        </w:rPr>
        <w:t>《政府采购促进中小企业发展管理办法》（财库﹝</w:t>
      </w:r>
      <w:r>
        <w:rPr>
          <w:bCs/>
          <w:szCs w:val="21"/>
          <w:highlight w:val="none"/>
          <w:lang w:bidi="ar"/>
        </w:rPr>
        <w:t>2020</w:t>
      </w:r>
      <w:r>
        <w:rPr>
          <w:rFonts w:hint="eastAsia" w:cs="宋体"/>
          <w:bCs/>
          <w:szCs w:val="21"/>
          <w:highlight w:val="none"/>
          <w:lang w:bidi="ar"/>
        </w:rPr>
        <w:t>﹞</w:t>
      </w:r>
      <w:r>
        <w:rPr>
          <w:bCs/>
          <w:szCs w:val="21"/>
          <w:highlight w:val="none"/>
          <w:lang w:bidi="ar"/>
        </w:rPr>
        <w:t xml:space="preserve">46 </w:t>
      </w:r>
      <w:r>
        <w:rPr>
          <w:rFonts w:hint="eastAsia" w:cs="宋体"/>
          <w:bCs/>
          <w:szCs w:val="21"/>
          <w:highlight w:val="none"/>
          <w:lang w:bidi="ar"/>
        </w:rPr>
        <w:t>号）</w:t>
      </w:r>
      <w:r>
        <w:rPr>
          <w:szCs w:val="21"/>
          <w:highlight w:val="none"/>
        </w:rPr>
        <w:t>之规定，小型、微型企业应当同时符合以下条件：</w:t>
      </w:r>
    </w:p>
    <w:p>
      <w:pPr>
        <w:spacing w:line="360" w:lineRule="auto"/>
        <w:ind w:firstLine="420" w:firstLineChars="200"/>
        <w:rPr>
          <w:szCs w:val="21"/>
          <w:highlight w:val="none"/>
        </w:rPr>
      </w:pPr>
      <w:r>
        <w:rPr>
          <w:rFonts w:hint="eastAsia" w:ascii="宋体" w:hAnsi="宋体" w:cs="宋体"/>
          <w:szCs w:val="21"/>
          <w:highlight w:val="none"/>
        </w:rPr>
        <w:t>①</w:t>
      </w:r>
      <w:r>
        <w:rPr>
          <w:szCs w:val="21"/>
          <w:highlight w:val="none"/>
        </w:rPr>
        <w:t>本企业符合中小企业划分标准（中小企业划分标准是指国务院有关部门根据企业从业人员、营业收入、资产总额等指标制定的中小企业划型标准，详见《关于印发中小企业划型标准规定的通知》（工信部联企业〔2011〕300号））。</w:t>
      </w:r>
    </w:p>
    <w:p>
      <w:pPr>
        <w:spacing w:line="360" w:lineRule="auto"/>
        <w:ind w:firstLine="420" w:firstLineChars="200"/>
        <w:rPr>
          <w:szCs w:val="21"/>
          <w:highlight w:val="none"/>
        </w:rPr>
      </w:pPr>
      <w:r>
        <w:rPr>
          <w:rFonts w:hint="eastAsia" w:ascii="宋体" w:hAnsi="宋体" w:cs="宋体"/>
          <w:szCs w:val="21"/>
          <w:highlight w:val="none"/>
        </w:rPr>
        <w:t>②</w:t>
      </w:r>
      <w:r>
        <w:rPr>
          <w:szCs w:val="21"/>
          <w:highlight w:val="none"/>
        </w:rPr>
        <w:t>提供本企业制造的货物、承担的工程或者服务，或者提供其他中小企业制造的货物，本项所称货物不包括提供或使用大型企业注册商标的货物。</w:t>
      </w:r>
    </w:p>
    <w:p>
      <w:pPr>
        <w:spacing w:line="360" w:lineRule="auto"/>
        <w:ind w:firstLine="420" w:firstLineChars="200"/>
        <w:rPr>
          <w:szCs w:val="21"/>
          <w:highlight w:val="none"/>
        </w:rPr>
      </w:pPr>
      <w:r>
        <w:rPr>
          <w:szCs w:val="21"/>
          <w:highlight w:val="none"/>
        </w:rPr>
        <w:t>注：小型、微型企业提供中型企业制造的货物的，视同为中型企业；小型、微型、中型企业提供大型企业制造的货物的，视同为大型企业，</w:t>
      </w:r>
      <w:r>
        <w:rPr>
          <w:rFonts w:hint="eastAsia"/>
          <w:szCs w:val="21"/>
          <w:highlight w:val="none"/>
        </w:rPr>
        <w:t>投标</w:t>
      </w:r>
      <w:r>
        <w:rPr>
          <w:szCs w:val="21"/>
          <w:highlight w:val="none"/>
        </w:rPr>
        <w:t>报价不予扣除。</w:t>
      </w:r>
      <w:r>
        <w:rPr>
          <w:bCs/>
          <w:szCs w:val="21"/>
          <w:highlight w:val="none"/>
        </w:rPr>
        <w:t>供应商声明为小、微型企业的，应按</w:t>
      </w:r>
      <w:r>
        <w:rPr>
          <w:rFonts w:hint="eastAsia"/>
          <w:bCs/>
          <w:szCs w:val="21"/>
          <w:highlight w:val="none"/>
        </w:rPr>
        <w:t>招标</w:t>
      </w:r>
      <w:r>
        <w:rPr>
          <w:bCs/>
          <w:szCs w:val="21"/>
          <w:highlight w:val="none"/>
        </w:rPr>
        <w:t>文件规定在</w:t>
      </w:r>
      <w:r>
        <w:rPr>
          <w:rFonts w:hint="eastAsia"/>
          <w:bCs/>
          <w:szCs w:val="21"/>
          <w:highlight w:val="none"/>
        </w:rPr>
        <w:t>投标</w:t>
      </w:r>
      <w:r>
        <w:rPr>
          <w:bCs/>
          <w:szCs w:val="21"/>
          <w:highlight w:val="none"/>
        </w:rPr>
        <w:t>文件中提供</w:t>
      </w:r>
      <w:r>
        <w:rPr>
          <w:rFonts w:hint="eastAsia"/>
          <w:bCs/>
          <w:szCs w:val="21"/>
          <w:highlight w:val="none"/>
        </w:rPr>
        <w:t>声明函</w:t>
      </w:r>
      <w:r>
        <w:rPr>
          <w:bCs/>
          <w:szCs w:val="21"/>
          <w:highlight w:val="none"/>
        </w:rPr>
        <w:t>。</w:t>
      </w:r>
    </w:p>
    <w:p>
      <w:pPr>
        <w:spacing w:line="360" w:lineRule="auto"/>
        <w:ind w:firstLine="420" w:firstLineChars="200"/>
        <w:rPr>
          <w:szCs w:val="21"/>
          <w:highlight w:val="none"/>
        </w:rPr>
      </w:pPr>
      <w:r>
        <w:rPr>
          <w:szCs w:val="21"/>
          <w:highlight w:val="none"/>
        </w:rPr>
        <w:t>（2）监狱企业</w:t>
      </w:r>
    </w:p>
    <w:p>
      <w:pPr>
        <w:spacing w:line="360" w:lineRule="auto"/>
        <w:ind w:firstLine="420" w:firstLineChars="200"/>
        <w:rPr>
          <w:szCs w:val="21"/>
          <w:highlight w:val="none"/>
        </w:rPr>
      </w:pPr>
      <w:r>
        <w:rPr>
          <w:szCs w:val="21"/>
          <w:highlight w:val="none"/>
        </w:rPr>
        <w:t>依照《财政部、司法部关于政府采购支持监狱企业发展有关问题的通知》（财库〔2014〕68号）之规定，监狱企业应当符合以下条件：</w:t>
      </w:r>
    </w:p>
    <w:p>
      <w:pPr>
        <w:spacing w:line="360" w:lineRule="auto"/>
        <w:ind w:firstLine="420" w:firstLineChars="200"/>
        <w:rPr>
          <w:szCs w:val="21"/>
          <w:highlight w:val="none"/>
        </w:rPr>
      </w:pPr>
      <w:r>
        <w:rPr>
          <w:rFonts w:hint="eastAsia" w:ascii="宋体" w:hAnsi="宋体" w:cs="宋体"/>
          <w:szCs w:val="21"/>
          <w:highlight w:val="none"/>
        </w:rPr>
        <w:t>①</w:t>
      </w:r>
      <w:r>
        <w:rPr>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20" w:firstLineChars="200"/>
        <w:rPr>
          <w:szCs w:val="21"/>
          <w:highlight w:val="none"/>
        </w:rPr>
      </w:pPr>
      <w:r>
        <w:rPr>
          <w:rFonts w:hint="eastAsia" w:ascii="宋体" w:hAnsi="宋体" w:cs="宋体"/>
          <w:szCs w:val="21"/>
          <w:highlight w:val="none"/>
        </w:rPr>
        <w:t>②</w:t>
      </w:r>
      <w:r>
        <w:rPr>
          <w:szCs w:val="21"/>
          <w:highlight w:val="none"/>
        </w:rPr>
        <w:t>监狱企业参加政府采购活动时，应当提供由省级以上监狱管理局、戒毒管理局（含新疆生产建设兵团）或财政部门出具的属于监狱企业的证明文件，视同小型、微型企业。</w:t>
      </w:r>
    </w:p>
    <w:p>
      <w:pPr>
        <w:spacing w:line="360" w:lineRule="auto"/>
        <w:ind w:firstLine="420" w:firstLineChars="200"/>
        <w:rPr>
          <w:szCs w:val="21"/>
          <w:highlight w:val="none"/>
        </w:rPr>
      </w:pPr>
      <w:r>
        <w:rPr>
          <w:rFonts w:hint="eastAsia"/>
          <w:szCs w:val="21"/>
          <w:highlight w:val="none"/>
        </w:rPr>
        <w:t>注：</w:t>
      </w:r>
      <w:r>
        <w:rPr>
          <w:bCs/>
          <w:szCs w:val="21"/>
          <w:highlight w:val="none"/>
        </w:rPr>
        <w:t>供应商声明为</w:t>
      </w:r>
      <w:r>
        <w:rPr>
          <w:rFonts w:hint="eastAsia"/>
          <w:bCs/>
          <w:szCs w:val="21"/>
          <w:highlight w:val="none"/>
        </w:rPr>
        <w:t>监狱</w:t>
      </w:r>
      <w:r>
        <w:rPr>
          <w:bCs/>
          <w:szCs w:val="21"/>
          <w:highlight w:val="none"/>
        </w:rPr>
        <w:t>企业的，应按</w:t>
      </w:r>
      <w:r>
        <w:rPr>
          <w:rFonts w:hint="eastAsia"/>
          <w:bCs/>
          <w:szCs w:val="21"/>
          <w:highlight w:val="none"/>
        </w:rPr>
        <w:t>招标</w:t>
      </w:r>
      <w:r>
        <w:rPr>
          <w:bCs/>
          <w:szCs w:val="21"/>
          <w:highlight w:val="none"/>
        </w:rPr>
        <w:t>文件规定在</w:t>
      </w:r>
      <w:r>
        <w:rPr>
          <w:rFonts w:hint="eastAsia"/>
          <w:bCs/>
          <w:szCs w:val="21"/>
          <w:highlight w:val="none"/>
        </w:rPr>
        <w:t>投标</w:t>
      </w:r>
      <w:r>
        <w:rPr>
          <w:bCs/>
          <w:szCs w:val="21"/>
          <w:highlight w:val="none"/>
        </w:rPr>
        <w:t>文件中提供</w:t>
      </w:r>
      <w:r>
        <w:rPr>
          <w:rFonts w:hint="eastAsia"/>
          <w:bCs/>
          <w:szCs w:val="21"/>
          <w:highlight w:val="none"/>
        </w:rPr>
        <w:t>相关</w:t>
      </w:r>
      <w:r>
        <w:rPr>
          <w:bCs/>
          <w:szCs w:val="21"/>
          <w:highlight w:val="none"/>
        </w:rPr>
        <w:t>证明文件。</w:t>
      </w:r>
    </w:p>
    <w:p>
      <w:pPr>
        <w:spacing w:line="360" w:lineRule="auto"/>
        <w:ind w:firstLine="420" w:firstLineChars="200"/>
        <w:rPr>
          <w:szCs w:val="21"/>
          <w:highlight w:val="none"/>
        </w:rPr>
      </w:pPr>
      <w:r>
        <w:rPr>
          <w:szCs w:val="21"/>
          <w:highlight w:val="none"/>
        </w:rPr>
        <w:t>（3）残疾人福利性单位</w:t>
      </w:r>
    </w:p>
    <w:p>
      <w:pPr>
        <w:spacing w:line="360" w:lineRule="auto"/>
        <w:ind w:firstLine="420" w:firstLineChars="200"/>
        <w:rPr>
          <w:szCs w:val="21"/>
          <w:highlight w:val="none"/>
        </w:rPr>
      </w:pPr>
      <w:r>
        <w:rPr>
          <w:szCs w:val="21"/>
          <w:highlight w:val="none"/>
        </w:rPr>
        <w:t>依照财政部、民政部、中国残疾人联合会三部门发布的《关于促进残疾人就业政府采购政策的通知》（财库〔2017〕141号）之规定，享受政府采购支持政策的残疾人福利性单位应当符合同时满足以下条件：</w:t>
      </w:r>
    </w:p>
    <w:p>
      <w:pPr>
        <w:spacing w:line="360" w:lineRule="auto"/>
        <w:ind w:firstLine="420" w:firstLineChars="200"/>
        <w:rPr>
          <w:szCs w:val="21"/>
          <w:highlight w:val="none"/>
        </w:rPr>
      </w:pPr>
      <w:r>
        <w:rPr>
          <w:rFonts w:hint="eastAsia" w:ascii="宋体" w:hAnsi="宋体" w:cs="宋体"/>
          <w:szCs w:val="21"/>
          <w:highlight w:val="none"/>
        </w:rPr>
        <w:t>①</w:t>
      </w:r>
      <w:r>
        <w:rPr>
          <w:szCs w:val="21"/>
          <w:highlight w:val="none"/>
        </w:rPr>
        <w:t>安置的残疾人占本单位在职职工人数的比例不低于25%（含25%），并且安置的残疾人人数不少于10人（含10人）；</w:t>
      </w:r>
    </w:p>
    <w:p>
      <w:pPr>
        <w:spacing w:line="360" w:lineRule="auto"/>
        <w:ind w:firstLine="420" w:firstLineChars="200"/>
        <w:rPr>
          <w:szCs w:val="21"/>
          <w:highlight w:val="none"/>
        </w:rPr>
      </w:pPr>
      <w:r>
        <w:rPr>
          <w:rFonts w:hint="eastAsia" w:ascii="宋体" w:hAnsi="宋体" w:cs="宋体"/>
          <w:szCs w:val="21"/>
          <w:highlight w:val="none"/>
        </w:rPr>
        <w:t>②</w:t>
      </w:r>
      <w:r>
        <w:rPr>
          <w:szCs w:val="21"/>
          <w:highlight w:val="none"/>
        </w:rPr>
        <w:t>依法与安置的每位残疾人签订了一年以上（含一年）的劳动合同或服务协议；</w:t>
      </w:r>
    </w:p>
    <w:p>
      <w:pPr>
        <w:spacing w:line="360" w:lineRule="auto"/>
        <w:ind w:firstLine="420" w:firstLineChars="200"/>
        <w:rPr>
          <w:szCs w:val="21"/>
          <w:highlight w:val="none"/>
        </w:rPr>
      </w:pPr>
      <w:r>
        <w:rPr>
          <w:rFonts w:hint="eastAsia" w:ascii="宋体" w:hAnsi="宋体" w:cs="宋体"/>
          <w:szCs w:val="21"/>
          <w:highlight w:val="none"/>
        </w:rPr>
        <w:t>③</w:t>
      </w:r>
      <w:r>
        <w:rPr>
          <w:szCs w:val="21"/>
          <w:highlight w:val="none"/>
        </w:rPr>
        <w:t>为安置的每位残疾人按月足额缴纳了基本养老保险、基本医疗保险、失业保险、工伤保险和生育保险等社会保险费；</w:t>
      </w:r>
    </w:p>
    <w:p>
      <w:pPr>
        <w:spacing w:line="360" w:lineRule="auto"/>
        <w:ind w:firstLine="420" w:firstLineChars="200"/>
        <w:rPr>
          <w:szCs w:val="21"/>
          <w:highlight w:val="none"/>
        </w:rPr>
      </w:pPr>
      <w:r>
        <w:rPr>
          <w:rFonts w:hint="eastAsia" w:ascii="宋体" w:hAnsi="宋体" w:cs="宋体"/>
          <w:szCs w:val="21"/>
          <w:highlight w:val="none"/>
        </w:rPr>
        <w:t>④</w:t>
      </w:r>
      <w:r>
        <w:rPr>
          <w:szCs w:val="21"/>
          <w:highlight w:val="none"/>
        </w:rPr>
        <w:t>通过银行等金融机构向安置的每位残疾人，按月支付了不低于单位所在区县适用的经省级人民政府批准的月最低工资标准的工资；</w:t>
      </w:r>
    </w:p>
    <w:p>
      <w:pPr>
        <w:spacing w:line="360" w:lineRule="auto"/>
        <w:ind w:firstLine="420" w:firstLineChars="200"/>
        <w:rPr>
          <w:szCs w:val="21"/>
          <w:highlight w:val="none"/>
        </w:rPr>
      </w:pPr>
      <w:r>
        <w:rPr>
          <w:rFonts w:hint="eastAsia" w:ascii="宋体" w:hAnsi="宋体" w:cs="宋体"/>
          <w:szCs w:val="21"/>
          <w:highlight w:val="none"/>
        </w:rPr>
        <w:t>⑤</w:t>
      </w:r>
      <w:r>
        <w:rPr>
          <w:szCs w:val="21"/>
          <w:highlight w:val="none"/>
        </w:rPr>
        <w:t>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rPr>
          <w:szCs w:val="21"/>
          <w:highlight w:val="none"/>
        </w:rPr>
      </w:pPr>
      <w:r>
        <w:rPr>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20" w:firstLineChars="200"/>
        <w:rPr>
          <w:bCs/>
          <w:szCs w:val="21"/>
          <w:highlight w:val="none"/>
        </w:rPr>
      </w:pPr>
      <w:r>
        <w:rPr>
          <w:szCs w:val="21"/>
          <w:highlight w:val="none"/>
        </w:rPr>
        <w:t>注：符合条件的残疾人福利性单位在参加政府采购活动时，应当提供《残疾人福利性单位声明函》（格式见第六章），并对声明的真实性负责。</w:t>
      </w:r>
    </w:p>
    <w:bookmarkEnd w:id="199"/>
    <w:p>
      <w:pPr>
        <w:pStyle w:val="29"/>
        <w:snapToGrid w:val="0"/>
        <w:spacing w:before="120" w:after="120"/>
        <w:outlineLvl w:val="0"/>
        <w:rPr>
          <w:rFonts w:ascii="Times New Roman" w:hAnsi="Times New Roman" w:cs="Times New Roman"/>
          <w:b/>
          <w:sz w:val="32"/>
          <w:szCs w:val="32"/>
          <w:highlight w:val="none"/>
        </w:rPr>
        <w:sectPr>
          <w:pgSz w:w="11906" w:h="16838"/>
          <w:pgMar w:top="1440" w:right="1800" w:bottom="1440" w:left="1800" w:header="851" w:footer="992" w:gutter="0"/>
          <w:cols w:space="720" w:num="1"/>
          <w:docGrid w:linePitch="312" w:charSpace="0"/>
        </w:sectPr>
      </w:pPr>
    </w:p>
    <w:p>
      <w:pPr>
        <w:pStyle w:val="29"/>
        <w:snapToGrid w:val="0"/>
        <w:spacing w:before="78" w:beforeLines="25" w:after="78" w:afterLines="25" w:line="360" w:lineRule="auto"/>
        <w:jc w:val="center"/>
        <w:outlineLvl w:val="0"/>
        <w:rPr>
          <w:rFonts w:ascii="Times New Roman" w:hAnsi="Times New Roman" w:cs="Times New Roman"/>
          <w:b/>
          <w:sz w:val="36"/>
          <w:szCs w:val="36"/>
          <w:highlight w:val="none"/>
        </w:rPr>
      </w:pPr>
      <w:bookmarkStart w:id="229" w:name="_Toc25316"/>
      <w:r>
        <w:rPr>
          <w:rFonts w:hint="eastAsia" w:ascii="Times New Roman" w:hAnsi="Times New Roman" w:cs="Times New Roman"/>
          <w:b/>
          <w:sz w:val="36"/>
          <w:szCs w:val="36"/>
          <w:highlight w:val="none"/>
        </w:rPr>
        <w:t>第五章  合同主要条款格式</w:t>
      </w:r>
      <w:bookmarkEnd w:id="229"/>
    </w:p>
    <w:p>
      <w:pPr>
        <w:spacing w:line="840" w:lineRule="exact"/>
        <w:ind w:firstLine="420"/>
        <w:jc w:val="center"/>
        <w:rPr>
          <w:rFonts w:hint="eastAsia" w:ascii="宋体" w:hAnsi="宋体" w:cs="宋体"/>
          <w:b/>
          <w:bCs/>
          <w:sz w:val="36"/>
          <w:szCs w:val="36"/>
          <w:highlight w:val="none"/>
        </w:rPr>
      </w:pPr>
      <w:bookmarkStart w:id="230" w:name="OLE_LINK88"/>
      <w:bookmarkStart w:id="231" w:name="OLE_LINK52"/>
      <w:r>
        <w:rPr>
          <w:rFonts w:hint="eastAsia" w:ascii="宋体" w:hAnsi="宋体" w:cs="宋体"/>
          <w:b/>
          <w:bCs/>
          <w:sz w:val="36"/>
          <w:szCs w:val="36"/>
          <w:highlight w:val="none"/>
        </w:rPr>
        <w:t>采购合同书</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highlight w:val="none"/>
        </w:rPr>
      </w:pPr>
      <w:r>
        <w:rPr>
          <w:rFonts w:hint="eastAsia" w:ascii="宋体" w:hAnsi="宋体" w:cs="宋体"/>
          <w:highlight w:val="none"/>
        </w:rPr>
        <w:t xml:space="preserve"> </w:t>
      </w:r>
    </w:p>
    <w:p>
      <w:pPr>
        <w:spacing w:line="340" w:lineRule="exact"/>
        <w:ind w:firstLine="420"/>
        <w:rPr>
          <w:rFonts w:hint="eastAsia" w:ascii="宋体" w:hAnsi="宋体" w:cs="宋体"/>
          <w:b/>
          <w:highlight w:val="none"/>
        </w:rPr>
      </w:pPr>
      <w:r>
        <w:rPr>
          <w:rFonts w:hint="eastAsia" w:ascii="宋体" w:hAnsi="宋体" w:cs="宋体"/>
          <w:b/>
          <w:highlight w:val="none"/>
        </w:rPr>
        <w:t xml:space="preserve"> </w:t>
      </w:r>
    </w:p>
    <w:p>
      <w:pPr>
        <w:spacing w:line="460" w:lineRule="exact"/>
        <w:ind w:left="2469" w:leftChars="650" w:hanging="1104" w:hangingChars="500"/>
        <w:rPr>
          <w:rFonts w:hint="eastAsia" w:ascii="宋体" w:hAnsi="宋体" w:cs="宋体"/>
          <w:b/>
          <w:sz w:val="22"/>
          <w:szCs w:val="22"/>
          <w:highlight w:val="none"/>
        </w:rPr>
      </w:pPr>
      <w:r>
        <w:rPr>
          <w:rFonts w:hint="eastAsia" w:ascii="宋体" w:hAnsi="宋体" w:cs="宋体"/>
          <w:b/>
          <w:sz w:val="22"/>
          <w:szCs w:val="22"/>
          <w:highlight w:val="none"/>
        </w:rPr>
        <w:t xml:space="preserve">项目名称： </w:t>
      </w:r>
    </w:p>
    <w:p>
      <w:pPr>
        <w:spacing w:line="460" w:lineRule="exact"/>
        <w:ind w:left="2469" w:leftChars="650" w:hanging="1104" w:hangingChars="500"/>
        <w:rPr>
          <w:rFonts w:hint="eastAsia" w:ascii="宋体" w:hAnsi="宋体" w:cs="宋体"/>
          <w:b/>
          <w:sz w:val="22"/>
          <w:szCs w:val="22"/>
          <w:highlight w:val="none"/>
        </w:rPr>
      </w:pPr>
      <w:r>
        <w:rPr>
          <w:rFonts w:hint="eastAsia" w:ascii="宋体" w:hAnsi="宋体" w:cs="宋体"/>
          <w:b/>
          <w:sz w:val="22"/>
          <w:szCs w:val="22"/>
          <w:highlight w:val="none"/>
        </w:rPr>
        <w:t>项目编号：</w:t>
      </w:r>
    </w:p>
    <w:p>
      <w:pPr>
        <w:spacing w:line="460" w:lineRule="exact"/>
        <w:ind w:left="2469" w:leftChars="650" w:hanging="1104" w:hangingChars="500"/>
        <w:rPr>
          <w:rFonts w:hint="eastAsia" w:ascii="宋体" w:hAnsi="宋体" w:cs="宋体"/>
          <w:b/>
          <w:sz w:val="22"/>
          <w:szCs w:val="22"/>
          <w:highlight w:val="none"/>
        </w:rPr>
      </w:pPr>
      <w:r>
        <w:rPr>
          <w:rFonts w:hint="eastAsia" w:ascii="宋体" w:hAnsi="宋体" w:cs="宋体"/>
          <w:b/>
          <w:sz w:val="22"/>
          <w:szCs w:val="22"/>
          <w:highlight w:val="none"/>
        </w:rPr>
        <w:t xml:space="preserve">签订地点： </w:t>
      </w:r>
    </w:p>
    <w:p>
      <w:pPr>
        <w:spacing w:line="460" w:lineRule="exact"/>
        <w:ind w:left="2469" w:leftChars="650" w:hanging="1104" w:hangingChars="500"/>
        <w:rPr>
          <w:rFonts w:hint="eastAsia" w:ascii="宋体" w:hAnsi="宋体" w:cs="宋体"/>
          <w:b/>
          <w:sz w:val="22"/>
          <w:szCs w:val="22"/>
          <w:highlight w:val="none"/>
        </w:rPr>
      </w:pPr>
      <w:r>
        <w:rPr>
          <w:rFonts w:hint="eastAsia" w:ascii="宋体" w:hAnsi="宋体" w:cs="宋体"/>
          <w:b/>
          <w:sz w:val="22"/>
          <w:szCs w:val="22"/>
          <w:highlight w:val="none"/>
        </w:rPr>
        <w:t>签订时间：</w:t>
      </w:r>
    </w:p>
    <w:p>
      <w:pPr>
        <w:spacing w:line="340" w:lineRule="exact"/>
        <w:ind w:firstLine="420"/>
        <w:jc w:val="center"/>
        <w:rPr>
          <w:rFonts w:hint="eastAsia" w:ascii="宋体" w:hAnsi="宋体" w:cs="宋体"/>
          <w:b/>
          <w:sz w:val="28"/>
          <w:szCs w:val="28"/>
          <w:highlight w:val="none"/>
        </w:rPr>
      </w:pPr>
      <w:r>
        <w:rPr>
          <w:rFonts w:hint="eastAsia" w:ascii="宋体" w:hAnsi="宋体" w:cs="宋体"/>
          <w:b/>
          <w:sz w:val="28"/>
          <w:szCs w:val="28"/>
          <w:highlight w:val="none"/>
        </w:rPr>
        <w:t xml:space="preserve"> </w:t>
      </w:r>
    </w:p>
    <w:p>
      <w:pPr>
        <w:suppressAutoHyphens/>
        <w:snapToGrid w:val="0"/>
        <w:spacing w:line="360" w:lineRule="exact"/>
        <w:rPr>
          <w:rFonts w:hint="eastAsia" w:ascii="宋体" w:hAnsi="宋体" w:cs="宋体"/>
          <w:highlight w:val="none"/>
        </w:rPr>
      </w:pPr>
      <w:r>
        <w:rPr>
          <w:rFonts w:hint="eastAsia" w:ascii="宋体" w:hAnsi="宋体" w:cs="宋体"/>
          <w:highlight w:val="none"/>
        </w:rPr>
        <w:t xml:space="preserve"> </w:t>
      </w:r>
    </w:p>
    <w:p>
      <w:pPr>
        <w:widowControl/>
        <w:jc w:val="left"/>
        <w:rPr>
          <w:rFonts w:hint="eastAsia" w:ascii="宋体" w:hAnsi="宋体" w:cs="宋体"/>
          <w:b/>
          <w:bCs/>
          <w:sz w:val="44"/>
          <w:szCs w:val="44"/>
          <w:highlight w:val="none"/>
        </w:rPr>
        <w:sectPr>
          <w:pgSz w:w="11906" w:h="16838"/>
          <w:pgMar w:top="1440" w:right="1800" w:bottom="1440" w:left="1800" w:header="851" w:footer="992" w:gutter="0"/>
          <w:cols w:space="720" w:num="1"/>
          <w:docGrid w:type="lines" w:linePitch="312" w:charSpace="0"/>
        </w:sectPr>
      </w:pPr>
    </w:p>
    <w:p>
      <w:pPr>
        <w:jc w:val="center"/>
        <w:rPr>
          <w:rFonts w:hint="eastAsia" w:ascii="宋体" w:hAnsi="宋体" w:cs="宋体"/>
          <w:b/>
          <w:bCs/>
          <w:sz w:val="44"/>
          <w:szCs w:val="44"/>
          <w:highlight w:val="none"/>
        </w:rPr>
      </w:pPr>
      <w:r>
        <w:rPr>
          <w:rFonts w:hint="eastAsia" w:ascii="宋体" w:hAnsi="宋体" w:cs="宋体"/>
          <w:b/>
          <w:bCs/>
          <w:sz w:val="44"/>
          <w:szCs w:val="44"/>
          <w:highlight w:val="none"/>
        </w:rPr>
        <w:t>目       录</w:t>
      </w:r>
    </w:p>
    <w:p>
      <w:pPr>
        <w:spacing w:line="600" w:lineRule="exact"/>
        <w:ind w:firstLine="2311" w:firstLineChars="642"/>
        <w:rPr>
          <w:rFonts w:hint="eastAsia" w:ascii="宋体" w:hAnsi="宋体" w:cs="宋体"/>
          <w:spacing w:val="40"/>
          <w:sz w:val="28"/>
          <w:szCs w:val="28"/>
          <w:highlight w:val="none"/>
        </w:rPr>
      </w:pPr>
      <w:r>
        <w:rPr>
          <w:rFonts w:hint="eastAsia" w:ascii="宋体" w:hAnsi="宋体" w:cs="宋体"/>
          <w:spacing w:val="40"/>
          <w:sz w:val="28"/>
          <w:szCs w:val="28"/>
          <w:highlight w:val="none"/>
        </w:rPr>
        <w:t xml:space="preserve"> </w:t>
      </w:r>
    </w:p>
    <w:p>
      <w:pPr>
        <w:spacing w:line="480" w:lineRule="auto"/>
        <w:ind w:firstLine="2311" w:firstLineChars="642"/>
        <w:rPr>
          <w:rFonts w:hint="eastAsia" w:ascii="宋体" w:hAnsi="宋体" w:cs="宋体"/>
          <w:spacing w:val="40"/>
          <w:sz w:val="28"/>
          <w:szCs w:val="28"/>
          <w:highlight w:val="none"/>
        </w:rPr>
      </w:pPr>
      <w:r>
        <w:rPr>
          <w:rFonts w:hint="eastAsia" w:ascii="宋体" w:hAnsi="宋体" w:cs="宋体"/>
          <w:spacing w:val="40"/>
          <w:sz w:val="28"/>
          <w:szCs w:val="28"/>
          <w:highlight w:val="none"/>
        </w:rPr>
        <w:t xml:space="preserve"> </w:t>
      </w:r>
    </w:p>
    <w:p>
      <w:pPr>
        <w:spacing w:line="480" w:lineRule="auto"/>
        <w:ind w:firstLine="2800" w:firstLineChars="1000"/>
        <w:rPr>
          <w:rFonts w:hint="eastAsia" w:ascii="宋体" w:hAnsi="宋体" w:cs="宋体"/>
          <w:sz w:val="28"/>
          <w:szCs w:val="28"/>
          <w:highlight w:val="none"/>
        </w:rPr>
      </w:pPr>
      <w:r>
        <w:rPr>
          <w:rFonts w:hint="eastAsia" w:ascii="宋体" w:hAnsi="宋体" w:cs="宋体"/>
          <w:sz w:val="28"/>
          <w:szCs w:val="28"/>
          <w:highlight w:val="none"/>
        </w:rPr>
        <w:t>第一部分  合同主要条款</w:t>
      </w:r>
    </w:p>
    <w:p>
      <w:pPr>
        <w:spacing w:line="480" w:lineRule="auto"/>
        <w:ind w:firstLine="2800" w:firstLineChars="1000"/>
        <w:rPr>
          <w:rFonts w:hint="eastAsia" w:ascii="宋体" w:hAnsi="宋体" w:cs="宋体"/>
          <w:sz w:val="28"/>
          <w:szCs w:val="28"/>
          <w:highlight w:val="none"/>
        </w:rPr>
      </w:pPr>
      <w:r>
        <w:rPr>
          <w:rFonts w:hint="eastAsia" w:ascii="宋体" w:hAnsi="宋体" w:cs="宋体"/>
          <w:sz w:val="28"/>
          <w:szCs w:val="28"/>
          <w:highlight w:val="none"/>
        </w:rPr>
        <w:t>第二部分  合同附件</w:t>
      </w:r>
    </w:p>
    <w:p>
      <w:pPr>
        <w:spacing w:line="480" w:lineRule="auto"/>
        <w:ind w:firstLine="2880" w:firstLineChars="1200"/>
        <w:rPr>
          <w:rFonts w:hint="eastAsia" w:ascii="宋体" w:hAnsi="宋体" w:cs="宋体"/>
          <w:sz w:val="24"/>
          <w:highlight w:val="none"/>
        </w:rPr>
      </w:pPr>
      <w:r>
        <w:rPr>
          <w:rFonts w:hint="eastAsia" w:ascii="宋体" w:hAnsi="宋体" w:cs="宋体"/>
          <w:sz w:val="24"/>
          <w:highlight w:val="none"/>
        </w:rPr>
        <w:t>附件1：项目采购需求</w:t>
      </w:r>
    </w:p>
    <w:p>
      <w:pPr>
        <w:spacing w:line="480" w:lineRule="auto"/>
        <w:ind w:firstLine="2880" w:firstLineChars="1200"/>
        <w:rPr>
          <w:rFonts w:hint="eastAsia" w:ascii="宋体" w:hAnsi="宋体" w:cs="宋体"/>
          <w:sz w:val="24"/>
          <w:highlight w:val="none"/>
        </w:rPr>
      </w:pPr>
      <w:r>
        <w:rPr>
          <w:rFonts w:hint="eastAsia" w:ascii="宋体" w:hAnsi="宋体" w:cs="宋体"/>
          <w:sz w:val="24"/>
          <w:highlight w:val="none"/>
        </w:rPr>
        <w:t>附件2：投标函</w:t>
      </w:r>
    </w:p>
    <w:p>
      <w:pPr>
        <w:spacing w:line="480" w:lineRule="auto"/>
        <w:ind w:firstLine="2880" w:firstLineChars="1200"/>
        <w:rPr>
          <w:rFonts w:hint="eastAsia" w:ascii="宋体" w:hAnsi="宋体" w:cs="宋体"/>
          <w:sz w:val="24"/>
          <w:highlight w:val="none"/>
        </w:rPr>
      </w:pPr>
      <w:r>
        <w:rPr>
          <w:rFonts w:hint="eastAsia" w:ascii="宋体" w:hAnsi="宋体" w:cs="宋体"/>
          <w:sz w:val="24"/>
          <w:highlight w:val="none"/>
        </w:rPr>
        <w:t>附件3：投标报价明细表</w:t>
      </w:r>
    </w:p>
    <w:p>
      <w:pPr>
        <w:spacing w:line="480" w:lineRule="auto"/>
        <w:ind w:firstLine="2880" w:firstLineChars="1200"/>
        <w:rPr>
          <w:rFonts w:hint="eastAsia" w:ascii="宋体" w:hAnsi="宋体" w:cs="宋体"/>
          <w:sz w:val="24"/>
          <w:highlight w:val="none"/>
        </w:rPr>
      </w:pPr>
      <w:r>
        <w:rPr>
          <w:rFonts w:hint="eastAsia" w:ascii="宋体" w:hAnsi="宋体" w:cs="宋体"/>
          <w:sz w:val="24"/>
          <w:highlight w:val="none"/>
        </w:rPr>
        <w:t>附件4：商务、技术偏离表</w:t>
      </w:r>
    </w:p>
    <w:p>
      <w:pPr>
        <w:spacing w:line="480" w:lineRule="auto"/>
        <w:ind w:firstLine="2880" w:firstLineChars="1200"/>
        <w:rPr>
          <w:rFonts w:hint="eastAsia" w:ascii="宋体" w:hAnsi="宋体" w:cs="宋体"/>
          <w:sz w:val="24"/>
          <w:highlight w:val="none"/>
        </w:rPr>
      </w:pPr>
      <w:r>
        <w:rPr>
          <w:rFonts w:hint="eastAsia" w:ascii="宋体" w:hAnsi="宋体" w:cs="宋体"/>
          <w:sz w:val="24"/>
          <w:highlight w:val="none"/>
        </w:rPr>
        <w:t>附件5：售后服务方案</w:t>
      </w:r>
    </w:p>
    <w:p>
      <w:pPr>
        <w:spacing w:line="480" w:lineRule="auto"/>
        <w:ind w:firstLine="2880" w:firstLineChars="1200"/>
        <w:rPr>
          <w:rFonts w:hint="eastAsia" w:ascii="宋体" w:hAnsi="宋体" w:cs="宋体"/>
          <w:highlight w:val="none"/>
        </w:rPr>
      </w:pPr>
      <w:r>
        <w:rPr>
          <w:rFonts w:hint="eastAsia" w:ascii="宋体" w:hAnsi="宋体" w:cs="宋体"/>
          <w:sz w:val="24"/>
          <w:highlight w:val="none"/>
        </w:rPr>
        <w:t>附件6：中标通知书</w:t>
      </w:r>
    </w:p>
    <w:p>
      <w:pPr>
        <w:spacing w:before="120" w:after="331" w:afterLines="100" w:line="320" w:lineRule="atLeast"/>
        <w:ind w:firstLine="723" w:firstLineChars="200"/>
        <w:jc w:val="center"/>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pStyle w:val="34"/>
        <w:rPr>
          <w:rFonts w:hint="eastAsia" w:ascii="宋体" w:hAnsi="宋体" w:cs="宋体"/>
          <w:b/>
          <w:bCs/>
          <w:kern w:val="0"/>
          <w:sz w:val="36"/>
          <w:szCs w:val="36"/>
          <w:highlight w:val="none"/>
        </w:rPr>
      </w:pPr>
    </w:p>
    <w:p>
      <w:pPr>
        <w:spacing w:before="120" w:after="331" w:afterLines="100" w:line="320" w:lineRule="atLeast"/>
        <w:ind w:firstLine="723" w:firstLineChars="200"/>
        <w:jc w:val="center"/>
        <w:rPr>
          <w:rFonts w:hint="eastAsia" w:ascii="宋体" w:hAnsi="宋体" w:cs="宋体"/>
          <w:b/>
          <w:bCs/>
          <w:kern w:val="0"/>
          <w:sz w:val="36"/>
          <w:szCs w:val="36"/>
          <w:highlight w:val="none"/>
        </w:rPr>
      </w:pPr>
      <w:r>
        <w:rPr>
          <w:rFonts w:hint="eastAsia" w:ascii="宋体" w:hAnsi="宋体" w:cs="宋体"/>
          <w:b/>
          <w:bCs/>
          <w:kern w:val="0"/>
          <w:sz w:val="36"/>
          <w:szCs w:val="36"/>
          <w:highlight w:val="none"/>
        </w:rPr>
        <w:t>广西壮族自治区政府采购合同</w:t>
      </w:r>
    </w:p>
    <w:p>
      <w:pPr>
        <w:snapToGrid w:val="0"/>
        <w:spacing w:line="440" w:lineRule="exact"/>
        <w:jc w:val="left"/>
        <w:rPr>
          <w:rFonts w:hint="eastAsia" w:ascii="宋体" w:hAnsi="宋体" w:cs="宋体"/>
          <w:sz w:val="24"/>
          <w:highlight w:val="none"/>
        </w:rPr>
      </w:pPr>
      <w:r>
        <w:rPr>
          <w:rFonts w:hint="eastAsia" w:ascii="宋体" w:hAnsi="宋体" w:cs="宋体"/>
          <w:sz w:val="24"/>
          <w:highlight w:val="none"/>
        </w:rPr>
        <w:t xml:space="preserve">合同编号：                                    </w:t>
      </w:r>
    </w:p>
    <w:p>
      <w:pPr>
        <w:snapToGrid w:val="0"/>
        <w:spacing w:line="440" w:lineRule="exact"/>
        <w:jc w:val="left"/>
        <w:rPr>
          <w:rFonts w:hint="eastAsia" w:ascii="宋体" w:hAnsi="宋体" w:cs="宋体"/>
          <w:sz w:val="24"/>
          <w:highlight w:val="none"/>
        </w:rPr>
      </w:pPr>
      <w:r>
        <w:rPr>
          <w:rFonts w:hint="eastAsia" w:ascii="宋体" w:hAnsi="宋体" w:cs="宋体"/>
          <w:sz w:val="24"/>
          <w:highlight w:val="none"/>
        </w:rPr>
        <w:t>甲方</w:t>
      </w:r>
      <w:r>
        <w:rPr>
          <w:rFonts w:hint="eastAsia" w:ascii="宋体" w:hAnsi="宋体" w:cs="宋体"/>
          <w:b/>
          <w:bCs/>
          <w:sz w:val="24"/>
          <w:highlight w:val="none"/>
        </w:rPr>
        <w:t>（采购单位）</w:t>
      </w:r>
      <w:r>
        <w:rPr>
          <w:rFonts w:hint="eastAsia" w:ascii="宋体" w:hAnsi="宋体" w:cs="宋体"/>
          <w:sz w:val="24"/>
          <w:highlight w:val="none"/>
        </w:rPr>
        <w:t>：广西壮族自治区工业和信息化厅</w:t>
      </w:r>
    </w:p>
    <w:p>
      <w:pPr>
        <w:snapToGrid w:val="0"/>
        <w:spacing w:line="440" w:lineRule="exact"/>
        <w:ind w:firstLine="720" w:firstLineChars="300"/>
        <w:jc w:val="left"/>
        <w:rPr>
          <w:rFonts w:hint="eastAsia" w:ascii="宋体" w:hAnsi="宋体" w:cs="宋体"/>
          <w:sz w:val="24"/>
          <w:highlight w:val="none"/>
        </w:rPr>
      </w:pPr>
      <w:r>
        <w:rPr>
          <w:rFonts w:hint="eastAsia" w:ascii="宋体" w:hAnsi="宋体" w:cs="宋体"/>
          <w:sz w:val="24"/>
          <w:highlight w:val="none"/>
        </w:rPr>
        <w:t>XXXX（使用单位1）、XXXX（使用单位2）</w:t>
      </w:r>
    </w:p>
    <w:p>
      <w:pPr>
        <w:snapToGrid w:val="0"/>
        <w:spacing w:line="440" w:lineRule="exact"/>
        <w:ind w:firstLine="720" w:firstLineChars="300"/>
        <w:jc w:val="left"/>
        <w:rPr>
          <w:rFonts w:hint="eastAsia" w:ascii="宋体" w:hAnsi="宋体" w:cs="宋体"/>
          <w:sz w:val="24"/>
          <w:highlight w:val="none"/>
        </w:rPr>
      </w:pPr>
    </w:p>
    <w:p>
      <w:pPr>
        <w:snapToGrid w:val="0"/>
        <w:spacing w:line="440" w:lineRule="exact"/>
        <w:jc w:val="left"/>
        <w:rPr>
          <w:rFonts w:hint="eastAsia" w:ascii="宋体" w:hAnsi="宋体" w:cs="宋体"/>
          <w:strike/>
          <w:sz w:val="24"/>
          <w:highlight w:val="none"/>
          <w:u w:val="single"/>
        </w:rPr>
      </w:pPr>
      <w:r>
        <w:rPr>
          <w:rFonts w:hint="eastAsia" w:ascii="宋体" w:hAnsi="宋体" w:cs="宋体"/>
          <w:sz w:val="24"/>
          <w:highlight w:val="none"/>
        </w:rPr>
        <w:t>乙方</w:t>
      </w:r>
      <w:r>
        <w:rPr>
          <w:rFonts w:hint="eastAsia" w:ascii="宋体" w:hAnsi="宋体" w:cs="宋体"/>
          <w:b/>
          <w:bCs/>
          <w:sz w:val="24"/>
          <w:highlight w:val="none"/>
        </w:rPr>
        <w:t>（成交供应商）</w:t>
      </w:r>
      <w:r>
        <w:rPr>
          <w:rFonts w:hint="eastAsia" w:ascii="宋体" w:hAnsi="宋体" w:cs="宋体"/>
          <w:sz w:val="24"/>
          <w:highlight w:val="none"/>
        </w:rPr>
        <w:t xml:space="preserve">：                         </w:t>
      </w:r>
    </w:p>
    <w:p>
      <w:pPr>
        <w:snapToGrid w:val="0"/>
        <w:spacing w:line="440" w:lineRule="exact"/>
        <w:jc w:val="left"/>
        <w:rPr>
          <w:rFonts w:hint="eastAsia" w:ascii="宋体" w:hAnsi="宋体" w:cs="宋体"/>
          <w:sz w:val="24"/>
          <w:highlight w:val="none"/>
        </w:rPr>
      </w:pPr>
      <w:r>
        <w:rPr>
          <w:rFonts w:hint="eastAsia" w:ascii="宋体" w:hAnsi="宋体" w:cs="宋体"/>
          <w:sz w:val="24"/>
          <w:highlight w:val="none"/>
        </w:rPr>
        <w:t xml:space="preserve">采购计划号：                    </w:t>
      </w:r>
    </w:p>
    <w:p>
      <w:pPr>
        <w:snapToGrid w:val="0"/>
        <w:spacing w:line="440" w:lineRule="exact"/>
        <w:jc w:val="left"/>
        <w:rPr>
          <w:rFonts w:hint="eastAsia" w:ascii="宋体" w:hAnsi="宋体" w:cs="宋体"/>
          <w:sz w:val="24"/>
          <w:highlight w:val="none"/>
        </w:rPr>
      </w:pPr>
      <w:r>
        <w:rPr>
          <w:rFonts w:hint="eastAsia" w:ascii="宋体" w:hAnsi="宋体" w:cs="宋体"/>
          <w:sz w:val="24"/>
          <w:highlight w:val="none"/>
        </w:rPr>
        <w:t xml:space="preserve">项目名称：                          项目编号：                     </w:t>
      </w:r>
    </w:p>
    <w:p>
      <w:pPr>
        <w:snapToGrid w:val="0"/>
        <w:spacing w:line="360" w:lineRule="exact"/>
        <w:rPr>
          <w:rFonts w:hint="eastAsia" w:ascii="宋体" w:hAnsi="宋体" w:cs="宋体"/>
          <w:sz w:val="24"/>
          <w:highlight w:val="none"/>
        </w:rPr>
      </w:pPr>
      <w:r>
        <w:rPr>
          <w:rFonts w:hint="eastAsia" w:ascii="宋体" w:hAnsi="宋体" w:cs="宋体"/>
          <w:sz w:val="24"/>
          <w:highlight w:val="none"/>
        </w:rPr>
        <w:t>签订地点：                          签订时间：       年    月    日</w:t>
      </w:r>
    </w:p>
    <w:p>
      <w:pPr>
        <w:snapToGrid w:val="0"/>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根据《中华人民共和国政府采购法》</w:t>
      </w:r>
      <w:r>
        <w:rPr>
          <w:rFonts w:hint="eastAsia" w:hAnsi="宋体" w:cs="宋体"/>
          <w:kern w:val="0"/>
          <w:sz w:val="24"/>
          <w:szCs w:val="24"/>
          <w:highlight w:val="none"/>
        </w:rPr>
        <w:t>、《政府采购货物和服务招标投标管理办法》、</w:t>
      </w:r>
      <w:r>
        <w:rPr>
          <w:rFonts w:hint="eastAsia" w:hAnsi="宋体" w:cs="宋体"/>
          <w:sz w:val="24"/>
          <w:szCs w:val="24"/>
          <w:highlight w:val="none"/>
        </w:rPr>
        <w:t>《中华人民共和国民法典》等法律、法规规定，按照招标文件规定和乙方投标文件及其承诺，甲乙双方经友好协商，就    项目（项目编号：    ）的采购事宜达成如下条款，供双方共同遵守。</w:t>
      </w:r>
    </w:p>
    <w:p>
      <w:pPr>
        <w:snapToGrid w:val="0"/>
        <w:spacing w:line="44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第一条 合同标的</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1.供货一览表</w:t>
      </w:r>
    </w:p>
    <w:tbl>
      <w:tblPr>
        <w:tblStyle w:val="54"/>
        <w:tblW w:w="845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996"/>
        <w:gridCol w:w="954"/>
        <w:gridCol w:w="944"/>
        <w:gridCol w:w="1181"/>
        <w:gridCol w:w="716"/>
        <w:gridCol w:w="875"/>
        <w:gridCol w:w="1023"/>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序号</w:t>
            </w:r>
          </w:p>
        </w:tc>
        <w:tc>
          <w:tcPr>
            <w:tcW w:w="996"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产品</w:t>
            </w:r>
          </w:p>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名称</w:t>
            </w:r>
          </w:p>
        </w:tc>
        <w:tc>
          <w:tcPr>
            <w:tcW w:w="954"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商标</w:t>
            </w:r>
          </w:p>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品牌</w:t>
            </w:r>
          </w:p>
        </w:tc>
        <w:tc>
          <w:tcPr>
            <w:tcW w:w="944"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型号</w:t>
            </w:r>
          </w:p>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参数</w:t>
            </w:r>
          </w:p>
        </w:tc>
        <w:tc>
          <w:tcPr>
            <w:tcW w:w="1181"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生产</w:t>
            </w:r>
          </w:p>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厂家</w:t>
            </w:r>
          </w:p>
        </w:tc>
        <w:tc>
          <w:tcPr>
            <w:tcW w:w="716"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数  量</w:t>
            </w:r>
          </w:p>
        </w:tc>
        <w:tc>
          <w:tcPr>
            <w:tcW w:w="875"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单位</w:t>
            </w:r>
          </w:p>
        </w:tc>
        <w:tc>
          <w:tcPr>
            <w:tcW w:w="1023"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单价</w:t>
            </w:r>
          </w:p>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（元）</w:t>
            </w:r>
          </w:p>
        </w:tc>
        <w:tc>
          <w:tcPr>
            <w:tcW w:w="1273"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金额</w:t>
            </w:r>
          </w:p>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1</w:t>
            </w:r>
          </w:p>
        </w:tc>
        <w:tc>
          <w:tcPr>
            <w:tcW w:w="996"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954"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944"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1181" w:type="dxa"/>
            <w:tcBorders>
              <w:top w:val="single" w:color="auto" w:sz="4" w:space="0"/>
              <w:left w:val="nil"/>
              <w:bottom w:val="single" w:color="auto" w:sz="4" w:space="0"/>
              <w:right w:val="single" w:color="auto" w:sz="4" w:space="0"/>
            </w:tcBorders>
          </w:tcPr>
          <w:p>
            <w:pPr>
              <w:snapToGrid w:val="0"/>
              <w:spacing w:line="300" w:lineRule="exact"/>
              <w:jc w:val="center"/>
              <w:rPr>
                <w:rFonts w:hint="eastAsia" w:ascii="宋体" w:hAnsi="宋体" w:cs="宋体"/>
                <w:sz w:val="24"/>
                <w:highlight w:val="none"/>
              </w:rPr>
            </w:pPr>
          </w:p>
        </w:tc>
        <w:tc>
          <w:tcPr>
            <w:tcW w:w="716" w:type="dxa"/>
            <w:tcBorders>
              <w:top w:val="single" w:color="auto" w:sz="4" w:space="0"/>
              <w:left w:val="nil"/>
              <w:bottom w:val="single" w:color="auto" w:sz="4" w:space="0"/>
              <w:right w:val="single" w:color="auto" w:sz="4" w:space="0"/>
            </w:tcBorders>
          </w:tcPr>
          <w:p>
            <w:pPr>
              <w:snapToGrid w:val="0"/>
              <w:spacing w:line="300" w:lineRule="exact"/>
              <w:jc w:val="center"/>
              <w:rPr>
                <w:rFonts w:hint="eastAsia" w:ascii="宋体" w:hAnsi="宋体" w:cs="宋体"/>
                <w:sz w:val="24"/>
                <w:highlight w:val="none"/>
              </w:rPr>
            </w:pPr>
          </w:p>
        </w:tc>
        <w:tc>
          <w:tcPr>
            <w:tcW w:w="875" w:type="dxa"/>
            <w:tcBorders>
              <w:top w:val="single" w:color="auto" w:sz="4" w:space="0"/>
              <w:left w:val="nil"/>
              <w:bottom w:val="single" w:color="auto" w:sz="4" w:space="0"/>
              <w:right w:val="single" w:color="auto" w:sz="4" w:space="0"/>
            </w:tcBorders>
          </w:tcPr>
          <w:p>
            <w:pPr>
              <w:snapToGrid w:val="0"/>
              <w:spacing w:line="300" w:lineRule="exact"/>
              <w:jc w:val="center"/>
              <w:rPr>
                <w:rFonts w:hint="eastAsia" w:ascii="宋体" w:hAnsi="宋体" w:cs="宋体"/>
                <w:sz w:val="24"/>
                <w:highlight w:val="none"/>
              </w:rPr>
            </w:pPr>
          </w:p>
        </w:tc>
        <w:tc>
          <w:tcPr>
            <w:tcW w:w="1023"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1273"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2</w:t>
            </w:r>
          </w:p>
        </w:tc>
        <w:tc>
          <w:tcPr>
            <w:tcW w:w="996"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954"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944"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1181" w:type="dxa"/>
            <w:tcBorders>
              <w:top w:val="single" w:color="auto" w:sz="4" w:space="0"/>
              <w:left w:val="nil"/>
              <w:bottom w:val="single" w:color="auto" w:sz="4" w:space="0"/>
              <w:right w:val="single" w:color="auto" w:sz="4" w:space="0"/>
            </w:tcBorders>
          </w:tcPr>
          <w:p>
            <w:pPr>
              <w:snapToGrid w:val="0"/>
              <w:spacing w:line="300" w:lineRule="exact"/>
              <w:jc w:val="center"/>
              <w:rPr>
                <w:rFonts w:hint="eastAsia" w:ascii="宋体" w:hAnsi="宋体" w:cs="宋体"/>
                <w:sz w:val="24"/>
                <w:highlight w:val="none"/>
              </w:rPr>
            </w:pPr>
          </w:p>
        </w:tc>
        <w:tc>
          <w:tcPr>
            <w:tcW w:w="716" w:type="dxa"/>
            <w:tcBorders>
              <w:top w:val="single" w:color="auto" w:sz="4" w:space="0"/>
              <w:left w:val="nil"/>
              <w:bottom w:val="single" w:color="auto" w:sz="4" w:space="0"/>
              <w:right w:val="single" w:color="auto" w:sz="4" w:space="0"/>
            </w:tcBorders>
          </w:tcPr>
          <w:p>
            <w:pPr>
              <w:snapToGrid w:val="0"/>
              <w:spacing w:line="300" w:lineRule="exact"/>
              <w:jc w:val="center"/>
              <w:rPr>
                <w:rFonts w:hint="eastAsia" w:ascii="宋体" w:hAnsi="宋体" w:cs="宋体"/>
                <w:sz w:val="24"/>
                <w:highlight w:val="none"/>
              </w:rPr>
            </w:pPr>
          </w:p>
        </w:tc>
        <w:tc>
          <w:tcPr>
            <w:tcW w:w="875" w:type="dxa"/>
            <w:tcBorders>
              <w:top w:val="single" w:color="auto" w:sz="4" w:space="0"/>
              <w:left w:val="nil"/>
              <w:bottom w:val="single" w:color="auto" w:sz="4" w:space="0"/>
              <w:right w:val="single" w:color="auto" w:sz="4" w:space="0"/>
            </w:tcBorders>
          </w:tcPr>
          <w:p>
            <w:pPr>
              <w:snapToGrid w:val="0"/>
              <w:spacing w:line="300" w:lineRule="exact"/>
              <w:jc w:val="center"/>
              <w:rPr>
                <w:rFonts w:hint="eastAsia" w:ascii="宋体" w:hAnsi="宋体" w:cs="宋体"/>
                <w:sz w:val="24"/>
                <w:highlight w:val="none"/>
              </w:rPr>
            </w:pPr>
          </w:p>
        </w:tc>
        <w:tc>
          <w:tcPr>
            <w:tcW w:w="1023"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1273"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r>
              <w:rPr>
                <w:rFonts w:hint="eastAsia" w:ascii="宋体" w:hAnsi="宋体" w:cs="宋体"/>
                <w:sz w:val="24"/>
                <w:highlight w:val="none"/>
              </w:rPr>
              <w:t>3</w:t>
            </w:r>
          </w:p>
        </w:tc>
        <w:tc>
          <w:tcPr>
            <w:tcW w:w="996"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954"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944"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1181" w:type="dxa"/>
            <w:tcBorders>
              <w:top w:val="single" w:color="auto" w:sz="4" w:space="0"/>
              <w:left w:val="nil"/>
              <w:bottom w:val="single" w:color="auto" w:sz="4" w:space="0"/>
              <w:right w:val="single" w:color="auto" w:sz="4" w:space="0"/>
            </w:tcBorders>
          </w:tcPr>
          <w:p>
            <w:pPr>
              <w:snapToGrid w:val="0"/>
              <w:spacing w:line="300" w:lineRule="exact"/>
              <w:jc w:val="center"/>
              <w:rPr>
                <w:rFonts w:hint="eastAsia" w:ascii="宋体" w:hAnsi="宋体" w:cs="宋体"/>
                <w:sz w:val="24"/>
                <w:highlight w:val="none"/>
              </w:rPr>
            </w:pPr>
          </w:p>
        </w:tc>
        <w:tc>
          <w:tcPr>
            <w:tcW w:w="716" w:type="dxa"/>
            <w:tcBorders>
              <w:top w:val="single" w:color="auto" w:sz="4" w:space="0"/>
              <w:left w:val="nil"/>
              <w:bottom w:val="single" w:color="auto" w:sz="4" w:space="0"/>
              <w:right w:val="single" w:color="auto" w:sz="4" w:space="0"/>
            </w:tcBorders>
          </w:tcPr>
          <w:p>
            <w:pPr>
              <w:snapToGrid w:val="0"/>
              <w:spacing w:line="300" w:lineRule="exact"/>
              <w:jc w:val="center"/>
              <w:rPr>
                <w:rFonts w:hint="eastAsia" w:ascii="宋体" w:hAnsi="宋体" w:cs="宋体"/>
                <w:sz w:val="24"/>
                <w:highlight w:val="none"/>
              </w:rPr>
            </w:pPr>
          </w:p>
        </w:tc>
        <w:tc>
          <w:tcPr>
            <w:tcW w:w="875" w:type="dxa"/>
            <w:tcBorders>
              <w:top w:val="single" w:color="auto" w:sz="4" w:space="0"/>
              <w:left w:val="nil"/>
              <w:bottom w:val="single" w:color="auto" w:sz="4" w:space="0"/>
              <w:right w:val="single" w:color="auto" w:sz="4" w:space="0"/>
            </w:tcBorders>
          </w:tcPr>
          <w:p>
            <w:pPr>
              <w:snapToGrid w:val="0"/>
              <w:spacing w:line="300" w:lineRule="exact"/>
              <w:jc w:val="center"/>
              <w:rPr>
                <w:rFonts w:hint="eastAsia" w:ascii="宋体" w:hAnsi="宋体" w:cs="宋体"/>
                <w:sz w:val="24"/>
                <w:highlight w:val="none"/>
              </w:rPr>
            </w:pPr>
          </w:p>
        </w:tc>
        <w:tc>
          <w:tcPr>
            <w:tcW w:w="1023"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c>
          <w:tcPr>
            <w:tcW w:w="1273"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458"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s="宋体"/>
                <w:b/>
                <w:sz w:val="24"/>
                <w:highlight w:val="none"/>
              </w:rPr>
            </w:pPr>
            <w:r>
              <w:rPr>
                <w:rFonts w:hint="eastAsia" w:ascii="宋体" w:hAnsi="宋体" w:cs="宋体"/>
                <w:b/>
                <w:sz w:val="24"/>
                <w:highlight w:val="none"/>
              </w:rPr>
              <w:t xml:space="preserve">人民币合计金额（大写）                          （小写                ）                 </w:t>
            </w:r>
          </w:p>
        </w:tc>
      </w:tr>
    </w:tbl>
    <w:p>
      <w:pPr>
        <w:pStyle w:val="29"/>
        <w:spacing w:line="440" w:lineRule="exact"/>
        <w:ind w:firstLine="480" w:firstLineChars="200"/>
        <w:jc w:val="left"/>
        <w:rPr>
          <w:rFonts w:hint="eastAsia" w:hAnsi="宋体" w:cs="宋体"/>
          <w:b/>
          <w:bCs/>
          <w:color w:val="FF0000"/>
          <w:sz w:val="24"/>
          <w:szCs w:val="24"/>
          <w:highlight w:val="none"/>
          <w:u w:val="single"/>
        </w:rPr>
      </w:pPr>
      <w:r>
        <w:rPr>
          <w:rFonts w:hint="eastAsia" w:hAnsi="宋体" w:cs="宋体"/>
          <w:sz w:val="24"/>
          <w:szCs w:val="24"/>
          <w:highlight w:val="none"/>
        </w:rPr>
        <w:t>2.合同价格形式：合同总价为人民币         元，此价格为固定总价，不因市场变化或其他因素而调整。</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3.合同合计金额包括产品价、税费、备件、包装、运输（含装卸、上楼）、保险、安装、调试、技术培训、产品检测、产品质保期内维护、各类验收过程中涉及的测试和验收等类似服务内容的全部费用。如招标文件对其另有规定的，从其规定。</w:t>
      </w:r>
    </w:p>
    <w:p>
      <w:pPr>
        <w:snapToGrid w:val="0"/>
        <w:spacing w:line="440" w:lineRule="exact"/>
        <w:ind w:firstLine="482" w:firstLineChars="200"/>
        <w:jc w:val="left"/>
        <w:rPr>
          <w:rFonts w:hint="eastAsia" w:ascii="宋体" w:hAnsi="宋体" w:cs="宋体"/>
          <w:sz w:val="24"/>
          <w:highlight w:val="none"/>
        </w:rPr>
      </w:pPr>
      <w:r>
        <w:rPr>
          <w:rFonts w:hint="eastAsia" w:ascii="宋体" w:hAnsi="宋体" w:cs="宋体"/>
          <w:b/>
          <w:sz w:val="24"/>
          <w:highlight w:val="none"/>
        </w:rPr>
        <w:t>第二条  质量保证</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1.乙方所提供的货物型号、规格、技术参数等必须与招标文件、投标文件和承诺相一致。</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2.乙方所提供的货物必须是全新、未使用的原装产品，且在正常安装、使用和保养条件下，其使用寿命期内各项指标均达到质量要求。</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3.乙方提供的商品或者服务有欺诈行为，甲方有权要求乙方赔偿的金额为本合同总金额的三倍。</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4.验收货物时发现货物外观和质量不符合合同要求的，甲方有权退货或者要求乙方重新发货。</w:t>
      </w:r>
    </w:p>
    <w:p>
      <w:pPr>
        <w:snapToGrid w:val="0"/>
        <w:spacing w:line="440" w:lineRule="exact"/>
        <w:ind w:firstLine="482" w:firstLineChars="200"/>
        <w:jc w:val="left"/>
        <w:rPr>
          <w:rFonts w:hint="eastAsia" w:ascii="宋体" w:hAnsi="宋体" w:cs="宋体"/>
          <w:sz w:val="24"/>
          <w:highlight w:val="none"/>
        </w:rPr>
      </w:pPr>
      <w:r>
        <w:rPr>
          <w:rFonts w:hint="eastAsia" w:ascii="宋体" w:hAnsi="宋体" w:cs="宋体"/>
          <w:b/>
          <w:sz w:val="24"/>
          <w:highlight w:val="none"/>
        </w:rPr>
        <w:t>第三条  权利保证</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1.乙方应保证所提供货物在使用时不会侵犯任何第三方的专利权、商标权、工业设计权或其他权利。</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2.乙方应按招标文件规定的时间向甲方提供使用货物的有关技术资料。</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4.乙方保证所交付的货物的所有权完全属于乙方且无任何抵押、质押、查封等产权瑕疵。</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5.如采购项目涉及采购标的的知识产权归属的，产权归属为：甲方所有。</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6.如果甲方在使用乙方提供的产品及服务时，受到第三方提出的侵犯其知识产权的起诉，给甲方造成经济损失的，乙方应当赔偿甲方的经济损失。</w:t>
      </w:r>
    </w:p>
    <w:p>
      <w:pPr>
        <w:snapToGrid w:val="0"/>
        <w:spacing w:line="44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第四条  包装和运输</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1.乙方提供的货物均应按招标文件要求的包装材料、包装标准、包装方式进行包装，每一包装单元内应附详细的装箱单和质量合格证，如有缺失应及时补齐，否则视为交付不合格，甲方有权拒收。</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2.货物的运输方式：乙方自定。</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3.乙方负责货物运输，货物运输合理损耗及计算方法：本合同交付货物不接受损耗。</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4.乙方提供的货物包装及快递包装应满足《财政部等三部门联合印发商品包装和快递包装政府采购需求标准（试行）》财办库【2020】123号文要求。</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5.货物在交付甲方前发生的风险均由乙方负责。</w:t>
      </w:r>
    </w:p>
    <w:p>
      <w:pPr>
        <w:snapToGrid w:val="0"/>
        <w:spacing w:line="440" w:lineRule="exact"/>
        <w:ind w:firstLine="482" w:firstLineChars="200"/>
        <w:jc w:val="left"/>
        <w:rPr>
          <w:rFonts w:hint="eastAsia" w:ascii="宋体" w:hAnsi="宋体" w:cs="宋体"/>
          <w:sz w:val="24"/>
          <w:highlight w:val="none"/>
        </w:rPr>
      </w:pPr>
      <w:r>
        <w:rPr>
          <w:rFonts w:hint="eastAsia" w:ascii="宋体" w:hAnsi="宋体" w:cs="宋体"/>
          <w:b/>
          <w:sz w:val="24"/>
          <w:highlight w:val="none"/>
        </w:rPr>
        <w:t>第五条  交付和验收</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1.交付使用时间：</w:t>
      </w:r>
      <w:bookmarkStart w:id="232" w:name="OLE_LINK37"/>
      <w:r>
        <w:rPr>
          <w:rFonts w:hint="eastAsia" w:hAnsi="宋体" w:cs="宋体"/>
          <w:sz w:val="24"/>
          <w:szCs w:val="24"/>
          <w:highlight w:val="none"/>
          <w:u w:val="single"/>
        </w:rPr>
        <w:t xml:space="preserve">                         </w:t>
      </w:r>
      <w:bookmarkEnd w:id="232"/>
      <w:r>
        <w:rPr>
          <w:rFonts w:hint="eastAsia" w:hAnsi="宋体" w:cs="宋体"/>
          <w:sz w:val="24"/>
          <w:szCs w:val="24"/>
          <w:highlight w:val="none"/>
        </w:rPr>
        <w:t>；</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交付地点：</w:t>
      </w:r>
      <w:r>
        <w:rPr>
          <w:rFonts w:hint="eastAsia" w:hAnsi="宋体" w:cs="宋体"/>
          <w:sz w:val="24"/>
          <w:szCs w:val="24"/>
          <w:highlight w:val="none"/>
          <w:u w:val="single"/>
        </w:rPr>
        <w:t xml:space="preserve">                         </w:t>
      </w:r>
      <w:r>
        <w:rPr>
          <w:rFonts w:hint="eastAsia" w:hAnsi="宋体" w:cs="宋体"/>
          <w:sz w:val="24"/>
          <w:szCs w:val="24"/>
          <w:highlight w:val="none"/>
        </w:rPr>
        <w:t>。</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2.乙方提供不符合招标文件、投标文件和本合同规定的货物，甲方有权拒绝接收。</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3.合同验收前，乙方需提供原子化测试报告。</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4.乙方交货前应对产品作出全面检查和对验收材料进行整理，并列出清单随货物交甲方。乙方不能完整交付货物及验收材料，应及时补齐，否则视为未按合同约定交货。</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5.货物到达甲方指定地点后，甲方依据合同的要求和乙方提供的货物清单进行清点和检查，外观、说明书、包装、数量等符合要求的，给予签收，不符合的不予签收。</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6.乙方需完成安装和调试，直到符合合同、甲方招标文件、乙方投标文件及承诺等有关要求。乙方完成安装调试后七个工作日内，向甲方提请合同验收。甲方组织验收时，乙方应予以配合，验收合格</w:t>
      </w:r>
      <w:r>
        <w:rPr>
          <w:rFonts w:hint="eastAsia" w:hAnsi="宋体" w:cs="宋体"/>
          <w:sz w:val="24"/>
          <w:szCs w:val="24"/>
          <w:highlight w:val="none"/>
        </w:rPr>
        <w:tab/>
      </w:r>
      <w:r>
        <w:rPr>
          <w:rFonts w:hint="eastAsia" w:hAnsi="宋体" w:cs="宋体"/>
          <w:sz w:val="24"/>
          <w:szCs w:val="24"/>
          <w:highlight w:val="none"/>
        </w:rPr>
        <w:t>后由甲乙双方签署货物验收单并加盖甲乙双方单位公章，甲乙双方各执一份。</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7.其他未尽事宜应严格按照《关于印发广西壮族自治区政府采购项目履约验收管理办法的通知》[桂财采〔2015〕22号]以及《财政部关于进一步加强政府采购需求和履约验收管理的指导意见》[财库〔2016〕205号]规定执行。</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8.本合同所称验收指按照《国家无线电办公室关于印发&lt;无线电管理基础和技术设施建设项目管理指导意见&gt;的通知》（国无办函〔2019〕21号）等国家和广西有关规定需要开展的合同验收、初步验收、竣工验收。合同验收通过后，乙方应配合甲方开展初步验收和竣工验收，并根据合同验收、初步验收、竣工验收的验收意见完成相关整改，直至符合要求。</w:t>
      </w:r>
    </w:p>
    <w:p>
      <w:pPr>
        <w:pStyle w:val="29"/>
        <w:spacing w:line="440" w:lineRule="exact"/>
        <w:ind w:firstLine="482" w:firstLineChars="200"/>
        <w:jc w:val="left"/>
        <w:rPr>
          <w:rFonts w:hint="eastAsia" w:hAnsi="宋体" w:cs="宋体"/>
          <w:b/>
          <w:sz w:val="24"/>
          <w:highlight w:val="none"/>
        </w:rPr>
      </w:pPr>
      <w:r>
        <w:rPr>
          <w:rFonts w:hint="eastAsia" w:hAnsi="宋体" w:cs="宋体"/>
          <w:b/>
          <w:sz w:val="24"/>
          <w:highlight w:val="none"/>
        </w:rPr>
        <w:t>第六条  安装和培训</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1.甲方应提供必要安装条件（如场地、电源、水源等），乙方负责安装。</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2.乙方负责甲方有关人员的培训。培训时间、次数、地点：由甲方决定。</w:t>
      </w:r>
    </w:p>
    <w:p>
      <w:pPr>
        <w:snapToGrid w:val="0"/>
        <w:spacing w:line="440" w:lineRule="exact"/>
        <w:ind w:firstLine="482" w:firstLineChars="200"/>
        <w:jc w:val="left"/>
        <w:rPr>
          <w:rFonts w:hint="eastAsia" w:ascii="宋体" w:hAnsi="宋体" w:cs="宋体"/>
          <w:sz w:val="24"/>
          <w:highlight w:val="none"/>
        </w:rPr>
      </w:pPr>
      <w:r>
        <w:rPr>
          <w:rFonts w:hint="eastAsia" w:ascii="宋体" w:hAnsi="宋体" w:cs="宋体"/>
          <w:b/>
          <w:sz w:val="24"/>
          <w:highlight w:val="none"/>
        </w:rPr>
        <w:t>第七条  付款方式</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1.资金性质：财政性资金。</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2.付款方式：</w:t>
      </w:r>
      <w:bookmarkStart w:id="233" w:name="OLE_LINK87"/>
      <w:r>
        <w:rPr>
          <w:rFonts w:hint="eastAsia" w:ascii="宋体" w:hAnsi="宋体" w:cs="宋体"/>
          <w:sz w:val="24"/>
          <w:highlight w:val="none"/>
        </w:rPr>
        <w:t>合同生效后，由本合同的所有使用单位共同支付合同总价的50%（各使用单位应支付的金额由采购单位确定），出厂验收后支付合同总价的30%，合同验收后支付合同总价的17%，竣工验收通过后支付合同总价的3%。乙方收到上述货款之日起10个工作日内开具发票给各付款单位（即使用单位）。</w:t>
      </w:r>
      <w:bookmarkEnd w:id="233"/>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支付形式：转账。</w:t>
      </w:r>
    </w:p>
    <w:p>
      <w:pPr>
        <w:snapToGrid w:val="0"/>
        <w:spacing w:line="44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第八条  履约保证金</w:t>
      </w:r>
    </w:p>
    <w:p>
      <w:pPr>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本合同履约保证金金额：无。</w:t>
      </w:r>
    </w:p>
    <w:p>
      <w:pPr>
        <w:snapToGrid w:val="0"/>
        <w:spacing w:line="44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第九条  税费</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本合同执行中相关的一切税费均由乙方负担。</w:t>
      </w:r>
    </w:p>
    <w:p>
      <w:pPr>
        <w:snapToGrid w:val="0"/>
        <w:spacing w:line="44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第十条  质保期及售后服务</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1.乙方应按照国家有关法律法规和“三包”规定以及招标文件、投标文件和本合同附件，为甲方提供售后服务。</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2.货物质保期：设备验收合格正式交付使用之日起计算，整套设备免费保修期为   年（因战争、严重火灾、洪水、台风、雷击、地震等不可抗拒因素和人为因素出现的故障不在免费保修范围内，可有偿维修）。质保期内免费维修、更换配件。质保期满后，以优惠价格提供维修和备件更换，且免除一切手续费。</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3.如在使用过程中发生质量问题，乙方在接到甲方通知后在    小时内到达甲方现场。</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4.在质保期内，乙方应对货物或服务成果出现的质量及安全问题负责处理解决并承担一切费用。</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5.乙方提供的服务承诺和售后服务及质保期责任等其它具体约定事项。</w:t>
      </w:r>
    </w:p>
    <w:p>
      <w:pPr>
        <w:snapToGrid w:val="0"/>
        <w:spacing w:line="44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第十一条  违约责任</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 xml:space="preserve">1.乙方所提供的货物经验收不合格，乙方必须在30天内无条件更换，并经验收合格；如果验收不合格，视为乙方构成根本性违约，甲方有权解除合同，乙方应向甲方退还全部合同货款，并支付违约金为验收不合格货款金额的 30%。                                       </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2.乙方提供的货物如侵犯了第三方合法权益而引发的任何纠纷或诉讼，均由乙方负责交涉并承担全部责任。</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3.因包装、运输引起的货物损坏，按质量不合格处理，由乙方自行承担。</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4.甲方无故延期接收货物，每天向乙方偿付延期接货货款总金额3‰违约金，但违约金累计不得超过合同货款总金额5%，超过 30 天乙方有权解除合同，甲方应向乙方支付剩余合同款；甲方延期付货款的，每天向乙方偿付延期货款额3‰ 违约金，但违约金累计不得超过延期货款总金额5%。</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5.乙方逾期交货的，每天向甲方支付逾期交货货款总金额3‰违约金，但违约金累计不得超过合同货款总金额5%，超过 30 天甲方有权解除合同，乙方应向甲方退还全部合同货款，并支付违约货款金额30%违约金。</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6.乙方未按本合同和投标文件中规定的服务承诺提供售后服务的，乙方应按本合同合计金额5%向甲方支付违约金。</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7.乙方提供的货物在质量保证期内，因设计、工艺或材料的缺陷和其它质量原因造成的问题，由乙方负责，费用从剩余支付货款中扣除，剩余支付货款不足以支付的，由乙方另行支付。</w:t>
      </w:r>
    </w:p>
    <w:p>
      <w:pPr>
        <w:pStyle w:val="29"/>
        <w:spacing w:line="440" w:lineRule="exact"/>
        <w:ind w:firstLine="480" w:firstLineChars="200"/>
        <w:jc w:val="left"/>
        <w:rPr>
          <w:rFonts w:hint="eastAsia" w:hAnsi="宋体" w:cs="宋体"/>
          <w:sz w:val="24"/>
          <w:szCs w:val="24"/>
          <w:highlight w:val="none"/>
        </w:rPr>
      </w:pPr>
      <w:r>
        <w:rPr>
          <w:rFonts w:hint="eastAsia" w:hAnsi="宋体" w:cs="宋体"/>
          <w:sz w:val="24"/>
          <w:szCs w:val="24"/>
          <w:highlight w:val="none"/>
        </w:rPr>
        <w:t>8.因产品质量不合格造成他人财产、人身损害的，乙方应当承担赔偿责任。</w:t>
      </w:r>
    </w:p>
    <w:p>
      <w:pPr>
        <w:snapToGrid w:val="0"/>
        <w:spacing w:line="440" w:lineRule="exact"/>
        <w:jc w:val="left"/>
        <w:rPr>
          <w:rFonts w:hint="eastAsia" w:ascii="宋体" w:hAnsi="宋体" w:cs="宋体"/>
          <w:sz w:val="24"/>
          <w:highlight w:val="none"/>
        </w:rPr>
      </w:pPr>
      <w:r>
        <w:rPr>
          <w:rFonts w:hint="eastAsia" w:ascii="宋体" w:hAnsi="宋体" w:cs="宋体"/>
          <w:sz w:val="24"/>
          <w:highlight w:val="none"/>
        </w:rPr>
        <w:t>其它违约行为按违约货款额30%收取违约金，如果违约金不足于赔偿甲方的经济损失，乙方应当足额赔偿甲方经济损失。</w:t>
      </w:r>
    </w:p>
    <w:p>
      <w:pPr>
        <w:pStyle w:val="29"/>
        <w:snapToGrid w:val="0"/>
        <w:spacing w:before="120" w:after="120" w:line="440" w:lineRule="exact"/>
        <w:ind w:firstLine="472" w:firstLineChars="196"/>
        <w:jc w:val="left"/>
        <w:rPr>
          <w:rFonts w:hint="eastAsia" w:hAnsi="宋体" w:cs="宋体"/>
          <w:b/>
          <w:sz w:val="24"/>
          <w:szCs w:val="24"/>
          <w:highlight w:val="none"/>
        </w:rPr>
      </w:pPr>
      <w:r>
        <w:rPr>
          <w:rFonts w:hint="eastAsia" w:hAnsi="宋体" w:cs="宋体"/>
          <w:b/>
          <w:sz w:val="24"/>
          <w:szCs w:val="24"/>
          <w:highlight w:val="none"/>
        </w:rPr>
        <w:t>第十二条  不可抗力事件处理</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1.在合同有效期内，任何一方因不可抗力事件导致不能履行合同，则合同履行期可延长，其延长期与不可抗力影响期相同。</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2.不可抗力事件发生后，应立即书面通知对方，并寄送有关权威机构出具的证明。</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3.不可抗力事件延续一百二十天以上，双方应通过友好协商，确定是否继续履行合同。</w:t>
      </w:r>
    </w:p>
    <w:p>
      <w:pPr>
        <w:snapToGrid w:val="0"/>
        <w:spacing w:line="440" w:lineRule="exact"/>
        <w:ind w:firstLine="482" w:firstLineChars="200"/>
        <w:jc w:val="left"/>
        <w:rPr>
          <w:rFonts w:hint="eastAsia" w:ascii="宋体" w:hAnsi="宋体" w:cs="宋体"/>
          <w:sz w:val="24"/>
          <w:highlight w:val="none"/>
        </w:rPr>
      </w:pPr>
      <w:r>
        <w:rPr>
          <w:rFonts w:hint="eastAsia" w:ascii="宋体" w:hAnsi="宋体" w:cs="宋体"/>
          <w:b/>
          <w:sz w:val="24"/>
          <w:highlight w:val="none"/>
        </w:rPr>
        <w:t>第十三条  合同争议解决</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1.因货物质量问题发生争议的，应对货物进行封存，并邀请</w:t>
      </w:r>
      <w:r>
        <w:rPr>
          <w:rFonts w:hint="eastAsia" w:ascii="宋体" w:hAnsi="宋体" w:cs="宋体"/>
          <w:b/>
          <w:bCs/>
          <w:sz w:val="24"/>
          <w:highlight w:val="none"/>
        </w:rPr>
        <w:t>省级以上</w:t>
      </w:r>
      <w:r>
        <w:rPr>
          <w:rFonts w:hint="eastAsia" w:ascii="宋体" w:hAnsi="宋体" w:cs="宋体"/>
          <w:sz w:val="24"/>
          <w:highlight w:val="none"/>
        </w:rPr>
        <w:t>具备质量检测资质的机构按照国家标准对货物质量进行鉴定。货物符合国家标准的，鉴定费由甲方承担；货物不符合国家标准的，鉴定费由乙方承担。</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2.因履行本合同引起的或与本合同有关的争议，甲乙双方应首先通过友好协商解决，如果协商不能解决，可向甲方所在地人民法院提起诉讼。</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3.诉讼期间，本合同继续履行。</w:t>
      </w:r>
    </w:p>
    <w:p>
      <w:pPr>
        <w:pStyle w:val="29"/>
        <w:snapToGrid w:val="0"/>
        <w:spacing w:before="120" w:after="120" w:line="440" w:lineRule="exact"/>
        <w:ind w:firstLine="482" w:firstLineChars="200"/>
        <w:jc w:val="left"/>
        <w:rPr>
          <w:rFonts w:hint="eastAsia" w:hAnsi="宋体" w:cs="宋体"/>
          <w:b/>
          <w:sz w:val="24"/>
          <w:szCs w:val="24"/>
          <w:highlight w:val="none"/>
        </w:rPr>
      </w:pPr>
      <w:r>
        <w:rPr>
          <w:rFonts w:hint="eastAsia" w:hAnsi="宋体" w:cs="宋体"/>
          <w:b/>
          <w:sz w:val="24"/>
          <w:szCs w:val="24"/>
          <w:highlight w:val="none"/>
        </w:rPr>
        <w:t>第十四条  合同生效及其它</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1.合同经双方法定代表人或授权代表签字并加盖单位公章后生效。</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2.合同执行中涉及采购资金和采购内容修改或补充的，须经财政部门审批，并签书面补充协议报财政部门备案，方可作为主合同不可分割的一部分。</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3.本合同未尽事宜，由双方协商，签订补充协议。</w:t>
      </w:r>
    </w:p>
    <w:p>
      <w:pPr>
        <w:snapToGrid w:val="0"/>
        <w:spacing w:line="44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第十五条  签订本合同依据</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1.政府采购招标文件；</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2.乙方提供的投标文件；</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3.投标承诺书；</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4.中标（成交）通知书。</w:t>
      </w:r>
    </w:p>
    <w:p>
      <w:pPr>
        <w:snapToGrid w:val="0"/>
        <w:spacing w:line="440" w:lineRule="exact"/>
        <w:ind w:firstLine="482" w:firstLineChars="200"/>
        <w:jc w:val="left"/>
        <w:rPr>
          <w:rFonts w:hint="eastAsia" w:ascii="宋体" w:hAnsi="宋体" w:cs="宋体"/>
          <w:sz w:val="24"/>
          <w:highlight w:val="none"/>
        </w:rPr>
      </w:pPr>
      <w:r>
        <w:rPr>
          <w:rFonts w:hint="eastAsia" w:ascii="宋体" w:hAnsi="宋体" w:cs="宋体"/>
          <w:b/>
          <w:sz w:val="24"/>
          <w:highlight w:val="none"/>
        </w:rPr>
        <w:t xml:space="preserve">第十六条 </w:t>
      </w:r>
      <w:r>
        <w:rPr>
          <w:rFonts w:hint="eastAsia" w:ascii="宋体" w:hAnsi="宋体" w:cs="宋体"/>
          <w:sz w:val="24"/>
          <w:highlight w:val="none"/>
        </w:rPr>
        <w:t>本合同一式    份，具有同等法律效力。</w:t>
      </w:r>
      <w:r>
        <w:rPr>
          <w:rFonts w:hint="eastAsia" w:ascii="宋体" w:hAnsi="宋体" w:cs="宋体"/>
          <w:spacing w:val="4"/>
          <w:sz w:val="24"/>
          <w:highlight w:val="none"/>
        </w:rPr>
        <w:t>政府采购监督管理部门、采购代理机构</w:t>
      </w:r>
      <w:r>
        <w:rPr>
          <w:rFonts w:hint="eastAsia" w:ascii="宋体" w:hAnsi="宋体" w:cs="宋体"/>
          <w:sz w:val="24"/>
          <w:highlight w:val="none"/>
        </w:rPr>
        <w:t>各一份，甲方（采购单位）三份，甲方（使用单位）各二份，乙方二份。</w:t>
      </w:r>
    </w:p>
    <w:p>
      <w:pPr>
        <w:snapToGrid w:val="0"/>
        <w:spacing w:line="440" w:lineRule="exact"/>
        <w:ind w:firstLine="480" w:firstLineChars="200"/>
        <w:jc w:val="left"/>
        <w:rPr>
          <w:rFonts w:hint="eastAsia" w:ascii="宋体" w:hAnsi="宋体" w:cs="宋体"/>
          <w:sz w:val="24"/>
          <w:highlight w:val="none"/>
        </w:rPr>
      </w:pPr>
      <w:r>
        <w:rPr>
          <w:rFonts w:hint="eastAsia" w:ascii="宋体" w:hAnsi="宋体" w:cs="宋体"/>
          <w:sz w:val="24"/>
          <w:highlight w:val="none"/>
        </w:rPr>
        <w:t>本合同经甲乙双方法定代表人或授权代表签字并加盖单位公章之日起生效。</w:t>
      </w:r>
    </w:p>
    <w:p>
      <w:pPr>
        <w:widowControl/>
        <w:jc w:val="left"/>
        <w:rPr>
          <w:rFonts w:hint="eastAsia" w:ascii="宋体" w:hAnsi="宋体" w:cs="宋体"/>
          <w:sz w:val="24"/>
          <w:highlight w:val="none"/>
        </w:rPr>
      </w:pPr>
      <w:r>
        <w:rPr>
          <w:rFonts w:hint="eastAsia" w:ascii="宋体" w:hAnsi="宋体" w:cs="宋体"/>
          <w:sz w:val="24"/>
          <w:highlight w:val="none"/>
        </w:rPr>
        <w:br w:type="page"/>
      </w:r>
    </w:p>
    <w:tbl>
      <w:tblPr>
        <w:tblStyle w:val="54"/>
        <w:tblW w:w="9125" w:type="dxa"/>
        <w:jc w:val="center"/>
        <w:tblLayout w:type="fixed"/>
        <w:tblCellMar>
          <w:top w:w="0" w:type="dxa"/>
          <w:left w:w="108" w:type="dxa"/>
          <w:bottom w:w="0" w:type="dxa"/>
          <w:right w:w="108" w:type="dxa"/>
        </w:tblCellMar>
      </w:tblPr>
      <w:tblGrid>
        <w:gridCol w:w="4437"/>
        <w:gridCol w:w="4688"/>
      </w:tblGrid>
      <w:tr>
        <w:tblPrEx>
          <w:tblCellMar>
            <w:top w:w="0" w:type="dxa"/>
            <w:left w:w="108" w:type="dxa"/>
            <w:bottom w:w="0" w:type="dxa"/>
            <w:right w:w="108" w:type="dxa"/>
          </w:tblCellMar>
        </w:tblPrEx>
        <w:trPr>
          <w:cantSplit/>
          <w:trHeight w:val="975"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甲方（采购单位）：</w:t>
            </w:r>
          </w:p>
          <w:p>
            <w:pPr>
              <w:snapToGrid w:val="0"/>
              <w:spacing w:line="360" w:lineRule="exact"/>
              <w:jc w:val="right"/>
              <w:rPr>
                <w:rFonts w:hint="eastAsia" w:ascii="宋体" w:hAnsi="宋体" w:cs="宋体"/>
                <w:sz w:val="24"/>
                <w:highlight w:val="none"/>
              </w:rPr>
            </w:pPr>
            <w:r>
              <w:rPr>
                <w:rFonts w:hint="eastAsia" w:ascii="宋体" w:hAnsi="宋体" w:cs="宋体"/>
                <w:sz w:val="24"/>
                <w:highlight w:val="none"/>
              </w:rPr>
              <w:t>广西壮族自治区工业和信息化厅（章）</w:t>
            </w:r>
          </w:p>
        </w:tc>
        <w:tc>
          <w:tcPr>
            <w:tcW w:w="4688"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乙方（供应商）：</w:t>
            </w:r>
          </w:p>
          <w:p>
            <w:pPr>
              <w:snapToGrid w:val="0"/>
              <w:spacing w:line="360" w:lineRule="exact"/>
              <w:jc w:val="right"/>
              <w:rPr>
                <w:rFonts w:hint="eastAsia" w:ascii="宋体" w:hAnsi="宋体" w:cs="宋体"/>
                <w:sz w:val="24"/>
                <w:highlight w:val="none"/>
              </w:rPr>
            </w:pPr>
            <w:r>
              <w:rPr>
                <w:rFonts w:hint="eastAsia" w:ascii="宋体" w:hAnsi="宋体" w:cs="宋体"/>
                <w:sz w:val="24"/>
                <w:highlight w:val="none"/>
              </w:rPr>
              <w:t>（章）</w:t>
            </w:r>
          </w:p>
        </w:tc>
      </w:tr>
      <w:tr>
        <w:tblPrEx>
          <w:tblCellMar>
            <w:top w:w="0" w:type="dxa"/>
            <w:left w:w="108" w:type="dxa"/>
            <w:bottom w:w="0" w:type="dxa"/>
            <w:right w:w="108" w:type="dxa"/>
          </w:tblCellMar>
        </w:tblPrEx>
        <w:trPr>
          <w:cantSplit/>
          <w:trHeight w:val="482"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单位地址：</w:t>
            </w:r>
          </w:p>
        </w:tc>
        <w:tc>
          <w:tcPr>
            <w:tcW w:w="4688"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单位地址：</w:t>
            </w:r>
          </w:p>
        </w:tc>
      </w:tr>
      <w:tr>
        <w:tblPrEx>
          <w:tblCellMar>
            <w:top w:w="0" w:type="dxa"/>
            <w:left w:w="108" w:type="dxa"/>
            <w:bottom w:w="0" w:type="dxa"/>
            <w:right w:w="108" w:type="dxa"/>
          </w:tblCellMar>
        </w:tblPrEx>
        <w:trPr>
          <w:cantSplit/>
          <w:trHeight w:val="465"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法定代表人：</w:t>
            </w:r>
          </w:p>
        </w:tc>
        <w:tc>
          <w:tcPr>
            <w:tcW w:w="4688"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法定代表人：</w:t>
            </w:r>
          </w:p>
        </w:tc>
      </w:tr>
      <w:tr>
        <w:tblPrEx>
          <w:tblCellMar>
            <w:top w:w="0" w:type="dxa"/>
            <w:left w:w="108" w:type="dxa"/>
            <w:bottom w:w="0" w:type="dxa"/>
            <w:right w:w="108" w:type="dxa"/>
          </w:tblCellMar>
        </w:tblPrEx>
        <w:trPr>
          <w:cantSplit/>
          <w:trHeight w:val="434"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委托代理人：</w:t>
            </w:r>
          </w:p>
        </w:tc>
        <w:tc>
          <w:tcPr>
            <w:tcW w:w="4688"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委托代理人</w:t>
            </w:r>
          </w:p>
        </w:tc>
      </w:tr>
      <w:tr>
        <w:tblPrEx>
          <w:tblCellMar>
            <w:top w:w="0" w:type="dxa"/>
            <w:left w:w="108" w:type="dxa"/>
            <w:bottom w:w="0" w:type="dxa"/>
            <w:right w:w="108" w:type="dxa"/>
          </w:tblCellMar>
        </w:tblPrEx>
        <w:trPr>
          <w:cantSplit/>
          <w:trHeight w:val="413"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电话：</w:t>
            </w:r>
          </w:p>
        </w:tc>
        <w:tc>
          <w:tcPr>
            <w:tcW w:w="4688"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电话：</w:t>
            </w:r>
          </w:p>
        </w:tc>
      </w:tr>
      <w:tr>
        <w:tblPrEx>
          <w:tblCellMar>
            <w:top w:w="0" w:type="dxa"/>
            <w:left w:w="108" w:type="dxa"/>
            <w:bottom w:w="0" w:type="dxa"/>
            <w:right w:w="108" w:type="dxa"/>
          </w:tblCellMar>
        </w:tblPrEx>
        <w:trPr>
          <w:cantSplit/>
          <w:trHeight w:val="410"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电子邮箱：</w:t>
            </w:r>
          </w:p>
        </w:tc>
        <w:tc>
          <w:tcPr>
            <w:tcW w:w="4688"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电子邮箱：</w:t>
            </w:r>
          </w:p>
        </w:tc>
      </w:tr>
      <w:tr>
        <w:tblPrEx>
          <w:tblCellMar>
            <w:top w:w="0" w:type="dxa"/>
            <w:left w:w="108" w:type="dxa"/>
            <w:bottom w:w="0" w:type="dxa"/>
            <w:right w:w="108" w:type="dxa"/>
          </w:tblCellMar>
        </w:tblPrEx>
        <w:trPr>
          <w:cantSplit/>
          <w:trHeight w:val="410"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开户银行：</w:t>
            </w:r>
          </w:p>
        </w:tc>
        <w:tc>
          <w:tcPr>
            <w:tcW w:w="4688"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开户银行：</w:t>
            </w:r>
          </w:p>
        </w:tc>
      </w:tr>
      <w:tr>
        <w:tblPrEx>
          <w:tblCellMar>
            <w:top w:w="0" w:type="dxa"/>
            <w:left w:w="108" w:type="dxa"/>
            <w:bottom w:w="0" w:type="dxa"/>
            <w:right w:w="108" w:type="dxa"/>
          </w:tblCellMar>
        </w:tblPrEx>
        <w:trPr>
          <w:cantSplit/>
          <w:trHeight w:val="416"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账号：</w:t>
            </w:r>
          </w:p>
        </w:tc>
        <w:tc>
          <w:tcPr>
            <w:tcW w:w="4688"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账号：</w:t>
            </w:r>
          </w:p>
        </w:tc>
      </w:tr>
      <w:tr>
        <w:tblPrEx>
          <w:tblCellMar>
            <w:top w:w="0" w:type="dxa"/>
            <w:left w:w="108" w:type="dxa"/>
            <w:bottom w:w="0" w:type="dxa"/>
            <w:right w:w="108" w:type="dxa"/>
          </w:tblCellMar>
        </w:tblPrEx>
        <w:trPr>
          <w:cantSplit/>
          <w:trHeight w:val="421"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邮政编码：</w:t>
            </w:r>
          </w:p>
        </w:tc>
        <w:tc>
          <w:tcPr>
            <w:tcW w:w="4688"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邮政编码：</w:t>
            </w:r>
          </w:p>
        </w:tc>
      </w:tr>
      <w:tr>
        <w:tblPrEx>
          <w:tblCellMar>
            <w:top w:w="0" w:type="dxa"/>
            <w:left w:w="108" w:type="dxa"/>
            <w:bottom w:w="0" w:type="dxa"/>
            <w:right w:w="108" w:type="dxa"/>
          </w:tblCellMar>
        </w:tblPrEx>
        <w:trPr>
          <w:cantSplit/>
          <w:trHeight w:val="421"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甲方（使用单位）：</w:t>
            </w:r>
          </w:p>
          <w:p>
            <w:pPr>
              <w:snapToGrid w:val="0"/>
              <w:spacing w:line="360" w:lineRule="exact"/>
              <w:jc w:val="right"/>
              <w:rPr>
                <w:rFonts w:hint="eastAsia" w:ascii="宋体" w:hAnsi="宋体" w:cs="宋体"/>
                <w:sz w:val="24"/>
                <w:highlight w:val="none"/>
              </w:rPr>
            </w:pPr>
            <w:r>
              <w:rPr>
                <w:rFonts w:hint="eastAsia" w:ascii="宋体" w:hAnsi="宋体" w:cs="宋体"/>
                <w:sz w:val="24"/>
                <w:highlight w:val="none"/>
              </w:rPr>
              <w:t>（章）</w:t>
            </w:r>
          </w:p>
        </w:tc>
        <w:tc>
          <w:tcPr>
            <w:tcW w:w="4688" w:type="dxa"/>
            <w:vAlign w:val="center"/>
          </w:tcPr>
          <w:p>
            <w:pPr>
              <w:snapToGrid w:val="0"/>
              <w:spacing w:line="360" w:lineRule="exact"/>
              <w:rPr>
                <w:rFonts w:hint="eastAsia" w:ascii="宋体" w:hAnsi="宋体" w:cs="宋体"/>
                <w:sz w:val="24"/>
                <w:highlight w:val="none"/>
              </w:rPr>
            </w:pPr>
          </w:p>
        </w:tc>
      </w:tr>
      <w:tr>
        <w:tblPrEx>
          <w:tblCellMar>
            <w:top w:w="0" w:type="dxa"/>
            <w:left w:w="108" w:type="dxa"/>
            <w:bottom w:w="0" w:type="dxa"/>
            <w:right w:w="108" w:type="dxa"/>
          </w:tblCellMar>
        </w:tblPrEx>
        <w:trPr>
          <w:cantSplit/>
          <w:trHeight w:val="421"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单位地址：</w:t>
            </w:r>
          </w:p>
        </w:tc>
        <w:tc>
          <w:tcPr>
            <w:tcW w:w="4688" w:type="dxa"/>
            <w:vAlign w:val="center"/>
          </w:tcPr>
          <w:p>
            <w:pPr>
              <w:snapToGrid w:val="0"/>
              <w:spacing w:line="360" w:lineRule="exact"/>
              <w:rPr>
                <w:rFonts w:hint="eastAsia" w:ascii="宋体" w:hAnsi="宋体" w:cs="宋体"/>
                <w:sz w:val="24"/>
                <w:highlight w:val="none"/>
              </w:rPr>
            </w:pPr>
          </w:p>
        </w:tc>
      </w:tr>
      <w:tr>
        <w:tblPrEx>
          <w:tblCellMar>
            <w:top w:w="0" w:type="dxa"/>
            <w:left w:w="108" w:type="dxa"/>
            <w:bottom w:w="0" w:type="dxa"/>
            <w:right w:w="108" w:type="dxa"/>
          </w:tblCellMar>
        </w:tblPrEx>
        <w:trPr>
          <w:cantSplit/>
          <w:trHeight w:val="421"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法定代表人：</w:t>
            </w:r>
          </w:p>
        </w:tc>
        <w:tc>
          <w:tcPr>
            <w:tcW w:w="4688" w:type="dxa"/>
            <w:vAlign w:val="center"/>
          </w:tcPr>
          <w:p>
            <w:pPr>
              <w:snapToGrid w:val="0"/>
              <w:spacing w:line="360" w:lineRule="exact"/>
              <w:rPr>
                <w:rFonts w:hint="eastAsia" w:ascii="宋体" w:hAnsi="宋体" w:cs="宋体"/>
                <w:sz w:val="24"/>
                <w:highlight w:val="none"/>
              </w:rPr>
            </w:pPr>
          </w:p>
        </w:tc>
      </w:tr>
      <w:tr>
        <w:tblPrEx>
          <w:tblCellMar>
            <w:top w:w="0" w:type="dxa"/>
            <w:left w:w="108" w:type="dxa"/>
            <w:bottom w:w="0" w:type="dxa"/>
            <w:right w:w="108" w:type="dxa"/>
          </w:tblCellMar>
        </w:tblPrEx>
        <w:trPr>
          <w:cantSplit/>
          <w:trHeight w:val="421"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委托代理人：</w:t>
            </w:r>
          </w:p>
        </w:tc>
        <w:tc>
          <w:tcPr>
            <w:tcW w:w="4688" w:type="dxa"/>
            <w:vAlign w:val="center"/>
          </w:tcPr>
          <w:p>
            <w:pPr>
              <w:snapToGrid w:val="0"/>
              <w:spacing w:line="360" w:lineRule="exact"/>
              <w:rPr>
                <w:rFonts w:hint="eastAsia" w:ascii="宋体" w:hAnsi="宋体" w:cs="宋体"/>
                <w:sz w:val="24"/>
                <w:highlight w:val="none"/>
              </w:rPr>
            </w:pPr>
          </w:p>
        </w:tc>
      </w:tr>
      <w:tr>
        <w:tblPrEx>
          <w:tblCellMar>
            <w:top w:w="0" w:type="dxa"/>
            <w:left w:w="108" w:type="dxa"/>
            <w:bottom w:w="0" w:type="dxa"/>
            <w:right w:w="108" w:type="dxa"/>
          </w:tblCellMar>
        </w:tblPrEx>
        <w:trPr>
          <w:cantSplit/>
          <w:trHeight w:val="421"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电话：</w:t>
            </w:r>
          </w:p>
        </w:tc>
        <w:tc>
          <w:tcPr>
            <w:tcW w:w="4688" w:type="dxa"/>
            <w:vAlign w:val="center"/>
          </w:tcPr>
          <w:p>
            <w:pPr>
              <w:snapToGrid w:val="0"/>
              <w:spacing w:line="360" w:lineRule="exact"/>
              <w:rPr>
                <w:rFonts w:hint="eastAsia" w:ascii="宋体" w:hAnsi="宋体" w:cs="宋体"/>
                <w:sz w:val="24"/>
                <w:highlight w:val="none"/>
              </w:rPr>
            </w:pPr>
          </w:p>
        </w:tc>
      </w:tr>
      <w:tr>
        <w:tblPrEx>
          <w:tblCellMar>
            <w:top w:w="0" w:type="dxa"/>
            <w:left w:w="108" w:type="dxa"/>
            <w:bottom w:w="0" w:type="dxa"/>
            <w:right w:w="108" w:type="dxa"/>
          </w:tblCellMar>
        </w:tblPrEx>
        <w:trPr>
          <w:cantSplit/>
          <w:trHeight w:val="421"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电子邮箱：</w:t>
            </w:r>
          </w:p>
        </w:tc>
        <w:tc>
          <w:tcPr>
            <w:tcW w:w="4688" w:type="dxa"/>
            <w:vAlign w:val="center"/>
          </w:tcPr>
          <w:p>
            <w:pPr>
              <w:snapToGrid w:val="0"/>
              <w:spacing w:line="360" w:lineRule="exact"/>
              <w:rPr>
                <w:rFonts w:hint="eastAsia" w:ascii="宋体" w:hAnsi="宋体" w:cs="宋体"/>
                <w:sz w:val="24"/>
                <w:highlight w:val="none"/>
              </w:rPr>
            </w:pPr>
          </w:p>
        </w:tc>
      </w:tr>
      <w:tr>
        <w:tblPrEx>
          <w:tblCellMar>
            <w:top w:w="0" w:type="dxa"/>
            <w:left w:w="108" w:type="dxa"/>
            <w:bottom w:w="0" w:type="dxa"/>
            <w:right w:w="108" w:type="dxa"/>
          </w:tblCellMar>
        </w:tblPrEx>
        <w:trPr>
          <w:cantSplit/>
          <w:trHeight w:val="421"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开户银行：</w:t>
            </w:r>
          </w:p>
        </w:tc>
        <w:tc>
          <w:tcPr>
            <w:tcW w:w="4688" w:type="dxa"/>
            <w:vAlign w:val="center"/>
          </w:tcPr>
          <w:p>
            <w:pPr>
              <w:snapToGrid w:val="0"/>
              <w:spacing w:line="360" w:lineRule="exact"/>
              <w:rPr>
                <w:rFonts w:hint="eastAsia" w:ascii="宋体" w:hAnsi="宋体" w:cs="宋体"/>
                <w:sz w:val="24"/>
                <w:highlight w:val="none"/>
              </w:rPr>
            </w:pPr>
          </w:p>
        </w:tc>
      </w:tr>
      <w:tr>
        <w:tblPrEx>
          <w:tblCellMar>
            <w:top w:w="0" w:type="dxa"/>
            <w:left w:w="108" w:type="dxa"/>
            <w:bottom w:w="0" w:type="dxa"/>
            <w:right w:w="108" w:type="dxa"/>
          </w:tblCellMar>
        </w:tblPrEx>
        <w:trPr>
          <w:cantSplit/>
          <w:trHeight w:val="421"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账号：</w:t>
            </w:r>
          </w:p>
        </w:tc>
        <w:tc>
          <w:tcPr>
            <w:tcW w:w="4688" w:type="dxa"/>
            <w:vAlign w:val="center"/>
          </w:tcPr>
          <w:p>
            <w:pPr>
              <w:snapToGrid w:val="0"/>
              <w:spacing w:line="360" w:lineRule="exact"/>
              <w:rPr>
                <w:rFonts w:hint="eastAsia" w:ascii="宋体" w:hAnsi="宋体" w:cs="宋体"/>
                <w:sz w:val="24"/>
                <w:highlight w:val="none"/>
              </w:rPr>
            </w:pPr>
          </w:p>
        </w:tc>
      </w:tr>
      <w:tr>
        <w:tblPrEx>
          <w:tblCellMar>
            <w:top w:w="0" w:type="dxa"/>
            <w:left w:w="108" w:type="dxa"/>
            <w:bottom w:w="0" w:type="dxa"/>
            <w:right w:w="108" w:type="dxa"/>
          </w:tblCellMar>
        </w:tblPrEx>
        <w:trPr>
          <w:cantSplit/>
          <w:trHeight w:val="421" w:hRule="atLeast"/>
          <w:jc w:val="center"/>
        </w:trPr>
        <w:tc>
          <w:tcPr>
            <w:tcW w:w="4437" w:type="dxa"/>
            <w:vAlign w:val="center"/>
          </w:tcPr>
          <w:p>
            <w:pPr>
              <w:snapToGrid w:val="0"/>
              <w:spacing w:line="360" w:lineRule="exact"/>
              <w:rPr>
                <w:rFonts w:hint="eastAsia" w:ascii="宋体" w:hAnsi="宋体" w:cs="宋体"/>
                <w:sz w:val="24"/>
                <w:highlight w:val="none"/>
              </w:rPr>
            </w:pPr>
            <w:r>
              <w:rPr>
                <w:rFonts w:hint="eastAsia" w:ascii="宋体" w:hAnsi="宋体" w:cs="宋体"/>
                <w:sz w:val="24"/>
                <w:highlight w:val="none"/>
              </w:rPr>
              <w:t>邮政编码：</w:t>
            </w:r>
          </w:p>
        </w:tc>
        <w:tc>
          <w:tcPr>
            <w:tcW w:w="4688" w:type="dxa"/>
            <w:vAlign w:val="center"/>
          </w:tcPr>
          <w:p>
            <w:pPr>
              <w:snapToGrid w:val="0"/>
              <w:spacing w:line="360" w:lineRule="exact"/>
              <w:rPr>
                <w:rFonts w:hint="eastAsia" w:ascii="宋体" w:hAnsi="宋体" w:cs="宋体"/>
                <w:sz w:val="24"/>
                <w:highlight w:val="none"/>
              </w:rPr>
            </w:pPr>
          </w:p>
        </w:tc>
      </w:tr>
      <w:tr>
        <w:tblPrEx>
          <w:tblCellMar>
            <w:top w:w="0" w:type="dxa"/>
            <w:left w:w="108" w:type="dxa"/>
            <w:bottom w:w="0" w:type="dxa"/>
            <w:right w:w="108" w:type="dxa"/>
          </w:tblCellMar>
        </w:tblPrEx>
        <w:trPr>
          <w:cantSplit/>
          <w:trHeight w:val="807" w:hRule="atLeast"/>
          <w:jc w:val="center"/>
        </w:trPr>
        <w:tc>
          <w:tcPr>
            <w:tcW w:w="9125" w:type="dxa"/>
            <w:gridSpan w:val="2"/>
          </w:tcPr>
          <w:p>
            <w:pPr>
              <w:snapToGrid w:val="0"/>
              <w:spacing w:line="360" w:lineRule="exact"/>
              <w:ind w:firstLine="720" w:firstLineChars="300"/>
              <w:jc w:val="right"/>
              <w:rPr>
                <w:rFonts w:hint="eastAsia" w:ascii="宋体" w:hAnsi="宋体" w:cs="宋体"/>
                <w:sz w:val="24"/>
                <w:highlight w:val="none"/>
              </w:rPr>
            </w:pPr>
          </w:p>
          <w:p>
            <w:pPr>
              <w:snapToGrid w:val="0"/>
              <w:spacing w:line="360" w:lineRule="exact"/>
              <w:jc w:val="center"/>
              <w:rPr>
                <w:rFonts w:hint="eastAsia" w:ascii="宋体" w:hAnsi="宋体" w:cs="宋体"/>
                <w:sz w:val="24"/>
                <w:highlight w:val="none"/>
              </w:rPr>
            </w:pPr>
            <w:r>
              <w:rPr>
                <w:rFonts w:hint="eastAsia" w:ascii="宋体" w:hAnsi="宋体" w:cs="宋体"/>
                <w:sz w:val="24"/>
                <w:highlight w:val="none"/>
              </w:rPr>
              <w:t xml:space="preserve">                                          签订日期：    年    月    日</w:t>
            </w:r>
          </w:p>
        </w:tc>
      </w:tr>
    </w:tbl>
    <w:p>
      <w:pPr>
        <w:rPr>
          <w:rFonts w:hint="eastAsia" w:ascii="宋体" w:hAnsi="宋体" w:cs="宋体"/>
          <w:highlight w:val="none"/>
        </w:rPr>
      </w:pPr>
    </w:p>
    <w:p>
      <w:pPr>
        <w:rPr>
          <w:rFonts w:hint="eastAsia" w:ascii="宋体" w:hAnsi="宋体" w:cs="宋体"/>
          <w:highlight w:val="none"/>
        </w:rPr>
      </w:pPr>
    </w:p>
    <w:p>
      <w:pPr>
        <w:spacing w:line="480" w:lineRule="auto"/>
        <w:rPr>
          <w:rFonts w:hint="eastAsia" w:ascii="宋体" w:hAnsi="宋体" w:cs="宋体"/>
          <w:sz w:val="24"/>
          <w:szCs w:val="32"/>
          <w:highlight w:val="none"/>
        </w:rPr>
      </w:pPr>
    </w:p>
    <w:bookmarkEnd w:id="230"/>
    <w:p>
      <w:pPr>
        <w:widowControl/>
        <w:jc w:val="left"/>
        <w:rPr>
          <w:sz w:val="32"/>
          <w:szCs w:val="32"/>
          <w:highlight w:val="none"/>
        </w:rPr>
      </w:pPr>
      <w:bookmarkStart w:id="234" w:name="_Toc12927"/>
      <w:r>
        <w:rPr>
          <w:rFonts w:hint="eastAsia" w:ascii="宋体" w:hAnsi="宋体" w:cs="宋体"/>
          <w:sz w:val="32"/>
          <w:szCs w:val="32"/>
          <w:highlight w:val="none"/>
        </w:rPr>
        <w:br w:type="page"/>
      </w:r>
      <w:bookmarkEnd w:id="231"/>
    </w:p>
    <w:p>
      <w:pPr>
        <w:pStyle w:val="29"/>
        <w:snapToGrid w:val="0"/>
        <w:spacing w:before="82" w:beforeLines="25" w:after="82" w:afterLines="25" w:line="360" w:lineRule="auto"/>
        <w:jc w:val="center"/>
        <w:outlineLvl w:val="0"/>
        <w:rPr>
          <w:rFonts w:ascii="Times New Roman" w:hAnsi="Times New Roman" w:cs="Times New Roman"/>
          <w:b/>
          <w:sz w:val="36"/>
          <w:szCs w:val="36"/>
          <w:highlight w:val="none"/>
        </w:rPr>
      </w:pPr>
      <w:r>
        <w:rPr>
          <w:rFonts w:hint="eastAsia" w:ascii="Times New Roman" w:hAnsi="Times New Roman" w:cs="Times New Roman"/>
          <w:b/>
          <w:sz w:val="36"/>
          <w:szCs w:val="36"/>
          <w:highlight w:val="none"/>
        </w:rPr>
        <w:t>第六章  投标文件格式</w:t>
      </w:r>
      <w:bookmarkEnd w:id="234"/>
    </w:p>
    <w:p>
      <w:pPr>
        <w:rPr>
          <w:sz w:val="28"/>
          <w:szCs w:val="28"/>
          <w:highlight w:val="none"/>
        </w:rPr>
      </w:pPr>
    </w:p>
    <w:p>
      <w:pPr>
        <w:spacing w:line="500" w:lineRule="exact"/>
        <w:ind w:firstLine="560" w:firstLineChars="200"/>
        <w:rPr>
          <w:sz w:val="28"/>
          <w:szCs w:val="28"/>
          <w:highlight w:val="none"/>
        </w:rPr>
      </w:pPr>
      <w:bookmarkStart w:id="235" w:name="_Hlk19114175"/>
      <w:r>
        <w:rPr>
          <w:rFonts w:hint="eastAsia"/>
          <w:sz w:val="28"/>
          <w:szCs w:val="28"/>
          <w:highlight w:val="none"/>
        </w:rPr>
        <w:t>注：有签字、盖章要求的应按要求签字、盖章。</w:t>
      </w:r>
      <w:bookmarkEnd w:id="235"/>
    </w:p>
    <w:p>
      <w:pPr>
        <w:spacing w:line="500" w:lineRule="exact"/>
        <w:rPr>
          <w:bCs/>
          <w:sz w:val="24"/>
          <w:highlight w:val="none"/>
        </w:rPr>
      </w:pPr>
      <w:r>
        <w:rPr>
          <w:rFonts w:ascii="宋体" w:hAnsi="宋体"/>
          <w:sz w:val="24"/>
          <w:highlight w:val="none"/>
        </w:rPr>
        <w:br w:type="page"/>
      </w:r>
      <w:bookmarkEnd w:id="0"/>
      <w:bookmarkEnd w:id="1"/>
    </w:p>
    <w:p>
      <w:pPr>
        <w:snapToGrid w:val="0"/>
        <w:spacing w:before="165" w:beforeLines="50" w:after="50" w:line="440" w:lineRule="exact"/>
        <w:jc w:val="left"/>
        <w:outlineLvl w:val="1"/>
        <w:rPr>
          <w:bCs/>
          <w:sz w:val="24"/>
          <w:highlight w:val="none"/>
        </w:rPr>
      </w:pPr>
      <w:r>
        <w:rPr>
          <w:rFonts w:hint="eastAsia" w:cs="宋体"/>
          <w:bCs/>
          <w:sz w:val="24"/>
          <w:highlight w:val="none"/>
          <w:lang w:bidi="ar"/>
        </w:rPr>
        <w:t>一、投标文件封面参考格式</w:t>
      </w:r>
      <w:bookmarkStart w:id="236" w:name="_Hlk92966991"/>
      <w:r>
        <w:rPr>
          <w:rFonts w:hint="eastAsia" w:cs="宋体"/>
          <w:bCs/>
          <w:sz w:val="24"/>
          <w:highlight w:val="none"/>
          <w:lang w:bidi="ar"/>
        </w:rPr>
        <w:t>（资格证明文件）</w:t>
      </w:r>
      <w:bookmarkEnd w:id="236"/>
    </w:p>
    <w:p>
      <w:pPr>
        <w:snapToGrid w:val="0"/>
        <w:spacing w:before="165" w:beforeLines="50" w:after="50" w:line="360" w:lineRule="exact"/>
        <w:rPr>
          <w:sz w:val="24"/>
          <w:highlight w:val="none"/>
        </w:rPr>
      </w:pPr>
    </w:p>
    <w:p>
      <w:pPr>
        <w:snapToGrid w:val="0"/>
        <w:spacing w:before="165" w:beforeLines="50" w:after="50" w:line="360" w:lineRule="exact"/>
        <w:jc w:val="center"/>
        <w:rPr>
          <w:bCs/>
          <w:sz w:val="24"/>
          <w:highlight w:val="none"/>
        </w:rPr>
      </w:pPr>
    </w:p>
    <w:p>
      <w:pPr>
        <w:snapToGrid w:val="0"/>
        <w:spacing w:before="165" w:beforeLines="50" w:after="50" w:line="360" w:lineRule="exact"/>
        <w:jc w:val="center"/>
        <w:rPr>
          <w:b/>
          <w:bCs/>
          <w:sz w:val="44"/>
          <w:szCs w:val="44"/>
          <w:highlight w:val="none"/>
        </w:rPr>
      </w:pPr>
      <w:r>
        <w:rPr>
          <w:rFonts w:hint="eastAsia" w:cs="宋体"/>
          <w:b/>
          <w:bCs/>
          <w:sz w:val="44"/>
          <w:szCs w:val="44"/>
          <w:highlight w:val="none"/>
          <w:lang w:bidi="ar"/>
        </w:rPr>
        <w:t>电子投标文件</w:t>
      </w:r>
    </w:p>
    <w:p>
      <w:pPr>
        <w:snapToGrid w:val="0"/>
        <w:spacing w:before="165" w:beforeLines="50" w:after="50" w:line="360" w:lineRule="exact"/>
        <w:jc w:val="center"/>
        <w:rPr>
          <w:b/>
          <w:bCs/>
          <w:sz w:val="44"/>
          <w:szCs w:val="44"/>
          <w:highlight w:val="none"/>
        </w:rPr>
      </w:pPr>
    </w:p>
    <w:p>
      <w:pPr>
        <w:snapToGrid w:val="0"/>
        <w:spacing w:before="165" w:beforeLines="50" w:after="50" w:line="360" w:lineRule="exact"/>
        <w:jc w:val="center"/>
        <w:rPr>
          <w:b/>
          <w:bCs/>
          <w:sz w:val="44"/>
          <w:szCs w:val="44"/>
          <w:highlight w:val="none"/>
        </w:rPr>
      </w:pPr>
    </w:p>
    <w:p>
      <w:pPr>
        <w:snapToGrid w:val="0"/>
        <w:spacing w:before="165" w:beforeLines="50" w:after="50" w:line="360" w:lineRule="exact"/>
        <w:jc w:val="center"/>
        <w:rPr>
          <w:b/>
          <w:bCs/>
          <w:sz w:val="44"/>
          <w:szCs w:val="44"/>
          <w:highlight w:val="none"/>
        </w:rPr>
      </w:pPr>
      <w:bookmarkStart w:id="237" w:name="_Hlk92967018"/>
      <w:r>
        <w:rPr>
          <w:rFonts w:hint="eastAsia" w:cs="宋体"/>
          <w:b/>
          <w:bCs/>
          <w:sz w:val="44"/>
          <w:szCs w:val="44"/>
          <w:highlight w:val="none"/>
          <w:lang w:bidi="ar"/>
        </w:rPr>
        <w:t>资格证明文件</w:t>
      </w:r>
    </w:p>
    <w:bookmarkEnd w:id="237"/>
    <w:p>
      <w:pPr>
        <w:snapToGrid w:val="0"/>
        <w:spacing w:before="165" w:beforeLines="50" w:after="50" w:line="360" w:lineRule="exact"/>
        <w:rPr>
          <w:bCs/>
          <w:sz w:val="24"/>
          <w:highlight w:val="none"/>
        </w:rPr>
      </w:pPr>
    </w:p>
    <w:p>
      <w:pPr>
        <w:snapToGrid w:val="0"/>
        <w:spacing w:before="165" w:beforeLines="50" w:after="50" w:line="360" w:lineRule="exact"/>
        <w:rPr>
          <w:bCs/>
          <w:sz w:val="24"/>
          <w:highlight w:val="none"/>
        </w:rPr>
      </w:pPr>
    </w:p>
    <w:p>
      <w:pPr>
        <w:snapToGrid w:val="0"/>
        <w:spacing w:before="165" w:beforeLines="50" w:after="50" w:line="360" w:lineRule="exact"/>
        <w:rPr>
          <w:bCs/>
          <w:sz w:val="24"/>
          <w:highlight w:val="none"/>
        </w:rPr>
      </w:pPr>
    </w:p>
    <w:p>
      <w:pPr>
        <w:snapToGrid w:val="0"/>
        <w:spacing w:before="165" w:beforeLines="50" w:after="50" w:line="360" w:lineRule="exact"/>
        <w:ind w:firstLine="720" w:firstLineChars="300"/>
        <w:rPr>
          <w:bCs/>
          <w:sz w:val="24"/>
          <w:highlight w:val="none"/>
        </w:rPr>
      </w:pPr>
      <w:r>
        <w:rPr>
          <w:rFonts w:hint="eastAsia" w:cs="宋体"/>
          <w:bCs/>
          <w:sz w:val="24"/>
          <w:highlight w:val="none"/>
          <w:lang w:bidi="ar"/>
        </w:rPr>
        <w:t>项目名称：</w:t>
      </w:r>
      <w:r>
        <w:rPr>
          <w:bCs/>
          <w:sz w:val="24"/>
          <w:highlight w:val="none"/>
          <w:lang w:bidi="ar"/>
        </w:rPr>
        <w:t xml:space="preserve"> </w:t>
      </w:r>
    </w:p>
    <w:p>
      <w:pPr>
        <w:snapToGrid w:val="0"/>
        <w:spacing w:before="165" w:beforeLines="50" w:after="50" w:line="360" w:lineRule="exact"/>
        <w:ind w:firstLine="720" w:firstLineChars="300"/>
        <w:rPr>
          <w:bCs/>
          <w:sz w:val="24"/>
          <w:highlight w:val="none"/>
        </w:rPr>
      </w:pPr>
      <w:r>
        <w:rPr>
          <w:rFonts w:hint="eastAsia" w:cs="宋体"/>
          <w:bCs/>
          <w:sz w:val="24"/>
          <w:highlight w:val="none"/>
          <w:lang w:bidi="ar"/>
        </w:rPr>
        <w:t>项目编号：</w:t>
      </w:r>
    </w:p>
    <w:p>
      <w:pPr>
        <w:snapToGrid w:val="0"/>
        <w:spacing w:before="165" w:beforeLines="50" w:after="50" w:line="360" w:lineRule="exact"/>
        <w:ind w:firstLine="720" w:firstLineChars="300"/>
        <w:rPr>
          <w:bCs/>
          <w:sz w:val="24"/>
          <w:highlight w:val="none"/>
        </w:rPr>
      </w:pPr>
      <w:r>
        <w:rPr>
          <w:rFonts w:hint="eastAsia" w:cs="宋体"/>
          <w:bCs/>
          <w:sz w:val="24"/>
          <w:highlight w:val="none"/>
          <w:lang w:bidi="ar"/>
        </w:rPr>
        <w:t>分标名称：（若无留空或写</w:t>
      </w:r>
      <w:r>
        <w:rPr>
          <w:bCs/>
          <w:sz w:val="24"/>
          <w:highlight w:val="none"/>
          <w:lang w:bidi="ar"/>
        </w:rPr>
        <w:t>“/”</w:t>
      </w:r>
      <w:r>
        <w:rPr>
          <w:rFonts w:hint="eastAsia" w:cs="宋体"/>
          <w:bCs/>
          <w:sz w:val="24"/>
          <w:highlight w:val="none"/>
          <w:lang w:bidi="ar"/>
        </w:rPr>
        <w:t>）</w:t>
      </w:r>
    </w:p>
    <w:p>
      <w:pPr>
        <w:snapToGrid w:val="0"/>
        <w:spacing w:before="165" w:beforeLines="50" w:after="50" w:line="360" w:lineRule="exact"/>
        <w:ind w:firstLine="720" w:firstLineChars="300"/>
        <w:rPr>
          <w:bCs/>
          <w:sz w:val="24"/>
          <w:highlight w:val="none"/>
        </w:rPr>
      </w:pPr>
      <w:r>
        <w:rPr>
          <w:rFonts w:hint="eastAsia" w:cs="宋体"/>
          <w:bCs/>
          <w:sz w:val="24"/>
          <w:highlight w:val="none"/>
          <w:lang w:bidi="ar"/>
        </w:rPr>
        <w:t>供应商名称：</w:t>
      </w:r>
    </w:p>
    <w:p>
      <w:pPr>
        <w:snapToGrid w:val="0"/>
        <w:spacing w:before="165" w:beforeLines="50" w:after="50" w:line="360" w:lineRule="exact"/>
        <w:ind w:firstLine="720" w:firstLineChars="300"/>
        <w:rPr>
          <w:bCs/>
          <w:sz w:val="24"/>
          <w:highlight w:val="none"/>
        </w:rPr>
      </w:pPr>
      <w:r>
        <w:rPr>
          <w:rFonts w:hint="eastAsia" w:cs="宋体"/>
          <w:bCs/>
          <w:sz w:val="24"/>
          <w:highlight w:val="none"/>
          <w:lang w:bidi="ar"/>
        </w:rPr>
        <w:t>供应商地址：</w:t>
      </w:r>
    </w:p>
    <w:p>
      <w:pPr>
        <w:pStyle w:val="49"/>
        <w:widowControl w:val="0"/>
        <w:snapToGrid w:val="0"/>
        <w:spacing w:before="50" w:beforeAutospacing="0" w:after="50" w:afterAutospacing="0" w:line="360" w:lineRule="exact"/>
        <w:ind w:left="1260" w:firstLine="960" w:firstLineChars="400"/>
        <w:jc w:val="both"/>
        <w:rPr>
          <w:rFonts w:hint="eastAsia"/>
          <w:bCs/>
          <w:highlight w:val="none"/>
        </w:rPr>
      </w:pPr>
    </w:p>
    <w:p>
      <w:pPr>
        <w:snapToGrid w:val="0"/>
        <w:spacing w:before="165" w:beforeLines="50" w:after="50" w:line="360" w:lineRule="exact"/>
        <w:jc w:val="center"/>
        <w:rPr>
          <w:sz w:val="24"/>
          <w:highlight w:val="none"/>
        </w:rPr>
      </w:pPr>
      <w:r>
        <w:rPr>
          <w:sz w:val="24"/>
          <w:highlight w:val="none"/>
          <w:lang w:bidi="ar"/>
        </w:rPr>
        <w:t xml:space="preserve">                        </w:t>
      </w:r>
      <w:r>
        <w:rPr>
          <w:rFonts w:hint="eastAsia" w:cs="宋体"/>
          <w:sz w:val="24"/>
          <w:highlight w:val="none"/>
          <w:lang w:bidi="ar"/>
        </w:rPr>
        <w:t>年</w:t>
      </w:r>
      <w:r>
        <w:rPr>
          <w:sz w:val="24"/>
          <w:highlight w:val="none"/>
          <w:lang w:bidi="ar"/>
        </w:rPr>
        <w:t xml:space="preserve">  </w:t>
      </w:r>
      <w:r>
        <w:rPr>
          <w:rFonts w:hint="eastAsia" w:cs="宋体"/>
          <w:sz w:val="24"/>
          <w:highlight w:val="none"/>
          <w:lang w:bidi="ar"/>
        </w:rPr>
        <w:t>月</w:t>
      </w:r>
      <w:r>
        <w:rPr>
          <w:sz w:val="24"/>
          <w:highlight w:val="none"/>
          <w:lang w:bidi="ar"/>
        </w:rPr>
        <w:t xml:space="preserve">  </w:t>
      </w:r>
      <w:r>
        <w:rPr>
          <w:rFonts w:hint="eastAsia" w:cs="宋体"/>
          <w:sz w:val="24"/>
          <w:highlight w:val="none"/>
          <w:lang w:bidi="ar"/>
        </w:rPr>
        <w:t>日</w:t>
      </w:r>
    </w:p>
    <w:p>
      <w:pPr>
        <w:jc w:val="center"/>
        <w:outlineLvl w:val="2"/>
        <w:rPr>
          <w:rFonts w:cs="宋体"/>
          <w:b/>
          <w:sz w:val="36"/>
          <w:szCs w:val="36"/>
          <w:highlight w:val="none"/>
          <w:lang w:bidi="ar"/>
        </w:rPr>
      </w:pPr>
      <w:r>
        <w:rPr>
          <w:highlight w:val="none"/>
          <w:lang w:bidi="ar"/>
        </w:rPr>
        <w:br w:type="page"/>
      </w:r>
      <w:bookmarkStart w:id="238" w:name="_Toc254970557"/>
      <w:bookmarkEnd w:id="238"/>
      <w:bookmarkStart w:id="239" w:name="_Toc254970698"/>
      <w:bookmarkEnd w:id="239"/>
      <w:r>
        <w:rPr>
          <w:rFonts w:hint="eastAsia" w:cs="宋体"/>
          <w:b/>
          <w:sz w:val="36"/>
          <w:szCs w:val="36"/>
          <w:highlight w:val="none"/>
          <w:lang w:bidi="ar"/>
        </w:rPr>
        <w:t>目录</w:t>
      </w:r>
    </w:p>
    <w:p>
      <w:pPr>
        <w:snapToGrid w:val="0"/>
        <w:spacing w:line="360" w:lineRule="auto"/>
        <w:jc w:val="center"/>
        <w:rPr>
          <w:rFonts w:hint="eastAsia" w:ascii="宋体" w:hAnsi="宋体" w:cs="宋体"/>
          <w:b/>
          <w:szCs w:val="21"/>
          <w:highlight w:val="none"/>
        </w:rPr>
      </w:pPr>
      <w:r>
        <w:rPr>
          <w:rFonts w:hint="eastAsia" w:ascii="宋体" w:hAnsi="宋体" w:cs="宋体"/>
          <w:b/>
          <w:szCs w:val="21"/>
          <w:highlight w:val="none"/>
        </w:rPr>
        <w:t>（可根据投标人实际情况调整目录）</w:t>
      </w:r>
    </w:p>
    <w:p>
      <w:pPr>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一、</w:t>
      </w:r>
      <w:r>
        <w:rPr>
          <w:rFonts w:hint="eastAsia" w:ascii="宋体" w:hAnsi="宋体" w:cs="宋体"/>
          <w:szCs w:val="21"/>
          <w:highlight w:val="none"/>
        </w:rPr>
        <w:t>营业执照(或事业法人登记证或其他工商等登记证明材料)扫描件（投标人为自然人的，须提供</w:t>
      </w:r>
      <w:r>
        <w:rPr>
          <w:rFonts w:hint="eastAsia" w:ascii="宋体" w:hAnsi="宋体" w:cs="宋体"/>
          <w:kern w:val="0"/>
          <w:szCs w:val="21"/>
          <w:highlight w:val="none"/>
        </w:rPr>
        <w:t>自然人的身份证明</w:t>
      </w:r>
      <w:r>
        <w:rPr>
          <w:rFonts w:hint="eastAsia" w:ascii="宋体" w:hAnsi="宋体" w:cs="宋体"/>
          <w:szCs w:val="21"/>
          <w:highlight w:val="none"/>
        </w:rPr>
        <w:t>）</w:t>
      </w:r>
      <w:r>
        <w:rPr>
          <w:rFonts w:hint="eastAsia" w:ascii="宋体" w:hAnsi="宋体" w:cs="宋体"/>
          <w:kern w:val="0"/>
          <w:szCs w:val="21"/>
          <w:highlight w:val="none"/>
        </w:rPr>
        <w:t>……………………………………………………………（页码）</w:t>
      </w:r>
    </w:p>
    <w:p>
      <w:pPr>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二、财务状况报告方面的材料…………………………………………………………（页码）</w:t>
      </w:r>
    </w:p>
    <w:p>
      <w:pPr>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三、符合参与政府采购活动的资格条件依法缴纳税收、社会保障资金等方面的材料…………………………………………………………………………………………（页码）</w:t>
      </w:r>
    </w:p>
    <w:p>
      <w:pPr>
        <w:snapToGrid w:val="0"/>
        <w:spacing w:line="360" w:lineRule="auto"/>
        <w:jc w:val="left"/>
        <w:rPr>
          <w:rFonts w:hint="eastAsia" w:ascii="宋体" w:hAnsi="宋体" w:cs="宋体"/>
          <w:kern w:val="0"/>
          <w:szCs w:val="21"/>
          <w:highlight w:val="none"/>
        </w:rPr>
      </w:pPr>
      <w:r>
        <w:rPr>
          <w:rFonts w:hint="eastAsia" w:ascii="宋体" w:hAnsi="宋体" w:cs="宋体"/>
          <w:szCs w:val="21"/>
          <w:highlight w:val="none"/>
        </w:rPr>
        <w:t>四、投标人直接控股股东信息</w:t>
      </w:r>
      <w:r>
        <w:rPr>
          <w:rFonts w:hint="eastAsia" w:ascii="宋体" w:hAnsi="宋体" w:cs="宋体"/>
          <w:kern w:val="0"/>
          <w:szCs w:val="21"/>
          <w:highlight w:val="none"/>
        </w:rPr>
        <w:t>…………………………………………………………（页码）</w:t>
      </w:r>
    </w:p>
    <w:p>
      <w:pPr>
        <w:snapToGrid w:val="0"/>
        <w:spacing w:line="360" w:lineRule="auto"/>
        <w:jc w:val="left"/>
        <w:rPr>
          <w:rFonts w:hint="eastAsia" w:ascii="宋体" w:hAnsi="宋体" w:cs="宋体"/>
          <w:kern w:val="0"/>
          <w:szCs w:val="21"/>
          <w:highlight w:val="none"/>
        </w:rPr>
      </w:pPr>
      <w:r>
        <w:rPr>
          <w:rFonts w:hint="eastAsia" w:ascii="宋体" w:hAnsi="宋体" w:cs="宋体"/>
          <w:szCs w:val="21"/>
          <w:highlight w:val="none"/>
        </w:rPr>
        <w:t>五、投标人直接关联关系信息表</w:t>
      </w:r>
      <w:r>
        <w:rPr>
          <w:rFonts w:hint="eastAsia" w:ascii="宋体" w:hAnsi="宋体" w:cs="宋体"/>
          <w:kern w:val="0"/>
          <w:szCs w:val="21"/>
          <w:highlight w:val="none"/>
        </w:rPr>
        <w:t>………………………………………………………（页码）</w:t>
      </w:r>
    </w:p>
    <w:p>
      <w:pPr>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六、投标声明书…………………………………………………………………………（页码）</w:t>
      </w:r>
    </w:p>
    <w:p>
      <w:pPr>
        <w:snapToGrid w:val="0"/>
        <w:spacing w:line="360" w:lineRule="auto"/>
        <w:jc w:val="left"/>
        <w:rPr>
          <w:rFonts w:hint="eastAsia" w:ascii="宋体" w:hAnsi="宋体" w:cs="宋体"/>
          <w:kern w:val="0"/>
          <w:szCs w:val="21"/>
          <w:highlight w:val="none"/>
        </w:rPr>
      </w:pPr>
      <w:r>
        <w:rPr>
          <w:rFonts w:ascii="宋体" w:hAnsi="宋体" w:cs="宋体"/>
          <w:kern w:val="0"/>
          <w:szCs w:val="21"/>
          <w:highlight w:val="none"/>
        </w:rPr>
        <w:t>七、</w:t>
      </w:r>
      <w:r>
        <w:rPr>
          <w:rFonts w:hint="eastAsia" w:cs="宋体"/>
          <w:szCs w:val="21"/>
          <w:highlight w:val="none"/>
          <w:lang w:bidi="ar"/>
        </w:rPr>
        <w:t>投标保证金缴纳证明</w:t>
      </w:r>
      <w:r>
        <w:rPr>
          <w:rFonts w:hint="eastAsia" w:ascii="宋体" w:hAnsi="宋体" w:cs="宋体"/>
          <w:kern w:val="0"/>
          <w:szCs w:val="21"/>
          <w:highlight w:val="none"/>
        </w:rPr>
        <w:t>………………………………………………………………（页码）</w:t>
      </w:r>
    </w:p>
    <w:p>
      <w:pPr>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八、落实政府采购政策需满足的资格要求证明材料…………………………………（页码）</w:t>
      </w:r>
    </w:p>
    <w:p>
      <w:pPr>
        <w:snapToGrid w:val="0"/>
        <w:spacing w:line="360" w:lineRule="auto"/>
        <w:jc w:val="left"/>
        <w:rPr>
          <w:rFonts w:hint="eastAsia" w:ascii="宋体" w:hAnsi="宋体" w:cs="宋体"/>
          <w:kern w:val="0"/>
          <w:szCs w:val="21"/>
          <w:highlight w:val="none"/>
        </w:rPr>
      </w:pPr>
      <w:r>
        <w:rPr>
          <w:rFonts w:hint="eastAsia" w:ascii="宋体" w:hAnsi="宋体" w:cs="宋体"/>
          <w:szCs w:val="21"/>
          <w:highlight w:val="none"/>
        </w:rPr>
        <w:t>九、除招标文件规定必须提供以外，投标人认为需要提供的其他证明材料</w:t>
      </w:r>
      <w:r>
        <w:rPr>
          <w:rFonts w:hint="eastAsia" w:ascii="宋体" w:hAnsi="宋体" w:cs="宋体"/>
          <w:kern w:val="0"/>
          <w:szCs w:val="21"/>
          <w:highlight w:val="none"/>
        </w:rPr>
        <w:t>…………（页码）</w:t>
      </w:r>
    </w:p>
    <w:p>
      <w:pPr>
        <w:spacing w:line="360" w:lineRule="auto"/>
        <w:jc w:val="left"/>
        <w:rPr>
          <w:rFonts w:hint="eastAsia" w:ascii="宋体" w:hAnsi="宋体" w:cs="宋体"/>
          <w:b/>
          <w:bCs/>
          <w:szCs w:val="21"/>
          <w:highlight w:val="none"/>
        </w:rPr>
      </w:pPr>
      <w:r>
        <w:rPr>
          <w:rFonts w:hint="eastAsia" w:ascii="宋体" w:hAnsi="宋体" w:cs="宋体"/>
          <w:b/>
          <w:bCs/>
          <w:szCs w:val="21"/>
          <w:highlight w:val="none"/>
        </w:rPr>
        <w:t>注：以上目录是基本格式要求，各投标人可根据自身情况进一步向下增加内容或细化。</w:t>
      </w:r>
    </w:p>
    <w:p>
      <w:pPr>
        <w:snapToGrid w:val="0"/>
        <w:spacing w:before="50" w:after="50" w:line="440" w:lineRule="exact"/>
        <w:ind w:firstLine="118" w:firstLineChars="49"/>
        <w:jc w:val="center"/>
        <w:rPr>
          <w:b/>
          <w:sz w:val="24"/>
          <w:highlight w:val="none"/>
        </w:rPr>
      </w:pPr>
    </w:p>
    <w:p>
      <w:pPr>
        <w:snapToGrid w:val="0"/>
        <w:spacing w:before="50" w:after="50" w:line="440" w:lineRule="exact"/>
        <w:ind w:firstLine="118" w:firstLineChars="49"/>
        <w:jc w:val="center"/>
        <w:rPr>
          <w:b/>
          <w:sz w:val="24"/>
          <w:highlight w:val="none"/>
        </w:rPr>
      </w:pPr>
      <w:r>
        <w:rPr>
          <w:b/>
          <w:sz w:val="24"/>
          <w:highlight w:val="none"/>
          <w:lang w:bidi="ar"/>
        </w:rPr>
        <w:br w:type="page"/>
      </w:r>
    </w:p>
    <w:p>
      <w:pPr>
        <w:snapToGrid w:val="0"/>
        <w:spacing w:before="82" w:beforeLines="25" w:after="82" w:afterLines="25" w:line="360" w:lineRule="auto"/>
        <w:outlineLvl w:val="2"/>
        <w:rPr>
          <w:rFonts w:hint="eastAsia" w:ascii="宋体" w:hAnsi="宋体" w:cs="宋体"/>
          <w:b/>
          <w:bCs/>
          <w:szCs w:val="21"/>
          <w:highlight w:val="none"/>
          <w:lang w:bidi="ar"/>
        </w:rPr>
      </w:pPr>
      <w:r>
        <w:rPr>
          <w:rFonts w:hint="eastAsia" w:ascii="宋体" w:hAnsi="宋体"/>
          <w:b/>
          <w:bCs/>
          <w:szCs w:val="21"/>
          <w:highlight w:val="none"/>
          <w:lang w:bidi="ar"/>
        </w:rPr>
        <w:t>1.</w:t>
      </w:r>
      <w:r>
        <w:rPr>
          <w:rFonts w:hint="eastAsia" w:ascii="宋体" w:hAnsi="宋体" w:cs="宋体"/>
          <w:b/>
          <w:bCs/>
          <w:szCs w:val="21"/>
          <w:highlight w:val="none"/>
          <w:lang w:bidi="ar"/>
        </w:rPr>
        <w:t>法人或者其他组织的营业执照</w:t>
      </w:r>
      <w:bookmarkStart w:id="240" w:name="OLE_LINK62"/>
      <w:r>
        <w:rPr>
          <w:rFonts w:hint="eastAsia" w:ascii="宋体" w:hAnsi="宋体" w:cs="宋体"/>
          <w:b/>
          <w:bCs/>
          <w:szCs w:val="21"/>
          <w:highlight w:val="none"/>
          <w:lang w:bidi="ar"/>
        </w:rPr>
        <w:t>等证明文件</w:t>
      </w:r>
      <w:bookmarkEnd w:id="240"/>
      <w:r>
        <w:rPr>
          <w:rFonts w:hint="eastAsia" w:ascii="宋体" w:hAnsi="宋体" w:cs="宋体"/>
          <w:b/>
          <w:bCs/>
          <w:szCs w:val="21"/>
          <w:highlight w:val="none"/>
          <w:lang w:bidi="ar"/>
        </w:rPr>
        <w:t>、自然人的身份证明。须按以下要求提供，材料须有效。</w:t>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cs="宋体"/>
          <w:b/>
          <w:bCs/>
          <w:szCs w:val="21"/>
          <w:highlight w:val="none"/>
          <w:lang w:bidi="ar"/>
        </w:rPr>
        <w:t>供应商是企业则审查营业执照（副本）扫描件；供应商是事业单位，则审查事业单位法人证书（副本）扫描件；供应商是非企业专业服务机构的，则审查执业许可证等证明文件扫描件；供应商是个体工商户，则审查个体工商户营业执照扫描件；供应商是自然人，则审查自然人身份证明扫描件；如供应商不是以上所列的法人、组织、自然人的，则提供国家规定的相关证明材料。</w:t>
      </w:r>
      <w:r>
        <w:rPr>
          <w:rFonts w:hint="eastAsia" w:ascii="宋体" w:hAnsi="宋体"/>
          <w:b/>
          <w:bCs/>
          <w:szCs w:val="21"/>
          <w:highlight w:val="none"/>
          <w:lang w:bidi="ar"/>
        </w:rPr>
        <w:t>（按“第四章  评标方法及评标标准”中“资格审查表”规定提供）</w:t>
      </w:r>
      <w:r>
        <w:rPr>
          <w:rFonts w:hint="eastAsia" w:ascii="宋体" w:hAnsi="宋体" w:cs="宋体"/>
          <w:b/>
          <w:bCs/>
          <w:szCs w:val="21"/>
          <w:highlight w:val="none"/>
          <w:lang w:bidi="ar"/>
        </w:rPr>
        <w:t>【加盖供应商公章（或电子签章）】</w:t>
      </w:r>
    </w:p>
    <w:p>
      <w:pPr>
        <w:snapToGrid w:val="0"/>
        <w:spacing w:before="82" w:beforeLines="25" w:after="82" w:afterLines="25" w:line="360" w:lineRule="auto"/>
        <w:rPr>
          <w:rFonts w:hint="eastAsia" w:ascii="宋体" w:hAnsi="宋体"/>
          <w:b/>
          <w:bCs/>
          <w:szCs w:val="21"/>
          <w:highlight w:val="none"/>
        </w:rPr>
      </w:pPr>
    </w:p>
    <w:p>
      <w:pPr>
        <w:snapToGrid w:val="0"/>
        <w:spacing w:before="165" w:beforeLines="50" w:after="50" w:line="440" w:lineRule="exact"/>
        <w:rPr>
          <w:rFonts w:hint="eastAsia" w:ascii="宋体" w:hAnsi="宋体"/>
          <w:sz w:val="18"/>
          <w:szCs w:val="18"/>
          <w:highlight w:val="none"/>
        </w:rPr>
      </w:pPr>
    </w:p>
    <w:p>
      <w:pPr>
        <w:snapToGrid w:val="0"/>
        <w:spacing w:before="165" w:beforeLines="50" w:after="50" w:line="440" w:lineRule="exact"/>
        <w:rPr>
          <w:rFonts w:hint="eastAsia" w:ascii="宋体" w:hAnsi="宋体"/>
          <w:sz w:val="18"/>
          <w:szCs w:val="18"/>
          <w:highlight w:val="none"/>
        </w:rPr>
      </w:pPr>
    </w:p>
    <w:p>
      <w:pPr>
        <w:snapToGrid w:val="0"/>
        <w:spacing w:before="165" w:beforeLines="50" w:after="50" w:line="440" w:lineRule="exact"/>
        <w:rPr>
          <w:rFonts w:hint="eastAsia" w:ascii="宋体" w:hAnsi="宋体"/>
          <w:sz w:val="18"/>
          <w:szCs w:val="18"/>
          <w:highlight w:val="none"/>
        </w:rPr>
      </w:pPr>
    </w:p>
    <w:p>
      <w:pPr>
        <w:snapToGrid w:val="0"/>
        <w:spacing w:before="82" w:beforeLines="25" w:after="82" w:afterLines="25" w:line="360" w:lineRule="auto"/>
        <w:outlineLvl w:val="2"/>
        <w:rPr>
          <w:rFonts w:hint="eastAsia" w:ascii="宋体" w:hAnsi="宋体"/>
          <w:b/>
          <w:bCs/>
          <w:szCs w:val="21"/>
          <w:highlight w:val="none"/>
          <w:lang w:bidi="ar"/>
        </w:rPr>
      </w:pPr>
      <w:bookmarkStart w:id="241" w:name="_Hlk19114230"/>
      <w:r>
        <w:rPr>
          <w:rFonts w:hint="eastAsia" w:ascii="宋体" w:hAnsi="宋体"/>
          <w:b/>
          <w:bCs/>
          <w:szCs w:val="21"/>
          <w:highlight w:val="none"/>
          <w:lang w:bidi="ar"/>
        </w:rPr>
        <w:t>2.</w:t>
      </w:r>
      <w:bookmarkStart w:id="242" w:name="OLE_LINK92"/>
      <w:r>
        <w:rPr>
          <w:rFonts w:hint="eastAsia" w:ascii="宋体" w:hAnsi="宋体"/>
          <w:b/>
          <w:bCs/>
          <w:szCs w:val="21"/>
          <w:highlight w:val="none"/>
          <w:lang w:bidi="ar"/>
        </w:rPr>
        <w:t>提供</w:t>
      </w:r>
      <w:r>
        <w:rPr>
          <w:rFonts w:hint="eastAsia" w:ascii="宋体" w:hAnsi="宋体"/>
          <w:b/>
          <w:bCs/>
          <w:color w:val="FF0000"/>
          <w:szCs w:val="21"/>
          <w:highlight w:val="none"/>
          <w:lang w:bidi="ar"/>
        </w:rPr>
        <w:t>2024年</w:t>
      </w:r>
      <w:r>
        <w:rPr>
          <w:rFonts w:hint="eastAsia" w:ascii="宋体" w:hAnsi="宋体"/>
          <w:b/>
          <w:bCs/>
          <w:szCs w:val="21"/>
          <w:highlight w:val="none"/>
          <w:lang w:bidi="ar"/>
        </w:rPr>
        <w:t>的财务报表或经审计的财务报告（审计报告）</w:t>
      </w:r>
      <w:r>
        <w:rPr>
          <w:rFonts w:hint="eastAsia" w:ascii="宋体" w:hAnsi="宋体"/>
          <w:b/>
          <w:bCs/>
          <w:color w:val="FF0000"/>
          <w:szCs w:val="21"/>
          <w:highlight w:val="none"/>
          <w:lang w:bidi="ar"/>
        </w:rPr>
        <w:t>（如提供</w:t>
      </w:r>
      <w:bookmarkStart w:id="243" w:name="OLE_LINK89"/>
      <w:r>
        <w:rPr>
          <w:rFonts w:hint="eastAsia" w:ascii="宋体" w:hAnsi="宋体"/>
          <w:b/>
          <w:bCs/>
          <w:color w:val="FF0000"/>
          <w:szCs w:val="21"/>
          <w:highlight w:val="none"/>
          <w:lang w:bidi="ar"/>
        </w:rPr>
        <w:t>审计报告</w:t>
      </w:r>
      <w:bookmarkEnd w:id="243"/>
      <w:r>
        <w:rPr>
          <w:rFonts w:hint="eastAsia" w:ascii="宋体" w:hAnsi="宋体"/>
          <w:b/>
          <w:bCs/>
          <w:color w:val="FF0000"/>
          <w:szCs w:val="21"/>
          <w:highlight w:val="none"/>
          <w:lang w:bidi="ar"/>
        </w:rPr>
        <w:t>的，审计报告须经过“注册会计师行业统一监管平台”自动赋码，审计报告编码（二维码）能通过统一监管平台进行查验，否则无效）</w:t>
      </w:r>
      <w:r>
        <w:rPr>
          <w:rFonts w:hint="eastAsia" w:ascii="宋体" w:hAnsi="宋体"/>
          <w:b/>
          <w:bCs/>
          <w:szCs w:val="21"/>
          <w:highlight w:val="none"/>
          <w:lang w:bidi="ar"/>
        </w:rPr>
        <w:t>扫描件，或者提供银行出具的资信证明扫描件；</w:t>
      </w:r>
      <w:bookmarkEnd w:id="242"/>
      <w:r>
        <w:rPr>
          <w:rFonts w:hint="eastAsia" w:ascii="宋体" w:hAnsi="宋体"/>
          <w:b/>
          <w:bCs/>
          <w:szCs w:val="21"/>
          <w:highlight w:val="none"/>
          <w:lang w:bidi="ar"/>
        </w:rPr>
        <w:t>成立年限不足一年的，按实际月份财务报表提供，或者中国人民银行征信中心出具的信用报告（企业竞标的提供企业信用报告，自然人竞标的提供个人信用报告）；供应商属于成立时间在规定年度之后的，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bookmarkStart w:id="244" w:name="OLE_LINK39"/>
      <w:bookmarkStart w:id="245" w:name="OLE_LINK40"/>
      <w:r>
        <w:rPr>
          <w:rFonts w:hint="eastAsia" w:ascii="宋体" w:hAnsi="宋体"/>
          <w:b/>
          <w:bCs/>
          <w:szCs w:val="21"/>
          <w:highlight w:val="none"/>
          <w:lang w:bidi="ar"/>
        </w:rPr>
        <w:t>（按“第四章  评标方法及评标标准”中“资格审查表”规定提供）</w:t>
      </w:r>
      <w:bookmarkEnd w:id="244"/>
      <w:r>
        <w:rPr>
          <w:rFonts w:hint="eastAsia" w:ascii="宋体" w:hAnsi="宋体" w:cs="宋体"/>
          <w:b/>
          <w:bCs/>
          <w:szCs w:val="21"/>
          <w:highlight w:val="none"/>
          <w:lang w:bidi="ar"/>
        </w:rPr>
        <w:t>【加盖供应商公章（或电子签章）】</w:t>
      </w:r>
    </w:p>
    <w:bookmarkEnd w:id="245"/>
    <w:p>
      <w:pPr>
        <w:snapToGrid w:val="0"/>
        <w:spacing w:before="165" w:beforeLines="50" w:after="50" w:line="440" w:lineRule="exact"/>
        <w:rPr>
          <w:rFonts w:hint="eastAsia" w:ascii="宋体" w:hAnsi="宋体"/>
          <w:szCs w:val="21"/>
          <w:highlight w:val="none"/>
        </w:rPr>
      </w:pPr>
    </w:p>
    <w:p>
      <w:pPr>
        <w:snapToGrid w:val="0"/>
        <w:spacing w:before="165" w:beforeLines="50" w:after="50" w:line="440" w:lineRule="exact"/>
        <w:rPr>
          <w:rFonts w:hint="eastAsia" w:ascii="宋体" w:hAnsi="宋体"/>
          <w:szCs w:val="21"/>
          <w:highlight w:val="none"/>
        </w:rPr>
      </w:pPr>
    </w:p>
    <w:p>
      <w:pPr>
        <w:snapToGrid w:val="0"/>
        <w:spacing w:before="165" w:beforeLines="50" w:after="50" w:line="440" w:lineRule="exact"/>
        <w:rPr>
          <w:rFonts w:hint="eastAsia" w:ascii="宋体" w:hAnsi="宋体"/>
          <w:szCs w:val="21"/>
          <w:highlight w:val="none"/>
        </w:rPr>
      </w:pPr>
    </w:p>
    <w:bookmarkEnd w:id="241"/>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3.提供</w:t>
      </w:r>
      <w:bookmarkStart w:id="246" w:name="OLE_LINK43"/>
      <w:r>
        <w:rPr>
          <w:rFonts w:hint="eastAsia" w:ascii="宋体" w:hAnsi="宋体"/>
          <w:b/>
          <w:bCs/>
          <w:szCs w:val="21"/>
          <w:highlight w:val="none"/>
          <w:lang w:bidi="ar"/>
        </w:rPr>
        <w:t>2025年4月至投标截止时间内供应商任意1个月</w:t>
      </w:r>
      <w:bookmarkEnd w:id="246"/>
      <w:r>
        <w:rPr>
          <w:rFonts w:hint="eastAsia" w:ascii="宋体" w:hAnsi="宋体"/>
          <w:b/>
          <w:bCs/>
          <w:szCs w:val="21"/>
          <w:highlight w:val="none"/>
          <w:lang w:bidi="ar"/>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证明材料。</w:t>
      </w:r>
      <w:bookmarkStart w:id="247" w:name="OLE_LINK74"/>
      <w:r>
        <w:rPr>
          <w:rFonts w:hint="eastAsia" w:ascii="宋体" w:hAnsi="宋体"/>
          <w:b/>
          <w:bCs/>
          <w:szCs w:val="21"/>
          <w:highlight w:val="none"/>
          <w:lang w:bidi="ar"/>
        </w:rPr>
        <w:t>（按“第四章  评标方法及评标标准”中“资格审查表”规定提供）</w:t>
      </w:r>
      <w:bookmarkEnd w:id="247"/>
      <w:r>
        <w:rPr>
          <w:rFonts w:hint="eastAsia" w:ascii="宋体" w:hAnsi="宋体" w:cs="宋体"/>
          <w:b/>
          <w:bCs/>
          <w:szCs w:val="21"/>
          <w:highlight w:val="none"/>
          <w:lang w:bidi="ar"/>
        </w:rPr>
        <w:t>【加盖供应商公章（或电子签章）】</w:t>
      </w:r>
    </w:p>
    <w:p>
      <w:pPr>
        <w:widowControl/>
        <w:jc w:val="left"/>
        <w:rPr>
          <w:rFonts w:hint="eastAsia" w:ascii="宋体" w:hAnsi="宋体"/>
          <w:highlight w:val="none"/>
        </w:rPr>
      </w:pPr>
      <w:bookmarkStart w:id="248" w:name="_Hlk19114283"/>
      <w:r>
        <w:rPr>
          <w:rFonts w:ascii="宋体" w:hAnsi="宋体"/>
          <w:highlight w:val="none"/>
        </w:rPr>
        <w:br w:type="page"/>
      </w:r>
    </w:p>
    <w:p>
      <w:pPr>
        <w:snapToGrid w:val="0"/>
        <w:spacing w:before="82" w:beforeLines="25" w:after="82" w:afterLines="25" w:line="360" w:lineRule="auto"/>
        <w:outlineLvl w:val="2"/>
        <w:rPr>
          <w:rFonts w:hint="eastAsia" w:ascii="宋体" w:hAnsi="宋体"/>
          <w:b/>
          <w:bCs/>
          <w:szCs w:val="21"/>
          <w:highlight w:val="none"/>
          <w:lang w:bidi="ar"/>
        </w:rPr>
      </w:pPr>
      <w:bookmarkStart w:id="249" w:name="_Hlk93048232"/>
      <w:r>
        <w:rPr>
          <w:rFonts w:hint="eastAsia" w:ascii="宋体" w:hAnsi="宋体"/>
          <w:b/>
          <w:bCs/>
          <w:szCs w:val="21"/>
          <w:highlight w:val="none"/>
          <w:lang w:bidi="ar"/>
        </w:rPr>
        <w:t>4.</w:t>
      </w:r>
      <w:bookmarkStart w:id="250" w:name="OLE_LINK25"/>
      <w:r>
        <w:rPr>
          <w:rFonts w:hint="eastAsia" w:ascii="宋体" w:hAnsi="宋体"/>
          <w:b/>
          <w:bCs/>
          <w:szCs w:val="21"/>
          <w:highlight w:val="none"/>
          <w:lang w:bidi="ar"/>
        </w:rPr>
        <w:t>投标人直接控股股东信息表</w:t>
      </w:r>
      <w:bookmarkEnd w:id="250"/>
    </w:p>
    <w:tbl>
      <w:tblPr>
        <w:tblStyle w:val="54"/>
        <w:tblW w:w="5000" w:type="pct"/>
        <w:tblInd w:w="0" w:type="dxa"/>
        <w:tblLayout w:type="autofit"/>
        <w:tblCellMar>
          <w:top w:w="0" w:type="dxa"/>
          <w:left w:w="0" w:type="dxa"/>
          <w:bottom w:w="0" w:type="dxa"/>
          <w:right w:w="0" w:type="dxa"/>
        </w:tblCellMar>
      </w:tblPr>
      <w:tblGrid>
        <w:gridCol w:w="746"/>
        <w:gridCol w:w="2046"/>
        <w:gridCol w:w="1118"/>
        <w:gridCol w:w="3581"/>
        <w:gridCol w:w="1055"/>
      </w:tblGrid>
      <w:tr>
        <w:tblPrEx>
          <w:tblCellMar>
            <w:top w:w="0" w:type="dxa"/>
            <w:left w:w="0" w:type="dxa"/>
            <w:bottom w:w="0" w:type="dxa"/>
            <w:right w:w="0" w:type="dxa"/>
          </w:tblCellMar>
        </w:tblPrEx>
        <w:trPr>
          <w:tblHeader/>
        </w:trPr>
        <w:tc>
          <w:tcPr>
            <w:tcW w:w="43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r>
              <w:rPr>
                <w:rFonts w:hint="eastAsia" w:cs="宋体"/>
                <w:szCs w:val="21"/>
                <w:highlight w:val="none"/>
              </w:rPr>
              <w:t>序号</w:t>
            </w:r>
          </w:p>
        </w:tc>
        <w:tc>
          <w:tcPr>
            <w:tcW w:w="119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r>
              <w:rPr>
                <w:rFonts w:hint="eastAsia" w:cs="宋体"/>
                <w:szCs w:val="21"/>
                <w:highlight w:val="none"/>
              </w:rPr>
              <w:t>直接控股股东名称</w:t>
            </w:r>
          </w:p>
        </w:tc>
        <w:tc>
          <w:tcPr>
            <w:tcW w:w="654"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r>
              <w:rPr>
                <w:rFonts w:hint="eastAsia" w:cs="宋体"/>
                <w:szCs w:val="21"/>
                <w:highlight w:val="none"/>
              </w:rPr>
              <w:t>出资比例</w:t>
            </w:r>
          </w:p>
        </w:tc>
        <w:tc>
          <w:tcPr>
            <w:tcW w:w="2095"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r>
              <w:rPr>
                <w:rFonts w:hint="eastAsia" w:cs="宋体"/>
                <w:szCs w:val="21"/>
                <w:highlight w:val="none"/>
              </w:rPr>
              <w:t>身份证号码或者统一社会信用代码</w:t>
            </w:r>
          </w:p>
        </w:tc>
        <w:tc>
          <w:tcPr>
            <w:tcW w:w="61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r>
              <w:rPr>
                <w:rFonts w:hint="eastAsia" w:cs="宋体"/>
                <w:szCs w:val="21"/>
                <w:highlight w:val="none"/>
              </w:rPr>
              <w:t>备注</w:t>
            </w:r>
          </w:p>
        </w:tc>
      </w:tr>
      <w:tr>
        <w:tblPrEx>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r>
              <w:rPr>
                <w:szCs w:val="21"/>
                <w:highlight w:val="none"/>
              </w:rPr>
              <w:t>1</w:t>
            </w:r>
          </w:p>
        </w:tc>
        <w:tc>
          <w:tcPr>
            <w:tcW w:w="119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654"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2095"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61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r>
      <w:tr>
        <w:tblPrEx>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r>
              <w:rPr>
                <w:szCs w:val="21"/>
                <w:highlight w:val="none"/>
              </w:rPr>
              <w:t>2</w:t>
            </w:r>
          </w:p>
        </w:tc>
        <w:tc>
          <w:tcPr>
            <w:tcW w:w="119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654"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2095"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61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r>
      <w:tr>
        <w:tblPrEx>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r>
              <w:rPr>
                <w:szCs w:val="21"/>
                <w:highlight w:val="none"/>
              </w:rPr>
              <w:t>3</w:t>
            </w:r>
          </w:p>
        </w:tc>
        <w:tc>
          <w:tcPr>
            <w:tcW w:w="119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654"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2095"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61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r>
      <w:tr>
        <w:tblPrEx>
          <w:tblCellMar>
            <w:top w:w="0" w:type="dxa"/>
            <w:left w:w="0" w:type="dxa"/>
            <w:bottom w:w="0" w:type="dxa"/>
            <w:right w:w="0" w:type="dxa"/>
          </w:tblCellMar>
        </w:tblPrEx>
        <w:tc>
          <w:tcPr>
            <w:tcW w:w="43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r>
              <w:rPr>
                <w:szCs w:val="21"/>
                <w:highlight w:val="none"/>
              </w:rPr>
              <w:t>……</w:t>
            </w:r>
          </w:p>
        </w:tc>
        <w:tc>
          <w:tcPr>
            <w:tcW w:w="119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654"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2095"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c>
          <w:tcPr>
            <w:tcW w:w="617" w:type="pct"/>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szCs w:val="21"/>
                <w:highlight w:val="none"/>
              </w:rPr>
            </w:pPr>
          </w:p>
        </w:tc>
      </w:tr>
    </w:tbl>
    <w:p>
      <w:pPr>
        <w:snapToGrid w:val="0"/>
        <w:spacing w:line="360" w:lineRule="auto"/>
        <w:jc w:val="left"/>
        <w:rPr>
          <w:szCs w:val="21"/>
          <w:highlight w:val="none"/>
        </w:rPr>
      </w:pPr>
      <w:r>
        <w:rPr>
          <w:rFonts w:hint="eastAsia" w:cs="宋体"/>
          <w:szCs w:val="21"/>
          <w:highlight w:val="none"/>
          <w:lang w:bidi="ar"/>
        </w:rPr>
        <w:t>注：</w:t>
      </w:r>
    </w:p>
    <w:p>
      <w:pPr>
        <w:snapToGrid w:val="0"/>
        <w:spacing w:line="360" w:lineRule="auto"/>
        <w:jc w:val="left"/>
        <w:rPr>
          <w:szCs w:val="21"/>
          <w:highlight w:val="none"/>
        </w:rPr>
      </w:pPr>
      <w:r>
        <w:rPr>
          <w:szCs w:val="21"/>
          <w:highlight w:val="none"/>
          <w:lang w:bidi="ar"/>
        </w:rPr>
        <w:t>1.</w:t>
      </w:r>
      <w:r>
        <w:rPr>
          <w:rFonts w:hint="eastAsia" w:cs="宋体"/>
          <w:szCs w:val="21"/>
          <w:highlight w:val="none"/>
          <w:lang w:bidi="ar"/>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szCs w:val="21"/>
          <w:highlight w:val="none"/>
        </w:rPr>
      </w:pPr>
      <w:r>
        <w:rPr>
          <w:szCs w:val="21"/>
          <w:highlight w:val="none"/>
          <w:lang w:bidi="ar"/>
        </w:rPr>
        <w:t>2.</w:t>
      </w:r>
      <w:r>
        <w:rPr>
          <w:rFonts w:hint="eastAsia" w:cs="宋体"/>
          <w:szCs w:val="21"/>
          <w:highlight w:val="none"/>
          <w:lang w:bidi="ar"/>
        </w:rPr>
        <w:t>本表所指的控股关系仅限于直接控股关系，不包括间接的控股关系。公司实际控制人与公司之间的关系不属于本表所指的直接控股关系。</w:t>
      </w:r>
    </w:p>
    <w:p>
      <w:pPr>
        <w:snapToGrid w:val="0"/>
        <w:spacing w:line="360" w:lineRule="auto"/>
        <w:jc w:val="left"/>
        <w:rPr>
          <w:szCs w:val="21"/>
          <w:highlight w:val="none"/>
        </w:rPr>
      </w:pPr>
      <w:r>
        <w:rPr>
          <w:szCs w:val="21"/>
          <w:highlight w:val="none"/>
          <w:lang w:bidi="ar"/>
        </w:rPr>
        <w:t>3.</w:t>
      </w:r>
      <w:r>
        <w:rPr>
          <w:rFonts w:hint="eastAsia" w:cs="宋体"/>
          <w:szCs w:val="21"/>
          <w:highlight w:val="none"/>
          <w:lang w:bidi="ar"/>
        </w:rPr>
        <w:t>供应商不存在直接控股股东的，则填</w:t>
      </w:r>
      <w:r>
        <w:rPr>
          <w:szCs w:val="21"/>
          <w:highlight w:val="none"/>
          <w:lang w:bidi="ar"/>
        </w:rPr>
        <w:t>“</w:t>
      </w:r>
      <w:r>
        <w:rPr>
          <w:rFonts w:hint="eastAsia" w:cs="宋体"/>
          <w:szCs w:val="21"/>
          <w:highlight w:val="none"/>
          <w:lang w:bidi="ar"/>
        </w:rPr>
        <w:t>无</w:t>
      </w:r>
      <w:r>
        <w:rPr>
          <w:szCs w:val="21"/>
          <w:highlight w:val="none"/>
          <w:lang w:bidi="ar"/>
        </w:rPr>
        <w:t>”</w:t>
      </w:r>
      <w:r>
        <w:rPr>
          <w:rFonts w:hint="eastAsia" w:cs="宋体"/>
          <w:szCs w:val="21"/>
          <w:highlight w:val="none"/>
          <w:lang w:bidi="ar"/>
        </w:rPr>
        <w:t>。</w:t>
      </w:r>
    </w:p>
    <w:p>
      <w:pPr>
        <w:snapToGrid w:val="0"/>
        <w:spacing w:line="360" w:lineRule="auto"/>
        <w:jc w:val="left"/>
        <w:rPr>
          <w:szCs w:val="21"/>
          <w:highlight w:val="none"/>
        </w:rPr>
      </w:pPr>
    </w:p>
    <w:p>
      <w:pPr>
        <w:snapToGrid w:val="0"/>
        <w:spacing w:line="360" w:lineRule="auto"/>
        <w:jc w:val="left"/>
        <w:rPr>
          <w:szCs w:val="21"/>
          <w:highlight w:val="none"/>
        </w:rPr>
      </w:pPr>
    </w:p>
    <w:p>
      <w:pPr>
        <w:snapToGrid w:val="0"/>
        <w:spacing w:line="360" w:lineRule="auto"/>
        <w:jc w:val="left"/>
        <w:rPr>
          <w:szCs w:val="21"/>
          <w:highlight w:val="none"/>
        </w:rPr>
      </w:pPr>
    </w:p>
    <w:p>
      <w:pPr>
        <w:snapToGrid w:val="0"/>
        <w:spacing w:line="360" w:lineRule="auto"/>
        <w:jc w:val="left"/>
        <w:rPr>
          <w:szCs w:val="21"/>
          <w:highlight w:val="none"/>
        </w:rPr>
      </w:pPr>
    </w:p>
    <w:p>
      <w:pPr>
        <w:snapToGrid w:val="0"/>
        <w:spacing w:line="360" w:lineRule="auto"/>
        <w:jc w:val="left"/>
        <w:rPr>
          <w:rFonts w:hint="eastAsia" w:ascii="宋体" w:hAnsi="宋体"/>
          <w:szCs w:val="21"/>
          <w:highlight w:val="none"/>
        </w:rPr>
      </w:pPr>
    </w:p>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snapToGrid w:val="0"/>
        <w:jc w:val="center"/>
        <w:rPr>
          <w:b/>
          <w:sz w:val="28"/>
          <w:szCs w:val="28"/>
          <w:highlight w:val="none"/>
        </w:rPr>
      </w:pPr>
      <w:r>
        <w:rPr>
          <w:b/>
          <w:sz w:val="28"/>
          <w:szCs w:val="28"/>
          <w:highlight w:val="none"/>
          <w:lang w:bidi="ar"/>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5.</w:t>
      </w:r>
      <w:bookmarkStart w:id="251" w:name="OLE_LINK26"/>
      <w:r>
        <w:rPr>
          <w:rFonts w:hint="eastAsia" w:ascii="宋体" w:hAnsi="宋体"/>
          <w:b/>
          <w:bCs/>
          <w:szCs w:val="21"/>
          <w:highlight w:val="none"/>
          <w:lang w:bidi="ar"/>
        </w:rPr>
        <w:t>投标人直接管理关系信息表</w:t>
      </w:r>
    </w:p>
    <w:bookmarkEnd w:id="251"/>
    <w:tbl>
      <w:tblPr>
        <w:tblStyle w:val="54"/>
        <w:tblW w:w="5000" w:type="pct"/>
        <w:tblInd w:w="0" w:type="dxa"/>
        <w:shd w:val="clear" w:color="auto" w:fill="FBFBFB"/>
        <w:tblLayout w:type="autofit"/>
        <w:tblCellMar>
          <w:top w:w="0" w:type="dxa"/>
          <w:left w:w="0" w:type="dxa"/>
          <w:bottom w:w="0" w:type="dxa"/>
          <w:right w:w="0" w:type="dxa"/>
        </w:tblCellMar>
      </w:tblPr>
      <w:tblGrid>
        <w:gridCol w:w="890"/>
        <w:gridCol w:w="2354"/>
        <w:gridCol w:w="3475"/>
        <w:gridCol w:w="1827"/>
      </w:tblGrid>
      <w:tr>
        <w:tblPrEx>
          <w:tblCellMar>
            <w:top w:w="0" w:type="dxa"/>
            <w:left w:w="0" w:type="dxa"/>
            <w:bottom w:w="0" w:type="dxa"/>
            <w:right w:w="0" w:type="dxa"/>
          </w:tblCellMar>
        </w:tblPrEx>
        <w:trPr>
          <w:tblHeader/>
        </w:trPr>
        <w:tc>
          <w:tcPr>
            <w:tcW w:w="52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r>
              <w:rPr>
                <w:rFonts w:hint="eastAsia" w:cs="宋体"/>
                <w:szCs w:val="21"/>
                <w:highlight w:val="none"/>
              </w:rPr>
              <w:t>序号</w:t>
            </w:r>
          </w:p>
        </w:tc>
        <w:tc>
          <w:tcPr>
            <w:tcW w:w="137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r>
              <w:rPr>
                <w:rFonts w:hint="eastAsia" w:cs="宋体"/>
                <w:szCs w:val="21"/>
                <w:highlight w:val="none"/>
              </w:rPr>
              <w:t>直接管理关系单位名称</w:t>
            </w:r>
          </w:p>
        </w:tc>
        <w:tc>
          <w:tcPr>
            <w:tcW w:w="20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r>
              <w:rPr>
                <w:rFonts w:hint="eastAsia" w:cs="宋体"/>
                <w:szCs w:val="21"/>
                <w:highlight w:val="none"/>
              </w:rPr>
              <w:t>统一社会信用代码</w:t>
            </w:r>
          </w:p>
        </w:tc>
        <w:tc>
          <w:tcPr>
            <w:tcW w:w="1069"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r>
              <w:rPr>
                <w:rFonts w:hint="eastAsia" w:cs="宋体"/>
                <w:szCs w:val="21"/>
                <w:highlight w:val="none"/>
              </w:rPr>
              <w:t>备注</w:t>
            </w:r>
          </w:p>
        </w:tc>
      </w:tr>
      <w:tr>
        <w:tblPrEx>
          <w:shd w:val="clear" w:color="auto" w:fill="FBFBFB"/>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r>
              <w:rPr>
                <w:szCs w:val="21"/>
                <w:highlight w:val="none"/>
              </w:rPr>
              <w:t>1</w:t>
            </w:r>
          </w:p>
        </w:tc>
        <w:tc>
          <w:tcPr>
            <w:tcW w:w="137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c>
          <w:tcPr>
            <w:tcW w:w="20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c>
          <w:tcPr>
            <w:tcW w:w="1069"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r>
      <w:tr>
        <w:tblPrEx>
          <w:shd w:val="clear" w:color="auto" w:fill="FBFBFB"/>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r>
              <w:rPr>
                <w:szCs w:val="21"/>
                <w:highlight w:val="none"/>
              </w:rPr>
              <w:t>2</w:t>
            </w:r>
          </w:p>
        </w:tc>
        <w:tc>
          <w:tcPr>
            <w:tcW w:w="137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c>
          <w:tcPr>
            <w:tcW w:w="20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c>
          <w:tcPr>
            <w:tcW w:w="1069"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r>
      <w:tr>
        <w:tblPrEx>
          <w:shd w:val="clear" w:color="auto" w:fill="FBFBFB"/>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r>
              <w:rPr>
                <w:szCs w:val="21"/>
                <w:highlight w:val="none"/>
              </w:rPr>
              <w:t>3</w:t>
            </w:r>
          </w:p>
        </w:tc>
        <w:tc>
          <w:tcPr>
            <w:tcW w:w="137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c>
          <w:tcPr>
            <w:tcW w:w="20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c>
          <w:tcPr>
            <w:tcW w:w="1069"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r>
      <w:tr>
        <w:tblPrEx>
          <w:shd w:val="clear" w:color="auto" w:fill="FBFBFB"/>
          <w:tblCellMar>
            <w:top w:w="0" w:type="dxa"/>
            <w:left w:w="0" w:type="dxa"/>
            <w:bottom w:w="0" w:type="dxa"/>
            <w:right w:w="0" w:type="dxa"/>
          </w:tblCellMar>
        </w:tblPrEx>
        <w:tc>
          <w:tcPr>
            <w:tcW w:w="52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r>
              <w:rPr>
                <w:szCs w:val="21"/>
                <w:highlight w:val="none"/>
              </w:rPr>
              <w:t>……</w:t>
            </w:r>
          </w:p>
        </w:tc>
        <w:tc>
          <w:tcPr>
            <w:tcW w:w="137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c>
          <w:tcPr>
            <w:tcW w:w="20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c>
          <w:tcPr>
            <w:tcW w:w="1069"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szCs w:val="21"/>
                <w:highlight w:val="none"/>
              </w:rPr>
            </w:pPr>
          </w:p>
        </w:tc>
      </w:tr>
    </w:tbl>
    <w:p>
      <w:pPr>
        <w:snapToGrid w:val="0"/>
        <w:spacing w:line="360" w:lineRule="auto"/>
        <w:jc w:val="left"/>
        <w:rPr>
          <w:szCs w:val="21"/>
          <w:highlight w:val="none"/>
        </w:rPr>
      </w:pPr>
      <w:r>
        <w:rPr>
          <w:rFonts w:hint="eastAsia" w:cs="宋体"/>
          <w:szCs w:val="21"/>
          <w:highlight w:val="none"/>
          <w:lang w:bidi="ar"/>
        </w:rPr>
        <w:t>注：</w:t>
      </w:r>
    </w:p>
    <w:p>
      <w:pPr>
        <w:snapToGrid w:val="0"/>
        <w:spacing w:line="360" w:lineRule="auto"/>
        <w:ind w:firstLine="420" w:firstLineChars="200"/>
        <w:jc w:val="left"/>
        <w:rPr>
          <w:szCs w:val="21"/>
          <w:highlight w:val="none"/>
        </w:rPr>
      </w:pPr>
      <w:r>
        <w:rPr>
          <w:szCs w:val="21"/>
          <w:highlight w:val="none"/>
          <w:lang w:bidi="ar"/>
        </w:rPr>
        <w:t>1.</w:t>
      </w:r>
      <w:r>
        <w:rPr>
          <w:rFonts w:hint="eastAsia" w:cs="宋体"/>
          <w:szCs w:val="21"/>
          <w:highlight w:val="none"/>
          <w:lang w:bidi="ar"/>
        </w:rPr>
        <w:t>管理关系：是指不具有出资持股关系的其他单位之间存在的管理与被管理关系，如一些上下级关系的事业单位和团体组织。</w:t>
      </w:r>
    </w:p>
    <w:p>
      <w:pPr>
        <w:snapToGrid w:val="0"/>
        <w:spacing w:line="360" w:lineRule="auto"/>
        <w:ind w:firstLine="420" w:firstLineChars="200"/>
        <w:jc w:val="left"/>
        <w:rPr>
          <w:szCs w:val="21"/>
          <w:highlight w:val="none"/>
        </w:rPr>
      </w:pPr>
      <w:r>
        <w:rPr>
          <w:szCs w:val="21"/>
          <w:highlight w:val="none"/>
          <w:lang w:bidi="ar"/>
        </w:rPr>
        <w:t>2.</w:t>
      </w:r>
      <w:r>
        <w:rPr>
          <w:rFonts w:hint="eastAsia" w:cs="宋体"/>
          <w:szCs w:val="21"/>
          <w:highlight w:val="none"/>
          <w:lang w:bidi="ar"/>
        </w:rPr>
        <w:t>本表所指的管理关系仅限于直接管理关系，不包括间接的管理关系。</w:t>
      </w:r>
    </w:p>
    <w:p>
      <w:pPr>
        <w:snapToGrid w:val="0"/>
        <w:spacing w:line="360" w:lineRule="auto"/>
        <w:ind w:firstLine="420" w:firstLineChars="200"/>
        <w:jc w:val="left"/>
        <w:rPr>
          <w:szCs w:val="21"/>
          <w:highlight w:val="none"/>
        </w:rPr>
      </w:pPr>
      <w:r>
        <w:rPr>
          <w:szCs w:val="21"/>
          <w:highlight w:val="none"/>
          <w:lang w:bidi="ar"/>
        </w:rPr>
        <w:t>3.</w:t>
      </w:r>
      <w:r>
        <w:rPr>
          <w:rFonts w:hint="eastAsia" w:cs="宋体"/>
          <w:szCs w:val="21"/>
          <w:highlight w:val="none"/>
          <w:lang w:bidi="ar"/>
        </w:rPr>
        <w:t>供应商不存在直接管理关系的，则填</w:t>
      </w:r>
      <w:r>
        <w:rPr>
          <w:szCs w:val="21"/>
          <w:highlight w:val="none"/>
          <w:lang w:bidi="ar"/>
        </w:rPr>
        <w:t>“</w:t>
      </w:r>
      <w:r>
        <w:rPr>
          <w:rFonts w:hint="eastAsia" w:cs="宋体"/>
          <w:szCs w:val="21"/>
          <w:highlight w:val="none"/>
          <w:lang w:bidi="ar"/>
        </w:rPr>
        <w:t>无</w:t>
      </w:r>
      <w:r>
        <w:rPr>
          <w:szCs w:val="21"/>
          <w:highlight w:val="none"/>
          <w:lang w:bidi="ar"/>
        </w:rPr>
        <w:t>”</w:t>
      </w:r>
      <w:r>
        <w:rPr>
          <w:rFonts w:hint="eastAsia" w:cs="宋体"/>
          <w:szCs w:val="21"/>
          <w:highlight w:val="none"/>
          <w:lang w:bidi="ar"/>
        </w:rPr>
        <w:t>。</w:t>
      </w:r>
    </w:p>
    <w:p>
      <w:pPr>
        <w:snapToGrid w:val="0"/>
        <w:spacing w:line="360" w:lineRule="auto"/>
        <w:jc w:val="left"/>
        <w:rPr>
          <w:szCs w:val="21"/>
          <w:highlight w:val="none"/>
        </w:rPr>
      </w:pPr>
    </w:p>
    <w:p>
      <w:pPr>
        <w:snapToGrid w:val="0"/>
        <w:spacing w:line="360" w:lineRule="auto"/>
        <w:jc w:val="left"/>
        <w:rPr>
          <w:szCs w:val="21"/>
          <w:highlight w:val="none"/>
        </w:rPr>
      </w:pPr>
    </w:p>
    <w:p>
      <w:pPr>
        <w:snapToGrid w:val="0"/>
        <w:spacing w:line="360" w:lineRule="auto"/>
        <w:jc w:val="left"/>
        <w:rPr>
          <w:szCs w:val="21"/>
          <w:highlight w:val="none"/>
        </w:rPr>
      </w:pPr>
    </w:p>
    <w:p>
      <w:pPr>
        <w:snapToGrid w:val="0"/>
        <w:spacing w:line="360" w:lineRule="auto"/>
        <w:jc w:val="left"/>
        <w:rPr>
          <w:rFonts w:hint="eastAsia" w:ascii="宋体" w:hAnsi="宋体"/>
          <w:szCs w:val="21"/>
          <w:highlight w:val="none"/>
        </w:rPr>
      </w:pPr>
    </w:p>
    <w:bookmarkEnd w:id="249"/>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widowControl/>
        <w:jc w:val="left"/>
        <w:rPr>
          <w:rFonts w:hint="eastAsia" w:ascii="宋体" w:hAnsi="宋体" w:cs="宋体"/>
          <w:szCs w:val="21"/>
          <w:highlight w:val="none"/>
          <w:lang w:bidi="ar"/>
        </w:rPr>
      </w:pPr>
      <w:r>
        <w:rPr>
          <w:rFonts w:ascii="宋体" w:hAnsi="宋体" w:cs="宋体"/>
          <w:szCs w:val="21"/>
          <w:highlight w:val="none"/>
          <w:lang w:bidi="ar"/>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6.投标声明书（格式）</w:t>
      </w:r>
    </w:p>
    <w:p>
      <w:pPr>
        <w:snapToGrid w:val="0"/>
        <w:spacing w:before="165" w:beforeLines="50" w:after="50" w:line="360" w:lineRule="exact"/>
        <w:jc w:val="center"/>
        <w:rPr>
          <w:b/>
          <w:szCs w:val="21"/>
          <w:highlight w:val="none"/>
        </w:rPr>
      </w:pPr>
      <w:r>
        <w:rPr>
          <w:rFonts w:hint="eastAsia" w:cs="宋体"/>
          <w:b/>
          <w:szCs w:val="21"/>
          <w:highlight w:val="none"/>
          <w:lang w:bidi="ar"/>
        </w:rPr>
        <w:t>投标声明书</w:t>
      </w:r>
    </w:p>
    <w:p>
      <w:pPr>
        <w:snapToGrid w:val="0"/>
        <w:spacing w:before="165" w:beforeLines="50" w:after="50" w:line="360" w:lineRule="exact"/>
        <w:rPr>
          <w:szCs w:val="21"/>
          <w:highlight w:val="none"/>
        </w:rPr>
      </w:pPr>
      <w:r>
        <w:rPr>
          <w:rFonts w:hint="eastAsia" w:cs="宋体"/>
          <w:szCs w:val="21"/>
          <w:highlight w:val="none"/>
          <w:lang w:bidi="ar"/>
        </w:rPr>
        <w:t>致：</w:t>
      </w:r>
      <w:r>
        <w:rPr>
          <w:rFonts w:hint="eastAsia" w:cs="宋体"/>
          <w:i/>
          <w:iCs/>
          <w:szCs w:val="21"/>
          <w:highlight w:val="none"/>
          <w:u w:val="single"/>
          <w:lang w:bidi="ar"/>
        </w:rPr>
        <w:t>（采购人名称）</w:t>
      </w:r>
      <w:r>
        <w:rPr>
          <w:rFonts w:hint="eastAsia" w:cs="宋体"/>
          <w:szCs w:val="21"/>
          <w:highlight w:val="none"/>
          <w:lang w:bidi="ar"/>
        </w:rPr>
        <w:t>：</w:t>
      </w:r>
    </w:p>
    <w:p>
      <w:pPr>
        <w:snapToGrid w:val="0"/>
        <w:spacing w:line="360" w:lineRule="auto"/>
        <w:ind w:firstLine="420" w:firstLineChars="200"/>
        <w:rPr>
          <w:szCs w:val="21"/>
          <w:highlight w:val="none"/>
        </w:rPr>
      </w:pPr>
      <w:r>
        <w:rPr>
          <w:rFonts w:hint="eastAsia" w:cs="宋体"/>
          <w:i/>
          <w:iCs/>
          <w:szCs w:val="21"/>
          <w:highlight w:val="none"/>
          <w:u w:val="single"/>
          <w:lang w:bidi="ar"/>
        </w:rPr>
        <w:t>（供应商名称）</w:t>
      </w:r>
      <w:r>
        <w:rPr>
          <w:rFonts w:hint="eastAsia" w:cs="宋体"/>
          <w:szCs w:val="21"/>
          <w:highlight w:val="none"/>
          <w:lang w:bidi="ar"/>
        </w:rPr>
        <w:t>系中华人民共和国合法企业，</w:t>
      </w:r>
      <w:r>
        <w:rPr>
          <w:szCs w:val="21"/>
          <w:highlight w:val="none"/>
          <w:u w:val="single"/>
          <w:lang w:bidi="ar"/>
        </w:rPr>
        <w:t xml:space="preserve"> </w:t>
      </w:r>
      <w:r>
        <w:rPr>
          <w:i/>
          <w:iCs/>
          <w:szCs w:val="21"/>
          <w:highlight w:val="none"/>
          <w:u w:val="single"/>
          <w:lang w:bidi="ar"/>
        </w:rPr>
        <w:t xml:space="preserve"> </w:t>
      </w:r>
      <w:r>
        <w:rPr>
          <w:rFonts w:hint="eastAsia" w:cs="宋体"/>
          <w:i/>
          <w:iCs/>
          <w:szCs w:val="21"/>
          <w:highlight w:val="none"/>
          <w:u w:val="single"/>
          <w:lang w:bidi="ar"/>
        </w:rPr>
        <w:t>（经营地址）</w:t>
      </w:r>
      <w:r>
        <w:rPr>
          <w:i/>
          <w:iCs/>
          <w:szCs w:val="21"/>
          <w:highlight w:val="none"/>
          <w:u w:val="single"/>
          <w:lang w:bidi="ar"/>
        </w:rPr>
        <w:t xml:space="preserve">  </w:t>
      </w:r>
      <w:r>
        <w:rPr>
          <w:szCs w:val="21"/>
          <w:highlight w:val="none"/>
          <w:u w:val="single"/>
          <w:lang w:bidi="ar"/>
        </w:rPr>
        <w:t xml:space="preserve"> </w:t>
      </w:r>
      <w:r>
        <w:rPr>
          <w:rFonts w:hint="eastAsia" w:cs="宋体"/>
          <w:szCs w:val="21"/>
          <w:highlight w:val="none"/>
          <w:lang w:bidi="ar"/>
        </w:rPr>
        <w:t>。</w:t>
      </w:r>
    </w:p>
    <w:p>
      <w:pPr>
        <w:snapToGrid w:val="0"/>
        <w:spacing w:line="360" w:lineRule="auto"/>
        <w:ind w:firstLine="420" w:firstLineChars="200"/>
        <w:rPr>
          <w:szCs w:val="21"/>
          <w:highlight w:val="none"/>
        </w:rPr>
      </w:pPr>
      <w:r>
        <w:rPr>
          <w:rFonts w:hint="eastAsia" w:cs="宋体"/>
          <w:szCs w:val="21"/>
          <w:highlight w:val="none"/>
          <w:lang w:bidi="ar"/>
        </w:rPr>
        <w:t>我</w:t>
      </w:r>
      <w:r>
        <w:rPr>
          <w:rFonts w:hint="eastAsia" w:cs="宋体"/>
          <w:i/>
          <w:iCs/>
          <w:szCs w:val="21"/>
          <w:highlight w:val="none"/>
          <w:u w:val="single"/>
          <w:lang w:bidi="ar"/>
        </w:rPr>
        <w:t>（姓名）</w:t>
      </w:r>
      <w:r>
        <w:rPr>
          <w:i/>
          <w:iCs/>
          <w:szCs w:val="21"/>
          <w:highlight w:val="none"/>
          <w:u w:val="single"/>
          <w:lang w:bidi="ar"/>
        </w:rPr>
        <w:t xml:space="preserve"> </w:t>
      </w:r>
      <w:r>
        <w:rPr>
          <w:rFonts w:hint="eastAsia" w:cs="宋体"/>
          <w:szCs w:val="21"/>
          <w:highlight w:val="none"/>
          <w:lang w:bidi="ar"/>
        </w:rPr>
        <w:t>系</w:t>
      </w:r>
      <w:r>
        <w:rPr>
          <w:rFonts w:hint="eastAsia" w:cs="宋体"/>
          <w:i/>
          <w:iCs/>
          <w:szCs w:val="21"/>
          <w:highlight w:val="none"/>
          <w:u w:val="single"/>
          <w:lang w:bidi="ar"/>
        </w:rPr>
        <w:t>（供应商名称）</w:t>
      </w:r>
      <w:r>
        <w:rPr>
          <w:rFonts w:hint="eastAsia" w:cs="宋体"/>
          <w:szCs w:val="21"/>
          <w:highlight w:val="none"/>
          <w:lang w:bidi="ar"/>
        </w:rPr>
        <w:t>的法定代表人，我方愿意参加贵方组织的</w:t>
      </w:r>
      <w:r>
        <w:rPr>
          <w:szCs w:val="21"/>
          <w:highlight w:val="none"/>
          <w:lang w:bidi="ar"/>
        </w:rPr>
        <w:t xml:space="preserve"> </w:t>
      </w:r>
      <w:r>
        <w:rPr>
          <w:rFonts w:hint="eastAsia" w:cs="宋体"/>
          <w:i/>
          <w:iCs/>
          <w:szCs w:val="21"/>
          <w:highlight w:val="none"/>
          <w:u w:val="single"/>
          <w:lang w:bidi="ar"/>
        </w:rPr>
        <w:t>（项目名称）</w:t>
      </w:r>
      <w:r>
        <w:rPr>
          <w:i/>
          <w:iCs/>
          <w:szCs w:val="21"/>
          <w:highlight w:val="none"/>
          <w:u w:val="single"/>
          <w:lang w:bidi="ar"/>
        </w:rPr>
        <w:t xml:space="preserve"> </w:t>
      </w:r>
      <w:r>
        <w:rPr>
          <w:rFonts w:hint="eastAsia" w:cs="宋体"/>
          <w:szCs w:val="21"/>
          <w:highlight w:val="none"/>
          <w:lang w:bidi="ar"/>
        </w:rPr>
        <w:t>项目的投标，为便于贵方公正、择优地确定中标人及其投标产品和服务，我方就本次投标有关事项郑重声明如下：</w:t>
      </w:r>
    </w:p>
    <w:p>
      <w:pPr>
        <w:snapToGrid w:val="0"/>
        <w:spacing w:line="360" w:lineRule="auto"/>
        <w:ind w:firstLine="420" w:firstLineChars="200"/>
        <w:rPr>
          <w:szCs w:val="21"/>
          <w:highlight w:val="none"/>
        </w:rPr>
      </w:pPr>
      <w:r>
        <w:rPr>
          <w:rFonts w:hint="eastAsia" w:cs="宋体"/>
          <w:szCs w:val="21"/>
          <w:highlight w:val="none"/>
          <w:lang w:bidi="ar"/>
        </w:rPr>
        <w:t>（</w:t>
      </w:r>
      <w:r>
        <w:rPr>
          <w:szCs w:val="21"/>
          <w:highlight w:val="none"/>
          <w:lang w:bidi="ar"/>
        </w:rPr>
        <w:t>1</w:t>
      </w:r>
      <w:r>
        <w:rPr>
          <w:rFonts w:hint="eastAsia" w:cs="宋体"/>
          <w:szCs w:val="21"/>
          <w:highlight w:val="none"/>
          <w:lang w:bidi="ar"/>
        </w:rPr>
        <w:t>）我方向贵方提交的所有投标文件、资料都是准确的和真实的。</w:t>
      </w:r>
      <w:r>
        <w:rPr>
          <w:szCs w:val="21"/>
          <w:highlight w:val="none"/>
          <w:lang w:bidi="ar"/>
        </w:rPr>
        <w:t xml:space="preserve"> </w:t>
      </w:r>
    </w:p>
    <w:p>
      <w:pPr>
        <w:snapToGrid w:val="0"/>
        <w:spacing w:line="360" w:lineRule="auto"/>
        <w:ind w:firstLine="420" w:firstLineChars="200"/>
        <w:rPr>
          <w:szCs w:val="21"/>
          <w:highlight w:val="none"/>
        </w:rPr>
      </w:pPr>
      <w:r>
        <w:rPr>
          <w:rFonts w:hint="eastAsia" w:cs="宋体"/>
          <w:szCs w:val="21"/>
          <w:highlight w:val="none"/>
          <w:lang w:bidi="ar"/>
        </w:rPr>
        <w:t>（</w:t>
      </w:r>
      <w:r>
        <w:rPr>
          <w:szCs w:val="21"/>
          <w:highlight w:val="none"/>
          <w:lang w:bidi="ar"/>
        </w:rPr>
        <w:t>2</w:t>
      </w:r>
      <w:r>
        <w:rPr>
          <w:rFonts w:hint="eastAsia" w:cs="宋体"/>
          <w:szCs w:val="21"/>
          <w:highlight w:val="none"/>
          <w:lang w:bidi="ar"/>
        </w:rPr>
        <w:t>）我方不是采购人的附属机构；也不是为本项目提供整体设计、规范编制或者项目管理、监理、检测等服务的供应商或其附属机构。</w:t>
      </w:r>
    </w:p>
    <w:p>
      <w:pPr>
        <w:snapToGrid w:val="0"/>
        <w:spacing w:line="360" w:lineRule="auto"/>
        <w:ind w:firstLine="420" w:firstLineChars="200"/>
        <w:rPr>
          <w:szCs w:val="21"/>
          <w:highlight w:val="none"/>
        </w:rPr>
      </w:pPr>
      <w:r>
        <w:rPr>
          <w:rFonts w:hint="eastAsia" w:cs="宋体"/>
          <w:szCs w:val="21"/>
          <w:highlight w:val="none"/>
          <w:lang w:bidi="ar"/>
        </w:rPr>
        <w:t>（</w:t>
      </w:r>
      <w:r>
        <w:rPr>
          <w:szCs w:val="21"/>
          <w:highlight w:val="none"/>
          <w:lang w:bidi="ar"/>
        </w:rPr>
        <w:t>3</w:t>
      </w:r>
      <w:r>
        <w:rPr>
          <w:rFonts w:hint="eastAsia" w:cs="宋体"/>
          <w:szCs w:val="21"/>
          <w:highlight w:val="none"/>
          <w:lang w:bidi="ar"/>
        </w:rPr>
        <w:t>）我方承诺在参加本政府采购项目活动前，没有被纳入政府部门或银行认定的失信名单，我方具有良好的商业信誉。</w:t>
      </w:r>
    </w:p>
    <w:p>
      <w:pPr>
        <w:snapToGrid w:val="0"/>
        <w:spacing w:line="360" w:lineRule="auto"/>
        <w:ind w:firstLine="420" w:firstLineChars="200"/>
        <w:rPr>
          <w:szCs w:val="21"/>
          <w:highlight w:val="none"/>
        </w:rPr>
      </w:pPr>
      <w:r>
        <w:rPr>
          <w:rFonts w:hint="eastAsia" w:cs="宋体"/>
          <w:szCs w:val="21"/>
          <w:highlight w:val="none"/>
          <w:lang w:bidi="ar"/>
        </w:rPr>
        <w:t>（</w:t>
      </w:r>
      <w:r>
        <w:rPr>
          <w:szCs w:val="21"/>
          <w:highlight w:val="none"/>
          <w:lang w:bidi="ar"/>
        </w:rPr>
        <w:t>4</w:t>
      </w:r>
      <w:r>
        <w:rPr>
          <w:rFonts w:hint="eastAsia" w:cs="宋体"/>
          <w:szCs w:val="21"/>
          <w:highlight w:val="none"/>
          <w:lang w:bidi="ar"/>
        </w:rPr>
        <w:t>）我方及本人承诺在参加本政府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政府采购法》有关提供虚假材料的规定给予的处罚。</w:t>
      </w:r>
    </w:p>
    <w:p>
      <w:pPr>
        <w:snapToGrid w:val="0"/>
        <w:spacing w:line="360" w:lineRule="auto"/>
        <w:ind w:firstLine="420" w:firstLineChars="200"/>
        <w:rPr>
          <w:szCs w:val="21"/>
          <w:highlight w:val="none"/>
        </w:rPr>
      </w:pPr>
      <w:r>
        <w:rPr>
          <w:rFonts w:hint="eastAsia" w:cs="宋体"/>
          <w:szCs w:val="21"/>
          <w:highlight w:val="none"/>
          <w:lang w:bidi="ar"/>
        </w:rPr>
        <w:t>（</w:t>
      </w:r>
      <w:r>
        <w:rPr>
          <w:szCs w:val="21"/>
          <w:highlight w:val="none"/>
          <w:lang w:bidi="ar"/>
        </w:rPr>
        <w:t>5</w:t>
      </w:r>
      <w:r>
        <w:rPr>
          <w:rFonts w:hint="eastAsia" w:cs="宋体"/>
          <w:szCs w:val="21"/>
          <w:highlight w:val="none"/>
          <w:lang w:bidi="ar"/>
        </w:rPr>
        <w:t>）我方承诺具有履行本项目合同所必需的设备和专业技术能力。</w:t>
      </w:r>
    </w:p>
    <w:p>
      <w:pPr>
        <w:snapToGrid w:val="0"/>
        <w:spacing w:line="360" w:lineRule="auto"/>
        <w:ind w:firstLine="420" w:firstLineChars="200"/>
        <w:rPr>
          <w:szCs w:val="21"/>
          <w:highlight w:val="none"/>
        </w:rPr>
      </w:pPr>
      <w:r>
        <w:rPr>
          <w:rFonts w:hint="eastAsia" w:cs="宋体"/>
          <w:szCs w:val="21"/>
          <w:highlight w:val="none"/>
          <w:lang w:bidi="ar"/>
        </w:rPr>
        <w:t>（</w:t>
      </w:r>
      <w:r>
        <w:rPr>
          <w:szCs w:val="21"/>
          <w:highlight w:val="none"/>
          <w:lang w:bidi="ar"/>
        </w:rPr>
        <w:t>6</w:t>
      </w:r>
      <w:r>
        <w:rPr>
          <w:rFonts w:hint="eastAsia" w:cs="宋体"/>
          <w:szCs w:val="21"/>
          <w:highlight w:val="none"/>
          <w:lang w:bidi="ar"/>
        </w:rPr>
        <w:t>）我方承诺未被列入</w:t>
      </w:r>
      <w:r>
        <w:rPr>
          <w:rFonts w:hint="eastAsia" w:ascii="宋体" w:hAnsi="宋体"/>
          <w:szCs w:val="21"/>
          <w:highlight w:val="none"/>
        </w:rPr>
        <w:t>失信被执行人、重大税收违法失信主体、政府采购严重违法失信行为记录名单</w:t>
      </w:r>
      <w:r>
        <w:rPr>
          <w:rFonts w:hint="eastAsia" w:cs="宋体"/>
          <w:szCs w:val="21"/>
          <w:highlight w:val="none"/>
          <w:lang w:bidi="ar"/>
        </w:rPr>
        <w:t>，如我方提供的声明不实，则接受本次投标作为否决投标的处理，并根据财库〔</w:t>
      </w:r>
      <w:r>
        <w:rPr>
          <w:szCs w:val="21"/>
          <w:highlight w:val="none"/>
          <w:lang w:bidi="ar"/>
        </w:rPr>
        <w:t>2016</w:t>
      </w:r>
      <w:r>
        <w:rPr>
          <w:rFonts w:hint="eastAsia" w:cs="宋体"/>
          <w:szCs w:val="21"/>
          <w:highlight w:val="none"/>
          <w:lang w:bidi="ar"/>
        </w:rPr>
        <w:t>〕</w:t>
      </w:r>
      <w:r>
        <w:rPr>
          <w:szCs w:val="21"/>
          <w:highlight w:val="none"/>
          <w:lang w:bidi="ar"/>
        </w:rPr>
        <w:t>125</w:t>
      </w:r>
      <w:r>
        <w:rPr>
          <w:rFonts w:hint="eastAsia" w:cs="宋体"/>
          <w:szCs w:val="21"/>
          <w:highlight w:val="none"/>
          <w:lang w:bidi="ar"/>
        </w:rPr>
        <w:t>号《财政部关于在政府采购活动中查询及使用信用记录有关问题的通知》规定接受失信联合惩戒。</w:t>
      </w:r>
    </w:p>
    <w:p>
      <w:pPr>
        <w:snapToGrid w:val="0"/>
        <w:spacing w:line="360" w:lineRule="auto"/>
        <w:ind w:firstLine="420" w:firstLineChars="200"/>
        <w:rPr>
          <w:szCs w:val="21"/>
          <w:highlight w:val="none"/>
        </w:rPr>
      </w:pPr>
      <w:r>
        <w:rPr>
          <w:rFonts w:hint="eastAsia" w:cs="宋体"/>
          <w:szCs w:val="21"/>
          <w:highlight w:val="none"/>
          <w:lang w:bidi="ar"/>
        </w:rPr>
        <w:t>（</w:t>
      </w:r>
      <w:r>
        <w:rPr>
          <w:szCs w:val="21"/>
          <w:highlight w:val="none"/>
          <w:lang w:bidi="ar"/>
        </w:rPr>
        <w:t>7</w:t>
      </w:r>
      <w:r>
        <w:rPr>
          <w:rFonts w:hint="eastAsia" w:cs="宋体"/>
          <w:szCs w:val="21"/>
          <w:highlight w:val="none"/>
          <w:lang w:bidi="ar"/>
        </w:rPr>
        <w:t>）我方承诺中标后按规定缴纳代理服务费。如未按时缴纳，贵方可不退还我方提交的投标保证金，并从中扣除代理服务费。</w:t>
      </w:r>
    </w:p>
    <w:p>
      <w:pPr>
        <w:snapToGrid w:val="0"/>
        <w:spacing w:line="360" w:lineRule="auto"/>
        <w:ind w:firstLine="420" w:firstLineChars="200"/>
        <w:rPr>
          <w:szCs w:val="21"/>
          <w:highlight w:val="none"/>
        </w:rPr>
      </w:pPr>
      <w:r>
        <w:rPr>
          <w:rFonts w:hint="eastAsia" w:cs="宋体"/>
          <w:szCs w:val="21"/>
          <w:highlight w:val="none"/>
          <w:lang w:bidi="ar"/>
        </w:rPr>
        <w:t>我方对以上声明负全部法律责任。如有虚假或隐瞒，我方愿意承担一切后果，并不再寻求任何旨在减轻或免除法律责任的辩解。</w:t>
      </w:r>
    </w:p>
    <w:p>
      <w:pPr>
        <w:snapToGrid w:val="0"/>
        <w:spacing w:before="165" w:beforeLines="50" w:line="360" w:lineRule="exact"/>
        <w:rPr>
          <w:szCs w:val="21"/>
          <w:highlight w:val="none"/>
          <w:u w:val="single"/>
        </w:rPr>
      </w:pPr>
    </w:p>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widowControl/>
        <w:jc w:val="left"/>
        <w:rPr>
          <w:szCs w:val="21"/>
          <w:highlight w:val="none"/>
        </w:rPr>
      </w:pPr>
      <w:r>
        <w:rPr>
          <w:szCs w:val="21"/>
          <w:highlight w:val="none"/>
          <w:lang w:bidi="ar"/>
        </w:rPr>
        <w:br w:type="page"/>
      </w:r>
    </w:p>
    <w:p>
      <w:pPr>
        <w:snapToGrid w:val="0"/>
        <w:spacing w:before="82" w:beforeLines="25" w:after="82" w:afterLines="25" w:line="360" w:lineRule="auto"/>
        <w:outlineLvl w:val="2"/>
        <w:rPr>
          <w:rFonts w:hint="eastAsia" w:ascii="宋体" w:hAnsi="宋体"/>
          <w:szCs w:val="21"/>
          <w:highlight w:val="none"/>
          <w:lang w:bidi="ar"/>
        </w:rPr>
      </w:pPr>
      <w:r>
        <w:rPr>
          <w:rFonts w:hint="eastAsia" w:ascii="宋体" w:hAnsi="宋体"/>
          <w:szCs w:val="21"/>
          <w:highlight w:val="none"/>
          <w:lang w:bidi="ar"/>
        </w:rPr>
        <w:t>7.投标保证金缴纳证明。（如招标文件有要求时提供）</w:t>
      </w:r>
    </w:p>
    <w:p>
      <w:pPr>
        <w:snapToGrid w:val="0"/>
        <w:spacing w:before="50" w:after="165" w:afterLines="50" w:line="440" w:lineRule="exact"/>
        <w:jc w:val="left"/>
        <w:rPr>
          <w:highlight w:val="none"/>
        </w:rPr>
      </w:pPr>
      <w:r>
        <w:rPr>
          <w:rFonts w:hint="eastAsia" w:cs="宋体"/>
          <w:highlight w:val="none"/>
          <w:lang w:bidi="ar"/>
        </w:rPr>
        <w:t>以转账、电汇形式缴纳的，提供转账、电汇凭证扫描件或复印件（网银可提供截图）加盖</w:t>
      </w:r>
      <w:r>
        <w:rPr>
          <w:rFonts w:hint="eastAsia" w:cs="宋体"/>
          <w:szCs w:val="21"/>
          <w:highlight w:val="none"/>
          <w:lang w:bidi="ar"/>
        </w:rPr>
        <w:t>供应商电子签章</w:t>
      </w:r>
      <w:r>
        <w:rPr>
          <w:rFonts w:hint="eastAsia" w:cs="宋体"/>
          <w:highlight w:val="none"/>
          <w:lang w:bidi="ar"/>
        </w:rPr>
        <w:t>；</w:t>
      </w:r>
    </w:p>
    <w:p>
      <w:pPr>
        <w:snapToGrid w:val="0"/>
        <w:spacing w:before="50" w:after="165" w:afterLines="50" w:line="440" w:lineRule="exact"/>
        <w:jc w:val="left"/>
        <w:rPr>
          <w:highlight w:val="none"/>
        </w:rPr>
      </w:pPr>
      <w:r>
        <w:rPr>
          <w:rFonts w:hint="eastAsia" w:cs="宋体"/>
          <w:highlight w:val="none"/>
          <w:lang w:bidi="ar"/>
        </w:rPr>
        <w:t>以其他非现金形式缴纳的，提供原件扫描件或复印件加盖</w:t>
      </w:r>
      <w:r>
        <w:rPr>
          <w:rFonts w:hint="eastAsia" w:cs="宋体"/>
          <w:szCs w:val="21"/>
          <w:highlight w:val="none"/>
          <w:lang w:bidi="ar"/>
        </w:rPr>
        <w:t>供应商电子签章</w:t>
      </w:r>
      <w:r>
        <w:rPr>
          <w:rFonts w:hint="eastAsia" w:cs="宋体"/>
          <w:highlight w:val="none"/>
          <w:lang w:bidi="ar"/>
        </w:rPr>
        <w:t>。</w:t>
      </w:r>
    </w:p>
    <w:p>
      <w:pPr>
        <w:widowControl/>
        <w:jc w:val="left"/>
        <w:rPr>
          <w:szCs w:val="21"/>
          <w:highlight w:val="none"/>
          <w:lang w:bidi="ar"/>
        </w:rPr>
      </w:pPr>
      <w:r>
        <w:rPr>
          <w:szCs w:val="21"/>
          <w:highlight w:val="none"/>
          <w:lang w:bidi="ar"/>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8.落实政府采购政策需满足的资格要求（本标项如为专门面向中小或小微企业采购的项目，必须提供中小企业声明函或者残疾人福利性单位声明函或者供应商属于监狱企业的证明材料）</w:t>
      </w:r>
    </w:p>
    <w:p>
      <w:pPr>
        <w:snapToGrid w:val="0"/>
        <w:spacing w:before="82" w:beforeLines="25" w:after="82" w:afterLines="25" w:line="360" w:lineRule="auto"/>
        <w:rPr>
          <w:rFonts w:hint="eastAsia" w:ascii="宋体" w:hAnsi="宋体"/>
          <w:b/>
          <w:bCs/>
          <w:szCs w:val="21"/>
          <w:highlight w:val="none"/>
          <w:lang w:bidi="ar"/>
        </w:rPr>
      </w:pPr>
      <w:r>
        <w:rPr>
          <w:rFonts w:hint="eastAsia" w:ascii="宋体" w:hAnsi="宋体"/>
          <w:b/>
          <w:bCs/>
          <w:szCs w:val="21"/>
          <w:highlight w:val="none"/>
          <w:lang w:bidi="ar"/>
        </w:rPr>
        <w:t>中小企业须符合本项目采购标的所属行业对应的中小企业划分标准</w:t>
      </w:r>
    </w:p>
    <w:p>
      <w:pPr>
        <w:spacing w:line="300" w:lineRule="auto"/>
        <w:jc w:val="center"/>
        <w:outlineLvl w:val="3"/>
        <w:rPr>
          <w:rFonts w:hint="eastAsia" w:ascii="宋体" w:hAnsi="宋体" w:cs="仿宋_GB2312"/>
          <w:sz w:val="32"/>
          <w:szCs w:val="32"/>
          <w:highlight w:val="none"/>
        </w:rPr>
      </w:pPr>
      <w:r>
        <w:rPr>
          <w:rFonts w:hint="eastAsia" w:ascii="宋体" w:hAnsi="宋体"/>
          <w:b/>
          <w:sz w:val="32"/>
          <w:szCs w:val="32"/>
          <w:highlight w:val="none"/>
        </w:rPr>
        <w:t>中小企业声明函</w:t>
      </w:r>
    </w:p>
    <w:p>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本公司(联合体)郑重声明，根据《政府采购促进中小企业发展管理办法》(财库( 2020 )46号)的规定，本公司(联合体)参加</w:t>
      </w:r>
      <w:r>
        <w:rPr>
          <w:rFonts w:hint="eastAsia" w:ascii="宋体" w:hAnsi="宋体" w:cs="仿宋_GB2312"/>
          <w:i/>
          <w:szCs w:val="21"/>
          <w:highlight w:val="none"/>
          <w:u w:val="single"/>
        </w:rPr>
        <w:t xml:space="preserve">(单位名称)  </w:t>
      </w:r>
      <w:r>
        <w:rPr>
          <w:rFonts w:hint="eastAsia" w:ascii="宋体" w:hAnsi="宋体" w:cs="仿宋_GB2312"/>
          <w:szCs w:val="21"/>
          <w:highlight w:val="none"/>
        </w:rPr>
        <w:t>的</w:t>
      </w:r>
      <w:r>
        <w:rPr>
          <w:rFonts w:hint="eastAsia" w:ascii="宋体" w:hAnsi="宋体" w:cs="仿宋_GB2312"/>
          <w:i/>
          <w:szCs w:val="21"/>
          <w:highlight w:val="none"/>
          <w:u w:val="single"/>
        </w:rPr>
        <w:t xml:space="preserve">(项目名称) （分标名称） </w:t>
      </w:r>
      <w:r>
        <w:rPr>
          <w:rFonts w:hint="eastAsia" w:ascii="宋体" w:hAnsi="宋体" w:cs="仿宋_GB2312"/>
          <w:szCs w:val="21"/>
          <w:highlight w:val="none"/>
        </w:rPr>
        <w:t>采购活动，提供的货物全部由符合政策要求的中小企业制造。相关企业(含联合体中的中小企业、签订分包意向协议的中小企业)的具体情况如下：</w:t>
      </w:r>
    </w:p>
    <w:p>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w:t>
      </w:r>
      <w:r>
        <w:rPr>
          <w:rFonts w:hint="eastAsia" w:ascii="宋体" w:hAnsi="宋体" w:cs="仿宋_GB2312"/>
          <w:szCs w:val="21"/>
          <w:highlight w:val="none"/>
          <w:u w:val="single"/>
        </w:rPr>
        <w:t xml:space="preserve">(标的名称)  </w:t>
      </w:r>
      <w:r>
        <w:rPr>
          <w:rFonts w:hint="eastAsia" w:ascii="宋体" w:hAnsi="宋体" w:cs="仿宋_GB2312"/>
          <w:szCs w:val="21"/>
          <w:highlight w:val="none"/>
        </w:rPr>
        <w:t>，属于</w:t>
      </w:r>
      <w:r>
        <w:rPr>
          <w:rFonts w:hint="eastAsia" w:ascii="宋体" w:hAnsi="宋体" w:cs="仿宋_GB2312"/>
          <w:szCs w:val="21"/>
          <w:highlight w:val="none"/>
          <w:u w:val="single"/>
        </w:rPr>
        <w:t xml:space="preserve">(招标文件中明确的所属行业)  </w:t>
      </w:r>
      <w:r>
        <w:rPr>
          <w:rFonts w:hint="eastAsia" w:ascii="宋体" w:hAnsi="宋体" w:cs="仿宋_GB2312"/>
          <w:szCs w:val="21"/>
          <w:highlight w:val="none"/>
        </w:rPr>
        <w:t>行业；制造商为</w:t>
      </w:r>
      <w:r>
        <w:rPr>
          <w:rFonts w:hint="eastAsia" w:ascii="宋体" w:hAnsi="宋体" w:cs="仿宋_GB2312"/>
          <w:szCs w:val="21"/>
          <w:highlight w:val="none"/>
          <w:u w:val="single"/>
        </w:rPr>
        <w:t>(企业名称)</w:t>
      </w:r>
      <w:r>
        <w:rPr>
          <w:rFonts w:hint="eastAsia" w:ascii="宋体" w:hAnsi="宋体" w:cs="仿宋_GB2312"/>
          <w:szCs w:val="21"/>
          <w:highlight w:val="none"/>
        </w:rPr>
        <w:t>，从业人员____人， 营业收入为___万元，资产总额为___万元，属于</w:t>
      </w:r>
      <w:r>
        <w:rPr>
          <w:rFonts w:hint="eastAsia" w:ascii="宋体" w:hAnsi="宋体" w:cs="仿宋_GB2312"/>
          <w:szCs w:val="21"/>
          <w:highlight w:val="none"/>
          <w:u w:val="single"/>
        </w:rPr>
        <w:t xml:space="preserve">(中型企业、小型企业、微型企业)  </w:t>
      </w:r>
      <w:r>
        <w:rPr>
          <w:rFonts w:hint="eastAsia" w:ascii="宋体" w:hAnsi="宋体" w:cs="仿宋_GB2312"/>
          <w:szCs w:val="21"/>
          <w:highlight w:val="none"/>
        </w:rPr>
        <w:t>；</w:t>
      </w:r>
    </w:p>
    <w:p>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2.</w:t>
      </w:r>
      <w:r>
        <w:rPr>
          <w:rFonts w:hint="eastAsia" w:ascii="宋体" w:hAnsi="宋体" w:cs="仿宋_GB2312"/>
          <w:szCs w:val="21"/>
          <w:highlight w:val="none"/>
          <w:u w:val="single"/>
        </w:rPr>
        <w:t xml:space="preserve">(标的名称)  </w:t>
      </w:r>
      <w:r>
        <w:rPr>
          <w:rFonts w:hint="eastAsia" w:ascii="宋体" w:hAnsi="宋体" w:cs="仿宋_GB2312"/>
          <w:szCs w:val="21"/>
          <w:highlight w:val="none"/>
        </w:rPr>
        <w:t xml:space="preserve"> ,属于</w:t>
      </w:r>
      <w:r>
        <w:rPr>
          <w:rFonts w:hint="eastAsia" w:ascii="宋体" w:hAnsi="宋体" w:cs="仿宋_GB2312"/>
          <w:szCs w:val="21"/>
          <w:highlight w:val="none"/>
          <w:u w:val="single"/>
        </w:rPr>
        <w:t xml:space="preserve">(招标文件中明确的所属行业)  </w:t>
      </w:r>
      <w:r>
        <w:rPr>
          <w:rFonts w:hint="eastAsia" w:ascii="宋体" w:hAnsi="宋体" w:cs="仿宋_GB2312"/>
          <w:szCs w:val="21"/>
          <w:highlight w:val="none"/>
        </w:rPr>
        <w:t>行业；制造商为</w:t>
      </w:r>
      <w:r>
        <w:rPr>
          <w:rFonts w:hint="eastAsia" w:ascii="宋体" w:hAnsi="宋体" w:cs="仿宋_GB2312"/>
          <w:szCs w:val="21"/>
          <w:highlight w:val="none"/>
          <w:u w:val="single"/>
        </w:rPr>
        <w:t>(企业名称)</w:t>
      </w:r>
      <w:r>
        <w:rPr>
          <w:rFonts w:hint="eastAsia" w:ascii="宋体" w:hAnsi="宋体" w:cs="仿宋_GB2312"/>
          <w:szCs w:val="21"/>
          <w:highlight w:val="none"/>
        </w:rPr>
        <w:t>，从业人员___人， 营业收入为___ 万元，资产总额为___万元，属于</w:t>
      </w:r>
      <w:r>
        <w:rPr>
          <w:rFonts w:hint="eastAsia" w:ascii="宋体" w:hAnsi="宋体" w:cs="仿宋_GB2312"/>
          <w:szCs w:val="21"/>
          <w:highlight w:val="none"/>
          <w:u w:val="single"/>
        </w:rPr>
        <w:t xml:space="preserve">(中型企业、小型企业、微型企业)  </w:t>
      </w:r>
      <w:r>
        <w:rPr>
          <w:rFonts w:hint="eastAsia" w:ascii="宋体" w:hAnsi="宋体" w:cs="仿宋_GB2312"/>
          <w:szCs w:val="21"/>
          <w:highlight w:val="none"/>
        </w:rPr>
        <w:t>；</w:t>
      </w:r>
    </w:p>
    <w:p>
      <w:pPr>
        <w:ind w:firstLine="420" w:firstLineChars="200"/>
        <w:rPr>
          <w:rFonts w:hint="eastAsia" w:ascii="宋体" w:hAnsi="宋体"/>
          <w:highlight w:val="none"/>
        </w:rPr>
      </w:pPr>
      <w:r>
        <w:rPr>
          <w:rFonts w:hint="eastAsia" w:ascii="宋体" w:hAnsi="宋体"/>
          <w:highlight w:val="none"/>
        </w:rPr>
        <w:t>……</w:t>
      </w:r>
    </w:p>
    <w:p>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本企业对.上述声明内容的真实性负责。如有虚假，将依法承担相应责任。</w:t>
      </w:r>
    </w:p>
    <w:p>
      <w:pPr>
        <w:spacing w:line="360" w:lineRule="auto"/>
        <w:rPr>
          <w:rFonts w:hint="eastAsia" w:ascii="宋体" w:hAnsi="宋体" w:cs="仿宋_GB2312"/>
          <w:szCs w:val="21"/>
          <w:highlight w:val="none"/>
        </w:rPr>
      </w:pPr>
    </w:p>
    <w:p>
      <w:pPr>
        <w:spacing w:line="360" w:lineRule="auto"/>
        <w:ind w:firstLine="3542" w:firstLineChars="1687"/>
        <w:jc w:val="left"/>
        <w:rPr>
          <w:rFonts w:hint="eastAsia" w:ascii="宋体" w:hAnsi="宋体" w:cs="仿宋_GB2312"/>
          <w:szCs w:val="21"/>
          <w:highlight w:val="none"/>
        </w:rPr>
      </w:pPr>
      <w:r>
        <w:rPr>
          <w:rFonts w:hint="eastAsia" w:ascii="宋体" w:hAnsi="宋体" w:cs="仿宋_GB2312"/>
          <w:szCs w:val="21"/>
          <w:highlight w:val="none"/>
        </w:rPr>
        <w:t xml:space="preserve">                 企业名称（公章或电子签章）：</w:t>
      </w:r>
    </w:p>
    <w:p>
      <w:pPr>
        <w:spacing w:line="360" w:lineRule="auto"/>
        <w:ind w:firstLine="6520" w:firstLineChars="3105"/>
        <w:jc w:val="center"/>
        <w:rPr>
          <w:rFonts w:hint="eastAsia" w:ascii="宋体" w:hAnsi="宋体" w:cs="仿宋_GB2312"/>
          <w:szCs w:val="21"/>
          <w:highlight w:val="none"/>
        </w:rPr>
      </w:pPr>
      <w:r>
        <w:rPr>
          <w:rFonts w:hint="eastAsia" w:ascii="宋体" w:hAnsi="宋体" w:cs="仿宋_GB2312"/>
          <w:szCs w:val="21"/>
          <w:highlight w:val="none"/>
        </w:rPr>
        <w:t xml:space="preserve">年 </w:t>
      </w:r>
      <w:r>
        <w:rPr>
          <w:rFonts w:ascii="宋体" w:hAnsi="宋体" w:cs="仿宋_GB2312"/>
          <w:szCs w:val="21"/>
          <w:highlight w:val="none"/>
        </w:rPr>
        <w:t xml:space="preserve">   </w:t>
      </w:r>
      <w:r>
        <w:rPr>
          <w:rFonts w:hint="eastAsia" w:ascii="宋体" w:hAnsi="宋体" w:cs="仿宋_GB2312"/>
          <w:szCs w:val="21"/>
          <w:highlight w:val="none"/>
        </w:rPr>
        <w:t xml:space="preserve">月 </w:t>
      </w:r>
      <w:r>
        <w:rPr>
          <w:rFonts w:ascii="宋体" w:hAnsi="宋体" w:cs="仿宋_GB2312"/>
          <w:szCs w:val="21"/>
          <w:highlight w:val="none"/>
        </w:rPr>
        <w:t xml:space="preserve">   </w:t>
      </w:r>
      <w:r>
        <w:rPr>
          <w:rFonts w:hint="eastAsia" w:ascii="宋体" w:hAnsi="宋体" w:cs="仿宋_GB2312"/>
          <w:szCs w:val="21"/>
          <w:highlight w:val="none"/>
        </w:rPr>
        <w:t>日</w:t>
      </w:r>
    </w:p>
    <w:p>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注：</w:t>
      </w:r>
    </w:p>
    <w:p>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（1）请根据自己的真实情况出具《中小企业声明函》。依法享受中小企业优惠政策的，采购人或者采购代理机构在公告成交结果时，同时公告其《中小企业声明函》，接受社会监督。</w:t>
      </w:r>
    </w:p>
    <w:p>
      <w:pPr>
        <w:spacing w:line="360" w:lineRule="auto"/>
        <w:ind w:firstLine="420" w:firstLineChars="200"/>
        <w:rPr>
          <w:rFonts w:hint="eastAsia" w:ascii="宋体" w:hAnsi="宋体"/>
          <w:highlight w:val="none"/>
        </w:rPr>
      </w:pPr>
      <w:r>
        <w:rPr>
          <w:rFonts w:hint="eastAsia" w:ascii="宋体" w:hAnsi="宋体"/>
          <w:highlight w:val="none"/>
        </w:rPr>
        <w:t>（2）从业人员、营业收入、资产总额填报上一年度数据，无上一年度数据的新成立企业可不填报。</w:t>
      </w:r>
      <w:r>
        <w:rPr>
          <w:rFonts w:ascii="宋体" w:hAnsi="宋体"/>
          <w:b/>
          <w:szCs w:val="21"/>
          <w:highlight w:val="none"/>
        </w:rPr>
        <w:br w:type="page"/>
      </w:r>
    </w:p>
    <w:p>
      <w:pPr>
        <w:snapToGrid w:val="0"/>
        <w:spacing w:before="165" w:beforeLines="50" w:after="331" w:afterLines="100"/>
        <w:jc w:val="center"/>
        <w:outlineLvl w:val="3"/>
        <w:rPr>
          <w:rFonts w:hint="eastAsia" w:ascii="宋体" w:hAnsi="宋体" w:cs="仿宋_GB2312"/>
          <w:szCs w:val="21"/>
          <w:highlight w:val="none"/>
        </w:rPr>
      </w:pPr>
      <w:r>
        <w:rPr>
          <w:rFonts w:hint="eastAsia" w:ascii="宋体" w:hAnsi="宋体"/>
          <w:b/>
          <w:szCs w:val="21"/>
          <w:highlight w:val="none"/>
        </w:rPr>
        <w:t>残疾人福利性单位声明函</w:t>
      </w:r>
    </w:p>
    <w:p>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Cs w:val="21"/>
          <w:highlight w:val="none"/>
          <w:u w:val="single"/>
        </w:rPr>
        <w:t xml:space="preserve">       </w:t>
      </w:r>
      <w:r>
        <w:rPr>
          <w:rFonts w:hint="eastAsia" w:ascii="宋体" w:hAnsi="宋体" w:cs="仿宋_GB2312"/>
          <w:szCs w:val="21"/>
          <w:highlight w:val="none"/>
        </w:rPr>
        <w:t>单位的</w:t>
      </w:r>
      <w:r>
        <w:rPr>
          <w:rFonts w:hint="eastAsia" w:ascii="宋体" w:hAnsi="宋体" w:cs="仿宋_GB2312"/>
          <w:szCs w:val="21"/>
          <w:highlight w:val="none"/>
          <w:u w:val="single"/>
        </w:rPr>
        <w:t xml:space="preserve">    </w:t>
      </w:r>
      <w:r>
        <w:rPr>
          <w:rFonts w:hint="eastAsia" w:ascii="宋体" w:hAnsi="宋体"/>
          <w:kern w:val="0"/>
          <w:szCs w:val="21"/>
          <w:highlight w:val="none"/>
          <w:u w:val="single"/>
        </w:rPr>
        <w:t>（项目名称、分标名称）</w:t>
      </w:r>
      <w:r>
        <w:rPr>
          <w:rFonts w:hint="eastAsia" w:ascii="宋体" w:hAnsi="宋体" w:cs="仿宋_GB2312"/>
          <w:szCs w:val="21"/>
          <w:highlight w:val="none"/>
          <w:u w:val="single"/>
        </w:rPr>
        <w:t xml:space="preserve">    </w:t>
      </w:r>
      <w:r>
        <w:rPr>
          <w:rFonts w:hint="eastAsia" w:ascii="宋体" w:hAnsi="宋体" w:cs="仿宋_GB2312"/>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本单位对上述声明的真实性负责。如有虚假，将依法承担相应责任。</w:t>
      </w:r>
    </w:p>
    <w:p>
      <w:pPr>
        <w:spacing w:line="360" w:lineRule="auto"/>
        <w:ind w:firstLine="2100" w:firstLineChars="1000"/>
        <w:jc w:val="right"/>
        <w:rPr>
          <w:rFonts w:hint="eastAsia" w:ascii="宋体" w:hAnsi="宋体" w:cs="仿宋_GB2312"/>
          <w:szCs w:val="21"/>
          <w:highlight w:val="none"/>
        </w:rPr>
      </w:pPr>
      <w:r>
        <w:rPr>
          <w:rFonts w:hint="eastAsia" w:ascii="宋体" w:hAnsi="宋体" w:cs="仿宋_GB2312"/>
          <w:szCs w:val="21"/>
          <w:highlight w:val="none"/>
        </w:rPr>
        <w:t>企业名称（公章或电子签章）：</w:t>
      </w:r>
    </w:p>
    <w:p>
      <w:pPr>
        <w:spacing w:line="360" w:lineRule="auto"/>
        <w:ind w:firstLine="3150" w:firstLineChars="1500"/>
        <w:jc w:val="right"/>
        <w:rPr>
          <w:rFonts w:hint="eastAsia" w:ascii="宋体" w:hAnsi="宋体" w:cs="仿宋_GB2312"/>
          <w:szCs w:val="21"/>
          <w:highlight w:val="none"/>
        </w:rPr>
      </w:pPr>
      <w:r>
        <w:rPr>
          <w:rFonts w:hint="eastAsia" w:ascii="宋体" w:hAnsi="宋体" w:cs="仿宋_GB2312"/>
          <w:szCs w:val="21"/>
          <w:highlight w:val="none"/>
        </w:rPr>
        <w:t>日  期：</w:t>
      </w:r>
    </w:p>
    <w:p>
      <w:pPr>
        <w:spacing w:line="360" w:lineRule="auto"/>
        <w:rPr>
          <w:rFonts w:hint="eastAsia" w:ascii="宋体" w:hAnsi="宋体" w:cs="仿宋_GB2312"/>
          <w:szCs w:val="21"/>
          <w:highlight w:val="none"/>
        </w:rPr>
      </w:pPr>
      <w:r>
        <w:rPr>
          <w:rFonts w:hint="eastAsia" w:ascii="宋体" w:hAnsi="宋体" w:cs="仿宋_GB2312"/>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pPr>
        <w:widowControl/>
        <w:jc w:val="left"/>
        <w:rPr>
          <w:rFonts w:hint="eastAsia" w:ascii="宋体" w:hAnsi="宋体" w:cs="仿宋_GB2312"/>
          <w:szCs w:val="21"/>
          <w:highlight w:val="none"/>
        </w:rPr>
      </w:pPr>
      <w:r>
        <w:rPr>
          <w:rFonts w:ascii="宋体" w:hAnsi="宋体" w:cs="仿宋_GB2312"/>
          <w:szCs w:val="21"/>
          <w:highlight w:val="none"/>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9.供应商认为应当要提交的其他资格证明材料。</w:t>
      </w:r>
    </w:p>
    <w:p>
      <w:pPr>
        <w:widowControl/>
        <w:jc w:val="left"/>
        <w:rPr>
          <w:szCs w:val="21"/>
          <w:highlight w:val="none"/>
          <w:lang w:bidi="ar"/>
        </w:rPr>
      </w:pPr>
      <w:bookmarkStart w:id="252" w:name="_Hlk93048308"/>
      <w:r>
        <w:rPr>
          <w:szCs w:val="21"/>
          <w:highlight w:val="none"/>
          <w:lang w:bidi="ar"/>
        </w:rPr>
        <w:br w:type="page"/>
      </w:r>
    </w:p>
    <w:bookmarkEnd w:id="248"/>
    <w:bookmarkEnd w:id="252"/>
    <w:p>
      <w:pPr>
        <w:snapToGrid w:val="0"/>
        <w:spacing w:before="165" w:beforeLines="50" w:after="50" w:line="440" w:lineRule="exact"/>
        <w:jc w:val="left"/>
        <w:outlineLvl w:val="1"/>
        <w:rPr>
          <w:bCs/>
          <w:sz w:val="24"/>
          <w:highlight w:val="none"/>
        </w:rPr>
      </w:pPr>
      <w:r>
        <w:rPr>
          <w:rFonts w:hint="eastAsia"/>
          <w:bCs/>
          <w:sz w:val="24"/>
          <w:highlight w:val="none"/>
          <w:lang w:bidi="ar"/>
        </w:rPr>
        <w:t>二、</w:t>
      </w:r>
      <w:r>
        <w:rPr>
          <w:rFonts w:hint="eastAsia" w:cs="宋体"/>
          <w:bCs/>
          <w:sz w:val="24"/>
          <w:highlight w:val="none"/>
          <w:lang w:bidi="ar"/>
        </w:rPr>
        <w:t>投标文件封面参考格式（商务技术文件）</w:t>
      </w:r>
    </w:p>
    <w:p>
      <w:pPr>
        <w:snapToGrid w:val="0"/>
        <w:spacing w:before="50" w:after="165" w:afterLines="50" w:line="400" w:lineRule="exact"/>
        <w:jc w:val="left"/>
        <w:rPr>
          <w:bCs/>
          <w:sz w:val="24"/>
          <w:highlight w:val="none"/>
        </w:rPr>
      </w:pPr>
    </w:p>
    <w:p>
      <w:pPr>
        <w:snapToGrid w:val="0"/>
        <w:spacing w:before="165" w:beforeLines="50" w:after="50" w:line="360" w:lineRule="exact"/>
        <w:rPr>
          <w:sz w:val="24"/>
          <w:highlight w:val="none"/>
        </w:rPr>
      </w:pPr>
    </w:p>
    <w:p>
      <w:pPr>
        <w:snapToGrid w:val="0"/>
        <w:spacing w:before="165" w:beforeLines="50" w:after="50" w:line="360" w:lineRule="exact"/>
        <w:jc w:val="center"/>
        <w:rPr>
          <w:bCs/>
          <w:sz w:val="24"/>
          <w:highlight w:val="none"/>
        </w:rPr>
      </w:pPr>
    </w:p>
    <w:p>
      <w:pPr>
        <w:snapToGrid w:val="0"/>
        <w:spacing w:before="165" w:beforeLines="50" w:after="50" w:line="360" w:lineRule="exact"/>
        <w:jc w:val="center"/>
        <w:rPr>
          <w:b/>
          <w:bCs/>
          <w:sz w:val="44"/>
          <w:szCs w:val="44"/>
          <w:highlight w:val="none"/>
        </w:rPr>
      </w:pPr>
      <w:r>
        <w:rPr>
          <w:rFonts w:hint="eastAsia" w:cs="宋体"/>
          <w:b/>
          <w:bCs/>
          <w:sz w:val="44"/>
          <w:szCs w:val="44"/>
          <w:highlight w:val="none"/>
          <w:lang w:bidi="ar"/>
        </w:rPr>
        <w:t>电子投标文件</w:t>
      </w:r>
    </w:p>
    <w:p>
      <w:pPr>
        <w:snapToGrid w:val="0"/>
        <w:spacing w:before="165" w:beforeLines="50" w:after="50" w:line="360" w:lineRule="exact"/>
        <w:jc w:val="center"/>
        <w:rPr>
          <w:b/>
          <w:bCs/>
          <w:sz w:val="44"/>
          <w:szCs w:val="44"/>
          <w:highlight w:val="none"/>
        </w:rPr>
      </w:pPr>
    </w:p>
    <w:p>
      <w:pPr>
        <w:snapToGrid w:val="0"/>
        <w:spacing w:before="165" w:beforeLines="50" w:after="50" w:line="360" w:lineRule="exact"/>
        <w:jc w:val="center"/>
        <w:rPr>
          <w:b/>
          <w:bCs/>
          <w:sz w:val="44"/>
          <w:szCs w:val="44"/>
          <w:highlight w:val="none"/>
        </w:rPr>
      </w:pPr>
    </w:p>
    <w:p>
      <w:pPr>
        <w:snapToGrid w:val="0"/>
        <w:spacing w:before="165" w:beforeLines="50" w:after="50" w:line="360" w:lineRule="exact"/>
        <w:jc w:val="center"/>
        <w:rPr>
          <w:b/>
          <w:bCs/>
          <w:sz w:val="44"/>
          <w:szCs w:val="44"/>
          <w:highlight w:val="none"/>
        </w:rPr>
      </w:pPr>
      <w:r>
        <w:rPr>
          <w:b/>
          <w:bCs/>
          <w:sz w:val="44"/>
          <w:szCs w:val="44"/>
          <w:highlight w:val="none"/>
          <w:lang w:bidi="ar"/>
        </w:rPr>
        <w:t xml:space="preserve"> </w:t>
      </w:r>
      <w:r>
        <w:rPr>
          <w:rFonts w:hint="eastAsia" w:cs="宋体"/>
          <w:b/>
          <w:bCs/>
          <w:sz w:val="44"/>
          <w:szCs w:val="44"/>
          <w:highlight w:val="none"/>
          <w:lang w:bidi="ar"/>
        </w:rPr>
        <w:t>商务技术文件</w:t>
      </w:r>
    </w:p>
    <w:p>
      <w:pPr>
        <w:snapToGrid w:val="0"/>
        <w:spacing w:before="165" w:beforeLines="50" w:after="50" w:line="360" w:lineRule="exact"/>
        <w:rPr>
          <w:bCs/>
          <w:sz w:val="24"/>
          <w:highlight w:val="none"/>
        </w:rPr>
      </w:pPr>
    </w:p>
    <w:p>
      <w:pPr>
        <w:snapToGrid w:val="0"/>
        <w:spacing w:before="165" w:beforeLines="50" w:after="50" w:line="360" w:lineRule="exact"/>
        <w:rPr>
          <w:bCs/>
          <w:sz w:val="24"/>
          <w:highlight w:val="none"/>
        </w:rPr>
      </w:pPr>
    </w:p>
    <w:p>
      <w:pPr>
        <w:snapToGrid w:val="0"/>
        <w:spacing w:before="165" w:beforeLines="50" w:after="50" w:line="360" w:lineRule="exact"/>
        <w:rPr>
          <w:bCs/>
          <w:sz w:val="24"/>
          <w:highlight w:val="none"/>
        </w:rPr>
      </w:pPr>
    </w:p>
    <w:p>
      <w:pPr>
        <w:snapToGrid w:val="0"/>
        <w:spacing w:before="165" w:beforeLines="50" w:after="50" w:line="360" w:lineRule="exact"/>
        <w:ind w:firstLine="720" w:firstLineChars="300"/>
        <w:rPr>
          <w:bCs/>
          <w:sz w:val="24"/>
          <w:highlight w:val="none"/>
        </w:rPr>
      </w:pPr>
      <w:r>
        <w:rPr>
          <w:rFonts w:hint="eastAsia" w:cs="宋体"/>
          <w:bCs/>
          <w:sz w:val="24"/>
          <w:highlight w:val="none"/>
          <w:lang w:bidi="ar"/>
        </w:rPr>
        <w:t>项目名称：</w:t>
      </w:r>
      <w:r>
        <w:rPr>
          <w:bCs/>
          <w:sz w:val="24"/>
          <w:highlight w:val="none"/>
          <w:lang w:bidi="ar"/>
        </w:rPr>
        <w:t xml:space="preserve"> </w:t>
      </w:r>
    </w:p>
    <w:p>
      <w:pPr>
        <w:snapToGrid w:val="0"/>
        <w:spacing w:before="165" w:beforeLines="50" w:after="50" w:line="360" w:lineRule="exact"/>
        <w:ind w:firstLine="720" w:firstLineChars="300"/>
        <w:rPr>
          <w:bCs/>
          <w:sz w:val="24"/>
          <w:highlight w:val="none"/>
        </w:rPr>
      </w:pPr>
      <w:r>
        <w:rPr>
          <w:rFonts w:hint="eastAsia" w:cs="宋体"/>
          <w:bCs/>
          <w:sz w:val="24"/>
          <w:highlight w:val="none"/>
          <w:lang w:bidi="ar"/>
        </w:rPr>
        <w:t>项目编号：</w:t>
      </w:r>
    </w:p>
    <w:p>
      <w:pPr>
        <w:snapToGrid w:val="0"/>
        <w:spacing w:before="165" w:beforeLines="50" w:after="50" w:line="360" w:lineRule="exact"/>
        <w:ind w:firstLine="720" w:firstLineChars="300"/>
        <w:rPr>
          <w:bCs/>
          <w:sz w:val="24"/>
          <w:highlight w:val="none"/>
        </w:rPr>
      </w:pPr>
      <w:r>
        <w:rPr>
          <w:rFonts w:hint="eastAsia" w:cs="宋体"/>
          <w:bCs/>
          <w:sz w:val="24"/>
          <w:highlight w:val="none"/>
          <w:lang w:bidi="ar"/>
        </w:rPr>
        <w:t>分标名称：（若无留空或写</w:t>
      </w:r>
      <w:r>
        <w:rPr>
          <w:bCs/>
          <w:sz w:val="24"/>
          <w:highlight w:val="none"/>
          <w:lang w:bidi="ar"/>
        </w:rPr>
        <w:t>“/”</w:t>
      </w:r>
      <w:r>
        <w:rPr>
          <w:rFonts w:hint="eastAsia" w:cs="宋体"/>
          <w:bCs/>
          <w:sz w:val="24"/>
          <w:highlight w:val="none"/>
          <w:lang w:bidi="ar"/>
        </w:rPr>
        <w:t>）</w:t>
      </w:r>
    </w:p>
    <w:p>
      <w:pPr>
        <w:snapToGrid w:val="0"/>
        <w:spacing w:before="165" w:beforeLines="50" w:after="50" w:line="360" w:lineRule="exact"/>
        <w:ind w:firstLine="720" w:firstLineChars="300"/>
        <w:rPr>
          <w:bCs/>
          <w:sz w:val="24"/>
          <w:highlight w:val="none"/>
        </w:rPr>
      </w:pPr>
      <w:r>
        <w:rPr>
          <w:rFonts w:hint="eastAsia" w:cs="宋体"/>
          <w:bCs/>
          <w:sz w:val="24"/>
          <w:highlight w:val="none"/>
          <w:lang w:bidi="ar"/>
        </w:rPr>
        <w:t>供应商名称：</w:t>
      </w:r>
    </w:p>
    <w:p>
      <w:pPr>
        <w:snapToGrid w:val="0"/>
        <w:spacing w:before="165" w:beforeLines="50" w:after="50" w:line="360" w:lineRule="exact"/>
        <w:ind w:firstLine="720" w:firstLineChars="300"/>
        <w:rPr>
          <w:bCs/>
          <w:sz w:val="24"/>
          <w:highlight w:val="none"/>
        </w:rPr>
      </w:pPr>
      <w:r>
        <w:rPr>
          <w:rFonts w:hint="eastAsia" w:cs="宋体"/>
          <w:bCs/>
          <w:sz w:val="24"/>
          <w:highlight w:val="none"/>
          <w:lang w:bidi="ar"/>
        </w:rPr>
        <w:t>供应商地址：</w:t>
      </w:r>
    </w:p>
    <w:p>
      <w:pPr>
        <w:snapToGrid w:val="0"/>
        <w:spacing w:before="165" w:beforeLines="50" w:after="50" w:line="360" w:lineRule="exact"/>
        <w:ind w:firstLine="720" w:firstLineChars="300"/>
        <w:rPr>
          <w:bCs/>
          <w:sz w:val="24"/>
          <w:highlight w:val="none"/>
        </w:rPr>
      </w:pPr>
    </w:p>
    <w:p>
      <w:pPr>
        <w:pStyle w:val="49"/>
        <w:widowControl w:val="0"/>
        <w:snapToGrid w:val="0"/>
        <w:spacing w:before="50" w:beforeAutospacing="0" w:after="50" w:afterAutospacing="0" w:line="360" w:lineRule="exact"/>
        <w:ind w:left="1260" w:firstLine="960" w:firstLineChars="400"/>
        <w:jc w:val="both"/>
        <w:rPr>
          <w:rFonts w:hint="eastAsia"/>
          <w:bCs/>
          <w:highlight w:val="none"/>
        </w:rPr>
      </w:pPr>
    </w:p>
    <w:p>
      <w:pPr>
        <w:snapToGrid w:val="0"/>
        <w:spacing w:before="165" w:beforeLines="50" w:after="50" w:line="360" w:lineRule="exact"/>
        <w:jc w:val="center"/>
        <w:rPr>
          <w:sz w:val="24"/>
          <w:highlight w:val="none"/>
        </w:rPr>
      </w:pPr>
      <w:r>
        <w:rPr>
          <w:sz w:val="24"/>
          <w:highlight w:val="none"/>
          <w:lang w:bidi="ar"/>
        </w:rPr>
        <w:t xml:space="preserve">                        </w:t>
      </w:r>
      <w:r>
        <w:rPr>
          <w:rFonts w:hint="eastAsia" w:cs="宋体"/>
          <w:sz w:val="24"/>
          <w:highlight w:val="none"/>
          <w:lang w:bidi="ar"/>
        </w:rPr>
        <w:t>年</w:t>
      </w:r>
      <w:r>
        <w:rPr>
          <w:sz w:val="24"/>
          <w:highlight w:val="none"/>
          <w:lang w:bidi="ar"/>
        </w:rPr>
        <w:t xml:space="preserve">  </w:t>
      </w:r>
      <w:r>
        <w:rPr>
          <w:rFonts w:hint="eastAsia" w:cs="宋体"/>
          <w:sz w:val="24"/>
          <w:highlight w:val="none"/>
          <w:lang w:bidi="ar"/>
        </w:rPr>
        <w:t>月</w:t>
      </w:r>
      <w:r>
        <w:rPr>
          <w:sz w:val="24"/>
          <w:highlight w:val="none"/>
          <w:lang w:bidi="ar"/>
        </w:rPr>
        <w:t xml:space="preserve">  </w:t>
      </w:r>
      <w:r>
        <w:rPr>
          <w:rFonts w:hint="eastAsia" w:cs="宋体"/>
          <w:sz w:val="24"/>
          <w:highlight w:val="none"/>
          <w:lang w:bidi="ar"/>
        </w:rPr>
        <w:t>日</w:t>
      </w:r>
    </w:p>
    <w:p>
      <w:pPr>
        <w:rPr>
          <w:highlight w:val="none"/>
        </w:rPr>
      </w:pPr>
      <w:r>
        <w:rPr>
          <w:highlight w:val="none"/>
          <w:lang w:bidi="ar"/>
        </w:rPr>
        <w:br w:type="page"/>
      </w:r>
    </w:p>
    <w:p>
      <w:pPr>
        <w:jc w:val="center"/>
        <w:outlineLvl w:val="2"/>
        <w:rPr>
          <w:rFonts w:cs="宋体"/>
          <w:b/>
          <w:sz w:val="36"/>
          <w:szCs w:val="36"/>
          <w:highlight w:val="none"/>
          <w:lang w:bidi="ar"/>
        </w:rPr>
      </w:pPr>
      <w:r>
        <w:rPr>
          <w:rFonts w:hint="eastAsia" w:cs="宋体"/>
          <w:b/>
          <w:sz w:val="36"/>
          <w:szCs w:val="36"/>
          <w:highlight w:val="none"/>
          <w:lang w:bidi="ar"/>
        </w:rPr>
        <w:t>目录</w:t>
      </w:r>
    </w:p>
    <w:p>
      <w:pPr>
        <w:snapToGrid w:val="0"/>
        <w:spacing w:line="360" w:lineRule="auto"/>
        <w:jc w:val="center"/>
        <w:rPr>
          <w:rFonts w:hint="eastAsia" w:ascii="宋体" w:hAnsi="宋体" w:cs="宋体"/>
          <w:b/>
          <w:szCs w:val="21"/>
          <w:highlight w:val="none"/>
        </w:rPr>
      </w:pPr>
      <w:r>
        <w:rPr>
          <w:rFonts w:hint="eastAsia" w:ascii="宋体" w:hAnsi="宋体" w:cs="宋体"/>
          <w:b/>
          <w:szCs w:val="21"/>
          <w:highlight w:val="none"/>
        </w:rPr>
        <w:t>（可根据投标人实际情况调整目录）</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一、法定代表人身份证明及法定代表人有效身份证正反面扫描件…………………（页码）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二、法定代表人授权委托书（如有委托时）…………………………………………（页码）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三、无串通投标行为的承诺函…………………………………………………………（页码）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四、商务条款偏离表……………………………………………………………………（页码）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五、投标人类似业绩的证明文件………………………………………………………（页码）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六、项目实施人员一览表………………………………………………………………（页码）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七、企业证书……………………………………………………………………………（页码）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八、技术条款偏离表……………………………………………………………………（页码）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九、货物或产品配置清单………………………………………………………………（页码）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十、技术要求（指标）响应正偏离相关证明材料……………………………………（页码）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十一、技术方案……………………………………………………………………</w:t>
      </w:r>
      <w:bookmarkStart w:id="253" w:name="OLE_LINK61"/>
      <w:r>
        <w:rPr>
          <w:rFonts w:hint="eastAsia" w:ascii="宋体" w:hAnsi="宋体" w:cs="宋体"/>
          <w:szCs w:val="21"/>
          <w:highlight w:val="none"/>
        </w:rPr>
        <w:t>…</w:t>
      </w:r>
      <w:bookmarkEnd w:id="253"/>
      <w:r>
        <w:rPr>
          <w:rFonts w:hint="eastAsia" w:ascii="宋体" w:hAnsi="宋体" w:cs="宋体"/>
          <w:szCs w:val="21"/>
          <w:highlight w:val="none"/>
        </w:rPr>
        <w:t>…（页码）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十二、项目实施方案……………………………………………………………………（页码）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十三、售后服务方案……………………………………………………………………（页码）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十四、培训方案…………………………………………………………………………（页码）</w:t>
      </w:r>
    </w:p>
    <w:p>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十五、供应商需要说明的其他商务技术文件和说明…………………………………（页码）</w:t>
      </w:r>
    </w:p>
    <w:p>
      <w:pPr>
        <w:widowControl/>
        <w:jc w:val="left"/>
        <w:rPr>
          <w:b/>
          <w:szCs w:val="21"/>
          <w:highlight w:val="none"/>
          <w:lang w:bidi="ar"/>
        </w:rPr>
      </w:pPr>
      <w:bookmarkStart w:id="254" w:name="_Toc462223472"/>
      <w:bookmarkStart w:id="255" w:name="_Toc455309222"/>
      <w:bookmarkStart w:id="256" w:name="_Toc462320613"/>
      <w:bookmarkStart w:id="257" w:name="_Hlk19114325"/>
      <w:r>
        <w:rPr>
          <w:b/>
          <w:szCs w:val="21"/>
          <w:highlight w:val="none"/>
          <w:lang w:bidi="ar"/>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1.法定代表人身份证明（无授权代表时必须提供）</w:t>
      </w:r>
    </w:p>
    <w:p>
      <w:pPr>
        <w:snapToGrid w:val="0"/>
        <w:spacing w:before="165" w:beforeLines="50" w:after="50" w:line="440" w:lineRule="exact"/>
        <w:jc w:val="center"/>
        <w:rPr>
          <w:b/>
          <w:szCs w:val="21"/>
          <w:highlight w:val="none"/>
        </w:rPr>
      </w:pPr>
      <w:r>
        <w:rPr>
          <w:rFonts w:hint="eastAsia" w:cs="宋体"/>
          <w:b/>
          <w:szCs w:val="21"/>
          <w:highlight w:val="none"/>
          <w:lang w:bidi="ar"/>
        </w:rPr>
        <w:t>法定代表人身份证明</w:t>
      </w:r>
      <w:bookmarkEnd w:id="254"/>
      <w:bookmarkEnd w:id="255"/>
      <w:bookmarkEnd w:id="256"/>
    </w:p>
    <w:p>
      <w:pPr>
        <w:spacing w:line="540" w:lineRule="exact"/>
        <w:rPr>
          <w:szCs w:val="21"/>
          <w:highlight w:val="none"/>
        </w:rPr>
      </w:pPr>
      <w:r>
        <w:rPr>
          <w:rFonts w:hint="eastAsia" w:cs="宋体"/>
          <w:szCs w:val="21"/>
          <w:highlight w:val="none"/>
          <w:lang w:bidi="ar"/>
        </w:rPr>
        <w:t>供应商名称：</w:t>
      </w:r>
      <w:r>
        <w:rPr>
          <w:szCs w:val="21"/>
          <w:highlight w:val="none"/>
          <w:u w:val="single"/>
          <w:lang w:bidi="ar"/>
        </w:rPr>
        <w:t xml:space="preserve">                                         </w:t>
      </w:r>
    </w:p>
    <w:p>
      <w:pPr>
        <w:spacing w:line="540" w:lineRule="exact"/>
        <w:rPr>
          <w:szCs w:val="21"/>
          <w:highlight w:val="none"/>
        </w:rPr>
      </w:pPr>
      <w:r>
        <w:rPr>
          <w:rFonts w:hint="eastAsia" w:cs="宋体"/>
          <w:szCs w:val="21"/>
          <w:highlight w:val="none"/>
          <w:lang w:bidi="ar"/>
        </w:rPr>
        <w:t>单位性质：</w:t>
      </w:r>
      <w:r>
        <w:rPr>
          <w:szCs w:val="21"/>
          <w:highlight w:val="none"/>
          <w:u w:val="single"/>
          <w:lang w:bidi="ar"/>
        </w:rPr>
        <w:t xml:space="preserve">                                           </w:t>
      </w:r>
    </w:p>
    <w:p>
      <w:pPr>
        <w:spacing w:line="540" w:lineRule="exact"/>
        <w:rPr>
          <w:szCs w:val="21"/>
          <w:highlight w:val="none"/>
        </w:rPr>
      </w:pPr>
      <w:r>
        <w:rPr>
          <w:rFonts w:hint="eastAsia" w:cs="宋体"/>
          <w:szCs w:val="21"/>
          <w:highlight w:val="none"/>
          <w:lang w:bidi="ar"/>
        </w:rPr>
        <w:t>地址：</w:t>
      </w:r>
      <w:r>
        <w:rPr>
          <w:szCs w:val="21"/>
          <w:highlight w:val="none"/>
          <w:u w:val="single"/>
          <w:lang w:bidi="ar"/>
        </w:rPr>
        <w:t xml:space="preserve">                                               </w:t>
      </w:r>
    </w:p>
    <w:p>
      <w:pPr>
        <w:spacing w:line="540" w:lineRule="exact"/>
        <w:rPr>
          <w:szCs w:val="21"/>
          <w:highlight w:val="none"/>
          <w:u w:val="single"/>
        </w:rPr>
      </w:pPr>
      <w:r>
        <w:rPr>
          <w:rFonts w:hint="eastAsia" w:cs="宋体"/>
          <w:szCs w:val="21"/>
          <w:highlight w:val="none"/>
          <w:lang w:bidi="ar"/>
        </w:rPr>
        <w:t>成立时间：</w:t>
      </w:r>
      <w:r>
        <w:rPr>
          <w:szCs w:val="21"/>
          <w:highlight w:val="none"/>
          <w:u w:val="single"/>
          <w:lang w:bidi="ar"/>
        </w:rPr>
        <w:t xml:space="preserve">          </w:t>
      </w:r>
      <w:r>
        <w:rPr>
          <w:rFonts w:hint="eastAsia" w:cs="宋体"/>
          <w:szCs w:val="21"/>
          <w:highlight w:val="none"/>
          <w:u w:val="single"/>
          <w:lang w:bidi="ar"/>
        </w:rPr>
        <w:t>年</w:t>
      </w:r>
      <w:r>
        <w:rPr>
          <w:szCs w:val="21"/>
          <w:highlight w:val="none"/>
          <w:u w:val="single"/>
          <w:lang w:bidi="ar"/>
        </w:rPr>
        <w:t xml:space="preserve">        </w:t>
      </w:r>
      <w:r>
        <w:rPr>
          <w:rFonts w:hint="eastAsia" w:cs="宋体"/>
          <w:szCs w:val="21"/>
          <w:highlight w:val="none"/>
          <w:u w:val="single"/>
          <w:lang w:bidi="ar"/>
        </w:rPr>
        <w:t>月</w:t>
      </w:r>
      <w:r>
        <w:rPr>
          <w:szCs w:val="21"/>
          <w:highlight w:val="none"/>
          <w:u w:val="single"/>
          <w:lang w:bidi="ar"/>
        </w:rPr>
        <w:t xml:space="preserve">        </w:t>
      </w:r>
      <w:r>
        <w:rPr>
          <w:rFonts w:hint="eastAsia" w:cs="宋体"/>
          <w:szCs w:val="21"/>
          <w:highlight w:val="none"/>
          <w:u w:val="single"/>
          <w:lang w:bidi="ar"/>
        </w:rPr>
        <w:t>日</w:t>
      </w:r>
    </w:p>
    <w:p>
      <w:pPr>
        <w:spacing w:line="540" w:lineRule="exact"/>
        <w:rPr>
          <w:szCs w:val="21"/>
          <w:highlight w:val="none"/>
        </w:rPr>
      </w:pPr>
      <w:r>
        <w:rPr>
          <w:rFonts w:hint="eastAsia" w:cs="宋体"/>
          <w:szCs w:val="21"/>
          <w:highlight w:val="none"/>
          <w:lang w:bidi="ar"/>
        </w:rPr>
        <w:t>经营期限：</w:t>
      </w:r>
      <w:r>
        <w:rPr>
          <w:szCs w:val="21"/>
          <w:highlight w:val="none"/>
          <w:u w:val="single"/>
          <w:lang w:bidi="ar"/>
        </w:rPr>
        <w:t xml:space="preserve">                                           </w:t>
      </w:r>
    </w:p>
    <w:p>
      <w:pPr>
        <w:spacing w:line="540" w:lineRule="exact"/>
        <w:rPr>
          <w:szCs w:val="21"/>
          <w:highlight w:val="none"/>
        </w:rPr>
      </w:pPr>
      <w:r>
        <w:rPr>
          <w:rFonts w:hint="eastAsia" w:cs="宋体"/>
          <w:szCs w:val="21"/>
          <w:highlight w:val="none"/>
          <w:lang w:bidi="ar"/>
        </w:rPr>
        <w:t>姓名：</w:t>
      </w:r>
      <w:r>
        <w:rPr>
          <w:szCs w:val="21"/>
          <w:highlight w:val="none"/>
          <w:u w:val="single"/>
          <w:lang w:bidi="ar"/>
        </w:rPr>
        <w:t xml:space="preserve">                   </w:t>
      </w:r>
      <w:r>
        <w:rPr>
          <w:rFonts w:hint="eastAsia" w:cs="宋体"/>
          <w:szCs w:val="21"/>
          <w:highlight w:val="none"/>
          <w:lang w:bidi="ar"/>
        </w:rPr>
        <w:t>；性别：</w:t>
      </w:r>
      <w:r>
        <w:rPr>
          <w:szCs w:val="21"/>
          <w:highlight w:val="none"/>
          <w:u w:val="single"/>
          <w:lang w:bidi="ar"/>
        </w:rPr>
        <w:t xml:space="preserve">              </w:t>
      </w:r>
      <w:r>
        <w:rPr>
          <w:szCs w:val="21"/>
          <w:highlight w:val="none"/>
          <w:lang w:bidi="ar"/>
        </w:rPr>
        <w:t xml:space="preserve">        </w:t>
      </w:r>
    </w:p>
    <w:p>
      <w:pPr>
        <w:spacing w:line="540" w:lineRule="exact"/>
        <w:rPr>
          <w:szCs w:val="21"/>
          <w:highlight w:val="none"/>
        </w:rPr>
      </w:pPr>
      <w:r>
        <w:rPr>
          <w:rFonts w:hint="eastAsia" w:cs="宋体"/>
          <w:szCs w:val="21"/>
          <w:highlight w:val="none"/>
          <w:lang w:bidi="ar"/>
        </w:rPr>
        <w:t>年龄：</w:t>
      </w:r>
      <w:r>
        <w:rPr>
          <w:szCs w:val="21"/>
          <w:highlight w:val="none"/>
          <w:u w:val="single"/>
          <w:lang w:bidi="ar"/>
        </w:rPr>
        <w:t xml:space="preserve">         </w:t>
      </w:r>
      <w:r>
        <w:rPr>
          <w:rFonts w:hint="eastAsia" w:cs="宋体"/>
          <w:szCs w:val="21"/>
          <w:highlight w:val="none"/>
          <w:lang w:bidi="ar"/>
        </w:rPr>
        <w:t>；职务：</w:t>
      </w:r>
      <w:r>
        <w:rPr>
          <w:szCs w:val="21"/>
          <w:highlight w:val="none"/>
          <w:u w:val="single"/>
          <w:lang w:bidi="ar"/>
        </w:rPr>
        <w:t xml:space="preserve">              </w:t>
      </w:r>
      <w:r>
        <w:rPr>
          <w:rFonts w:hint="eastAsia" w:cs="宋体"/>
          <w:szCs w:val="21"/>
          <w:highlight w:val="none"/>
          <w:lang w:bidi="ar"/>
        </w:rPr>
        <w:t>；身份证：</w:t>
      </w:r>
      <w:r>
        <w:rPr>
          <w:szCs w:val="21"/>
          <w:highlight w:val="none"/>
          <w:u w:val="single"/>
          <w:lang w:bidi="ar"/>
        </w:rPr>
        <w:t xml:space="preserve">                                </w:t>
      </w:r>
    </w:p>
    <w:p>
      <w:pPr>
        <w:spacing w:line="540" w:lineRule="exact"/>
        <w:rPr>
          <w:szCs w:val="21"/>
          <w:highlight w:val="none"/>
        </w:rPr>
      </w:pPr>
      <w:r>
        <w:rPr>
          <w:rFonts w:hint="eastAsia" w:cs="宋体"/>
          <w:szCs w:val="21"/>
          <w:highlight w:val="none"/>
          <w:lang w:bidi="ar"/>
        </w:rPr>
        <w:t>系</w:t>
      </w:r>
      <w:r>
        <w:rPr>
          <w:szCs w:val="21"/>
          <w:highlight w:val="none"/>
          <w:u w:val="single"/>
          <w:lang w:bidi="ar"/>
        </w:rPr>
        <w:t xml:space="preserve">                                      </w:t>
      </w:r>
      <w:r>
        <w:rPr>
          <w:rFonts w:hint="eastAsia" w:cs="宋体"/>
          <w:szCs w:val="21"/>
          <w:highlight w:val="none"/>
          <w:u w:val="single"/>
          <w:lang w:bidi="ar"/>
        </w:rPr>
        <w:t>（</w:t>
      </w:r>
      <w:r>
        <w:rPr>
          <w:szCs w:val="21"/>
          <w:highlight w:val="none"/>
          <w:u w:val="single"/>
          <w:lang w:bidi="ar"/>
        </w:rPr>
        <w:t xml:space="preserve"> </w:t>
      </w:r>
      <w:r>
        <w:rPr>
          <w:rFonts w:hint="eastAsia" w:cs="宋体"/>
          <w:szCs w:val="21"/>
          <w:highlight w:val="none"/>
          <w:u w:val="single"/>
          <w:lang w:bidi="ar"/>
        </w:rPr>
        <w:t>供应商名称）</w:t>
      </w:r>
      <w:r>
        <w:rPr>
          <w:rFonts w:hint="eastAsia" w:cs="宋体"/>
          <w:szCs w:val="21"/>
          <w:highlight w:val="none"/>
          <w:lang w:bidi="ar"/>
        </w:rPr>
        <w:t>的法定代表人。</w:t>
      </w:r>
    </w:p>
    <w:p>
      <w:pPr>
        <w:spacing w:line="540" w:lineRule="exact"/>
        <w:ind w:firstLine="420" w:firstLineChars="200"/>
        <w:rPr>
          <w:szCs w:val="21"/>
          <w:highlight w:val="none"/>
        </w:rPr>
      </w:pPr>
      <w:r>
        <w:rPr>
          <w:rFonts w:hint="eastAsia" w:cs="宋体"/>
          <w:szCs w:val="21"/>
          <w:highlight w:val="none"/>
          <w:lang w:bidi="ar"/>
        </w:rPr>
        <w:t>特此证明。</w:t>
      </w:r>
    </w:p>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spacing w:line="360" w:lineRule="auto"/>
        <w:rPr>
          <w:szCs w:val="21"/>
          <w:highlight w:val="none"/>
        </w:rPr>
      </w:pPr>
      <w:r>
        <w:rPr>
          <w:rFonts w:hint="eastAsia" w:cs="宋体"/>
          <w:szCs w:val="21"/>
          <w:highlight w:val="none"/>
          <w:lang w:bidi="ar"/>
        </w:rPr>
        <w:t>附件：法定代表人身份证</w:t>
      </w:r>
      <w:bookmarkStart w:id="258" w:name="OLE_LINK41"/>
      <w:r>
        <w:rPr>
          <w:rFonts w:hint="eastAsia" w:cs="宋体"/>
          <w:szCs w:val="21"/>
          <w:highlight w:val="none"/>
          <w:lang w:bidi="ar"/>
        </w:rPr>
        <w:t>正反面扫描件</w:t>
      </w:r>
      <w:bookmarkEnd w:id="258"/>
    </w:p>
    <w:p>
      <w:pPr>
        <w:spacing w:line="360" w:lineRule="auto"/>
        <w:rPr>
          <w:szCs w:val="21"/>
          <w:highlight w:val="none"/>
        </w:rPr>
      </w:pPr>
    </w:p>
    <w:bookmarkEnd w:id="257"/>
    <w:p>
      <w:pPr>
        <w:snapToGrid w:val="0"/>
        <w:spacing w:before="165" w:beforeLines="50" w:after="50" w:line="360" w:lineRule="exact"/>
        <w:outlineLvl w:val="2"/>
        <w:rPr>
          <w:rFonts w:hint="eastAsia" w:ascii="宋体" w:hAnsi="宋体"/>
          <w:b/>
          <w:bCs/>
          <w:szCs w:val="21"/>
          <w:highlight w:val="none"/>
          <w:lang w:bidi="ar"/>
        </w:rPr>
      </w:pPr>
      <w:r>
        <w:rPr>
          <w:b/>
          <w:szCs w:val="21"/>
          <w:highlight w:val="none"/>
          <w:lang w:bidi="ar"/>
        </w:rPr>
        <w:br w:type="page"/>
      </w:r>
      <w:r>
        <w:rPr>
          <w:rFonts w:hint="eastAsia" w:ascii="宋体" w:hAnsi="宋体"/>
          <w:b/>
          <w:bCs/>
          <w:szCs w:val="21"/>
          <w:highlight w:val="none"/>
          <w:lang w:bidi="ar"/>
        </w:rPr>
        <w:t>2.授权委托书（有授权代表时必须提供）</w:t>
      </w:r>
    </w:p>
    <w:p>
      <w:pPr>
        <w:snapToGrid w:val="0"/>
        <w:spacing w:before="165" w:beforeLines="50" w:after="50" w:line="440" w:lineRule="exact"/>
        <w:jc w:val="center"/>
        <w:rPr>
          <w:b/>
          <w:szCs w:val="21"/>
          <w:highlight w:val="none"/>
        </w:rPr>
      </w:pPr>
      <w:r>
        <w:rPr>
          <w:rFonts w:hint="eastAsia" w:cs="宋体"/>
          <w:b/>
          <w:szCs w:val="21"/>
          <w:highlight w:val="none"/>
          <w:lang w:bidi="ar"/>
        </w:rPr>
        <w:t>法定代表人授权委托书</w:t>
      </w:r>
    </w:p>
    <w:p>
      <w:pPr>
        <w:snapToGrid w:val="0"/>
        <w:spacing w:line="440" w:lineRule="exact"/>
        <w:rPr>
          <w:b/>
          <w:bCs/>
          <w:szCs w:val="21"/>
          <w:highlight w:val="none"/>
        </w:rPr>
      </w:pPr>
      <w:r>
        <w:rPr>
          <w:rFonts w:hint="eastAsia" w:cs="宋体"/>
          <w:bCs/>
          <w:szCs w:val="21"/>
          <w:highlight w:val="none"/>
          <w:lang w:bidi="ar"/>
        </w:rPr>
        <w:t>致：</w:t>
      </w:r>
      <w:r>
        <w:rPr>
          <w:rFonts w:hint="eastAsia" w:cs="宋体"/>
          <w:i/>
          <w:iCs/>
          <w:szCs w:val="21"/>
          <w:highlight w:val="none"/>
          <w:u w:val="single"/>
          <w:lang w:bidi="ar"/>
        </w:rPr>
        <w:t>（采购人名称）</w:t>
      </w:r>
      <w:r>
        <w:rPr>
          <w:rFonts w:hint="eastAsia" w:cs="宋体"/>
          <w:szCs w:val="21"/>
          <w:highlight w:val="none"/>
          <w:lang w:bidi="ar"/>
        </w:rPr>
        <w:t>：</w:t>
      </w:r>
    </w:p>
    <w:p>
      <w:pPr>
        <w:snapToGrid w:val="0"/>
        <w:spacing w:line="440" w:lineRule="exact"/>
        <w:ind w:firstLine="420" w:firstLineChars="200"/>
        <w:rPr>
          <w:szCs w:val="21"/>
          <w:highlight w:val="none"/>
        </w:rPr>
      </w:pPr>
      <w:r>
        <w:rPr>
          <w:rFonts w:hint="eastAsia" w:cs="宋体"/>
          <w:szCs w:val="21"/>
          <w:highlight w:val="none"/>
          <w:lang w:bidi="ar"/>
        </w:rPr>
        <w:t>我</w:t>
      </w:r>
      <w:r>
        <w:rPr>
          <w:rFonts w:hint="eastAsia" w:cs="宋体"/>
          <w:i/>
          <w:iCs/>
          <w:szCs w:val="21"/>
          <w:highlight w:val="none"/>
          <w:u w:val="single"/>
          <w:lang w:bidi="ar"/>
        </w:rPr>
        <w:t>（法定代表人姓名）</w:t>
      </w:r>
      <w:r>
        <w:rPr>
          <w:rFonts w:hint="eastAsia" w:cs="宋体"/>
          <w:szCs w:val="21"/>
          <w:highlight w:val="none"/>
          <w:lang w:bidi="ar"/>
        </w:rPr>
        <w:t>系</w:t>
      </w:r>
      <w:r>
        <w:rPr>
          <w:rFonts w:hint="eastAsia" w:cs="宋体"/>
          <w:i/>
          <w:iCs/>
          <w:szCs w:val="21"/>
          <w:highlight w:val="none"/>
          <w:u w:val="single"/>
          <w:lang w:bidi="ar"/>
        </w:rPr>
        <w:t>（供应商名称）</w:t>
      </w:r>
      <w:r>
        <w:rPr>
          <w:rFonts w:hint="eastAsia" w:cs="宋体"/>
          <w:szCs w:val="21"/>
          <w:highlight w:val="none"/>
          <w:lang w:bidi="ar"/>
        </w:rPr>
        <w:t>的法定代表人，现授权委托本单位在职职工</w:t>
      </w:r>
      <w:r>
        <w:rPr>
          <w:szCs w:val="21"/>
          <w:highlight w:val="none"/>
          <w:lang w:bidi="ar"/>
        </w:rPr>
        <w:t xml:space="preserve"> </w:t>
      </w:r>
      <w:r>
        <w:rPr>
          <w:szCs w:val="21"/>
          <w:highlight w:val="none"/>
          <w:u w:val="single"/>
          <w:lang w:bidi="ar"/>
        </w:rPr>
        <w:t xml:space="preserve">        </w:t>
      </w:r>
      <w:r>
        <w:rPr>
          <w:rFonts w:hint="eastAsia" w:cs="宋体"/>
          <w:szCs w:val="21"/>
          <w:highlight w:val="none"/>
          <w:lang w:bidi="ar"/>
        </w:rPr>
        <w:t>（姓名）以我方的名义参加</w:t>
      </w:r>
      <w:r>
        <w:rPr>
          <w:szCs w:val="21"/>
          <w:highlight w:val="none"/>
          <w:u w:val="single"/>
          <w:lang w:bidi="ar"/>
        </w:rPr>
        <w:t xml:space="preserve"> </w:t>
      </w:r>
      <w:r>
        <w:rPr>
          <w:rFonts w:hint="eastAsia" w:cs="宋体"/>
          <w:i/>
          <w:iCs/>
          <w:szCs w:val="21"/>
          <w:highlight w:val="none"/>
          <w:u w:val="single"/>
          <w:lang w:bidi="ar"/>
        </w:rPr>
        <w:t>（项目名称）</w:t>
      </w:r>
      <w:r>
        <w:rPr>
          <w:szCs w:val="21"/>
          <w:highlight w:val="none"/>
          <w:u w:val="single"/>
          <w:lang w:bidi="ar"/>
        </w:rPr>
        <w:t xml:space="preserve"> </w:t>
      </w:r>
      <w:r>
        <w:rPr>
          <w:rFonts w:hint="eastAsia" w:cs="宋体"/>
          <w:szCs w:val="21"/>
          <w:highlight w:val="none"/>
          <w:lang w:bidi="ar"/>
        </w:rPr>
        <w:t>项目的投标活动，并代表我方全权办理针对上述项目的投标、开标、评审、签约等具体事务和签署相关文件。</w:t>
      </w:r>
    </w:p>
    <w:p>
      <w:pPr>
        <w:snapToGrid w:val="0"/>
        <w:spacing w:line="440" w:lineRule="exact"/>
        <w:rPr>
          <w:szCs w:val="21"/>
          <w:highlight w:val="none"/>
        </w:rPr>
      </w:pPr>
      <w:r>
        <w:rPr>
          <w:szCs w:val="21"/>
          <w:highlight w:val="none"/>
          <w:lang w:bidi="ar"/>
        </w:rPr>
        <w:t xml:space="preserve">    </w:t>
      </w:r>
      <w:r>
        <w:rPr>
          <w:rFonts w:hint="eastAsia" w:cs="宋体"/>
          <w:szCs w:val="21"/>
          <w:highlight w:val="none"/>
          <w:lang w:bidi="ar"/>
        </w:rPr>
        <w:t>我方对被授权人的签名事项负全部责任。</w:t>
      </w:r>
    </w:p>
    <w:p>
      <w:pPr>
        <w:snapToGrid w:val="0"/>
        <w:spacing w:line="440" w:lineRule="exact"/>
        <w:ind w:firstLine="480"/>
        <w:rPr>
          <w:szCs w:val="21"/>
          <w:highlight w:val="none"/>
        </w:rPr>
      </w:pPr>
      <w:r>
        <w:rPr>
          <w:rFonts w:hint="eastAsia" w:cs="宋体"/>
          <w:szCs w:val="21"/>
          <w:highlight w:val="none"/>
          <w:lang w:bidi="ar"/>
        </w:rPr>
        <w:t>在撤销授权的书面通知以前，本授权书一直有效。被授权人在授权书有效期内签署的所有文件不因授权的撤销而失效。</w:t>
      </w:r>
    </w:p>
    <w:p>
      <w:pPr>
        <w:snapToGrid w:val="0"/>
        <w:spacing w:line="440" w:lineRule="exact"/>
        <w:ind w:firstLine="480"/>
        <w:rPr>
          <w:szCs w:val="21"/>
          <w:highlight w:val="none"/>
        </w:rPr>
      </w:pPr>
      <w:r>
        <w:rPr>
          <w:rFonts w:hint="eastAsia" w:cs="宋体"/>
          <w:szCs w:val="21"/>
          <w:highlight w:val="none"/>
          <w:lang w:bidi="ar"/>
        </w:rPr>
        <w:t>被授权人无转委托权，特此委托。</w:t>
      </w:r>
    </w:p>
    <w:p>
      <w:pPr>
        <w:snapToGrid w:val="0"/>
        <w:spacing w:line="440" w:lineRule="exact"/>
        <w:rPr>
          <w:szCs w:val="21"/>
          <w:highlight w:val="none"/>
          <w:u w:val="single"/>
        </w:rPr>
      </w:pPr>
      <w:r>
        <w:rPr>
          <w:rFonts w:hint="eastAsia" w:cs="宋体"/>
          <w:szCs w:val="21"/>
          <w:highlight w:val="none"/>
          <w:lang w:bidi="ar"/>
        </w:rPr>
        <w:t>被授权人签字或签章：</w:t>
      </w:r>
      <w:r>
        <w:rPr>
          <w:szCs w:val="21"/>
          <w:highlight w:val="none"/>
          <w:u w:val="single"/>
          <w:lang w:bidi="ar"/>
        </w:rPr>
        <w:t xml:space="preserve">          </w:t>
      </w:r>
      <w:r>
        <w:rPr>
          <w:szCs w:val="21"/>
          <w:highlight w:val="none"/>
          <w:lang w:bidi="ar"/>
        </w:rPr>
        <w:t xml:space="preserve">                     </w:t>
      </w:r>
      <w:r>
        <w:rPr>
          <w:rFonts w:hint="eastAsia" w:cs="宋体"/>
          <w:szCs w:val="21"/>
          <w:highlight w:val="none"/>
          <w:lang w:bidi="ar"/>
        </w:rPr>
        <w:t>法定代表人签字或签章：</w:t>
      </w:r>
      <w:r>
        <w:rPr>
          <w:szCs w:val="21"/>
          <w:highlight w:val="none"/>
          <w:u w:val="single"/>
          <w:lang w:bidi="ar"/>
        </w:rPr>
        <w:t xml:space="preserve">     </w:t>
      </w:r>
    </w:p>
    <w:p>
      <w:pPr>
        <w:snapToGrid w:val="0"/>
        <w:spacing w:line="440" w:lineRule="exact"/>
        <w:rPr>
          <w:szCs w:val="21"/>
          <w:highlight w:val="none"/>
        </w:rPr>
      </w:pPr>
      <w:r>
        <w:rPr>
          <w:rFonts w:hint="eastAsia" w:cs="宋体"/>
          <w:szCs w:val="21"/>
          <w:highlight w:val="none"/>
          <w:lang w:bidi="ar"/>
        </w:rPr>
        <w:t>职务：</w:t>
      </w:r>
      <w:r>
        <w:rPr>
          <w:szCs w:val="21"/>
          <w:highlight w:val="none"/>
          <w:u w:val="single"/>
          <w:lang w:bidi="ar"/>
        </w:rPr>
        <w:t xml:space="preserve">           </w:t>
      </w:r>
      <w:r>
        <w:rPr>
          <w:szCs w:val="21"/>
          <w:highlight w:val="none"/>
          <w:lang w:bidi="ar"/>
        </w:rPr>
        <w:t xml:space="preserve">                                                 </w:t>
      </w:r>
      <w:r>
        <w:rPr>
          <w:rFonts w:hint="eastAsia" w:cs="宋体"/>
          <w:szCs w:val="21"/>
          <w:highlight w:val="none"/>
          <w:lang w:bidi="ar"/>
        </w:rPr>
        <w:t>职务：</w:t>
      </w:r>
      <w:r>
        <w:rPr>
          <w:szCs w:val="21"/>
          <w:highlight w:val="none"/>
          <w:u w:val="single"/>
          <w:lang w:bidi="ar"/>
        </w:rPr>
        <w:t xml:space="preserve">      </w:t>
      </w:r>
    </w:p>
    <w:p>
      <w:pPr>
        <w:snapToGrid w:val="0"/>
        <w:spacing w:line="440" w:lineRule="exact"/>
        <w:rPr>
          <w:szCs w:val="21"/>
          <w:highlight w:val="none"/>
          <w:u w:val="single"/>
        </w:rPr>
      </w:pPr>
      <w:r>
        <w:rPr>
          <w:rFonts w:hint="eastAsia" w:cs="宋体"/>
          <w:szCs w:val="21"/>
          <w:highlight w:val="none"/>
          <w:lang w:bidi="ar"/>
        </w:rPr>
        <w:t>被授权人身份证号码：</w:t>
      </w:r>
      <w:r>
        <w:rPr>
          <w:szCs w:val="21"/>
          <w:highlight w:val="none"/>
          <w:u w:val="single"/>
          <w:lang w:bidi="ar"/>
        </w:rPr>
        <w:t xml:space="preserve">                   </w:t>
      </w:r>
      <w:r>
        <w:rPr>
          <w:szCs w:val="21"/>
          <w:highlight w:val="none"/>
          <w:lang w:bidi="ar"/>
        </w:rPr>
        <w:t xml:space="preserve">            </w:t>
      </w:r>
      <w:r>
        <w:rPr>
          <w:rFonts w:hint="eastAsia" w:cs="宋体"/>
          <w:szCs w:val="21"/>
          <w:highlight w:val="none"/>
          <w:lang w:bidi="ar"/>
        </w:rPr>
        <w:t>授权人身份证号码：</w:t>
      </w:r>
      <w:r>
        <w:rPr>
          <w:szCs w:val="21"/>
          <w:highlight w:val="none"/>
          <w:u w:val="single"/>
          <w:lang w:bidi="ar"/>
        </w:rPr>
        <w:t xml:space="preserve">         </w:t>
      </w:r>
    </w:p>
    <w:p>
      <w:pPr>
        <w:snapToGrid w:val="0"/>
        <w:spacing w:line="440" w:lineRule="exact"/>
        <w:rPr>
          <w:szCs w:val="21"/>
          <w:highlight w:val="none"/>
        </w:rPr>
      </w:pPr>
      <w:r>
        <w:rPr>
          <w:rFonts w:hint="eastAsia" w:cs="宋体"/>
          <w:szCs w:val="21"/>
          <w:highlight w:val="none"/>
          <w:lang w:bidi="ar"/>
        </w:rPr>
        <w:t>被授权人邮箱：</w:t>
      </w:r>
      <w:r>
        <w:rPr>
          <w:szCs w:val="21"/>
          <w:highlight w:val="none"/>
          <w:u w:val="single"/>
          <w:lang w:bidi="ar"/>
        </w:rPr>
        <w:t xml:space="preserve">                        </w:t>
      </w:r>
    </w:p>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spacing w:line="360" w:lineRule="auto"/>
        <w:rPr>
          <w:rFonts w:cs="宋体"/>
          <w:szCs w:val="21"/>
          <w:highlight w:val="none"/>
          <w:lang w:bidi="ar"/>
        </w:rPr>
      </w:pPr>
      <w:r>
        <w:rPr>
          <w:rFonts w:hint="eastAsia" w:cs="宋体"/>
          <w:szCs w:val="21"/>
          <w:highlight w:val="none"/>
          <w:lang w:bidi="ar"/>
        </w:rPr>
        <w:t>附件：法定代表人身份证正反面扫描件及授权代表身份证正反面扫描件</w:t>
      </w:r>
    </w:p>
    <w:p>
      <w:pPr>
        <w:widowControl/>
        <w:jc w:val="left"/>
        <w:rPr>
          <w:rFonts w:cs="宋体"/>
          <w:szCs w:val="21"/>
          <w:highlight w:val="none"/>
          <w:lang w:bidi="ar"/>
        </w:rPr>
      </w:pPr>
      <w:r>
        <w:rPr>
          <w:rFonts w:cs="宋体"/>
          <w:szCs w:val="21"/>
          <w:highlight w:val="none"/>
          <w:lang w:bidi="ar"/>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3.无串通投标行为的承诺函</w:t>
      </w:r>
      <w:bookmarkStart w:id="259" w:name="OLE_LINK73"/>
      <w:r>
        <w:rPr>
          <w:rFonts w:hint="eastAsia" w:ascii="宋体" w:hAnsi="宋体"/>
          <w:b/>
          <w:bCs/>
          <w:szCs w:val="21"/>
          <w:highlight w:val="none"/>
          <w:lang w:bidi="ar"/>
        </w:rPr>
        <w:t>（必须提供）</w:t>
      </w:r>
      <w:bookmarkEnd w:id="259"/>
    </w:p>
    <w:p>
      <w:pPr>
        <w:snapToGrid w:val="0"/>
        <w:spacing w:before="165" w:beforeLines="50" w:after="50" w:line="440" w:lineRule="exact"/>
        <w:jc w:val="center"/>
        <w:rPr>
          <w:rFonts w:cs="宋体"/>
          <w:b/>
          <w:szCs w:val="21"/>
          <w:highlight w:val="none"/>
          <w:lang w:bidi="ar"/>
        </w:rPr>
      </w:pPr>
      <w:r>
        <w:rPr>
          <w:rFonts w:hint="eastAsia" w:cs="宋体"/>
          <w:b/>
          <w:szCs w:val="21"/>
          <w:highlight w:val="none"/>
          <w:lang w:bidi="ar"/>
        </w:rPr>
        <w:t>投标人参加本项目无围标串标行为的承诺函</w:t>
      </w:r>
    </w:p>
    <w:p>
      <w:pPr>
        <w:snapToGrid w:val="0"/>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一、我方承诺无下列相互串通投标的情形：</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1.不同投标人的投标文件由同一单位或者个人编制；或者不同投标人报名的IP地址一致的；或者编制标书硬件设备CPU编号、硬盘编号、网卡地址一致的情况。</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2.不同投标人委托同一单位或者个人办理投标事宜；</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3.不同的投标人的投标文件载明的项目管理员为同一个人；</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4.不同投标人的投标文件异常一致或者投标报价呈规律性差异；</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5.不同投标人的投标文件相互混装；</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6.不同投标人的投标保证金从同一单位或者个人账户转出。</w:t>
      </w:r>
    </w:p>
    <w:p>
      <w:pPr>
        <w:snapToGrid w:val="0"/>
        <w:spacing w:line="360" w:lineRule="auto"/>
        <w:ind w:firstLine="422" w:firstLineChars="200"/>
        <w:jc w:val="left"/>
        <w:rPr>
          <w:rFonts w:hint="eastAsia" w:ascii="宋体" w:hAnsi="宋体" w:cs="宋体"/>
          <w:szCs w:val="21"/>
          <w:highlight w:val="none"/>
        </w:rPr>
      </w:pPr>
      <w:r>
        <w:rPr>
          <w:rFonts w:hint="eastAsia" w:ascii="宋体" w:hAnsi="宋体" w:cs="宋体"/>
          <w:b/>
          <w:szCs w:val="21"/>
          <w:highlight w:val="none"/>
        </w:rPr>
        <w:t>二、我方承诺无下列恶意串通的情形：</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1.投标人直接或者间接从采购人或者采购代理机构处获得其他投标人的相关信息并修改其投标文件或者投标文件；</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2.投标人按照采购人或者采购代理机构的授意撤换、修改投标文件或者投标文件；</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3.投标人之间协商报价、技术方案等投标文件或者投标文件的实质性内容；</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4.属于同一集团、协会、商会等组织成员的投标人按照该组织要求协同参加政府采购活动；</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6.投标人之间商定部分投标人放弃参加政府采购活动或者放弃中标；</w:t>
      </w:r>
    </w:p>
    <w:p>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7.投标人与采购人或者采购代理机构之间、投标人相互之间，为谋求特定投标人中标或者排斥其他投标人的其他串通行为。</w:t>
      </w:r>
    </w:p>
    <w:p>
      <w:pPr>
        <w:snapToGrid w:val="0"/>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以上情形一经核查属实，我方愿意承担一切后果，接受政府采购监管部门对我方认定存在围标串标行为，并不再寻求任何旨在减轻或者免除法律责任的辩解。</w:t>
      </w:r>
    </w:p>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snapToGrid w:val="0"/>
        <w:spacing w:line="360" w:lineRule="auto"/>
        <w:ind w:firstLine="420" w:firstLineChars="200"/>
        <w:jc w:val="right"/>
        <w:rPr>
          <w:szCs w:val="21"/>
          <w:highlight w:val="none"/>
        </w:rPr>
      </w:pPr>
      <w:r>
        <w:rPr>
          <w:szCs w:val="21"/>
          <w:highlight w:val="none"/>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4.商务条款偏离表（必须提供）</w:t>
      </w:r>
    </w:p>
    <w:p>
      <w:pPr>
        <w:snapToGrid w:val="0"/>
        <w:spacing w:before="165" w:beforeLines="50" w:after="50" w:line="360" w:lineRule="exact"/>
        <w:jc w:val="center"/>
        <w:rPr>
          <w:b/>
          <w:szCs w:val="21"/>
          <w:highlight w:val="none"/>
          <w:lang w:bidi="ar"/>
        </w:rPr>
      </w:pPr>
      <w:r>
        <w:rPr>
          <w:rFonts w:hint="eastAsia"/>
          <w:b/>
          <w:szCs w:val="21"/>
          <w:highlight w:val="none"/>
          <w:lang w:bidi="ar"/>
        </w:rPr>
        <w:t>商务条款偏离表</w:t>
      </w:r>
    </w:p>
    <w:tbl>
      <w:tblPr>
        <w:tblStyle w:val="54"/>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20"/>
        <w:gridCol w:w="2037"/>
        <w:gridCol w:w="4580"/>
        <w:gridCol w:w="118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9"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rFonts w:hint="eastAsia" w:cs="宋体"/>
                <w:szCs w:val="21"/>
                <w:highlight w:val="none"/>
                <w:lang w:bidi="ar"/>
              </w:rPr>
              <w:t>序号</w:t>
            </w:r>
          </w:p>
        </w:tc>
        <w:tc>
          <w:tcPr>
            <w:tcW w:w="1195"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rFonts w:hint="eastAsia" w:cs="宋体"/>
                <w:szCs w:val="21"/>
                <w:highlight w:val="none"/>
                <w:lang w:bidi="ar"/>
              </w:rPr>
              <w:t>招标文件的商务要求</w:t>
            </w:r>
          </w:p>
        </w:tc>
        <w:tc>
          <w:tcPr>
            <w:tcW w:w="2687"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rFonts w:hint="eastAsia" w:cs="宋体"/>
                <w:szCs w:val="21"/>
                <w:highlight w:val="none"/>
                <w:lang w:bidi="ar"/>
              </w:rPr>
              <w:t>投标文件响应内容（可注明所在页码）</w:t>
            </w: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rFonts w:hint="eastAsia" w:cs="宋体"/>
                <w:highlight w:val="none"/>
                <w:lang w:bidi="ar"/>
              </w:rPr>
              <w:t>偏离</w:t>
            </w:r>
            <w:r>
              <w:rPr>
                <w:rFonts w:hint="eastAsia" w:cs="宋体"/>
                <w:szCs w:val="21"/>
                <w:highlight w:val="none"/>
                <w:lang w:bidi="ar"/>
              </w:rPr>
              <w:t>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exact"/>
          <w:jc w:val="center"/>
        </w:trPr>
        <w:tc>
          <w:tcPr>
            <w:tcW w:w="42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1195"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2687"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exact"/>
          <w:jc w:val="center"/>
        </w:trPr>
        <w:tc>
          <w:tcPr>
            <w:tcW w:w="42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1195"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2687"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2" w:hRule="exact"/>
          <w:jc w:val="center"/>
        </w:trPr>
        <w:tc>
          <w:tcPr>
            <w:tcW w:w="42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1195"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szCs w:val="21"/>
                <w:highlight w:val="none"/>
                <w:lang w:bidi="ar"/>
              </w:rPr>
              <w:t>……</w:t>
            </w:r>
          </w:p>
        </w:tc>
        <w:tc>
          <w:tcPr>
            <w:tcW w:w="2687"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r>
    </w:tbl>
    <w:p>
      <w:pPr>
        <w:pStyle w:val="49"/>
        <w:widowControl w:val="0"/>
        <w:tabs>
          <w:tab w:val="left" w:pos="2127"/>
        </w:tabs>
        <w:spacing w:before="0" w:beforeAutospacing="0" w:after="0" w:afterAutospacing="0" w:line="340" w:lineRule="exact"/>
        <w:rPr>
          <w:rFonts w:ascii="Times New Roman" w:hAnsi="Times New Roman"/>
          <w:kern w:val="2"/>
          <w:sz w:val="21"/>
          <w:szCs w:val="21"/>
          <w:highlight w:val="none"/>
          <w:lang w:bidi="ar"/>
        </w:rPr>
      </w:pPr>
      <w:bookmarkStart w:id="260" w:name="_Hlk88990584"/>
      <w:bookmarkStart w:id="261" w:name="_Hlk48144603"/>
      <w:r>
        <w:rPr>
          <w:rFonts w:hint="eastAsia" w:ascii="Times New Roman" w:hAnsi="Times New Roman"/>
          <w:kern w:val="2"/>
          <w:sz w:val="21"/>
          <w:szCs w:val="21"/>
          <w:highlight w:val="none"/>
          <w:lang w:bidi="ar"/>
        </w:rPr>
        <w:t>注：</w:t>
      </w:r>
      <w:bookmarkStart w:id="262" w:name="_Hlk19049081"/>
    </w:p>
    <w:p>
      <w:pPr>
        <w:pStyle w:val="49"/>
        <w:widowControl w:val="0"/>
        <w:tabs>
          <w:tab w:val="left" w:pos="2127"/>
        </w:tabs>
        <w:spacing w:before="0" w:beforeAutospacing="0" w:after="0" w:afterAutospacing="0" w:line="360" w:lineRule="auto"/>
        <w:ind w:firstLine="420" w:firstLineChars="200"/>
        <w:rPr>
          <w:rFonts w:ascii="Times New Roman" w:hAnsi="Times New Roman"/>
          <w:highlight w:val="none"/>
        </w:rPr>
      </w:pPr>
      <w:r>
        <w:rPr>
          <w:rFonts w:hint="eastAsia" w:ascii="Times New Roman" w:hAnsi="Times New Roman"/>
          <w:kern w:val="2"/>
          <w:sz w:val="21"/>
          <w:szCs w:val="21"/>
          <w:highlight w:val="none"/>
          <w:lang w:bidi="ar"/>
        </w:rPr>
        <w:t>（</w:t>
      </w:r>
      <w:r>
        <w:rPr>
          <w:rFonts w:ascii="Times New Roman" w:hAnsi="Times New Roman"/>
          <w:kern w:val="2"/>
          <w:sz w:val="21"/>
          <w:szCs w:val="21"/>
          <w:highlight w:val="none"/>
          <w:lang w:bidi="ar"/>
        </w:rPr>
        <w:t>1</w:t>
      </w:r>
      <w:r>
        <w:rPr>
          <w:rFonts w:hint="eastAsia" w:ascii="Times New Roman" w:hAnsi="Times New Roman"/>
          <w:kern w:val="2"/>
          <w:sz w:val="21"/>
          <w:szCs w:val="21"/>
          <w:highlight w:val="none"/>
          <w:lang w:bidi="ar"/>
        </w:rPr>
        <w:t>）本表应对招标文件第二章《采购需求》中所列“商务要求”进行响应，并根据响应情况在“偏离说明”栏填写正偏离或负偏离及原因，完全符合的填写</w:t>
      </w:r>
      <w:bookmarkStart w:id="263" w:name="OLE_LINK59"/>
      <w:r>
        <w:rPr>
          <w:rFonts w:hint="eastAsia" w:ascii="Times New Roman" w:hAnsi="Times New Roman"/>
          <w:kern w:val="2"/>
          <w:sz w:val="21"/>
          <w:szCs w:val="21"/>
          <w:highlight w:val="none"/>
          <w:lang w:bidi="ar"/>
        </w:rPr>
        <w:t>“无偏离”</w:t>
      </w:r>
      <w:bookmarkEnd w:id="263"/>
      <w:r>
        <w:rPr>
          <w:rFonts w:hint="eastAsia" w:ascii="Times New Roman" w:hAnsi="Times New Roman"/>
          <w:kern w:val="2"/>
          <w:sz w:val="21"/>
          <w:szCs w:val="21"/>
          <w:highlight w:val="none"/>
          <w:lang w:bidi="ar"/>
        </w:rPr>
        <w:t>。</w:t>
      </w:r>
    </w:p>
    <w:p>
      <w:pPr>
        <w:pStyle w:val="49"/>
        <w:widowControl w:val="0"/>
        <w:tabs>
          <w:tab w:val="left" w:pos="2127"/>
        </w:tabs>
        <w:spacing w:before="0" w:beforeAutospacing="0" w:after="0" w:afterAutospacing="0" w:line="360" w:lineRule="auto"/>
        <w:ind w:firstLine="420" w:firstLineChars="200"/>
        <w:rPr>
          <w:rFonts w:ascii="Times New Roman" w:hAnsi="Times New Roman"/>
          <w:highlight w:val="none"/>
        </w:rPr>
      </w:pPr>
      <w:r>
        <w:rPr>
          <w:rFonts w:hint="eastAsia" w:ascii="Times New Roman" w:hAnsi="Times New Roman"/>
          <w:kern w:val="2"/>
          <w:sz w:val="21"/>
          <w:szCs w:val="21"/>
          <w:highlight w:val="none"/>
          <w:lang w:bidi="ar"/>
        </w:rPr>
        <w:t>（</w:t>
      </w:r>
      <w:r>
        <w:rPr>
          <w:rFonts w:ascii="Times New Roman" w:hAnsi="Times New Roman"/>
          <w:kern w:val="2"/>
          <w:sz w:val="21"/>
          <w:szCs w:val="21"/>
          <w:highlight w:val="none"/>
          <w:lang w:bidi="ar"/>
        </w:rPr>
        <w:t>2</w:t>
      </w:r>
      <w:r>
        <w:rPr>
          <w:rFonts w:hint="eastAsia" w:ascii="Times New Roman" w:hAnsi="Times New Roman"/>
          <w:kern w:val="2"/>
          <w:sz w:val="21"/>
          <w:szCs w:val="21"/>
          <w:highlight w:val="none"/>
          <w:lang w:bidi="ar"/>
        </w:rPr>
        <w:t>）供应商应根据自身的承诺，对照招标文件要求在“偏离说明”中注明“正偏离”、“负偏离”或者“无偏离”。既不属于“正偏离”也不属于“负偏离”即为“无偏离”。</w:t>
      </w:r>
    </w:p>
    <w:bookmarkEnd w:id="262"/>
    <w:p>
      <w:pPr>
        <w:pStyle w:val="49"/>
        <w:widowControl w:val="0"/>
        <w:tabs>
          <w:tab w:val="left" w:pos="2127"/>
        </w:tabs>
        <w:spacing w:before="0" w:beforeAutospacing="0" w:after="0" w:afterAutospacing="0" w:line="360" w:lineRule="auto"/>
        <w:ind w:firstLine="420" w:firstLineChars="200"/>
        <w:rPr>
          <w:rFonts w:ascii="Times New Roman" w:hAnsi="Times New Roman"/>
          <w:highlight w:val="none"/>
        </w:rPr>
      </w:pPr>
      <w:r>
        <w:rPr>
          <w:rFonts w:hint="eastAsia" w:ascii="Times New Roman" w:hAnsi="Times New Roman"/>
          <w:kern w:val="2"/>
          <w:sz w:val="21"/>
          <w:szCs w:val="21"/>
          <w:highlight w:val="none"/>
          <w:lang w:bidi="ar"/>
        </w:rPr>
        <w:t>（3）本表可扩展。</w:t>
      </w:r>
    </w:p>
    <w:bookmarkEnd w:id="260"/>
    <w:bookmarkEnd w:id="261"/>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widowControl/>
        <w:jc w:val="left"/>
        <w:rPr>
          <w:szCs w:val="21"/>
          <w:highlight w:val="none"/>
          <w:lang w:bidi="ar"/>
        </w:rPr>
      </w:pPr>
      <w:r>
        <w:rPr>
          <w:szCs w:val="21"/>
          <w:highlight w:val="none"/>
          <w:lang w:bidi="ar"/>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5.投标人类似业绩的证明文件</w:t>
      </w:r>
    </w:p>
    <w:p>
      <w:pPr>
        <w:autoSpaceDE w:val="0"/>
        <w:autoSpaceDN w:val="0"/>
        <w:spacing w:line="360" w:lineRule="auto"/>
        <w:ind w:firstLine="120"/>
        <w:jc w:val="center"/>
        <w:rPr>
          <w:rFonts w:hint="eastAsia" w:ascii="宋体" w:hAnsi="宋体" w:cs="宋体"/>
          <w:sz w:val="24"/>
          <w:highlight w:val="none"/>
        </w:rPr>
      </w:pPr>
      <w:r>
        <w:rPr>
          <w:rFonts w:hint="eastAsia"/>
          <w:b/>
          <w:szCs w:val="21"/>
          <w:highlight w:val="none"/>
          <w:lang w:bidi="ar"/>
        </w:rPr>
        <w:t>投标人类似业绩</w:t>
      </w:r>
      <w:r>
        <w:rPr>
          <w:rFonts w:hint="eastAsia" w:ascii="宋体" w:hAnsi="宋体" w:cs="宋体"/>
          <w:b/>
          <w:sz w:val="24"/>
          <w:highlight w:val="none"/>
        </w:rPr>
        <w:t>一览表</w:t>
      </w:r>
    </w:p>
    <w:tbl>
      <w:tblPr>
        <w:tblStyle w:val="54"/>
        <w:tblW w:w="5000" w:type="pct"/>
        <w:jc w:val="center"/>
        <w:tblLayout w:type="autofit"/>
        <w:tblCellMar>
          <w:top w:w="0" w:type="dxa"/>
          <w:left w:w="108" w:type="dxa"/>
          <w:bottom w:w="0" w:type="dxa"/>
          <w:right w:w="108" w:type="dxa"/>
        </w:tblCellMar>
      </w:tblPr>
      <w:tblGrid>
        <w:gridCol w:w="961"/>
        <w:gridCol w:w="992"/>
        <w:gridCol w:w="1133"/>
        <w:gridCol w:w="1416"/>
        <w:gridCol w:w="2500"/>
        <w:gridCol w:w="1520"/>
      </w:tblGrid>
      <w:tr>
        <w:tblPrEx>
          <w:tblCellMar>
            <w:top w:w="0" w:type="dxa"/>
            <w:left w:w="108" w:type="dxa"/>
            <w:bottom w:w="0" w:type="dxa"/>
            <w:right w:w="108" w:type="dxa"/>
          </w:tblCellMar>
        </w:tblPrEx>
        <w:trPr>
          <w:cantSplit/>
          <w:trHeight w:val="372" w:hRule="atLeast"/>
          <w:jc w:val="center"/>
        </w:trPr>
        <w:tc>
          <w:tcPr>
            <w:tcW w:w="564" w:type="pct"/>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cs="宋体"/>
                <w:szCs w:val="21"/>
                <w:highlight w:val="none"/>
              </w:rPr>
            </w:pPr>
            <w:r>
              <w:rPr>
                <w:rFonts w:ascii="宋体" w:hAnsi="宋体" w:cs="宋体"/>
                <w:szCs w:val="21"/>
                <w:highlight w:val="none"/>
              </w:rPr>
              <w:t>采购人名称</w:t>
            </w:r>
          </w:p>
        </w:tc>
        <w:tc>
          <w:tcPr>
            <w:tcW w:w="582" w:type="pct"/>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cs="宋体"/>
                <w:szCs w:val="21"/>
                <w:highlight w:val="none"/>
              </w:rPr>
            </w:pPr>
            <w:r>
              <w:rPr>
                <w:rFonts w:ascii="宋体" w:hAnsi="宋体" w:cs="宋体"/>
                <w:szCs w:val="21"/>
                <w:highlight w:val="none"/>
              </w:rPr>
              <w:t>项目</w:t>
            </w:r>
          </w:p>
          <w:p>
            <w:pPr>
              <w:snapToGrid w:val="0"/>
              <w:spacing w:line="440" w:lineRule="exact"/>
              <w:jc w:val="center"/>
              <w:rPr>
                <w:rFonts w:hint="eastAsia" w:ascii="宋体" w:hAnsi="宋体" w:cs="宋体"/>
                <w:szCs w:val="21"/>
                <w:highlight w:val="none"/>
              </w:rPr>
            </w:pPr>
            <w:r>
              <w:rPr>
                <w:rFonts w:ascii="宋体" w:hAnsi="宋体" w:cs="宋体"/>
                <w:szCs w:val="21"/>
                <w:highlight w:val="none"/>
              </w:rPr>
              <w:t>名称</w:t>
            </w:r>
          </w:p>
        </w:tc>
        <w:tc>
          <w:tcPr>
            <w:tcW w:w="665" w:type="pct"/>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cs="宋体"/>
                <w:szCs w:val="21"/>
                <w:highlight w:val="none"/>
              </w:rPr>
            </w:pPr>
            <w:r>
              <w:rPr>
                <w:rFonts w:ascii="宋体" w:hAnsi="宋体" w:cs="宋体"/>
                <w:szCs w:val="21"/>
                <w:highlight w:val="none"/>
              </w:rPr>
              <w:t>合同金额（万元）</w:t>
            </w:r>
          </w:p>
        </w:tc>
        <w:tc>
          <w:tcPr>
            <w:tcW w:w="2298" w:type="pct"/>
            <w:gridSpan w:val="2"/>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cs="宋体"/>
                <w:szCs w:val="21"/>
                <w:highlight w:val="none"/>
              </w:rPr>
            </w:pPr>
            <w:r>
              <w:rPr>
                <w:rFonts w:ascii="宋体" w:hAnsi="宋体" w:cs="宋体"/>
                <w:szCs w:val="21"/>
                <w:highlight w:val="none"/>
              </w:rPr>
              <w:t>附件</w:t>
            </w:r>
            <w:r>
              <w:rPr>
                <w:rFonts w:hint="eastAsia" w:ascii="宋体" w:hAnsi="宋体" w:cs="宋体"/>
                <w:szCs w:val="21"/>
                <w:highlight w:val="none"/>
              </w:rPr>
              <w:t>投标文件</w:t>
            </w:r>
            <w:r>
              <w:rPr>
                <w:rFonts w:ascii="宋体" w:hAnsi="宋体" w:cs="宋体"/>
                <w:szCs w:val="21"/>
                <w:highlight w:val="none"/>
              </w:rPr>
              <w:t>中页码</w:t>
            </w:r>
          </w:p>
        </w:tc>
        <w:tc>
          <w:tcPr>
            <w:tcW w:w="892" w:type="pct"/>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cs="宋体"/>
                <w:szCs w:val="21"/>
                <w:highlight w:val="none"/>
              </w:rPr>
            </w:pPr>
            <w:r>
              <w:rPr>
                <w:rFonts w:ascii="宋体" w:hAnsi="宋体" w:cs="宋体"/>
                <w:szCs w:val="21"/>
                <w:highlight w:val="none"/>
              </w:rPr>
              <w:t>采购人联系人及联系电话</w:t>
            </w:r>
          </w:p>
        </w:tc>
      </w:tr>
      <w:tr>
        <w:tblPrEx>
          <w:tblCellMar>
            <w:top w:w="0" w:type="dxa"/>
            <w:left w:w="108" w:type="dxa"/>
            <w:bottom w:w="0" w:type="dxa"/>
            <w:right w:w="108" w:type="dxa"/>
          </w:tblCellMar>
        </w:tblPrEx>
        <w:trPr>
          <w:cantSplit/>
          <w:trHeight w:val="409" w:hRule="atLeast"/>
          <w:jc w:val="center"/>
        </w:trPr>
        <w:tc>
          <w:tcPr>
            <w:tcW w:w="564" w:type="pct"/>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Fonts w:hint="eastAsia" w:ascii="宋体" w:hAnsi="宋体" w:cs="宋体"/>
                <w:szCs w:val="21"/>
                <w:highlight w:val="none"/>
              </w:rPr>
            </w:pPr>
          </w:p>
        </w:tc>
        <w:tc>
          <w:tcPr>
            <w:tcW w:w="582" w:type="pct"/>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Fonts w:hint="eastAsia" w:ascii="宋体" w:hAnsi="宋体" w:cs="宋体"/>
                <w:szCs w:val="21"/>
                <w:highlight w:val="none"/>
              </w:rPr>
            </w:pPr>
          </w:p>
        </w:tc>
        <w:tc>
          <w:tcPr>
            <w:tcW w:w="665" w:type="pct"/>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Fonts w:hint="eastAsia" w:ascii="宋体" w:hAnsi="宋体" w:cs="宋体"/>
                <w:szCs w:val="21"/>
                <w:highlight w:val="none"/>
              </w:rPr>
            </w:pPr>
          </w:p>
        </w:tc>
        <w:tc>
          <w:tcPr>
            <w:tcW w:w="831" w:type="pc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cs="宋体"/>
                <w:szCs w:val="21"/>
                <w:highlight w:val="none"/>
              </w:rPr>
            </w:pPr>
            <w:r>
              <w:rPr>
                <w:rFonts w:ascii="宋体" w:hAnsi="宋体" w:cs="宋体"/>
                <w:szCs w:val="21"/>
                <w:highlight w:val="none"/>
              </w:rPr>
              <w:t>合同</w:t>
            </w:r>
          </w:p>
        </w:tc>
        <w:tc>
          <w:tcPr>
            <w:tcW w:w="1466" w:type="pc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cs="宋体"/>
                <w:szCs w:val="21"/>
                <w:highlight w:val="none"/>
              </w:rPr>
            </w:pPr>
            <w:r>
              <w:rPr>
                <w:rFonts w:ascii="宋体" w:hAnsi="宋体" w:cs="宋体"/>
                <w:szCs w:val="21"/>
                <w:highlight w:val="none"/>
              </w:rPr>
              <w:t>中标（成交）通知书</w:t>
            </w:r>
          </w:p>
        </w:tc>
        <w:tc>
          <w:tcPr>
            <w:tcW w:w="892" w:type="pct"/>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649" w:hRule="atLeast"/>
          <w:jc w:val="center"/>
        </w:trPr>
        <w:tc>
          <w:tcPr>
            <w:tcW w:w="564" w:type="pct"/>
            <w:tcBorders>
              <w:top w:val="single" w:color="000000" w:sz="4" w:space="0"/>
              <w:left w:val="single" w:color="000000" w:sz="4" w:space="0"/>
              <w:bottom w:val="single" w:color="000000" w:sz="4" w:space="0"/>
              <w:right w:val="single" w:color="000000" w:sz="4" w:space="0"/>
            </w:tcBorders>
          </w:tcPr>
          <w:p>
            <w:pPr>
              <w:snapToGrid w:val="0"/>
              <w:spacing w:line="440" w:lineRule="exact"/>
              <w:jc w:val="left"/>
              <w:rPr>
                <w:rFonts w:hint="eastAsia" w:ascii="宋体" w:hAnsi="宋体" w:cs="宋体"/>
                <w:szCs w:val="21"/>
                <w:highlight w:val="none"/>
              </w:rPr>
            </w:pPr>
          </w:p>
        </w:tc>
        <w:tc>
          <w:tcPr>
            <w:tcW w:w="582" w:type="pct"/>
            <w:tcBorders>
              <w:top w:val="single" w:color="000000" w:sz="4" w:space="0"/>
              <w:left w:val="single" w:color="000000" w:sz="4" w:space="0"/>
              <w:bottom w:val="single" w:color="000000" w:sz="4" w:space="0"/>
              <w:right w:val="single" w:color="000000" w:sz="4" w:space="0"/>
            </w:tcBorders>
          </w:tcPr>
          <w:p>
            <w:pPr>
              <w:snapToGrid w:val="0"/>
              <w:spacing w:line="440" w:lineRule="exact"/>
              <w:jc w:val="left"/>
              <w:rPr>
                <w:rFonts w:hint="eastAsia" w:ascii="宋体" w:hAnsi="宋体" w:cs="宋体"/>
                <w:szCs w:val="21"/>
                <w:highlight w:val="none"/>
              </w:rPr>
            </w:pPr>
          </w:p>
        </w:tc>
        <w:tc>
          <w:tcPr>
            <w:tcW w:w="665" w:type="pct"/>
            <w:tcBorders>
              <w:top w:val="single" w:color="000000" w:sz="4" w:space="0"/>
              <w:left w:val="single" w:color="000000" w:sz="4" w:space="0"/>
              <w:bottom w:val="single" w:color="000000" w:sz="4" w:space="0"/>
              <w:right w:val="single" w:color="000000" w:sz="4" w:space="0"/>
            </w:tcBorders>
          </w:tcPr>
          <w:p>
            <w:pPr>
              <w:snapToGrid w:val="0"/>
              <w:spacing w:line="440" w:lineRule="exact"/>
              <w:jc w:val="left"/>
              <w:rPr>
                <w:rFonts w:hint="eastAsia" w:ascii="宋体" w:hAnsi="宋体" w:cs="宋体"/>
                <w:szCs w:val="21"/>
                <w:highlight w:val="none"/>
              </w:rPr>
            </w:pPr>
          </w:p>
        </w:tc>
        <w:tc>
          <w:tcPr>
            <w:tcW w:w="831" w:type="pct"/>
            <w:tcBorders>
              <w:top w:val="single" w:color="000000" w:sz="4" w:space="0"/>
              <w:left w:val="single" w:color="000000" w:sz="4" w:space="0"/>
              <w:bottom w:val="single" w:color="000000" w:sz="4" w:space="0"/>
              <w:right w:val="single" w:color="000000" w:sz="4" w:space="0"/>
            </w:tcBorders>
          </w:tcPr>
          <w:p>
            <w:pPr>
              <w:snapToGrid w:val="0"/>
              <w:spacing w:line="440" w:lineRule="exact"/>
              <w:jc w:val="left"/>
              <w:rPr>
                <w:rFonts w:hint="eastAsia" w:ascii="宋体" w:hAnsi="宋体" w:cs="宋体"/>
                <w:szCs w:val="21"/>
                <w:highlight w:val="none"/>
              </w:rPr>
            </w:pPr>
          </w:p>
        </w:tc>
        <w:tc>
          <w:tcPr>
            <w:tcW w:w="1466" w:type="pct"/>
            <w:tcBorders>
              <w:top w:val="single" w:color="000000" w:sz="4" w:space="0"/>
              <w:left w:val="single" w:color="000000" w:sz="4" w:space="0"/>
              <w:bottom w:val="single" w:color="000000" w:sz="4" w:space="0"/>
              <w:right w:val="single" w:color="000000" w:sz="4" w:space="0"/>
            </w:tcBorders>
          </w:tcPr>
          <w:p>
            <w:pPr>
              <w:snapToGrid w:val="0"/>
              <w:spacing w:line="440" w:lineRule="exact"/>
              <w:jc w:val="left"/>
              <w:rPr>
                <w:rFonts w:hint="eastAsia" w:ascii="宋体" w:hAnsi="宋体" w:cs="宋体"/>
                <w:szCs w:val="21"/>
                <w:highlight w:val="none"/>
              </w:rPr>
            </w:pPr>
          </w:p>
        </w:tc>
        <w:tc>
          <w:tcPr>
            <w:tcW w:w="892" w:type="pct"/>
            <w:tcBorders>
              <w:top w:val="single" w:color="000000" w:sz="4" w:space="0"/>
              <w:left w:val="single" w:color="000000" w:sz="4" w:space="0"/>
              <w:bottom w:val="single" w:color="000000" w:sz="4" w:space="0"/>
              <w:right w:val="single" w:color="000000" w:sz="4" w:space="0"/>
            </w:tcBorders>
          </w:tcPr>
          <w:p>
            <w:pPr>
              <w:snapToGrid w:val="0"/>
              <w:spacing w:line="44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jc w:val="center"/>
        </w:trPr>
        <w:tc>
          <w:tcPr>
            <w:tcW w:w="564"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582"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665"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831"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1466"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892"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710" w:hRule="atLeast"/>
          <w:jc w:val="center"/>
        </w:trPr>
        <w:tc>
          <w:tcPr>
            <w:tcW w:w="564"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582"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665"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831"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1466"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892"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jc w:val="center"/>
        </w:trPr>
        <w:tc>
          <w:tcPr>
            <w:tcW w:w="564"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582"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665"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831"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1466"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892"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jc w:val="center"/>
        </w:trPr>
        <w:tc>
          <w:tcPr>
            <w:tcW w:w="564"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582"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665"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831"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1466"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c>
          <w:tcPr>
            <w:tcW w:w="892" w:type="pct"/>
            <w:tcBorders>
              <w:top w:val="single" w:color="000000" w:sz="4" w:space="0"/>
              <w:left w:val="single" w:color="000000" w:sz="4" w:space="0"/>
              <w:bottom w:val="single" w:color="000000" w:sz="4" w:space="0"/>
              <w:right w:val="single" w:color="000000" w:sz="4" w:space="0"/>
            </w:tcBorders>
          </w:tcPr>
          <w:p>
            <w:pPr>
              <w:snapToGrid w:val="0"/>
              <w:spacing w:before="50" w:after="165" w:afterLines="50" w:line="440" w:lineRule="exact"/>
              <w:jc w:val="left"/>
              <w:rPr>
                <w:rFonts w:hint="eastAsia" w:ascii="宋体" w:hAnsi="宋体" w:cs="宋体"/>
                <w:szCs w:val="21"/>
                <w:highlight w:val="none"/>
              </w:rPr>
            </w:pPr>
          </w:p>
        </w:tc>
      </w:tr>
    </w:tbl>
    <w:p>
      <w:pPr>
        <w:spacing w:line="360" w:lineRule="auto"/>
        <w:ind w:left="72"/>
        <w:rPr>
          <w:rFonts w:hint="eastAsia" w:ascii="宋体" w:hAnsi="宋体" w:cs="宋体"/>
          <w:szCs w:val="20"/>
          <w:highlight w:val="none"/>
        </w:rPr>
      </w:pPr>
      <w:r>
        <w:rPr>
          <w:rFonts w:hint="eastAsia" w:ascii="宋体" w:hAnsi="宋体" w:cs="宋体"/>
          <w:szCs w:val="20"/>
          <w:highlight w:val="none"/>
        </w:rPr>
        <w:t>注：投标人可按上述的格式自行编制，须随表提交</w:t>
      </w:r>
      <w:r>
        <w:rPr>
          <w:rFonts w:hint="eastAsia"/>
          <w:highlight w:val="none"/>
        </w:rPr>
        <w:t>评标办法要求的证明材料</w:t>
      </w:r>
      <w:r>
        <w:rPr>
          <w:rFonts w:hint="eastAsia" w:ascii="宋体" w:hAnsi="宋体" w:cs="宋体"/>
          <w:szCs w:val="20"/>
          <w:highlight w:val="none"/>
        </w:rPr>
        <w:t>。</w:t>
      </w:r>
    </w:p>
    <w:p>
      <w:pPr>
        <w:snapToGrid w:val="0"/>
        <w:spacing w:line="360" w:lineRule="auto"/>
        <w:rPr>
          <w:rFonts w:hint="eastAsia" w:ascii="宋体" w:hAnsi="宋体" w:cs="宋体"/>
          <w:szCs w:val="21"/>
          <w:highlight w:val="none"/>
        </w:rPr>
      </w:pPr>
    </w:p>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widowControl/>
        <w:jc w:val="left"/>
        <w:rPr>
          <w:rFonts w:cs="宋体"/>
          <w:spacing w:val="20"/>
          <w:szCs w:val="21"/>
          <w:highlight w:val="none"/>
          <w:lang w:bidi="ar"/>
        </w:rPr>
      </w:pPr>
      <w:r>
        <w:rPr>
          <w:rFonts w:cs="宋体"/>
          <w:spacing w:val="20"/>
          <w:szCs w:val="21"/>
          <w:highlight w:val="none"/>
          <w:lang w:bidi="ar"/>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6.</w:t>
      </w:r>
      <w:bookmarkStart w:id="264" w:name="OLE_LINK60"/>
      <w:r>
        <w:rPr>
          <w:rFonts w:hint="eastAsia" w:ascii="宋体" w:hAnsi="宋体"/>
          <w:b/>
          <w:bCs/>
          <w:szCs w:val="21"/>
          <w:highlight w:val="none"/>
          <w:lang w:bidi="ar"/>
        </w:rPr>
        <w:t>项目实施人员一览表</w:t>
      </w:r>
      <w:bookmarkEnd w:id="264"/>
    </w:p>
    <w:p>
      <w:pPr>
        <w:spacing w:before="331" w:beforeLines="100" w:after="331" w:afterLines="100" w:line="320" w:lineRule="exact"/>
        <w:jc w:val="center"/>
        <w:rPr>
          <w:rFonts w:hint="eastAsia" w:ascii="宋体" w:hAnsi="宋体"/>
          <w:b/>
          <w:szCs w:val="21"/>
          <w:highlight w:val="none"/>
        </w:rPr>
      </w:pPr>
      <w:r>
        <w:rPr>
          <w:rFonts w:hint="eastAsia" w:ascii="宋体" w:hAnsi="宋体"/>
          <w:b/>
          <w:szCs w:val="21"/>
          <w:highlight w:val="none"/>
        </w:rPr>
        <w:t>项目</w:t>
      </w:r>
      <w:r>
        <w:rPr>
          <w:rFonts w:ascii="宋体" w:hAnsi="宋体"/>
          <w:b/>
          <w:szCs w:val="21"/>
          <w:highlight w:val="none"/>
        </w:rPr>
        <w:t>实施人员一览表</w:t>
      </w:r>
    </w:p>
    <w:p>
      <w:pPr>
        <w:spacing w:line="360" w:lineRule="auto"/>
        <w:rPr>
          <w:rFonts w:hint="eastAsia" w:ascii="宋体" w:hAnsi="宋体" w:cs="仿宋_GB2312"/>
          <w:kern w:val="0"/>
          <w:szCs w:val="21"/>
          <w:highlight w:val="none"/>
          <w:u w:val="single"/>
        </w:rPr>
      </w:pPr>
      <w:r>
        <w:rPr>
          <w:rFonts w:hint="eastAsia" w:ascii="宋体" w:hAnsi="宋体" w:cs="仿宋_GB2312"/>
          <w:kern w:val="0"/>
          <w:szCs w:val="21"/>
          <w:highlight w:val="none"/>
        </w:rPr>
        <w:t>项目名称：</w:t>
      </w:r>
    </w:p>
    <w:p>
      <w:pPr>
        <w:spacing w:line="360" w:lineRule="auto"/>
        <w:rPr>
          <w:rFonts w:ascii="宋体" w:hAnsi="Courier New"/>
          <w:kern w:val="0"/>
          <w:sz w:val="20"/>
          <w:szCs w:val="21"/>
          <w:highlight w:val="none"/>
        </w:rPr>
      </w:pPr>
      <w:r>
        <w:rPr>
          <w:rFonts w:hint="eastAsia" w:ascii="宋体" w:hAnsi="Courier New"/>
          <w:kern w:val="0"/>
          <w:szCs w:val="21"/>
          <w:highlight w:val="none"/>
        </w:rPr>
        <w:t>项目编</w:t>
      </w:r>
      <w:r>
        <w:rPr>
          <w:rFonts w:hint="eastAsia" w:ascii="宋体" w:hAnsi="Courier New"/>
          <w:kern w:val="0"/>
          <w:sz w:val="20"/>
          <w:szCs w:val="21"/>
          <w:highlight w:val="none"/>
        </w:rPr>
        <w:t>号：</w:t>
      </w:r>
    </w:p>
    <w:p>
      <w:pPr>
        <w:spacing w:line="360" w:lineRule="auto"/>
        <w:rPr>
          <w:rFonts w:hint="eastAsia" w:ascii="宋体" w:hAnsi="宋体" w:cs="仿宋_GB2312"/>
          <w:kern w:val="0"/>
          <w:szCs w:val="21"/>
          <w:highlight w:val="none"/>
        </w:rPr>
      </w:pPr>
      <w:r>
        <w:rPr>
          <w:rFonts w:hint="eastAsia" w:ascii="宋体" w:hAnsi="宋体" w:cs="仿宋_GB2312"/>
          <w:kern w:val="0"/>
          <w:szCs w:val="21"/>
          <w:highlight w:val="none"/>
        </w:rPr>
        <w:t>分标名称：</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707"/>
        <w:gridCol w:w="709"/>
        <w:gridCol w:w="648"/>
        <w:gridCol w:w="685"/>
        <w:gridCol w:w="1360"/>
        <w:gridCol w:w="707"/>
        <w:gridCol w:w="709"/>
        <w:gridCol w:w="707"/>
        <w:gridCol w:w="71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98"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序号</w:t>
            </w:r>
          </w:p>
        </w:tc>
        <w:tc>
          <w:tcPr>
            <w:tcW w:w="415"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姓名</w:t>
            </w:r>
          </w:p>
        </w:tc>
        <w:tc>
          <w:tcPr>
            <w:tcW w:w="416"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性别</w:t>
            </w:r>
          </w:p>
        </w:tc>
        <w:tc>
          <w:tcPr>
            <w:tcW w:w="380"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学历</w:t>
            </w:r>
          </w:p>
        </w:tc>
        <w:tc>
          <w:tcPr>
            <w:tcW w:w="402"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职务</w:t>
            </w:r>
          </w:p>
        </w:tc>
        <w:tc>
          <w:tcPr>
            <w:tcW w:w="798" w:type="pct"/>
            <w:vAlign w:val="center"/>
          </w:tcPr>
          <w:p>
            <w:pPr>
              <w:snapToGrid w:val="0"/>
              <w:spacing w:before="50" w:after="165" w:afterLines="50"/>
              <w:jc w:val="center"/>
              <w:rPr>
                <w:rFonts w:hint="eastAsia" w:ascii="宋体" w:hAnsi="宋体"/>
                <w:szCs w:val="21"/>
                <w:highlight w:val="none"/>
              </w:rPr>
            </w:pPr>
            <w:r>
              <w:rPr>
                <w:rFonts w:hint="eastAsia" w:hAnsi="宋体"/>
                <w:szCs w:val="21"/>
                <w:highlight w:val="none"/>
              </w:rPr>
              <w:t>证书名称及专业</w:t>
            </w:r>
          </w:p>
        </w:tc>
        <w:tc>
          <w:tcPr>
            <w:tcW w:w="415" w:type="pct"/>
            <w:vAlign w:val="center"/>
          </w:tcPr>
          <w:p>
            <w:pPr>
              <w:snapToGrid w:val="0"/>
              <w:spacing w:before="50" w:after="165" w:afterLines="50"/>
              <w:jc w:val="center"/>
              <w:rPr>
                <w:rFonts w:hint="eastAsia" w:ascii="宋体" w:hAnsi="宋体"/>
                <w:szCs w:val="21"/>
                <w:highlight w:val="none"/>
              </w:rPr>
            </w:pPr>
            <w:r>
              <w:rPr>
                <w:rFonts w:hint="eastAsia" w:hAnsi="宋体"/>
                <w:szCs w:val="21"/>
                <w:highlight w:val="none"/>
              </w:rPr>
              <w:t>证书编号</w:t>
            </w:r>
          </w:p>
        </w:tc>
        <w:tc>
          <w:tcPr>
            <w:tcW w:w="416"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身份证号</w:t>
            </w:r>
          </w:p>
        </w:tc>
        <w:tc>
          <w:tcPr>
            <w:tcW w:w="415"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联系电话</w:t>
            </w:r>
          </w:p>
        </w:tc>
        <w:tc>
          <w:tcPr>
            <w:tcW w:w="417"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是否驻场</w:t>
            </w:r>
          </w:p>
        </w:tc>
        <w:tc>
          <w:tcPr>
            <w:tcW w:w="529"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8"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1</w:t>
            </w:r>
          </w:p>
        </w:tc>
        <w:tc>
          <w:tcPr>
            <w:tcW w:w="415" w:type="pct"/>
            <w:vAlign w:val="center"/>
          </w:tcPr>
          <w:p>
            <w:pPr>
              <w:snapToGrid w:val="0"/>
              <w:spacing w:before="50" w:after="165" w:afterLines="50"/>
              <w:jc w:val="center"/>
              <w:rPr>
                <w:rFonts w:hint="eastAsia" w:ascii="宋体" w:hAnsi="宋体"/>
                <w:szCs w:val="21"/>
                <w:highlight w:val="none"/>
              </w:rPr>
            </w:pPr>
          </w:p>
        </w:tc>
        <w:tc>
          <w:tcPr>
            <w:tcW w:w="416" w:type="pct"/>
            <w:vAlign w:val="center"/>
          </w:tcPr>
          <w:p>
            <w:pPr>
              <w:snapToGrid w:val="0"/>
              <w:spacing w:before="50" w:after="165" w:afterLines="50"/>
              <w:jc w:val="center"/>
              <w:rPr>
                <w:rFonts w:hint="eastAsia" w:ascii="宋体" w:hAnsi="宋体"/>
                <w:szCs w:val="21"/>
                <w:highlight w:val="none"/>
              </w:rPr>
            </w:pPr>
          </w:p>
        </w:tc>
        <w:tc>
          <w:tcPr>
            <w:tcW w:w="380" w:type="pct"/>
            <w:vAlign w:val="center"/>
          </w:tcPr>
          <w:p>
            <w:pPr>
              <w:snapToGrid w:val="0"/>
              <w:spacing w:before="50" w:after="165" w:afterLines="50"/>
              <w:jc w:val="center"/>
              <w:rPr>
                <w:rFonts w:hint="eastAsia" w:ascii="宋体" w:hAnsi="宋体"/>
                <w:szCs w:val="21"/>
                <w:highlight w:val="none"/>
              </w:rPr>
            </w:pPr>
          </w:p>
        </w:tc>
        <w:tc>
          <w:tcPr>
            <w:tcW w:w="402" w:type="pct"/>
            <w:vAlign w:val="center"/>
          </w:tcPr>
          <w:p>
            <w:pPr>
              <w:snapToGrid w:val="0"/>
              <w:spacing w:before="50" w:after="165" w:afterLines="50"/>
              <w:jc w:val="center"/>
              <w:rPr>
                <w:rFonts w:hint="eastAsia" w:ascii="宋体" w:hAnsi="宋体"/>
                <w:szCs w:val="21"/>
                <w:highlight w:val="none"/>
              </w:rPr>
            </w:pPr>
          </w:p>
        </w:tc>
        <w:tc>
          <w:tcPr>
            <w:tcW w:w="798" w:type="pct"/>
          </w:tcPr>
          <w:p>
            <w:pPr>
              <w:snapToGrid w:val="0"/>
              <w:spacing w:before="50" w:after="165" w:afterLines="50"/>
              <w:jc w:val="center"/>
              <w:rPr>
                <w:rFonts w:hint="eastAsia" w:ascii="宋体" w:hAnsi="宋体"/>
                <w:szCs w:val="21"/>
                <w:highlight w:val="none"/>
              </w:rPr>
            </w:pPr>
          </w:p>
        </w:tc>
        <w:tc>
          <w:tcPr>
            <w:tcW w:w="415" w:type="pct"/>
            <w:vAlign w:val="center"/>
          </w:tcPr>
          <w:p>
            <w:pPr>
              <w:snapToGrid w:val="0"/>
              <w:spacing w:before="50" w:after="165" w:afterLines="50"/>
              <w:jc w:val="center"/>
              <w:rPr>
                <w:rFonts w:hint="eastAsia" w:ascii="宋体" w:hAnsi="宋体"/>
                <w:szCs w:val="21"/>
                <w:highlight w:val="none"/>
              </w:rPr>
            </w:pPr>
          </w:p>
        </w:tc>
        <w:tc>
          <w:tcPr>
            <w:tcW w:w="416" w:type="pct"/>
            <w:vAlign w:val="center"/>
          </w:tcPr>
          <w:p>
            <w:pPr>
              <w:snapToGrid w:val="0"/>
              <w:spacing w:before="50" w:after="165" w:afterLines="50"/>
              <w:jc w:val="center"/>
              <w:rPr>
                <w:rFonts w:hint="eastAsia" w:ascii="宋体" w:hAnsi="宋体"/>
                <w:szCs w:val="21"/>
                <w:highlight w:val="none"/>
              </w:rPr>
            </w:pPr>
          </w:p>
        </w:tc>
        <w:tc>
          <w:tcPr>
            <w:tcW w:w="415" w:type="pct"/>
            <w:vAlign w:val="center"/>
          </w:tcPr>
          <w:p>
            <w:pPr>
              <w:snapToGrid w:val="0"/>
              <w:spacing w:before="50" w:after="165" w:afterLines="50"/>
              <w:jc w:val="center"/>
              <w:rPr>
                <w:rFonts w:hint="eastAsia" w:ascii="宋体" w:hAnsi="宋体"/>
                <w:szCs w:val="21"/>
                <w:highlight w:val="none"/>
              </w:rPr>
            </w:pPr>
          </w:p>
        </w:tc>
        <w:tc>
          <w:tcPr>
            <w:tcW w:w="417" w:type="pct"/>
            <w:vAlign w:val="center"/>
          </w:tcPr>
          <w:p>
            <w:pPr>
              <w:snapToGrid w:val="0"/>
              <w:spacing w:before="50" w:after="165" w:afterLines="50"/>
              <w:jc w:val="center"/>
              <w:rPr>
                <w:rFonts w:hint="eastAsia" w:ascii="宋体" w:hAnsi="宋体"/>
                <w:szCs w:val="21"/>
                <w:highlight w:val="none"/>
              </w:rPr>
            </w:pPr>
          </w:p>
        </w:tc>
        <w:tc>
          <w:tcPr>
            <w:tcW w:w="529" w:type="pct"/>
            <w:vAlign w:val="center"/>
          </w:tcPr>
          <w:p>
            <w:pPr>
              <w:snapToGrid w:val="0"/>
              <w:spacing w:before="50" w:after="165" w:afterLines="5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98"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2</w:t>
            </w:r>
          </w:p>
        </w:tc>
        <w:tc>
          <w:tcPr>
            <w:tcW w:w="415" w:type="pct"/>
            <w:vAlign w:val="center"/>
          </w:tcPr>
          <w:p>
            <w:pPr>
              <w:snapToGrid w:val="0"/>
              <w:spacing w:before="50" w:after="165" w:afterLines="50"/>
              <w:jc w:val="center"/>
              <w:rPr>
                <w:rFonts w:hint="eastAsia" w:ascii="宋体" w:hAnsi="宋体"/>
                <w:szCs w:val="21"/>
                <w:highlight w:val="none"/>
              </w:rPr>
            </w:pPr>
          </w:p>
        </w:tc>
        <w:tc>
          <w:tcPr>
            <w:tcW w:w="416" w:type="pct"/>
            <w:vAlign w:val="center"/>
          </w:tcPr>
          <w:p>
            <w:pPr>
              <w:snapToGrid w:val="0"/>
              <w:spacing w:before="50" w:after="165" w:afterLines="50"/>
              <w:jc w:val="center"/>
              <w:rPr>
                <w:rFonts w:hint="eastAsia" w:ascii="宋体" w:hAnsi="宋体"/>
                <w:szCs w:val="21"/>
                <w:highlight w:val="none"/>
              </w:rPr>
            </w:pPr>
          </w:p>
        </w:tc>
        <w:tc>
          <w:tcPr>
            <w:tcW w:w="380" w:type="pct"/>
            <w:vAlign w:val="center"/>
          </w:tcPr>
          <w:p>
            <w:pPr>
              <w:snapToGrid w:val="0"/>
              <w:spacing w:before="50" w:after="165" w:afterLines="50"/>
              <w:jc w:val="center"/>
              <w:rPr>
                <w:rFonts w:hint="eastAsia" w:ascii="宋体" w:hAnsi="宋体"/>
                <w:szCs w:val="21"/>
                <w:highlight w:val="none"/>
              </w:rPr>
            </w:pPr>
          </w:p>
        </w:tc>
        <w:tc>
          <w:tcPr>
            <w:tcW w:w="402" w:type="pct"/>
            <w:vAlign w:val="center"/>
          </w:tcPr>
          <w:p>
            <w:pPr>
              <w:snapToGrid w:val="0"/>
              <w:spacing w:before="50" w:after="165" w:afterLines="50"/>
              <w:jc w:val="center"/>
              <w:rPr>
                <w:rFonts w:hint="eastAsia" w:ascii="宋体" w:hAnsi="宋体"/>
                <w:szCs w:val="21"/>
                <w:highlight w:val="none"/>
              </w:rPr>
            </w:pPr>
          </w:p>
        </w:tc>
        <w:tc>
          <w:tcPr>
            <w:tcW w:w="798" w:type="pct"/>
          </w:tcPr>
          <w:p>
            <w:pPr>
              <w:snapToGrid w:val="0"/>
              <w:spacing w:before="50" w:after="165" w:afterLines="50"/>
              <w:jc w:val="center"/>
              <w:rPr>
                <w:rFonts w:hint="eastAsia" w:ascii="宋体" w:hAnsi="宋体"/>
                <w:szCs w:val="21"/>
                <w:highlight w:val="none"/>
              </w:rPr>
            </w:pPr>
          </w:p>
        </w:tc>
        <w:tc>
          <w:tcPr>
            <w:tcW w:w="415" w:type="pct"/>
            <w:vAlign w:val="center"/>
          </w:tcPr>
          <w:p>
            <w:pPr>
              <w:snapToGrid w:val="0"/>
              <w:spacing w:before="50" w:after="165" w:afterLines="50"/>
              <w:jc w:val="center"/>
              <w:rPr>
                <w:rFonts w:hint="eastAsia" w:ascii="宋体" w:hAnsi="宋体"/>
                <w:szCs w:val="21"/>
                <w:highlight w:val="none"/>
              </w:rPr>
            </w:pPr>
          </w:p>
        </w:tc>
        <w:tc>
          <w:tcPr>
            <w:tcW w:w="416" w:type="pct"/>
            <w:vAlign w:val="center"/>
          </w:tcPr>
          <w:p>
            <w:pPr>
              <w:snapToGrid w:val="0"/>
              <w:spacing w:before="50" w:after="165" w:afterLines="50"/>
              <w:jc w:val="center"/>
              <w:rPr>
                <w:rFonts w:hint="eastAsia" w:ascii="宋体" w:hAnsi="宋体"/>
                <w:szCs w:val="21"/>
                <w:highlight w:val="none"/>
              </w:rPr>
            </w:pPr>
          </w:p>
        </w:tc>
        <w:tc>
          <w:tcPr>
            <w:tcW w:w="415" w:type="pct"/>
            <w:vAlign w:val="center"/>
          </w:tcPr>
          <w:p>
            <w:pPr>
              <w:snapToGrid w:val="0"/>
              <w:spacing w:before="50" w:after="165" w:afterLines="50"/>
              <w:jc w:val="center"/>
              <w:rPr>
                <w:rFonts w:hint="eastAsia" w:ascii="宋体" w:hAnsi="宋体"/>
                <w:szCs w:val="21"/>
                <w:highlight w:val="none"/>
              </w:rPr>
            </w:pPr>
          </w:p>
        </w:tc>
        <w:tc>
          <w:tcPr>
            <w:tcW w:w="417" w:type="pct"/>
            <w:vAlign w:val="center"/>
          </w:tcPr>
          <w:p>
            <w:pPr>
              <w:snapToGrid w:val="0"/>
              <w:spacing w:before="50" w:after="165" w:afterLines="50"/>
              <w:jc w:val="center"/>
              <w:rPr>
                <w:rFonts w:hint="eastAsia" w:ascii="宋体" w:hAnsi="宋体"/>
                <w:szCs w:val="21"/>
                <w:highlight w:val="none"/>
              </w:rPr>
            </w:pPr>
          </w:p>
        </w:tc>
        <w:tc>
          <w:tcPr>
            <w:tcW w:w="529" w:type="pct"/>
            <w:vAlign w:val="center"/>
          </w:tcPr>
          <w:p>
            <w:pPr>
              <w:snapToGrid w:val="0"/>
              <w:spacing w:before="50" w:after="165" w:afterLines="5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8"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3</w:t>
            </w:r>
          </w:p>
        </w:tc>
        <w:tc>
          <w:tcPr>
            <w:tcW w:w="415" w:type="pct"/>
            <w:vAlign w:val="center"/>
          </w:tcPr>
          <w:p>
            <w:pPr>
              <w:snapToGrid w:val="0"/>
              <w:spacing w:before="50" w:after="165" w:afterLines="50"/>
              <w:jc w:val="center"/>
              <w:rPr>
                <w:rFonts w:hint="eastAsia" w:ascii="宋体" w:hAnsi="宋体"/>
                <w:szCs w:val="21"/>
                <w:highlight w:val="none"/>
              </w:rPr>
            </w:pPr>
          </w:p>
        </w:tc>
        <w:tc>
          <w:tcPr>
            <w:tcW w:w="416" w:type="pct"/>
            <w:vAlign w:val="center"/>
          </w:tcPr>
          <w:p>
            <w:pPr>
              <w:snapToGrid w:val="0"/>
              <w:spacing w:before="50" w:after="165" w:afterLines="50"/>
              <w:jc w:val="center"/>
              <w:rPr>
                <w:rFonts w:hint="eastAsia" w:ascii="宋体" w:hAnsi="宋体"/>
                <w:szCs w:val="21"/>
                <w:highlight w:val="none"/>
              </w:rPr>
            </w:pPr>
          </w:p>
        </w:tc>
        <w:tc>
          <w:tcPr>
            <w:tcW w:w="380" w:type="pct"/>
            <w:vAlign w:val="center"/>
          </w:tcPr>
          <w:p>
            <w:pPr>
              <w:snapToGrid w:val="0"/>
              <w:spacing w:before="50" w:after="165" w:afterLines="50"/>
              <w:jc w:val="center"/>
              <w:rPr>
                <w:rFonts w:hint="eastAsia" w:ascii="宋体" w:hAnsi="宋体"/>
                <w:szCs w:val="21"/>
                <w:highlight w:val="none"/>
              </w:rPr>
            </w:pPr>
          </w:p>
        </w:tc>
        <w:tc>
          <w:tcPr>
            <w:tcW w:w="402" w:type="pct"/>
            <w:vAlign w:val="center"/>
          </w:tcPr>
          <w:p>
            <w:pPr>
              <w:snapToGrid w:val="0"/>
              <w:spacing w:before="50" w:after="165" w:afterLines="50"/>
              <w:jc w:val="center"/>
              <w:rPr>
                <w:rFonts w:hint="eastAsia" w:ascii="宋体" w:hAnsi="宋体"/>
                <w:szCs w:val="21"/>
                <w:highlight w:val="none"/>
              </w:rPr>
            </w:pPr>
          </w:p>
        </w:tc>
        <w:tc>
          <w:tcPr>
            <w:tcW w:w="798" w:type="pct"/>
          </w:tcPr>
          <w:p>
            <w:pPr>
              <w:snapToGrid w:val="0"/>
              <w:spacing w:before="50" w:after="165" w:afterLines="50"/>
              <w:jc w:val="center"/>
              <w:rPr>
                <w:rFonts w:hint="eastAsia" w:ascii="宋体" w:hAnsi="宋体"/>
                <w:szCs w:val="21"/>
                <w:highlight w:val="none"/>
              </w:rPr>
            </w:pPr>
          </w:p>
        </w:tc>
        <w:tc>
          <w:tcPr>
            <w:tcW w:w="415" w:type="pct"/>
            <w:vAlign w:val="center"/>
          </w:tcPr>
          <w:p>
            <w:pPr>
              <w:snapToGrid w:val="0"/>
              <w:spacing w:before="50" w:after="165" w:afterLines="50"/>
              <w:jc w:val="center"/>
              <w:rPr>
                <w:rFonts w:hint="eastAsia" w:ascii="宋体" w:hAnsi="宋体"/>
                <w:szCs w:val="21"/>
                <w:highlight w:val="none"/>
              </w:rPr>
            </w:pPr>
          </w:p>
        </w:tc>
        <w:tc>
          <w:tcPr>
            <w:tcW w:w="416" w:type="pct"/>
            <w:vAlign w:val="center"/>
          </w:tcPr>
          <w:p>
            <w:pPr>
              <w:snapToGrid w:val="0"/>
              <w:spacing w:before="50" w:after="165" w:afterLines="50"/>
              <w:jc w:val="center"/>
              <w:rPr>
                <w:rFonts w:hint="eastAsia" w:ascii="宋体" w:hAnsi="宋体"/>
                <w:szCs w:val="21"/>
                <w:highlight w:val="none"/>
              </w:rPr>
            </w:pPr>
          </w:p>
        </w:tc>
        <w:tc>
          <w:tcPr>
            <w:tcW w:w="415" w:type="pct"/>
            <w:vAlign w:val="center"/>
          </w:tcPr>
          <w:p>
            <w:pPr>
              <w:snapToGrid w:val="0"/>
              <w:spacing w:before="50" w:after="165" w:afterLines="50"/>
              <w:jc w:val="center"/>
              <w:rPr>
                <w:rFonts w:hint="eastAsia" w:ascii="宋体" w:hAnsi="宋体"/>
                <w:szCs w:val="21"/>
                <w:highlight w:val="none"/>
              </w:rPr>
            </w:pPr>
          </w:p>
        </w:tc>
        <w:tc>
          <w:tcPr>
            <w:tcW w:w="417" w:type="pct"/>
            <w:vAlign w:val="center"/>
          </w:tcPr>
          <w:p>
            <w:pPr>
              <w:snapToGrid w:val="0"/>
              <w:spacing w:before="50" w:after="165" w:afterLines="50"/>
              <w:jc w:val="center"/>
              <w:rPr>
                <w:rFonts w:hint="eastAsia" w:ascii="宋体" w:hAnsi="宋体"/>
                <w:szCs w:val="21"/>
                <w:highlight w:val="none"/>
              </w:rPr>
            </w:pPr>
          </w:p>
        </w:tc>
        <w:tc>
          <w:tcPr>
            <w:tcW w:w="529" w:type="pct"/>
            <w:vAlign w:val="center"/>
          </w:tcPr>
          <w:p>
            <w:pPr>
              <w:snapToGrid w:val="0"/>
              <w:spacing w:before="50" w:after="165" w:afterLines="5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8"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w:t>
            </w:r>
          </w:p>
        </w:tc>
        <w:tc>
          <w:tcPr>
            <w:tcW w:w="415" w:type="pct"/>
            <w:vAlign w:val="center"/>
          </w:tcPr>
          <w:p>
            <w:pPr>
              <w:snapToGrid w:val="0"/>
              <w:spacing w:before="50" w:after="165" w:afterLines="50"/>
              <w:jc w:val="center"/>
              <w:rPr>
                <w:rFonts w:hint="eastAsia" w:ascii="宋体" w:hAnsi="宋体"/>
                <w:szCs w:val="21"/>
                <w:highlight w:val="none"/>
              </w:rPr>
            </w:pPr>
          </w:p>
        </w:tc>
        <w:tc>
          <w:tcPr>
            <w:tcW w:w="416" w:type="pct"/>
            <w:vAlign w:val="center"/>
          </w:tcPr>
          <w:p>
            <w:pPr>
              <w:snapToGrid w:val="0"/>
              <w:spacing w:before="50" w:after="165" w:afterLines="50"/>
              <w:jc w:val="center"/>
              <w:rPr>
                <w:rFonts w:hint="eastAsia" w:ascii="宋体" w:hAnsi="宋体"/>
                <w:szCs w:val="21"/>
                <w:highlight w:val="none"/>
              </w:rPr>
            </w:pPr>
          </w:p>
        </w:tc>
        <w:tc>
          <w:tcPr>
            <w:tcW w:w="380" w:type="pct"/>
            <w:vAlign w:val="center"/>
          </w:tcPr>
          <w:p>
            <w:pPr>
              <w:snapToGrid w:val="0"/>
              <w:spacing w:before="50" w:after="165" w:afterLines="50"/>
              <w:jc w:val="center"/>
              <w:rPr>
                <w:rFonts w:hint="eastAsia" w:ascii="宋体" w:hAnsi="宋体"/>
                <w:szCs w:val="21"/>
                <w:highlight w:val="none"/>
              </w:rPr>
            </w:pPr>
          </w:p>
        </w:tc>
        <w:tc>
          <w:tcPr>
            <w:tcW w:w="402" w:type="pct"/>
            <w:vAlign w:val="center"/>
          </w:tcPr>
          <w:p>
            <w:pPr>
              <w:snapToGrid w:val="0"/>
              <w:spacing w:before="50" w:after="165" w:afterLines="50"/>
              <w:jc w:val="center"/>
              <w:rPr>
                <w:rFonts w:hint="eastAsia" w:ascii="宋体" w:hAnsi="宋体"/>
                <w:szCs w:val="21"/>
                <w:highlight w:val="none"/>
              </w:rPr>
            </w:pPr>
          </w:p>
        </w:tc>
        <w:tc>
          <w:tcPr>
            <w:tcW w:w="798" w:type="pct"/>
          </w:tcPr>
          <w:p>
            <w:pPr>
              <w:snapToGrid w:val="0"/>
              <w:spacing w:before="50" w:after="165" w:afterLines="50"/>
              <w:jc w:val="center"/>
              <w:rPr>
                <w:rFonts w:hint="eastAsia" w:ascii="宋体" w:hAnsi="宋体"/>
                <w:szCs w:val="21"/>
                <w:highlight w:val="none"/>
              </w:rPr>
            </w:pPr>
          </w:p>
        </w:tc>
        <w:tc>
          <w:tcPr>
            <w:tcW w:w="415" w:type="pct"/>
            <w:vAlign w:val="center"/>
          </w:tcPr>
          <w:p>
            <w:pPr>
              <w:snapToGrid w:val="0"/>
              <w:spacing w:before="50" w:after="165" w:afterLines="50"/>
              <w:jc w:val="center"/>
              <w:rPr>
                <w:rFonts w:hint="eastAsia" w:ascii="宋体" w:hAnsi="宋体"/>
                <w:szCs w:val="21"/>
                <w:highlight w:val="none"/>
              </w:rPr>
            </w:pPr>
          </w:p>
        </w:tc>
        <w:tc>
          <w:tcPr>
            <w:tcW w:w="416" w:type="pct"/>
            <w:vAlign w:val="center"/>
          </w:tcPr>
          <w:p>
            <w:pPr>
              <w:snapToGrid w:val="0"/>
              <w:spacing w:before="50" w:after="165" w:afterLines="50"/>
              <w:jc w:val="center"/>
              <w:rPr>
                <w:rFonts w:hint="eastAsia" w:ascii="宋体" w:hAnsi="宋体"/>
                <w:szCs w:val="21"/>
                <w:highlight w:val="none"/>
              </w:rPr>
            </w:pPr>
          </w:p>
        </w:tc>
        <w:tc>
          <w:tcPr>
            <w:tcW w:w="415" w:type="pct"/>
            <w:vAlign w:val="center"/>
          </w:tcPr>
          <w:p>
            <w:pPr>
              <w:snapToGrid w:val="0"/>
              <w:spacing w:before="50" w:after="165" w:afterLines="50"/>
              <w:jc w:val="center"/>
              <w:rPr>
                <w:rFonts w:hint="eastAsia" w:ascii="宋体" w:hAnsi="宋体"/>
                <w:szCs w:val="21"/>
                <w:highlight w:val="none"/>
              </w:rPr>
            </w:pPr>
          </w:p>
        </w:tc>
        <w:tc>
          <w:tcPr>
            <w:tcW w:w="417" w:type="pct"/>
            <w:vAlign w:val="center"/>
          </w:tcPr>
          <w:p>
            <w:pPr>
              <w:snapToGrid w:val="0"/>
              <w:spacing w:before="50" w:after="165" w:afterLines="50"/>
              <w:jc w:val="center"/>
              <w:rPr>
                <w:rFonts w:hint="eastAsia" w:ascii="宋体" w:hAnsi="宋体"/>
                <w:szCs w:val="21"/>
                <w:highlight w:val="none"/>
              </w:rPr>
            </w:pPr>
          </w:p>
        </w:tc>
        <w:tc>
          <w:tcPr>
            <w:tcW w:w="529" w:type="pct"/>
            <w:vAlign w:val="center"/>
          </w:tcPr>
          <w:p>
            <w:pPr>
              <w:snapToGrid w:val="0"/>
              <w:spacing w:before="50" w:after="165" w:afterLines="5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8" w:type="pct"/>
            <w:vAlign w:val="center"/>
          </w:tcPr>
          <w:p>
            <w:pPr>
              <w:snapToGrid w:val="0"/>
              <w:spacing w:before="50" w:after="165" w:afterLines="50"/>
              <w:jc w:val="center"/>
              <w:rPr>
                <w:rFonts w:hint="eastAsia" w:ascii="宋体" w:hAnsi="宋体"/>
                <w:szCs w:val="21"/>
                <w:highlight w:val="none"/>
              </w:rPr>
            </w:pPr>
            <w:r>
              <w:rPr>
                <w:rFonts w:hint="eastAsia" w:ascii="宋体" w:hAnsi="宋体"/>
                <w:szCs w:val="21"/>
                <w:highlight w:val="none"/>
              </w:rPr>
              <w:t>N</w:t>
            </w:r>
          </w:p>
        </w:tc>
        <w:tc>
          <w:tcPr>
            <w:tcW w:w="415" w:type="pct"/>
            <w:vAlign w:val="center"/>
          </w:tcPr>
          <w:p>
            <w:pPr>
              <w:snapToGrid w:val="0"/>
              <w:spacing w:before="50" w:after="165" w:afterLines="50"/>
              <w:jc w:val="center"/>
              <w:rPr>
                <w:rFonts w:hint="eastAsia" w:ascii="宋体" w:hAnsi="宋体"/>
                <w:szCs w:val="21"/>
                <w:highlight w:val="none"/>
              </w:rPr>
            </w:pPr>
          </w:p>
        </w:tc>
        <w:tc>
          <w:tcPr>
            <w:tcW w:w="416" w:type="pct"/>
            <w:vAlign w:val="center"/>
          </w:tcPr>
          <w:p>
            <w:pPr>
              <w:snapToGrid w:val="0"/>
              <w:spacing w:before="50" w:after="165" w:afterLines="50"/>
              <w:jc w:val="center"/>
              <w:rPr>
                <w:rFonts w:hint="eastAsia" w:ascii="宋体" w:hAnsi="宋体"/>
                <w:szCs w:val="21"/>
                <w:highlight w:val="none"/>
              </w:rPr>
            </w:pPr>
          </w:p>
        </w:tc>
        <w:tc>
          <w:tcPr>
            <w:tcW w:w="380" w:type="pct"/>
            <w:vAlign w:val="center"/>
          </w:tcPr>
          <w:p>
            <w:pPr>
              <w:snapToGrid w:val="0"/>
              <w:spacing w:before="50" w:after="165" w:afterLines="50"/>
              <w:jc w:val="center"/>
              <w:rPr>
                <w:rFonts w:hint="eastAsia" w:ascii="宋体" w:hAnsi="宋体"/>
                <w:szCs w:val="21"/>
                <w:highlight w:val="none"/>
              </w:rPr>
            </w:pPr>
          </w:p>
        </w:tc>
        <w:tc>
          <w:tcPr>
            <w:tcW w:w="402" w:type="pct"/>
            <w:vAlign w:val="center"/>
          </w:tcPr>
          <w:p>
            <w:pPr>
              <w:snapToGrid w:val="0"/>
              <w:spacing w:before="50" w:after="165" w:afterLines="50"/>
              <w:jc w:val="center"/>
              <w:rPr>
                <w:rFonts w:hint="eastAsia" w:ascii="宋体" w:hAnsi="宋体"/>
                <w:szCs w:val="21"/>
                <w:highlight w:val="none"/>
              </w:rPr>
            </w:pPr>
          </w:p>
        </w:tc>
        <w:tc>
          <w:tcPr>
            <w:tcW w:w="798" w:type="pct"/>
          </w:tcPr>
          <w:p>
            <w:pPr>
              <w:snapToGrid w:val="0"/>
              <w:spacing w:before="50" w:after="165" w:afterLines="50"/>
              <w:jc w:val="center"/>
              <w:rPr>
                <w:rFonts w:hint="eastAsia" w:ascii="宋体" w:hAnsi="宋体"/>
                <w:szCs w:val="21"/>
                <w:highlight w:val="none"/>
              </w:rPr>
            </w:pPr>
          </w:p>
        </w:tc>
        <w:tc>
          <w:tcPr>
            <w:tcW w:w="415" w:type="pct"/>
            <w:vAlign w:val="center"/>
          </w:tcPr>
          <w:p>
            <w:pPr>
              <w:snapToGrid w:val="0"/>
              <w:spacing w:before="50" w:after="165" w:afterLines="50"/>
              <w:jc w:val="center"/>
              <w:rPr>
                <w:rFonts w:hint="eastAsia" w:ascii="宋体" w:hAnsi="宋体"/>
                <w:szCs w:val="21"/>
                <w:highlight w:val="none"/>
              </w:rPr>
            </w:pPr>
          </w:p>
        </w:tc>
        <w:tc>
          <w:tcPr>
            <w:tcW w:w="416" w:type="pct"/>
            <w:vAlign w:val="center"/>
          </w:tcPr>
          <w:p>
            <w:pPr>
              <w:snapToGrid w:val="0"/>
              <w:spacing w:before="50" w:after="165" w:afterLines="50"/>
              <w:jc w:val="center"/>
              <w:rPr>
                <w:rFonts w:hint="eastAsia" w:ascii="宋体" w:hAnsi="宋体"/>
                <w:szCs w:val="21"/>
                <w:highlight w:val="none"/>
              </w:rPr>
            </w:pPr>
          </w:p>
        </w:tc>
        <w:tc>
          <w:tcPr>
            <w:tcW w:w="415" w:type="pct"/>
            <w:vAlign w:val="center"/>
          </w:tcPr>
          <w:p>
            <w:pPr>
              <w:snapToGrid w:val="0"/>
              <w:spacing w:before="50" w:after="165" w:afterLines="50"/>
              <w:jc w:val="center"/>
              <w:rPr>
                <w:rFonts w:hint="eastAsia" w:ascii="宋体" w:hAnsi="宋体"/>
                <w:szCs w:val="21"/>
                <w:highlight w:val="none"/>
              </w:rPr>
            </w:pPr>
          </w:p>
        </w:tc>
        <w:tc>
          <w:tcPr>
            <w:tcW w:w="417" w:type="pct"/>
            <w:vAlign w:val="center"/>
          </w:tcPr>
          <w:p>
            <w:pPr>
              <w:snapToGrid w:val="0"/>
              <w:spacing w:before="50" w:after="165" w:afterLines="50"/>
              <w:jc w:val="center"/>
              <w:rPr>
                <w:rFonts w:hint="eastAsia" w:ascii="宋体" w:hAnsi="宋体"/>
                <w:szCs w:val="21"/>
                <w:highlight w:val="none"/>
              </w:rPr>
            </w:pPr>
          </w:p>
        </w:tc>
        <w:tc>
          <w:tcPr>
            <w:tcW w:w="529" w:type="pct"/>
            <w:vAlign w:val="center"/>
          </w:tcPr>
          <w:p>
            <w:pPr>
              <w:snapToGrid w:val="0"/>
              <w:spacing w:before="50" w:after="165" w:afterLines="50"/>
              <w:jc w:val="center"/>
              <w:rPr>
                <w:rFonts w:hint="eastAsia" w:ascii="宋体" w:hAnsi="宋体"/>
                <w:szCs w:val="21"/>
                <w:highlight w:val="none"/>
              </w:rPr>
            </w:pPr>
          </w:p>
        </w:tc>
      </w:tr>
    </w:tbl>
    <w:p>
      <w:pPr>
        <w:snapToGrid w:val="0"/>
        <w:spacing w:line="360" w:lineRule="auto"/>
        <w:rPr>
          <w:highlight w:val="none"/>
        </w:rPr>
      </w:pPr>
      <w:r>
        <w:rPr>
          <w:rFonts w:hint="eastAsia" w:ascii="宋体" w:hAnsi="宋体" w:cs="宋体"/>
          <w:b/>
          <w:bCs/>
          <w:kern w:val="0"/>
          <w:szCs w:val="21"/>
          <w:highlight w:val="none"/>
        </w:rPr>
        <w:t>注：附人员名单、身份证正反面扫描件、相关证书扫描件以及投标人为拟投入团队人员缴纳的2025年4月至投标文件提交截止时间内任意1个月的社保证明或劳动合同扫描件；提供的身份证及相关证明扫描件须加盖投标人公章（或电子签章）。</w:t>
      </w:r>
    </w:p>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widowControl/>
        <w:jc w:val="left"/>
        <w:rPr>
          <w:rFonts w:cs="宋体"/>
          <w:spacing w:val="20"/>
          <w:szCs w:val="21"/>
          <w:highlight w:val="none"/>
          <w:lang w:bidi="ar"/>
        </w:rPr>
      </w:pPr>
      <w:r>
        <w:rPr>
          <w:rFonts w:cs="宋体"/>
          <w:spacing w:val="20"/>
          <w:szCs w:val="21"/>
          <w:highlight w:val="none"/>
          <w:lang w:bidi="ar"/>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7.企业证书：提供以下证书扫描件并加盖公章或电子签章。</w:t>
      </w:r>
    </w:p>
    <w:p>
      <w:pPr>
        <w:tabs>
          <w:tab w:val="left" w:pos="312"/>
        </w:tabs>
        <w:spacing w:line="360" w:lineRule="auto"/>
        <w:rPr>
          <w:rFonts w:hint="eastAsia" w:ascii="宋体" w:hAnsi="宋体"/>
          <w:szCs w:val="21"/>
          <w:highlight w:val="none"/>
        </w:rPr>
      </w:pPr>
      <w:r>
        <w:rPr>
          <w:rFonts w:hint="eastAsia" w:ascii="宋体" w:hAnsi="宋体"/>
          <w:szCs w:val="21"/>
          <w:highlight w:val="none"/>
        </w:rPr>
        <w:t>1.具备有效的质量管理体系认证；</w:t>
      </w:r>
    </w:p>
    <w:p>
      <w:pPr>
        <w:tabs>
          <w:tab w:val="left" w:pos="312"/>
        </w:tabs>
        <w:spacing w:line="360" w:lineRule="auto"/>
        <w:rPr>
          <w:rFonts w:hint="eastAsia" w:ascii="宋体" w:hAnsi="宋体"/>
          <w:szCs w:val="21"/>
          <w:highlight w:val="none"/>
        </w:rPr>
      </w:pPr>
      <w:r>
        <w:rPr>
          <w:rFonts w:hint="eastAsia" w:ascii="宋体" w:hAnsi="宋体"/>
          <w:szCs w:val="21"/>
          <w:highlight w:val="none"/>
        </w:rPr>
        <w:t>2.具备有效的信息技术服务管理体系认证；</w:t>
      </w:r>
    </w:p>
    <w:p>
      <w:pPr>
        <w:tabs>
          <w:tab w:val="left" w:pos="312"/>
        </w:tabs>
        <w:spacing w:line="360" w:lineRule="auto"/>
        <w:rPr>
          <w:rFonts w:hint="eastAsia" w:ascii="宋体" w:hAnsi="宋体"/>
          <w:szCs w:val="21"/>
          <w:highlight w:val="none"/>
        </w:rPr>
      </w:pPr>
      <w:r>
        <w:rPr>
          <w:rFonts w:hint="eastAsia" w:ascii="宋体" w:hAnsi="宋体"/>
          <w:szCs w:val="21"/>
          <w:highlight w:val="none"/>
        </w:rPr>
        <w:t>3.具备有效的信息安全管理体系认证。</w:t>
      </w:r>
    </w:p>
    <w:p>
      <w:pPr>
        <w:widowControl/>
        <w:jc w:val="left"/>
        <w:rPr>
          <w:rFonts w:hint="eastAsia" w:ascii="宋体" w:hAnsi="宋体"/>
          <w:szCs w:val="21"/>
          <w:highlight w:val="none"/>
        </w:rPr>
      </w:pPr>
      <w:r>
        <w:rPr>
          <w:rFonts w:ascii="宋体" w:hAnsi="宋体"/>
          <w:szCs w:val="21"/>
          <w:highlight w:val="none"/>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8.技术需求偏离表（必须提供）</w:t>
      </w:r>
    </w:p>
    <w:p>
      <w:pPr>
        <w:snapToGrid w:val="0"/>
        <w:spacing w:before="165" w:beforeLines="50" w:after="50" w:line="360" w:lineRule="exact"/>
        <w:jc w:val="center"/>
        <w:rPr>
          <w:b/>
          <w:szCs w:val="21"/>
          <w:highlight w:val="none"/>
          <w:lang w:bidi="ar"/>
        </w:rPr>
      </w:pPr>
      <w:r>
        <w:rPr>
          <w:rFonts w:hint="eastAsia" w:ascii="宋体" w:hAnsi="宋体"/>
          <w:b/>
          <w:szCs w:val="21"/>
          <w:highlight w:val="none"/>
        </w:rPr>
        <w:t>技术需求偏离表</w:t>
      </w:r>
    </w:p>
    <w:tbl>
      <w:tblPr>
        <w:tblStyle w:val="54"/>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21"/>
        <w:gridCol w:w="3470"/>
        <w:gridCol w:w="3288"/>
        <w:gridCol w:w="10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rFonts w:hint="eastAsia" w:cs="宋体"/>
                <w:szCs w:val="21"/>
                <w:highlight w:val="none"/>
                <w:lang w:bidi="ar"/>
              </w:rPr>
              <w:t>序号</w:t>
            </w:r>
          </w:p>
        </w:tc>
        <w:tc>
          <w:tcPr>
            <w:tcW w:w="2036"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rFonts w:hint="eastAsia" w:cs="宋体"/>
                <w:szCs w:val="21"/>
                <w:highlight w:val="none"/>
                <w:lang w:bidi="ar"/>
              </w:rPr>
              <w:t>招标文件要求</w:t>
            </w:r>
          </w:p>
          <w:p>
            <w:pPr>
              <w:snapToGrid w:val="0"/>
              <w:spacing w:before="165" w:beforeLines="50"/>
              <w:jc w:val="center"/>
              <w:rPr>
                <w:szCs w:val="21"/>
                <w:highlight w:val="none"/>
              </w:rPr>
            </w:pPr>
            <w:r>
              <w:rPr>
                <w:rFonts w:hint="eastAsia" w:cs="宋体"/>
                <w:szCs w:val="21"/>
                <w:highlight w:val="none"/>
                <w:lang w:bidi="ar"/>
              </w:rPr>
              <w:t>（注明章节及条款号）</w:t>
            </w:r>
          </w:p>
        </w:tc>
        <w:tc>
          <w:tcPr>
            <w:tcW w:w="1929"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rFonts w:hint="eastAsia" w:cs="宋体"/>
                <w:szCs w:val="21"/>
                <w:highlight w:val="none"/>
                <w:lang w:bidi="ar"/>
              </w:rPr>
              <w:t>投标文件响应内容</w:t>
            </w:r>
          </w:p>
          <w:p>
            <w:pPr>
              <w:snapToGrid w:val="0"/>
              <w:spacing w:before="165" w:beforeLines="50"/>
              <w:jc w:val="center"/>
              <w:rPr>
                <w:szCs w:val="21"/>
                <w:highlight w:val="none"/>
              </w:rPr>
            </w:pPr>
            <w:r>
              <w:rPr>
                <w:rFonts w:hint="eastAsia" w:cs="宋体"/>
                <w:szCs w:val="21"/>
                <w:highlight w:val="none"/>
                <w:lang w:bidi="ar"/>
              </w:rPr>
              <w:t>（可注明证明材料所在页码）</w:t>
            </w: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rFonts w:hint="eastAsia" w:cs="宋体"/>
                <w:highlight w:val="none"/>
                <w:lang w:bidi="ar"/>
              </w:rPr>
              <w:t>偏离</w:t>
            </w:r>
            <w:r>
              <w:rPr>
                <w:rFonts w:hint="eastAsia" w:cs="宋体"/>
                <w:szCs w:val="21"/>
                <w:highlight w:val="none"/>
                <w:lang w:bidi="ar"/>
              </w:rPr>
              <w:t>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exact"/>
          <w:jc w:val="center"/>
        </w:trPr>
        <w:tc>
          <w:tcPr>
            <w:tcW w:w="42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2036"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1929"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exact"/>
          <w:jc w:val="center"/>
        </w:trPr>
        <w:tc>
          <w:tcPr>
            <w:tcW w:w="42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2036"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1929"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exact"/>
          <w:jc w:val="center"/>
        </w:trPr>
        <w:tc>
          <w:tcPr>
            <w:tcW w:w="42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2036"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1929"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exact"/>
          <w:jc w:val="center"/>
        </w:trPr>
        <w:tc>
          <w:tcPr>
            <w:tcW w:w="42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szCs w:val="21"/>
                <w:highlight w:val="none"/>
                <w:lang w:bidi="ar"/>
              </w:rPr>
              <w:t>……</w:t>
            </w:r>
          </w:p>
        </w:tc>
        <w:tc>
          <w:tcPr>
            <w:tcW w:w="2036"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szCs w:val="21"/>
                <w:highlight w:val="none"/>
                <w:lang w:bidi="ar"/>
              </w:rPr>
              <w:t>……</w:t>
            </w:r>
          </w:p>
        </w:tc>
        <w:tc>
          <w:tcPr>
            <w:tcW w:w="1929"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szCs w:val="21"/>
                <w:highlight w:val="none"/>
                <w:lang w:bidi="ar"/>
              </w:rPr>
              <w:t>……</w:t>
            </w: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before="165" w:beforeLines="50"/>
              <w:jc w:val="center"/>
              <w:rPr>
                <w:szCs w:val="21"/>
                <w:highlight w:val="none"/>
              </w:rPr>
            </w:pPr>
            <w:r>
              <w:rPr>
                <w:szCs w:val="21"/>
                <w:highlight w:val="none"/>
                <w:lang w:bidi="ar"/>
              </w:rPr>
              <w:t>……</w:t>
            </w:r>
          </w:p>
        </w:tc>
      </w:tr>
    </w:tbl>
    <w:p>
      <w:pPr>
        <w:pStyle w:val="49"/>
        <w:widowControl w:val="0"/>
        <w:tabs>
          <w:tab w:val="left" w:pos="2127"/>
        </w:tabs>
        <w:spacing w:before="0" w:beforeAutospacing="0" w:after="0" w:afterAutospacing="0" w:line="340" w:lineRule="exact"/>
        <w:rPr>
          <w:rFonts w:ascii="Times New Roman" w:hAnsi="Times New Roman"/>
          <w:kern w:val="2"/>
          <w:sz w:val="21"/>
          <w:szCs w:val="21"/>
          <w:highlight w:val="none"/>
          <w:lang w:bidi="ar"/>
        </w:rPr>
      </w:pPr>
      <w:r>
        <w:rPr>
          <w:rFonts w:hint="eastAsia" w:ascii="Times New Roman" w:hAnsi="Times New Roman"/>
          <w:kern w:val="2"/>
          <w:sz w:val="21"/>
          <w:szCs w:val="21"/>
          <w:highlight w:val="none"/>
          <w:lang w:bidi="ar"/>
        </w:rPr>
        <w:t>注：</w:t>
      </w:r>
    </w:p>
    <w:p>
      <w:pPr>
        <w:pStyle w:val="49"/>
        <w:widowControl w:val="0"/>
        <w:tabs>
          <w:tab w:val="left" w:pos="2127"/>
        </w:tabs>
        <w:spacing w:before="0" w:beforeAutospacing="0" w:after="0" w:afterAutospacing="0" w:line="360" w:lineRule="auto"/>
        <w:ind w:firstLine="420" w:firstLineChars="200"/>
        <w:rPr>
          <w:rFonts w:ascii="Times New Roman" w:hAnsi="Times New Roman"/>
          <w:highlight w:val="none"/>
        </w:rPr>
      </w:pPr>
      <w:r>
        <w:rPr>
          <w:rFonts w:hint="eastAsia" w:ascii="Times New Roman" w:hAnsi="Times New Roman"/>
          <w:kern w:val="2"/>
          <w:sz w:val="21"/>
          <w:szCs w:val="21"/>
          <w:highlight w:val="none"/>
          <w:lang w:bidi="ar"/>
        </w:rPr>
        <w:t>（</w:t>
      </w:r>
      <w:r>
        <w:rPr>
          <w:rFonts w:ascii="Times New Roman" w:hAnsi="Times New Roman"/>
          <w:kern w:val="2"/>
          <w:sz w:val="21"/>
          <w:szCs w:val="21"/>
          <w:highlight w:val="none"/>
          <w:lang w:bidi="ar"/>
        </w:rPr>
        <w:t>1</w:t>
      </w:r>
      <w:r>
        <w:rPr>
          <w:rFonts w:hint="eastAsia" w:ascii="Times New Roman" w:hAnsi="Times New Roman"/>
          <w:kern w:val="2"/>
          <w:sz w:val="21"/>
          <w:szCs w:val="21"/>
          <w:highlight w:val="none"/>
          <w:lang w:bidi="ar"/>
        </w:rPr>
        <w:t>）本表应对招标文件第二章《采购需求》中所列</w:t>
      </w:r>
      <w:bookmarkStart w:id="265" w:name="OLE_LINK42"/>
      <w:r>
        <w:rPr>
          <w:rFonts w:hint="eastAsia" w:ascii="Times New Roman" w:hAnsi="Times New Roman"/>
          <w:kern w:val="2"/>
          <w:sz w:val="21"/>
          <w:szCs w:val="21"/>
          <w:highlight w:val="none"/>
          <w:lang w:bidi="ar"/>
        </w:rPr>
        <w:t>“</w:t>
      </w:r>
      <w:bookmarkEnd w:id="265"/>
      <w:r>
        <w:rPr>
          <w:rFonts w:hint="eastAsia" w:ascii="Times New Roman" w:hAnsi="Times New Roman"/>
          <w:kern w:val="2"/>
          <w:sz w:val="21"/>
          <w:szCs w:val="21"/>
          <w:highlight w:val="none"/>
          <w:lang w:bidi="ar"/>
        </w:rPr>
        <w:t>技术要求”进行响应，并根据响应情况在</w:t>
      </w:r>
      <w:bookmarkStart w:id="266" w:name="OLE_LINK58"/>
      <w:r>
        <w:rPr>
          <w:rFonts w:hint="eastAsia" w:ascii="Times New Roman" w:hAnsi="Times New Roman"/>
          <w:kern w:val="2"/>
          <w:sz w:val="21"/>
          <w:szCs w:val="21"/>
          <w:highlight w:val="none"/>
          <w:lang w:bidi="ar"/>
        </w:rPr>
        <w:t>“偏离说明”</w:t>
      </w:r>
      <w:bookmarkEnd w:id="266"/>
      <w:r>
        <w:rPr>
          <w:rFonts w:hint="eastAsia" w:ascii="Times New Roman" w:hAnsi="Times New Roman"/>
          <w:kern w:val="2"/>
          <w:sz w:val="21"/>
          <w:szCs w:val="21"/>
          <w:highlight w:val="none"/>
          <w:lang w:bidi="ar"/>
        </w:rPr>
        <w:t>栏填写正偏离或负偏离及原因，完全符合的填写“无偏离”。</w:t>
      </w:r>
    </w:p>
    <w:p>
      <w:pPr>
        <w:pStyle w:val="49"/>
        <w:widowControl w:val="0"/>
        <w:tabs>
          <w:tab w:val="left" w:pos="2127"/>
        </w:tabs>
        <w:spacing w:before="0" w:beforeAutospacing="0" w:after="0" w:afterAutospacing="0" w:line="360" w:lineRule="auto"/>
        <w:ind w:firstLine="420" w:firstLineChars="200"/>
        <w:rPr>
          <w:rFonts w:ascii="Times New Roman" w:hAnsi="Times New Roman"/>
          <w:highlight w:val="none"/>
        </w:rPr>
      </w:pPr>
      <w:r>
        <w:rPr>
          <w:rFonts w:hint="eastAsia" w:ascii="Times New Roman" w:hAnsi="Times New Roman"/>
          <w:kern w:val="2"/>
          <w:sz w:val="21"/>
          <w:szCs w:val="21"/>
          <w:highlight w:val="none"/>
          <w:lang w:bidi="ar"/>
        </w:rPr>
        <w:t>（</w:t>
      </w:r>
      <w:r>
        <w:rPr>
          <w:rFonts w:ascii="Times New Roman" w:hAnsi="Times New Roman"/>
          <w:kern w:val="2"/>
          <w:sz w:val="21"/>
          <w:szCs w:val="21"/>
          <w:highlight w:val="none"/>
          <w:lang w:bidi="ar"/>
        </w:rPr>
        <w:t>2</w:t>
      </w:r>
      <w:r>
        <w:rPr>
          <w:rFonts w:hint="eastAsia" w:ascii="Times New Roman" w:hAnsi="Times New Roman"/>
          <w:kern w:val="2"/>
          <w:sz w:val="21"/>
          <w:szCs w:val="21"/>
          <w:highlight w:val="none"/>
          <w:lang w:bidi="ar"/>
        </w:rPr>
        <w:t>）供应商应根据自身的承诺，对照招标文件要求在“偏离说明”中注明“正偏离”、“负偏离”或者“无偏离”。既不属于“正偏离”也不属于“负偏离”即为“无偏离”。</w:t>
      </w:r>
    </w:p>
    <w:p>
      <w:pPr>
        <w:pStyle w:val="49"/>
        <w:widowControl w:val="0"/>
        <w:tabs>
          <w:tab w:val="left" w:pos="2127"/>
        </w:tabs>
        <w:spacing w:before="0" w:beforeAutospacing="0" w:after="0" w:afterAutospacing="0" w:line="360" w:lineRule="auto"/>
        <w:ind w:firstLine="420" w:firstLineChars="200"/>
        <w:rPr>
          <w:rFonts w:ascii="Times New Roman" w:hAnsi="Times New Roman"/>
          <w:highlight w:val="none"/>
        </w:rPr>
      </w:pPr>
      <w:r>
        <w:rPr>
          <w:rFonts w:hint="eastAsia" w:ascii="Times New Roman" w:hAnsi="Times New Roman"/>
          <w:kern w:val="2"/>
          <w:sz w:val="21"/>
          <w:szCs w:val="21"/>
          <w:highlight w:val="none"/>
          <w:lang w:bidi="ar"/>
        </w:rPr>
        <w:t>（3）本表可扩展。</w:t>
      </w:r>
    </w:p>
    <w:p>
      <w:pPr>
        <w:rPr>
          <w:szCs w:val="21"/>
          <w:highlight w:val="none"/>
        </w:rPr>
      </w:pPr>
    </w:p>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widowControl/>
        <w:jc w:val="left"/>
        <w:rPr>
          <w:rFonts w:cs="宋体"/>
          <w:spacing w:val="20"/>
          <w:szCs w:val="21"/>
          <w:highlight w:val="none"/>
          <w:lang w:bidi="ar"/>
        </w:rPr>
      </w:pPr>
      <w:r>
        <w:rPr>
          <w:rFonts w:cs="宋体"/>
          <w:spacing w:val="20"/>
          <w:szCs w:val="21"/>
          <w:highlight w:val="none"/>
          <w:lang w:bidi="ar"/>
        </w:rPr>
        <w:br w:type="page"/>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9.货物或产品配置清单格式（必须提供）</w:t>
      </w:r>
    </w:p>
    <w:tbl>
      <w:tblPr>
        <w:tblStyle w:val="54"/>
        <w:tblW w:w="894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r>
              <w:rPr>
                <w:rFonts w:hint="eastAsia" w:cs="宋体"/>
                <w:szCs w:val="21"/>
                <w:highlight w:val="none"/>
                <w:lang w:bidi="ar"/>
              </w:rPr>
              <w:t>序号</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r>
              <w:rPr>
                <w:rFonts w:hint="eastAsia" w:cs="宋体"/>
                <w:szCs w:val="21"/>
                <w:highlight w:val="none"/>
                <w:lang w:bidi="ar"/>
              </w:rPr>
              <w:t>货物或产品</w:t>
            </w:r>
          </w:p>
          <w:p>
            <w:pPr>
              <w:snapToGrid w:val="0"/>
              <w:spacing w:before="50" w:after="50" w:line="440" w:lineRule="exact"/>
              <w:jc w:val="center"/>
              <w:rPr>
                <w:szCs w:val="21"/>
                <w:highlight w:val="none"/>
              </w:rPr>
            </w:pPr>
            <w:r>
              <w:rPr>
                <w:rFonts w:hint="eastAsia" w:cs="宋体"/>
                <w:szCs w:val="21"/>
                <w:highlight w:val="none"/>
                <w:lang w:bidi="ar"/>
              </w:rPr>
              <w:t>名称</w:t>
            </w: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r>
              <w:rPr>
                <w:rFonts w:hint="eastAsia" w:cs="宋体"/>
                <w:szCs w:val="21"/>
                <w:highlight w:val="none"/>
                <w:lang w:bidi="ar"/>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r>
              <w:rPr>
                <w:rFonts w:hint="eastAsia" w:cs="宋体"/>
                <w:szCs w:val="21"/>
                <w:highlight w:val="none"/>
                <w:lang w:bidi="ar"/>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r>
              <w:rPr>
                <w:rFonts w:hint="eastAsia" w:cs="宋体"/>
                <w:szCs w:val="21"/>
                <w:highlight w:val="none"/>
                <w:lang w:bidi="ar"/>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r>
              <w:rPr>
                <w:rFonts w:hint="eastAsia" w:cs="宋体"/>
                <w:szCs w:val="21"/>
                <w:highlight w:val="none"/>
                <w:lang w:bidi="ar"/>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r>
              <w:rPr>
                <w:rFonts w:hint="eastAsia" w:cs="宋体"/>
                <w:szCs w:val="21"/>
                <w:highlight w:val="none"/>
                <w:lang w:bidi="ar"/>
              </w:rPr>
              <w:t>产地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rPr>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40" w:lineRule="exact"/>
              <w:jc w:val="center"/>
              <w:rPr>
                <w:szCs w:val="21"/>
                <w:highlight w:val="none"/>
              </w:rPr>
            </w:pPr>
          </w:p>
        </w:tc>
      </w:tr>
    </w:tbl>
    <w:p>
      <w:pPr>
        <w:snapToGrid w:val="0"/>
        <w:spacing w:before="50" w:after="165" w:afterLines="50" w:line="440" w:lineRule="exact"/>
        <w:jc w:val="right"/>
        <w:rPr>
          <w:rFonts w:cs="宋体"/>
          <w:szCs w:val="21"/>
          <w:highlight w:val="none"/>
          <w:lang w:bidi="ar"/>
        </w:rPr>
      </w:pPr>
    </w:p>
    <w:p>
      <w:pPr>
        <w:snapToGrid w:val="0"/>
        <w:spacing w:before="50" w:after="165"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65"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10.技术要求（指标）响应正偏离相关证明材料（由投标人根据采购需求及招标文件要求编制，格式自拟）</w:t>
      </w:r>
    </w:p>
    <w:p>
      <w:pPr>
        <w:snapToGrid w:val="0"/>
        <w:spacing w:before="82" w:beforeLines="25" w:after="82" w:afterLines="25" w:line="360" w:lineRule="auto"/>
        <w:rPr>
          <w:rFonts w:hint="eastAsia" w:ascii="宋体" w:hAnsi="宋体"/>
          <w:b/>
          <w:bCs/>
          <w:szCs w:val="21"/>
          <w:highlight w:val="none"/>
          <w:lang w:bidi="ar"/>
        </w:rPr>
      </w:pPr>
    </w:p>
    <w:p>
      <w:pPr>
        <w:snapToGrid w:val="0"/>
        <w:spacing w:before="82" w:beforeLines="25" w:after="82" w:afterLines="25" w:line="360" w:lineRule="auto"/>
        <w:rPr>
          <w:rFonts w:hint="eastAsia" w:ascii="宋体" w:hAnsi="宋体"/>
          <w:b/>
          <w:bCs/>
          <w:szCs w:val="21"/>
          <w:highlight w:val="none"/>
          <w:lang w:bidi="ar"/>
        </w:rPr>
      </w:pPr>
    </w:p>
    <w:p>
      <w:pPr>
        <w:snapToGrid w:val="0"/>
        <w:spacing w:before="82" w:beforeLines="25" w:after="82" w:afterLines="25" w:line="360" w:lineRule="auto"/>
        <w:rPr>
          <w:rFonts w:hint="eastAsia" w:ascii="宋体" w:hAnsi="宋体"/>
          <w:b/>
          <w:bCs/>
          <w:szCs w:val="21"/>
          <w:highlight w:val="none"/>
          <w:lang w:bidi="ar"/>
        </w:rPr>
      </w:pP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11.技术方案（由投标人根据采购需求及招标文件要求编制，注意提供采购需求中要求的书面承诺（如有要求），格式自拟）</w:t>
      </w:r>
    </w:p>
    <w:p>
      <w:pPr>
        <w:snapToGrid w:val="0"/>
        <w:spacing w:before="50" w:after="165" w:afterLines="50" w:line="440" w:lineRule="exact"/>
        <w:jc w:val="left"/>
        <w:rPr>
          <w:rFonts w:cs="宋体"/>
          <w:spacing w:val="20"/>
          <w:szCs w:val="21"/>
          <w:highlight w:val="none"/>
          <w:lang w:bidi="ar"/>
        </w:rPr>
      </w:pPr>
    </w:p>
    <w:p>
      <w:pPr>
        <w:snapToGrid w:val="0"/>
        <w:spacing w:before="50" w:after="165" w:afterLines="50" w:line="440" w:lineRule="exact"/>
        <w:jc w:val="left"/>
        <w:rPr>
          <w:rFonts w:cs="宋体"/>
          <w:spacing w:val="20"/>
          <w:szCs w:val="21"/>
          <w:highlight w:val="none"/>
          <w:lang w:bidi="ar"/>
        </w:rPr>
      </w:pPr>
    </w:p>
    <w:p>
      <w:pPr>
        <w:snapToGrid w:val="0"/>
        <w:spacing w:before="50" w:after="165" w:afterLines="50" w:line="440" w:lineRule="exact"/>
        <w:jc w:val="left"/>
        <w:rPr>
          <w:rFonts w:cs="宋体"/>
          <w:spacing w:val="20"/>
          <w:szCs w:val="21"/>
          <w:highlight w:val="none"/>
          <w:lang w:bidi="ar"/>
        </w:rPr>
      </w:pP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12.项目实施方案（由投标人根据采购需求及招标文件要求编制，格式自拟）</w:t>
      </w:r>
    </w:p>
    <w:p>
      <w:pPr>
        <w:tabs>
          <w:tab w:val="left" w:pos="312"/>
        </w:tabs>
        <w:spacing w:before="331" w:beforeLines="100" w:after="331" w:afterLines="100" w:line="320" w:lineRule="exact"/>
        <w:rPr>
          <w:rFonts w:hint="eastAsia" w:ascii="宋体" w:hAnsi="宋体"/>
          <w:b/>
          <w:szCs w:val="21"/>
          <w:highlight w:val="none"/>
        </w:rPr>
      </w:pPr>
    </w:p>
    <w:p>
      <w:pPr>
        <w:tabs>
          <w:tab w:val="left" w:pos="312"/>
        </w:tabs>
        <w:spacing w:before="331" w:beforeLines="100" w:after="331" w:afterLines="100" w:line="320" w:lineRule="exact"/>
        <w:rPr>
          <w:rFonts w:hint="eastAsia" w:ascii="宋体" w:hAnsi="宋体"/>
          <w:b/>
          <w:szCs w:val="21"/>
          <w:highlight w:val="none"/>
        </w:rPr>
      </w:pPr>
    </w:p>
    <w:p>
      <w:pPr>
        <w:tabs>
          <w:tab w:val="left" w:pos="312"/>
        </w:tabs>
        <w:spacing w:before="331" w:beforeLines="100" w:after="331" w:afterLines="100" w:line="320" w:lineRule="exact"/>
        <w:rPr>
          <w:rFonts w:hint="eastAsia" w:ascii="宋体" w:hAnsi="宋体"/>
          <w:b/>
          <w:szCs w:val="21"/>
          <w:highlight w:val="none"/>
        </w:rPr>
      </w:pP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13.售后服务方案（由投标人根据采购需求及招标文件要求编制，格式自拟）</w:t>
      </w:r>
    </w:p>
    <w:p>
      <w:pPr>
        <w:tabs>
          <w:tab w:val="left" w:pos="312"/>
        </w:tabs>
        <w:spacing w:before="331" w:beforeLines="100" w:after="331" w:afterLines="100" w:line="320" w:lineRule="exact"/>
        <w:rPr>
          <w:rFonts w:hint="eastAsia" w:ascii="宋体" w:hAnsi="宋体"/>
          <w:b/>
          <w:szCs w:val="21"/>
          <w:highlight w:val="none"/>
        </w:rPr>
      </w:pPr>
    </w:p>
    <w:p>
      <w:pPr>
        <w:tabs>
          <w:tab w:val="left" w:pos="312"/>
        </w:tabs>
        <w:spacing w:before="331" w:beforeLines="100" w:after="331" w:afterLines="100" w:line="320" w:lineRule="exact"/>
        <w:rPr>
          <w:rFonts w:hint="eastAsia" w:ascii="宋体" w:hAnsi="宋体"/>
          <w:b/>
          <w:szCs w:val="21"/>
          <w:highlight w:val="none"/>
        </w:rPr>
      </w:pPr>
    </w:p>
    <w:p>
      <w:pPr>
        <w:tabs>
          <w:tab w:val="left" w:pos="312"/>
        </w:tabs>
        <w:spacing w:before="331" w:beforeLines="100" w:after="331" w:afterLines="100" w:line="320" w:lineRule="exact"/>
        <w:rPr>
          <w:rFonts w:hint="eastAsia" w:ascii="宋体" w:hAnsi="宋体"/>
          <w:b/>
          <w:szCs w:val="21"/>
          <w:highlight w:val="none"/>
        </w:rPr>
      </w:pP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14.培训方案（由投标人根据采购需求及招标文件要求编制，格式自拟）</w:t>
      </w:r>
    </w:p>
    <w:p>
      <w:pPr>
        <w:snapToGrid w:val="0"/>
        <w:spacing w:before="82" w:beforeLines="25" w:after="82" w:afterLines="25" w:line="360" w:lineRule="auto"/>
        <w:rPr>
          <w:rFonts w:hint="eastAsia" w:ascii="宋体" w:hAnsi="宋体"/>
          <w:b/>
          <w:bCs/>
          <w:szCs w:val="21"/>
          <w:highlight w:val="none"/>
          <w:lang w:bidi="ar"/>
        </w:rPr>
      </w:pPr>
    </w:p>
    <w:p>
      <w:pPr>
        <w:snapToGrid w:val="0"/>
        <w:spacing w:before="82" w:beforeLines="25" w:after="82" w:afterLines="25" w:line="360" w:lineRule="auto"/>
        <w:rPr>
          <w:rFonts w:hint="eastAsia" w:ascii="宋体" w:hAnsi="宋体"/>
          <w:b/>
          <w:bCs/>
          <w:szCs w:val="21"/>
          <w:highlight w:val="none"/>
          <w:lang w:bidi="ar"/>
        </w:rPr>
      </w:pPr>
    </w:p>
    <w:p>
      <w:pPr>
        <w:snapToGrid w:val="0"/>
        <w:spacing w:before="82" w:beforeLines="25" w:after="82" w:afterLines="25" w:line="360" w:lineRule="auto"/>
        <w:rPr>
          <w:rFonts w:hint="eastAsia" w:ascii="宋体" w:hAnsi="宋体"/>
          <w:b/>
          <w:bCs/>
          <w:szCs w:val="21"/>
          <w:highlight w:val="none"/>
          <w:lang w:bidi="ar"/>
        </w:rPr>
      </w:pPr>
    </w:p>
    <w:p>
      <w:pPr>
        <w:snapToGrid w:val="0"/>
        <w:spacing w:before="82" w:beforeLines="25" w:after="82" w:afterLines="25" w:line="360" w:lineRule="auto"/>
        <w:outlineLvl w:val="2"/>
        <w:rPr>
          <w:rFonts w:hint="eastAsia" w:ascii="宋体" w:hAnsi="宋体"/>
          <w:b/>
          <w:bCs/>
          <w:szCs w:val="21"/>
          <w:highlight w:val="none"/>
          <w:lang w:bidi="ar"/>
        </w:rPr>
      </w:pPr>
      <w:r>
        <w:rPr>
          <w:rFonts w:hint="eastAsia" w:ascii="宋体" w:hAnsi="宋体"/>
          <w:b/>
          <w:bCs/>
          <w:szCs w:val="21"/>
          <w:highlight w:val="none"/>
          <w:lang w:bidi="ar"/>
        </w:rPr>
        <w:t>15.供应商需要说明的其他商务技术文件和说明。</w:t>
      </w:r>
    </w:p>
    <w:p>
      <w:pPr>
        <w:widowControl/>
        <w:jc w:val="left"/>
        <w:rPr>
          <w:szCs w:val="21"/>
          <w:highlight w:val="none"/>
          <w:lang w:bidi="ar"/>
        </w:rPr>
      </w:pPr>
      <w:r>
        <w:rPr>
          <w:szCs w:val="21"/>
          <w:highlight w:val="none"/>
          <w:lang w:bidi="ar"/>
        </w:rPr>
        <w:br w:type="page"/>
      </w:r>
    </w:p>
    <w:p>
      <w:pPr>
        <w:rPr>
          <w:szCs w:val="21"/>
          <w:highlight w:val="none"/>
          <w:lang w:bidi="ar"/>
        </w:rPr>
        <w:sectPr>
          <w:footerReference r:id="rId9" w:type="default"/>
          <w:pgSz w:w="11906" w:h="16838"/>
          <w:pgMar w:top="1440" w:right="1800" w:bottom="1440" w:left="1800" w:header="851" w:footer="992" w:gutter="0"/>
          <w:cols w:space="720" w:num="1"/>
          <w:docGrid w:type="lines" w:linePitch="331" w:charSpace="0"/>
        </w:sectPr>
      </w:pPr>
    </w:p>
    <w:p>
      <w:pPr>
        <w:rPr>
          <w:b/>
          <w:bCs/>
          <w:szCs w:val="21"/>
          <w:highlight w:val="none"/>
        </w:rPr>
      </w:pPr>
    </w:p>
    <w:p>
      <w:pPr>
        <w:snapToGrid w:val="0"/>
        <w:spacing w:before="120" w:beforeLines="50" w:after="50" w:line="440" w:lineRule="exact"/>
        <w:jc w:val="left"/>
        <w:outlineLvl w:val="1"/>
        <w:rPr>
          <w:bCs/>
          <w:sz w:val="24"/>
          <w:highlight w:val="none"/>
        </w:rPr>
      </w:pPr>
      <w:r>
        <w:rPr>
          <w:rFonts w:hint="eastAsia" w:cs="宋体"/>
          <w:bCs/>
          <w:sz w:val="24"/>
          <w:highlight w:val="none"/>
          <w:lang w:bidi="ar"/>
        </w:rPr>
        <w:t>三、投标文件封面参考格式（报价文件）</w:t>
      </w:r>
    </w:p>
    <w:p>
      <w:pPr>
        <w:snapToGrid w:val="0"/>
        <w:spacing w:before="50" w:after="120" w:afterLines="50" w:line="400" w:lineRule="exact"/>
        <w:jc w:val="left"/>
        <w:rPr>
          <w:bCs/>
          <w:sz w:val="24"/>
          <w:highlight w:val="none"/>
        </w:rPr>
      </w:pPr>
    </w:p>
    <w:p>
      <w:pPr>
        <w:snapToGrid w:val="0"/>
        <w:spacing w:before="120" w:beforeLines="50" w:after="50" w:line="360" w:lineRule="exact"/>
        <w:rPr>
          <w:sz w:val="24"/>
          <w:highlight w:val="none"/>
        </w:rPr>
      </w:pPr>
    </w:p>
    <w:p>
      <w:pPr>
        <w:snapToGrid w:val="0"/>
        <w:spacing w:before="120" w:beforeLines="50" w:after="50" w:line="360" w:lineRule="exact"/>
        <w:jc w:val="center"/>
        <w:rPr>
          <w:bCs/>
          <w:sz w:val="24"/>
          <w:highlight w:val="none"/>
        </w:rPr>
      </w:pPr>
    </w:p>
    <w:p>
      <w:pPr>
        <w:snapToGrid w:val="0"/>
        <w:spacing w:before="120" w:beforeLines="50" w:after="50" w:line="360" w:lineRule="exact"/>
        <w:jc w:val="center"/>
        <w:rPr>
          <w:b/>
          <w:bCs/>
          <w:sz w:val="44"/>
          <w:szCs w:val="44"/>
          <w:highlight w:val="none"/>
        </w:rPr>
      </w:pPr>
      <w:r>
        <w:rPr>
          <w:rFonts w:hint="eastAsia" w:cs="宋体"/>
          <w:b/>
          <w:bCs/>
          <w:sz w:val="44"/>
          <w:szCs w:val="44"/>
          <w:highlight w:val="none"/>
          <w:lang w:bidi="ar"/>
        </w:rPr>
        <w:t>电子投标文件</w:t>
      </w:r>
    </w:p>
    <w:p>
      <w:pPr>
        <w:snapToGrid w:val="0"/>
        <w:spacing w:before="120" w:beforeLines="50" w:after="50" w:line="360" w:lineRule="exact"/>
        <w:jc w:val="center"/>
        <w:rPr>
          <w:b/>
          <w:bCs/>
          <w:sz w:val="44"/>
          <w:szCs w:val="44"/>
          <w:highlight w:val="none"/>
        </w:rPr>
      </w:pPr>
    </w:p>
    <w:p>
      <w:pPr>
        <w:snapToGrid w:val="0"/>
        <w:spacing w:before="120" w:beforeLines="50" w:after="50" w:line="360" w:lineRule="exact"/>
        <w:jc w:val="center"/>
        <w:rPr>
          <w:b/>
          <w:bCs/>
          <w:sz w:val="44"/>
          <w:szCs w:val="44"/>
          <w:highlight w:val="none"/>
        </w:rPr>
      </w:pPr>
    </w:p>
    <w:p>
      <w:pPr>
        <w:snapToGrid w:val="0"/>
        <w:spacing w:before="120" w:beforeLines="50" w:after="50" w:line="360" w:lineRule="exact"/>
        <w:jc w:val="center"/>
        <w:rPr>
          <w:b/>
          <w:bCs/>
          <w:sz w:val="44"/>
          <w:szCs w:val="44"/>
          <w:highlight w:val="none"/>
        </w:rPr>
      </w:pPr>
      <w:r>
        <w:rPr>
          <w:rFonts w:hint="eastAsia" w:cs="宋体"/>
          <w:b/>
          <w:bCs/>
          <w:sz w:val="44"/>
          <w:szCs w:val="44"/>
          <w:highlight w:val="none"/>
          <w:lang w:bidi="ar"/>
        </w:rPr>
        <w:t>报价文件</w:t>
      </w:r>
    </w:p>
    <w:p>
      <w:pPr>
        <w:snapToGrid w:val="0"/>
        <w:spacing w:before="120" w:beforeLines="50" w:after="50" w:line="360" w:lineRule="exact"/>
        <w:rPr>
          <w:bCs/>
          <w:sz w:val="24"/>
          <w:highlight w:val="none"/>
        </w:rPr>
      </w:pPr>
    </w:p>
    <w:p>
      <w:pPr>
        <w:snapToGrid w:val="0"/>
        <w:spacing w:before="120" w:beforeLines="50" w:after="50" w:line="360" w:lineRule="exact"/>
        <w:rPr>
          <w:bCs/>
          <w:sz w:val="24"/>
          <w:highlight w:val="none"/>
        </w:rPr>
      </w:pPr>
    </w:p>
    <w:p>
      <w:pPr>
        <w:snapToGrid w:val="0"/>
        <w:spacing w:before="120" w:beforeLines="50" w:after="50" w:line="360" w:lineRule="exact"/>
        <w:rPr>
          <w:bCs/>
          <w:sz w:val="24"/>
          <w:highlight w:val="none"/>
        </w:rPr>
      </w:pPr>
    </w:p>
    <w:p>
      <w:pPr>
        <w:snapToGrid w:val="0"/>
        <w:spacing w:before="120" w:beforeLines="50" w:after="50" w:line="360" w:lineRule="exact"/>
        <w:ind w:firstLine="720" w:firstLineChars="300"/>
        <w:rPr>
          <w:bCs/>
          <w:sz w:val="24"/>
          <w:highlight w:val="none"/>
        </w:rPr>
      </w:pPr>
      <w:r>
        <w:rPr>
          <w:rFonts w:hint="eastAsia" w:cs="宋体"/>
          <w:bCs/>
          <w:sz w:val="24"/>
          <w:highlight w:val="none"/>
          <w:lang w:bidi="ar"/>
        </w:rPr>
        <w:t>项目名称：</w:t>
      </w:r>
      <w:r>
        <w:rPr>
          <w:bCs/>
          <w:sz w:val="24"/>
          <w:highlight w:val="none"/>
          <w:lang w:bidi="ar"/>
        </w:rPr>
        <w:t xml:space="preserve"> </w:t>
      </w:r>
    </w:p>
    <w:p>
      <w:pPr>
        <w:snapToGrid w:val="0"/>
        <w:spacing w:before="120" w:beforeLines="50" w:after="50" w:line="360" w:lineRule="exact"/>
        <w:ind w:firstLine="720" w:firstLineChars="300"/>
        <w:rPr>
          <w:bCs/>
          <w:sz w:val="24"/>
          <w:highlight w:val="none"/>
        </w:rPr>
      </w:pPr>
      <w:r>
        <w:rPr>
          <w:rFonts w:hint="eastAsia" w:cs="宋体"/>
          <w:bCs/>
          <w:sz w:val="24"/>
          <w:highlight w:val="none"/>
          <w:lang w:bidi="ar"/>
        </w:rPr>
        <w:t>项目编号：</w:t>
      </w:r>
    </w:p>
    <w:p>
      <w:pPr>
        <w:snapToGrid w:val="0"/>
        <w:spacing w:before="120" w:beforeLines="50" w:after="50" w:line="360" w:lineRule="exact"/>
        <w:ind w:firstLine="720" w:firstLineChars="300"/>
        <w:rPr>
          <w:bCs/>
          <w:sz w:val="24"/>
          <w:highlight w:val="none"/>
        </w:rPr>
      </w:pPr>
      <w:r>
        <w:rPr>
          <w:rFonts w:hint="eastAsia" w:cs="宋体"/>
          <w:bCs/>
          <w:sz w:val="24"/>
          <w:highlight w:val="none"/>
          <w:lang w:bidi="ar"/>
        </w:rPr>
        <w:t>分标名称：（若无留空或写</w:t>
      </w:r>
      <w:r>
        <w:rPr>
          <w:bCs/>
          <w:sz w:val="24"/>
          <w:highlight w:val="none"/>
          <w:lang w:bidi="ar"/>
        </w:rPr>
        <w:t>“/”</w:t>
      </w:r>
      <w:r>
        <w:rPr>
          <w:rFonts w:hint="eastAsia" w:cs="宋体"/>
          <w:bCs/>
          <w:sz w:val="24"/>
          <w:highlight w:val="none"/>
          <w:lang w:bidi="ar"/>
        </w:rPr>
        <w:t>）</w:t>
      </w:r>
    </w:p>
    <w:p>
      <w:pPr>
        <w:snapToGrid w:val="0"/>
        <w:spacing w:before="120" w:beforeLines="50" w:after="50" w:line="360" w:lineRule="exact"/>
        <w:ind w:firstLine="720" w:firstLineChars="300"/>
        <w:rPr>
          <w:bCs/>
          <w:sz w:val="24"/>
          <w:highlight w:val="none"/>
        </w:rPr>
      </w:pPr>
      <w:r>
        <w:rPr>
          <w:rFonts w:hint="eastAsia" w:cs="宋体"/>
          <w:bCs/>
          <w:sz w:val="24"/>
          <w:highlight w:val="none"/>
          <w:lang w:bidi="ar"/>
        </w:rPr>
        <w:t>供应商名称：</w:t>
      </w:r>
    </w:p>
    <w:p>
      <w:pPr>
        <w:snapToGrid w:val="0"/>
        <w:spacing w:before="120" w:beforeLines="50" w:after="50" w:line="360" w:lineRule="exact"/>
        <w:ind w:firstLine="720" w:firstLineChars="300"/>
        <w:rPr>
          <w:bCs/>
          <w:sz w:val="24"/>
          <w:highlight w:val="none"/>
        </w:rPr>
      </w:pPr>
      <w:r>
        <w:rPr>
          <w:rFonts w:hint="eastAsia" w:cs="宋体"/>
          <w:bCs/>
          <w:sz w:val="24"/>
          <w:highlight w:val="none"/>
          <w:lang w:bidi="ar"/>
        </w:rPr>
        <w:t>供应商地址：</w:t>
      </w:r>
    </w:p>
    <w:p>
      <w:pPr>
        <w:snapToGrid w:val="0"/>
        <w:spacing w:before="120" w:beforeLines="50" w:after="50" w:line="360" w:lineRule="exact"/>
        <w:ind w:firstLine="720" w:firstLineChars="300"/>
        <w:rPr>
          <w:bCs/>
          <w:sz w:val="24"/>
          <w:highlight w:val="none"/>
        </w:rPr>
      </w:pPr>
    </w:p>
    <w:p>
      <w:pPr>
        <w:pStyle w:val="49"/>
        <w:widowControl w:val="0"/>
        <w:snapToGrid w:val="0"/>
        <w:spacing w:before="50" w:beforeAutospacing="0" w:after="50" w:afterAutospacing="0" w:line="360" w:lineRule="exact"/>
        <w:ind w:left="1260" w:firstLine="960" w:firstLineChars="400"/>
        <w:jc w:val="both"/>
        <w:rPr>
          <w:rFonts w:hint="eastAsia"/>
          <w:bCs/>
          <w:highlight w:val="none"/>
        </w:rPr>
      </w:pPr>
    </w:p>
    <w:p>
      <w:pPr>
        <w:snapToGrid w:val="0"/>
        <w:spacing w:before="120" w:beforeLines="50" w:after="50" w:line="360" w:lineRule="exact"/>
        <w:jc w:val="center"/>
        <w:rPr>
          <w:sz w:val="24"/>
          <w:highlight w:val="none"/>
        </w:rPr>
      </w:pPr>
      <w:r>
        <w:rPr>
          <w:sz w:val="24"/>
          <w:highlight w:val="none"/>
          <w:lang w:bidi="ar"/>
        </w:rPr>
        <w:t xml:space="preserve">                        </w:t>
      </w:r>
      <w:r>
        <w:rPr>
          <w:rFonts w:hint="eastAsia" w:cs="宋体"/>
          <w:sz w:val="24"/>
          <w:highlight w:val="none"/>
          <w:lang w:bidi="ar"/>
        </w:rPr>
        <w:t>年</w:t>
      </w:r>
      <w:r>
        <w:rPr>
          <w:sz w:val="24"/>
          <w:highlight w:val="none"/>
          <w:lang w:bidi="ar"/>
        </w:rPr>
        <w:t xml:space="preserve">  </w:t>
      </w:r>
      <w:r>
        <w:rPr>
          <w:rFonts w:hint="eastAsia" w:cs="宋体"/>
          <w:sz w:val="24"/>
          <w:highlight w:val="none"/>
          <w:lang w:bidi="ar"/>
        </w:rPr>
        <w:t>月</w:t>
      </w:r>
      <w:r>
        <w:rPr>
          <w:sz w:val="24"/>
          <w:highlight w:val="none"/>
          <w:lang w:bidi="ar"/>
        </w:rPr>
        <w:t xml:space="preserve">  </w:t>
      </w:r>
      <w:r>
        <w:rPr>
          <w:rFonts w:hint="eastAsia" w:cs="宋体"/>
          <w:sz w:val="24"/>
          <w:highlight w:val="none"/>
          <w:lang w:bidi="ar"/>
        </w:rPr>
        <w:t>日</w:t>
      </w:r>
    </w:p>
    <w:p>
      <w:pPr>
        <w:rPr>
          <w:highlight w:val="none"/>
        </w:rPr>
      </w:pPr>
      <w:r>
        <w:rPr>
          <w:highlight w:val="none"/>
          <w:lang w:bidi="ar"/>
        </w:rPr>
        <w:br w:type="page"/>
      </w:r>
    </w:p>
    <w:p>
      <w:pPr>
        <w:snapToGrid w:val="0"/>
        <w:spacing w:before="60" w:beforeLines="25" w:after="60" w:afterLines="25" w:line="360" w:lineRule="auto"/>
        <w:outlineLvl w:val="2"/>
        <w:rPr>
          <w:rFonts w:hint="eastAsia" w:ascii="宋体" w:hAnsi="宋体"/>
          <w:b/>
          <w:bCs/>
          <w:szCs w:val="21"/>
          <w:highlight w:val="none"/>
          <w:lang w:bidi="ar"/>
        </w:rPr>
      </w:pPr>
      <w:bookmarkStart w:id="267" w:name="_Hlk19115777"/>
      <w:r>
        <w:rPr>
          <w:rFonts w:hint="eastAsia" w:ascii="宋体" w:hAnsi="宋体"/>
          <w:b/>
          <w:bCs/>
          <w:szCs w:val="21"/>
          <w:highlight w:val="none"/>
          <w:lang w:bidi="ar"/>
        </w:rPr>
        <w:t>1.投标函格式（必须提供）</w:t>
      </w:r>
    </w:p>
    <w:p>
      <w:pPr>
        <w:spacing w:before="240" w:beforeLines="100" w:after="240" w:afterLines="100"/>
        <w:jc w:val="center"/>
        <w:rPr>
          <w:b/>
          <w:szCs w:val="21"/>
          <w:highlight w:val="none"/>
        </w:rPr>
      </w:pPr>
      <w:r>
        <w:rPr>
          <w:rFonts w:hint="eastAsia" w:cs="宋体"/>
          <w:b/>
          <w:szCs w:val="21"/>
          <w:highlight w:val="none"/>
          <w:lang w:bidi="ar"/>
        </w:rPr>
        <w:t>投</w:t>
      </w:r>
      <w:r>
        <w:rPr>
          <w:b/>
          <w:szCs w:val="21"/>
          <w:highlight w:val="none"/>
          <w:lang w:bidi="ar"/>
        </w:rPr>
        <w:t xml:space="preserve"> </w:t>
      </w:r>
      <w:r>
        <w:rPr>
          <w:rFonts w:hint="eastAsia" w:cs="宋体"/>
          <w:b/>
          <w:szCs w:val="21"/>
          <w:highlight w:val="none"/>
          <w:lang w:bidi="ar"/>
        </w:rPr>
        <w:t>标</w:t>
      </w:r>
      <w:r>
        <w:rPr>
          <w:b/>
          <w:szCs w:val="21"/>
          <w:highlight w:val="none"/>
          <w:lang w:bidi="ar"/>
        </w:rPr>
        <w:t xml:space="preserve"> </w:t>
      </w:r>
      <w:r>
        <w:rPr>
          <w:rFonts w:hint="eastAsia" w:cs="宋体"/>
          <w:b/>
          <w:szCs w:val="21"/>
          <w:highlight w:val="none"/>
          <w:lang w:bidi="ar"/>
        </w:rPr>
        <w:t>函</w:t>
      </w:r>
    </w:p>
    <w:p>
      <w:pPr>
        <w:spacing w:line="360" w:lineRule="auto"/>
        <w:rPr>
          <w:szCs w:val="21"/>
          <w:highlight w:val="none"/>
        </w:rPr>
      </w:pPr>
      <w:r>
        <w:rPr>
          <w:rFonts w:hint="eastAsia" w:cs="宋体"/>
          <w:szCs w:val="21"/>
          <w:highlight w:val="none"/>
          <w:lang w:bidi="ar"/>
        </w:rPr>
        <w:t>致：</w:t>
      </w:r>
      <w:bookmarkStart w:id="268" w:name="_Hlk19051378"/>
      <w:r>
        <w:rPr>
          <w:szCs w:val="21"/>
          <w:highlight w:val="none"/>
          <w:lang w:bidi="ar"/>
        </w:rPr>
        <w:t>_</w:t>
      </w:r>
      <w:r>
        <w:rPr>
          <w:rFonts w:hint="eastAsia" w:cs="宋体"/>
          <w:i/>
          <w:iCs/>
          <w:szCs w:val="21"/>
          <w:highlight w:val="none"/>
          <w:u w:val="single"/>
          <w:lang w:bidi="ar"/>
        </w:rPr>
        <w:t>（采购人名称）</w:t>
      </w:r>
      <w:r>
        <w:rPr>
          <w:i/>
          <w:iCs/>
          <w:szCs w:val="21"/>
          <w:highlight w:val="none"/>
          <w:lang w:bidi="ar"/>
        </w:rPr>
        <w:t>_</w:t>
      </w:r>
      <w:bookmarkEnd w:id="268"/>
      <w:r>
        <w:rPr>
          <w:rFonts w:hint="eastAsia" w:cs="宋体"/>
          <w:szCs w:val="21"/>
          <w:highlight w:val="none"/>
          <w:lang w:bidi="ar"/>
        </w:rPr>
        <w:t>：</w:t>
      </w:r>
    </w:p>
    <w:p>
      <w:pPr>
        <w:spacing w:line="360" w:lineRule="auto"/>
        <w:ind w:firstLine="420" w:firstLineChars="200"/>
        <w:rPr>
          <w:szCs w:val="21"/>
          <w:highlight w:val="none"/>
        </w:rPr>
      </w:pPr>
      <w:r>
        <w:rPr>
          <w:rFonts w:hint="eastAsia" w:cs="宋体"/>
          <w:szCs w:val="21"/>
          <w:highlight w:val="none"/>
          <w:lang w:bidi="ar"/>
        </w:rPr>
        <w:t>我方已仔细研究了</w:t>
      </w:r>
      <w:bookmarkStart w:id="269" w:name="_Hlk19051388"/>
      <w:r>
        <w:rPr>
          <w:rFonts w:hint="eastAsia" w:cs="宋体"/>
          <w:i/>
          <w:iCs/>
          <w:szCs w:val="21"/>
          <w:highlight w:val="none"/>
          <w:u w:val="single"/>
          <w:lang w:bidi="ar"/>
        </w:rPr>
        <w:t>（项目名称）</w:t>
      </w:r>
      <w:bookmarkEnd w:id="269"/>
      <w:r>
        <w:rPr>
          <w:rFonts w:hint="eastAsia" w:cs="宋体"/>
          <w:szCs w:val="21"/>
          <w:highlight w:val="none"/>
          <w:lang w:bidi="ar"/>
        </w:rPr>
        <w:t>的招标文件的全部内容。签字代表</w:t>
      </w:r>
      <w:bookmarkStart w:id="270" w:name="_Hlk19051393"/>
      <w:r>
        <w:rPr>
          <w:rFonts w:hint="eastAsia" w:cs="宋体"/>
          <w:i/>
          <w:iCs/>
          <w:szCs w:val="21"/>
          <w:highlight w:val="none"/>
          <w:u w:val="single"/>
          <w:lang w:bidi="ar"/>
        </w:rPr>
        <w:t>（授权代表姓名）</w:t>
      </w:r>
      <w:bookmarkEnd w:id="270"/>
      <w:r>
        <w:rPr>
          <w:rFonts w:hint="eastAsia" w:cs="宋体"/>
          <w:szCs w:val="21"/>
          <w:highlight w:val="none"/>
          <w:lang w:bidi="ar"/>
        </w:rPr>
        <w:t>经正式授权并代表供应商</w:t>
      </w:r>
      <w:r>
        <w:rPr>
          <w:szCs w:val="21"/>
          <w:highlight w:val="none"/>
          <w:lang w:bidi="ar"/>
        </w:rPr>
        <w:t>_</w:t>
      </w:r>
      <w:bookmarkStart w:id="271" w:name="_Hlk19051402"/>
      <w:r>
        <w:rPr>
          <w:rFonts w:hint="eastAsia" w:cs="宋体"/>
          <w:i/>
          <w:iCs/>
          <w:szCs w:val="21"/>
          <w:highlight w:val="none"/>
          <w:u w:val="single"/>
          <w:lang w:bidi="ar"/>
        </w:rPr>
        <w:t>（供应商名称）</w:t>
      </w:r>
      <w:bookmarkEnd w:id="271"/>
      <w:r>
        <w:rPr>
          <w:rFonts w:hint="eastAsia" w:cs="宋体"/>
          <w:szCs w:val="21"/>
          <w:highlight w:val="none"/>
          <w:lang w:bidi="ar"/>
        </w:rPr>
        <w:t>提交投标文件。</w:t>
      </w:r>
    </w:p>
    <w:p>
      <w:pPr>
        <w:spacing w:line="360" w:lineRule="auto"/>
        <w:ind w:firstLine="420" w:firstLineChars="200"/>
        <w:rPr>
          <w:szCs w:val="21"/>
          <w:highlight w:val="none"/>
        </w:rPr>
      </w:pPr>
      <w:r>
        <w:rPr>
          <w:rFonts w:hint="eastAsia" w:cs="宋体"/>
          <w:szCs w:val="21"/>
          <w:highlight w:val="none"/>
          <w:lang w:bidi="ar"/>
        </w:rPr>
        <w:t>据此函，签字代表宣布同意如下：</w:t>
      </w:r>
    </w:p>
    <w:p>
      <w:pPr>
        <w:spacing w:line="360" w:lineRule="auto"/>
        <w:rPr>
          <w:szCs w:val="21"/>
          <w:highlight w:val="none"/>
        </w:rPr>
      </w:pPr>
      <w:r>
        <w:rPr>
          <w:rFonts w:hint="eastAsia" w:cs="宋体"/>
          <w:szCs w:val="21"/>
          <w:highlight w:val="none"/>
          <w:lang w:bidi="ar"/>
        </w:rPr>
        <w:t>（</w:t>
      </w:r>
      <w:r>
        <w:rPr>
          <w:szCs w:val="21"/>
          <w:highlight w:val="none"/>
          <w:lang w:bidi="ar"/>
        </w:rPr>
        <w:t>1</w:t>
      </w:r>
      <w:r>
        <w:rPr>
          <w:rFonts w:hint="eastAsia" w:cs="宋体"/>
          <w:szCs w:val="21"/>
          <w:highlight w:val="none"/>
          <w:lang w:bidi="ar"/>
        </w:rPr>
        <w:t>）我方已详细审查全部</w:t>
      </w:r>
      <w:r>
        <w:rPr>
          <w:szCs w:val="21"/>
          <w:highlight w:val="none"/>
          <w:lang w:bidi="ar"/>
        </w:rPr>
        <w:t>“</w:t>
      </w:r>
      <w:r>
        <w:rPr>
          <w:rFonts w:hint="eastAsia" w:cs="宋体"/>
          <w:szCs w:val="21"/>
          <w:highlight w:val="none"/>
          <w:lang w:bidi="ar"/>
        </w:rPr>
        <w:t>招标文件</w:t>
      </w:r>
      <w:r>
        <w:rPr>
          <w:szCs w:val="21"/>
          <w:highlight w:val="none"/>
          <w:lang w:bidi="ar"/>
        </w:rPr>
        <w:t>”</w:t>
      </w:r>
      <w:r>
        <w:rPr>
          <w:rFonts w:hint="eastAsia" w:cs="宋体"/>
          <w:szCs w:val="21"/>
          <w:highlight w:val="none"/>
          <w:lang w:bidi="ar"/>
        </w:rPr>
        <w:t>，包括修改文件（如有的话）以及全部参考资料和有关附件，已经了解我方对于招标文件、采购过程、采购结果有依法进行询问、质疑、投诉的权利及相关渠道和要求。</w:t>
      </w:r>
    </w:p>
    <w:p>
      <w:pPr>
        <w:spacing w:line="360" w:lineRule="auto"/>
        <w:rPr>
          <w:szCs w:val="21"/>
          <w:highlight w:val="none"/>
        </w:rPr>
      </w:pPr>
      <w:r>
        <w:rPr>
          <w:rFonts w:hint="eastAsia" w:cs="宋体"/>
          <w:szCs w:val="21"/>
          <w:highlight w:val="none"/>
          <w:lang w:bidi="ar"/>
        </w:rPr>
        <w:t>（</w:t>
      </w:r>
      <w:r>
        <w:rPr>
          <w:szCs w:val="21"/>
          <w:highlight w:val="none"/>
          <w:lang w:bidi="ar"/>
        </w:rPr>
        <w:t>2</w:t>
      </w:r>
      <w:r>
        <w:rPr>
          <w:rFonts w:hint="eastAsia" w:cs="宋体"/>
          <w:szCs w:val="21"/>
          <w:highlight w:val="none"/>
          <w:lang w:bidi="ar"/>
        </w:rPr>
        <w:t>）我方在投标之前已经与贵方进行了充分的沟通，完全理解并接受招标文件的各项规定和要求，对招标文件的合理性、合法性不再有异议。</w:t>
      </w:r>
    </w:p>
    <w:p>
      <w:pPr>
        <w:spacing w:line="360" w:lineRule="auto"/>
        <w:rPr>
          <w:szCs w:val="21"/>
          <w:highlight w:val="none"/>
        </w:rPr>
      </w:pPr>
      <w:r>
        <w:rPr>
          <w:rFonts w:hint="eastAsia" w:cs="宋体"/>
          <w:szCs w:val="21"/>
          <w:highlight w:val="none"/>
          <w:lang w:bidi="ar"/>
        </w:rPr>
        <w:t>（</w:t>
      </w:r>
      <w:r>
        <w:rPr>
          <w:szCs w:val="21"/>
          <w:highlight w:val="none"/>
          <w:lang w:bidi="ar"/>
        </w:rPr>
        <w:t>3</w:t>
      </w:r>
      <w:r>
        <w:rPr>
          <w:rFonts w:hint="eastAsia" w:cs="宋体"/>
          <w:szCs w:val="21"/>
          <w:highlight w:val="none"/>
          <w:lang w:bidi="ar"/>
        </w:rPr>
        <w:t>）本投标有效期自投标截止之日起</w:t>
      </w:r>
      <w:r>
        <w:rPr>
          <w:szCs w:val="21"/>
          <w:highlight w:val="none"/>
          <w:u w:val="single"/>
          <w:lang w:bidi="ar"/>
        </w:rPr>
        <w:t xml:space="preserve"> </w:t>
      </w:r>
      <w:r>
        <w:rPr>
          <w:rFonts w:hint="eastAsia"/>
          <w:szCs w:val="21"/>
          <w:highlight w:val="none"/>
          <w:u w:val="single"/>
          <w:lang w:bidi="ar"/>
        </w:rPr>
        <w:t xml:space="preserve">    </w:t>
      </w:r>
      <w:r>
        <w:rPr>
          <w:rFonts w:hint="eastAsia" w:cs="宋体"/>
          <w:szCs w:val="21"/>
          <w:highlight w:val="none"/>
          <w:lang w:bidi="ar"/>
        </w:rPr>
        <w:t>天。</w:t>
      </w:r>
    </w:p>
    <w:p>
      <w:pPr>
        <w:spacing w:line="360" w:lineRule="auto"/>
        <w:rPr>
          <w:szCs w:val="21"/>
          <w:highlight w:val="none"/>
        </w:rPr>
      </w:pPr>
      <w:r>
        <w:rPr>
          <w:rFonts w:hint="eastAsia" w:cs="宋体"/>
          <w:szCs w:val="21"/>
          <w:highlight w:val="none"/>
          <w:lang w:bidi="ar"/>
        </w:rPr>
        <w:t>（</w:t>
      </w:r>
      <w:r>
        <w:rPr>
          <w:szCs w:val="21"/>
          <w:highlight w:val="none"/>
          <w:lang w:bidi="ar"/>
        </w:rPr>
        <w:t>4</w:t>
      </w:r>
      <w:r>
        <w:rPr>
          <w:rFonts w:hint="eastAsia" w:cs="宋体"/>
          <w:szCs w:val="21"/>
          <w:highlight w:val="none"/>
          <w:lang w:bidi="ar"/>
        </w:rPr>
        <w:t>）如中标，本投标文件至本项目合同履行完毕止均保持有效，我方将按</w:t>
      </w:r>
      <w:r>
        <w:rPr>
          <w:szCs w:val="21"/>
          <w:highlight w:val="none"/>
          <w:lang w:bidi="ar"/>
        </w:rPr>
        <w:t>“</w:t>
      </w:r>
      <w:r>
        <w:rPr>
          <w:rFonts w:hint="eastAsia" w:cs="宋体"/>
          <w:szCs w:val="21"/>
          <w:highlight w:val="none"/>
          <w:lang w:bidi="ar"/>
        </w:rPr>
        <w:t>招标文件</w:t>
      </w:r>
      <w:r>
        <w:rPr>
          <w:szCs w:val="21"/>
          <w:highlight w:val="none"/>
          <w:lang w:bidi="ar"/>
        </w:rPr>
        <w:t>”</w:t>
      </w:r>
      <w:r>
        <w:rPr>
          <w:rFonts w:hint="eastAsia" w:cs="宋体"/>
          <w:szCs w:val="21"/>
          <w:highlight w:val="none"/>
          <w:lang w:bidi="ar"/>
        </w:rPr>
        <w:t>及政府采购法律、法规的规定履行合同责任和义务，并承诺不分包及转包他人。</w:t>
      </w:r>
    </w:p>
    <w:p>
      <w:pPr>
        <w:spacing w:line="360" w:lineRule="auto"/>
        <w:rPr>
          <w:szCs w:val="21"/>
          <w:highlight w:val="none"/>
        </w:rPr>
      </w:pPr>
      <w:r>
        <w:rPr>
          <w:rFonts w:hint="eastAsia" w:cs="宋体"/>
          <w:szCs w:val="21"/>
          <w:highlight w:val="none"/>
          <w:lang w:bidi="ar"/>
        </w:rPr>
        <w:t>（</w:t>
      </w:r>
      <w:r>
        <w:rPr>
          <w:szCs w:val="21"/>
          <w:highlight w:val="none"/>
          <w:lang w:bidi="ar"/>
        </w:rPr>
        <w:t>5</w:t>
      </w:r>
      <w:r>
        <w:rPr>
          <w:rFonts w:hint="eastAsia" w:cs="宋体"/>
          <w:szCs w:val="21"/>
          <w:highlight w:val="none"/>
          <w:lang w:bidi="ar"/>
        </w:rPr>
        <w:t>）我方同意按照贵方要求提供与投标有关的一切数据或资料。</w:t>
      </w:r>
    </w:p>
    <w:p>
      <w:pPr>
        <w:spacing w:line="360" w:lineRule="auto"/>
        <w:rPr>
          <w:szCs w:val="21"/>
          <w:highlight w:val="none"/>
        </w:rPr>
      </w:pPr>
      <w:r>
        <w:rPr>
          <w:rFonts w:hint="eastAsia" w:cs="宋体"/>
          <w:szCs w:val="21"/>
          <w:highlight w:val="none"/>
          <w:lang w:bidi="ar"/>
        </w:rPr>
        <w:t>（</w:t>
      </w:r>
      <w:r>
        <w:rPr>
          <w:szCs w:val="21"/>
          <w:highlight w:val="none"/>
          <w:lang w:bidi="ar"/>
        </w:rPr>
        <w:t>6</w:t>
      </w:r>
      <w:r>
        <w:rPr>
          <w:rFonts w:hint="eastAsia" w:cs="宋体"/>
          <w:szCs w:val="21"/>
          <w:highlight w:val="none"/>
          <w:lang w:bidi="ar"/>
        </w:rPr>
        <w:t xml:space="preserve">）与本项目有关的一切正式往来信函请寄： </w:t>
      </w:r>
    </w:p>
    <w:p>
      <w:pPr>
        <w:spacing w:line="360" w:lineRule="auto"/>
        <w:rPr>
          <w:szCs w:val="21"/>
          <w:highlight w:val="none"/>
        </w:rPr>
      </w:pPr>
      <w:r>
        <w:rPr>
          <w:rFonts w:hint="eastAsia" w:cs="宋体"/>
          <w:szCs w:val="21"/>
          <w:highlight w:val="none"/>
          <w:lang w:bidi="ar"/>
        </w:rPr>
        <w:t>地址：</w:t>
      </w:r>
      <w:r>
        <w:rPr>
          <w:szCs w:val="21"/>
          <w:highlight w:val="none"/>
          <w:u w:val="single"/>
          <w:lang w:bidi="ar"/>
        </w:rPr>
        <w:t xml:space="preserve">                      </w:t>
      </w:r>
      <w:r>
        <w:rPr>
          <w:rFonts w:hint="eastAsia" w:cs="宋体"/>
          <w:szCs w:val="21"/>
          <w:highlight w:val="none"/>
          <w:lang w:bidi="ar"/>
        </w:rPr>
        <w:t>邮编：</w:t>
      </w:r>
      <w:r>
        <w:rPr>
          <w:szCs w:val="21"/>
          <w:highlight w:val="none"/>
          <w:u w:val="single"/>
          <w:lang w:bidi="ar"/>
        </w:rPr>
        <w:t xml:space="preserve">         </w:t>
      </w:r>
      <w:r>
        <w:rPr>
          <w:szCs w:val="21"/>
          <w:highlight w:val="none"/>
          <w:lang w:bidi="ar"/>
        </w:rPr>
        <w:t xml:space="preserve">  </w:t>
      </w:r>
      <w:r>
        <w:rPr>
          <w:rFonts w:hint="eastAsia" w:cs="宋体"/>
          <w:szCs w:val="21"/>
          <w:highlight w:val="none"/>
          <w:lang w:bidi="ar"/>
        </w:rPr>
        <w:t>电话：</w:t>
      </w:r>
      <w:r>
        <w:rPr>
          <w:szCs w:val="21"/>
          <w:highlight w:val="none"/>
          <w:u w:val="single"/>
          <w:lang w:bidi="ar"/>
        </w:rPr>
        <w:t xml:space="preserve">            </w:t>
      </w:r>
    </w:p>
    <w:p>
      <w:pPr>
        <w:spacing w:line="360" w:lineRule="auto"/>
        <w:rPr>
          <w:szCs w:val="21"/>
          <w:highlight w:val="none"/>
        </w:rPr>
      </w:pPr>
      <w:r>
        <w:rPr>
          <w:rFonts w:hint="eastAsia" w:cs="宋体"/>
          <w:szCs w:val="21"/>
          <w:highlight w:val="none"/>
          <w:lang w:bidi="ar"/>
        </w:rPr>
        <w:t>传真：</w:t>
      </w:r>
      <w:r>
        <w:rPr>
          <w:szCs w:val="21"/>
          <w:highlight w:val="none"/>
          <w:u w:val="single"/>
          <w:lang w:bidi="ar"/>
        </w:rPr>
        <w:t xml:space="preserve">           </w:t>
      </w:r>
      <w:r>
        <w:rPr>
          <w:szCs w:val="21"/>
          <w:highlight w:val="none"/>
          <w:lang w:bidi="ar"/>
        </w:rPr>
        <w:t xml:space="preserve">  </w:t>
      </w:r>
    </w:p>
    <w:p>
      <w:pPr>
        <w:spacing w:line="360" w:lineRule="auto"/>
        <w:rPr>
          <w:szCs w:val="21"/>
          <w:highlight w:val="none"/>
        </w:rPr>
      </w:pPr>
      <w:r>
        <w:rPr>
          <w:rFonts w:hint="eastAsia" w:cs="宋体"/>
          <w:szCs w:val="21"/>
          <w:highlight w:val="none"/>
          <w:lang w:bidi="ar"/>
        </w:rPr>
        <w:t>供应商代表姓名</w:t>
      </w:r>
      <w:r>
        <w:rPr>
          <w:szCs w:val="21"/>
          <w:highlight w:val="none"/>
          <w:u w:val="single"/>
          <w:lang w:bidi="ar"/>
        </w:rPr>
        <w:t xml:space="preserve">         </w:t>
      </w:r>
      <w:r>
        <w:rPr>
          <w:szCs w:val="21"/>
          <w:highlight w:val="none"/>
          <w:lang w:bidi="ar"/>
        </w:rPr>
        <w:t xml:space="preserve">  </w:t>
      </w:r>
      <w:r>
        <w:rPr>
          <w:rFonts w:hint="eastAsia" w:cs="宋体"/>
          <w:szCs w:val="21"/>
          <w:highlight w:val="none"/>
          <w:lang w:bidi="ar"/>
        </w:rPr>
        <w:t>职务：</w:t>
      </w:r>
      <w:r>
        <w:rPr>
          <w:szCs w:val="21"/>
          <w:highlight w:val="none"/>
          <w:u w:val="single"/>
          <w:lang w:bidi="ar"/>
        </w:rPr>
        <w:t xml:space="preserve">         </w:t>
      </w:r>
      <w:r>
        <w:rPr>
          <w:szCs w:val="21"/>
          <w:highlight w:val="none"/>
          <w:lang w:bidi="ar"/>
        </w:rPr>
        <w:t xml:space="preserve">    </w:t>
      </w:r>
      <w:r>
        <w:rPr>
          <w:rFonts w:hint="eastAsia" w:cs="宋体"/>
          <w:szCs w:val="21"/>
          <w:highlight w:val="none"/>
          <w:lang w:bidi="ar"/>
        </w:rPr>
        <w:t>邮箱：</w:t>
      </w:r>
      <w:r>
        <w:rPr>
          <w:szCs w:val="21"/>
          <w:highlight w:val="none"/>
          <w:u w:val="single"/>
          <w:lang w:bidi="ar"/>
        </w:rPr>
        <w:t xml:space="preserve">              </w:t>
      </w:r>
      <w:r>
        <w:rPr>
          <w:szCs w:val="21"/>
          <w:highlight w:val="none"/>
          <w:lang w:bidi="ar"/>
        </w:rPr>
        <w:t xml:space="preserve"> </w:t>
      </w:r>
    </w:p>
    <w:bookmarkEnd w:id="267"/>
    <w:p>
      <w:pPr>
        <w:spacing w:line="360" w:lineRule="auto"/>
        <w:rPr>
          <w:szCs w:val="21"/>
          <w:highlight w:val="none"/>
        </w:rPr>
      </w:pPr>
    </w:p>
    <w:p>
      <w:pPr>
        <w:spacing w:line="360" w:lineRule="auto"/>
        <w:rPr>
          <w:szCs w:val="21"/>
          <w:highlight w:val="none"/>
        </w:rPr>
      </w:pPr>
    </w:p>
    <w:p>
      <w:pPr>
        <w:snapToGrid w:val="0"/>
        <w:spacing w:before="50" w:after="120"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20"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tabs>
          <w:tab w:val="left" w:pos="312"/>
        </w:tabs>
        <w:spacing w:before="240" w:beforeLines="100" w:after="240" w:afterLines="100" w:line="320" w:lineRule="exact"/>
        <w:outlineLvl w:val="2"/>
        <w:rPr>
          <w:rFonts w:hint="eastAsia" w:ascii="宋体" w:hAnsi="宋体"/>
          <w:b/>
          <w:bCs/>
          <w:szCs w:val="21"/>
          <w:highlight w:val="none"/>
          <w:lang w:bidi="ar"/>
        </w:rPr>
      </w:pPr>
      <w:r>
        <w:rPr>
          <w:b/>
          <w:szCs w:val="21"/>
          <w:highlight w:val="none"/>
          <w:lang w:bidi="ar"/>
        </w:rPr>
        <w:br w:type="page"/>
      </w:r>
      <w:r>
        <w:rPr>
          <w:rFonts w:hint="eastAsia" w:ascii="宋体" w:hAnsi="宋体"/>
          <w:b/>
          <w:bCs/>
          <w:szCs w:val="21"/>
          <w:highlight w:val="none"/>
          <w:lang w:bidi="ar"/>
        </w:rPr>
        <w:t>2.投标报价明细表格式（必须提供）</w:t>
      </w:r>
    </w:p>
    <w:p>
      <w:pPr>
        <w:jc w:val="center"/>
        <w:rPr>
          <w:b/>
          <w:szCs w:val="21"/>
          <w:highlight w:val="none"/>
        </w:rPr>
      </w:pPr>
      <w:r>
        <w:rPr>
          <w:rFonts w:hint="eastAsia" w:cs="宋体"/>
          <w:b/>
          <w:szCs w:val="21"/>
          <w:highlight w:val="none"/>
          <w:lang w:bidi="ar"/>
        </w:rPr>
        <w:t>投标报价明细表</w:t>
      </w:r>
    </w:p>
    <w:p>
      <w:pPr>
        <w:ind w:firstLine="2415" w:firstLineChars="1150"/>
        <w:rPr>
          <w:szCs w:val="21"/>
          <w:highlight w:val="none"/>
        </w:rPr>
      </w:pPr>
      <w:r>
        <w:rPr>
          <w:szCs w:val="21"/>
          <w:highlight w:val="none"/>
          <w:lang w:bidi="ar"/>
        </w:rPr>
        <w:t xml:space="preserve">                                    </w:t>
      </w:r>
      <w:r>
        <w:rPr>
          <w:rFonts w:hint="eastAsia" w:cs="宋体"/>
          <w:szCs w:val="21"/>
          <w:highlight w:val="none"/>
          <w:lang w:bidi="ar"/>
        </w:rPr>
        <w:t>金额单位：人民币（元）</w:t>
      </w:r>
    </w:p>
    <w:tbl>
      <w:tblPr>
        <w:tblStyle w:val="54"/>
        <w:tblW w:w="499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676"/>
        <w:gridCol w:w="1362"/>
        <w:gridCol w:w="1498"/>
        <w:gridCol w:w="1499"/>
        <w:gridCol w:w="865"/>
        <w:gridCol w:w="1307"/>
        <w:gridCol w:w="646"/>
        <w:gridCol w:w="66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1" w:hRule="exact"/>
          <w:jc w:val="center"/>
        </w:trPr>
        <w:tc>
          <w:tcPr>
            <w:tcW w:w="39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bookmarkStart w:id="272" w:name="_Hlk88990717"/>
            <w:r>
              <w:rPr>
                <w:rFonts w:hint="eastAsia" w:cs="宋体"/>
                <w:szCs w:val="21"/>
                <w:highlight w:val="none"/>
                <w:lang w:bidi="ar"/>
              </w:rPr>
              <w:t>序号</w:t>
            </w:r>
          </w:p>
        </w:tc>
        <w:tc>
          <w:tcPr>
            <w:tcW w:w="800" w:type="pct"/>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cs="宋体"/>
                <w:szCs w:val="21"/>
                <w:highlight w:val="none"/>
                <w:lang w:bidi="ar"/>
              </w:rPr>
              <w:t>产品名称</w:t>
            </w: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rFonts w:cs="宋体"/>
                <w:szCs w:val="21"/>
                <w:highlight w:val="none"/>
                <w:lang w:bidi="ar"/>
              </w:rPr>
            </w:pPr>
            <w:r>
              <w:rPr>
                <w:rFonts w:hint="eastAsia" w:cs="宋体"/>
                <w:szCs w:val="21"/>
                <w:highlight w:val="none"/>
                <w:lang w:bidi="ar"/>
              </w:rPr>
              <w:t>商标品牌</w:t>
            </w: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cs="宋体"/>
                <w:szCs w:val="21"/>
                <w:highlight w:val="none"/>
                <w:lang w:bidi="ar"/>
              </w:rPr>
              <w:t>制造商</w:t>
            </w: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cs="宋体"/>
                <w:szCs w:val="21"/>
                <w:highlight w:val="none"/>
                <w:lang w:bidi="ar"/>
              </w:rPr>
              <w:t>规格型号</w:t>
            </w:r>
          </w:p>
        </w:tc>
        <w:tc>
          <w:tcPr>
            <w:tcW w:w="767" w:type="pct"/>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cs="宋体"/>
                <w:szCs w:val="21"/>
                <w:highlight w:val="none"/>
                <w:lang w:bidi="ar"/>
              </w:rPr>
              <w:t>单位及数量</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cs="宋体"/>
                <w:szCs w:val="21"/>
                <w:highlight w:val="none"/>
                <w:lang w:bidi="ar"/>
              </w:rPr>
              <w:t>单价</w:t>
            </w:r>
          </w:p>
        </w:tc>
        <w:tc>
          <w:tcPr>
            <w:tcW w:w="386" w:type="pct"/>
            <w:tcBorders>
              <w:top w:val="single" w:color="auto" w:sz="4" w:space="0"/>
              <w:left w:val="single" w:color="auto" w:sz="4" w:space="0"/>
              <w:bottom w:val="single" w:color="auto" w:sz="4" w:space="0"/>
              <w:right w:val="single" w:color="auto" w:sz="4" w:space="0"/>
            </w:tcBorders>
            <w:vAlign w:val="center"/>
          </w:tcPr>
          <w:p>
            <w:pPr>
              <w:jc w:val="center"/>
              <w:rPr>
                <w:szCs w:val="21"/>
                <w:highlight w:val="none"/>
              </w:rPr>
            </w:pPr>
            <w:r>
              <w:rPr>
                <w:rFonts w:hint="eastAsia" w:cs="宋体"/>
                <w:szCs w:val="21"/>
                <w:highlight w:val="none"/>
                <w:lang w:bidi="ar"/>
              </w:rPr>
              <w:t>合计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39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r>
              <w:rPr>
                <w:rFonts w:hint="eastAsia"/>
                <w:spacing w:val="20"/>
                <w:szCs w:val="21"/>
                <w:highlight w:val="none"/>
              </w:rPr>
              <w:t>1</w:t>
            </w:r>
          </w:p>
        </w:tc>
        <w:tc>
          <w:tcPr>
            <w:tcW w:w="80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39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r>
              <w:rPr>
                <w:rFonts w:hint="eastAsia"/>
                <w:spacing w:val="20"/>
                <w:szCs w:val="21"/>
                <w:highlight w:val="none"/>
              </w:rPr>
              <w:t>2</w:t>
            </w:r>
          </w:p>
        </w:tc>
        <w:tc>
          <w:tcPr>
            <w:tcW w:w="80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39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r>
              <w:rPr>
                <w:rFonts w:hint="eastAsia"/>
                <w:spacing w:val="20"/>
                <w:szCs w:val="21"/>
                <w:highlight w:val="none"/>
              </w:rPr>
              <w:t>3</w:t>
            </w:r>
          </w:p>
        </w:tc>
        <w:tc>
          <w:tcPr>
            <w:tcW w:w="80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39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r>
              <w:rPr>
                <w:spacing w:val="20"/>
                <w:szCs w:val="21"/>
                <w:highlight w:val="none"/>
              </w:rPr>
              <w:t>……</w:t>
            </w:r>
          </w:p>
        </w:tc>
        <w:tc>
          <w:tcPr>
            <w:tcW w:w="80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r>
              <w:rPr>
                <w:spacing w:val="20"/>
                <w:szCs w:val="21"/>
                <w:highlight w:val="none"/>
                <w:lang w:bidi="ar"/>
              </w:rPr>
              <w:t>……</w:t>
            </w: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exact"/>
          <w:jc w:val="center"/>
        </w:trPr>
        <w:tc>
          <w:tcPr>
            <w:tcW w:w="39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r>
              <w:rPr>
                <w:rFonts w:hint="eastAsia"/>
                <w:spacing w:val="20"/>
                <w:szCs w:val="21"/>
                <w:highlight w:val="none"/>
              </w:rPr>
              <w:t>N</w:t>
            </w:r>
          </w:p>
        </w:tc>
        <w:tc>
          <w:tcPr>
            <w:tcW w:w="80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lang w:bidi="ar"/>
              </w:rPr>
            </w:pP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c>
          <w:tcPr>
            <w:tcW w:w="386" w:type="pct"/>
            <w:tcBorders>
              <w:top w:val="single" w:color="auto" w:sz="4" w:space="0"/>
              <w:left w:val="single" w:color="auto" w:sz="4" w:space="0"/>
              <w:bottom w:val="single" w:color="auto" w:sz="4" w:space="0"/>
              <w:right w:val="single" w:color="auto" w:sz="4" w:space="0"/>
            </w:tcBorders>
            <w:vAlign w:val="center"/>
          </w:tcPr>
          <w:p>
            <w:pPr>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 w:hRule="exac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jc w:val="left"/>
              <w:rPr>
                <w:spacing w:val="20"/>
                <w:szCs w:val="21"/>
                <w:highlight w:val="none"/>
              </w:rPr>
            </w:pPr>
            <w:r>
              <w:rPr>
                <w:rFonts w:hint="eastAsia"/>
                <w:spacing w:val="20"/>
                <w:szCs w:val="21"/>
                <w:highlight w:val="none"/>
              </w:rPr>
              <w:t>报价合计：（大写）人民币</w:t>
            </w:r>
            <w:r>
              <w:rPr>
                <w:rFonts w:hint="eastAsia"/>
                <w:spacing w:val="20"/>
                <w:szCs w:val="21"/>
                <w:highlight w:val="none"/>
                <w:u w:val="single"/>
              </w:rPr>
              <w:t xml:space="preserve">               </w:t>
            </w:r>
            <w:r>
              <w:rPr>
                <w:rFonts w:hint="eastAsia"/>
                <w:spacing w:val="20"/>
                <w:szCs w:val="21"/>
                <w:highlight w:val="none"/>
              </w:rPr>
              <w:t>（￥</w:t>
            </w:r>
            <w:r>
              <w:rPr>
                <w:rFonts w:hint="eastAsia"/>
                <w:spacing w:val="20"/>
                <w:szCs w:val="21"/>
                <w:highlight w:val="none"/>
                <w:u w:val="single"/>
              </w:rPr>
              <w:t xml:space="preserve">            </w:t>
            </w:r>
            <w:r>
              <w:rPr>
                <w:rFonts w:hint="eastAsia"/>
                <w:spacing w:val="20"/>
                <w:szCs w:val="21"/>
                <w:highlight w:val="none"/>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6" w:hRule="exac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jc w:val="left"/>
              <w:rPr>
                <w:spacing w:val="20"/>
                <w:szCs w:val="21"/>
                <w:highlight w:val="none"/>
              </w:rPr>
            </w:pPr>
            <w:r>
              <w:rPr>
                <w:rFonts w:ascii="宋体" w:hAnsi="宋体"/>
                <w:szCs w:val="21"/>
                <w:highlight w:val="none"/>
              </w:rPr>
              <w:t>投标货物中，属于优先采购节能产品总值为￥</w:t>
            </w:r>
            <w:r>
              <w:rPr>
                <w:rFonts w:ascii="宋体" w:hAnsi="宋体"/>
                <w:szCs w:val="21"/>
                <w:highlight w:val="none"/>
                <w:u w:val="single"/>
              </w:rPr>
              <w:t xml:space="preserve">     </w:t>
            </w:r>
            <w:r>
              <w:rPr>
                <w:rFonts w:ascii="宋体" w:hAnsi="宋体"/>
                <w:szCs w:val="21"/>
                <w:highlight w:val="none"/>
              </w:rPr>
              <w:t>元，其所占本</w:t>
            </w:r>
            <w:r>
              <w:rPr>
                <w:rFonts w:hint="eastAsia" w:ascii="宋体" w:hAnsi="宋体"/>
                <w:szCs w:val="21"/>
                <w:highlight w:val="none"/>
              </w:rPr>
              <w:t>项目预算金额</w:t>
            </w:r>
            <w:r>
              <w:rPr>
                <w:rFonts w:ascii="宋体" w:hAnsi="宋体"/>
                <w:szCs w:val="21"/>
                <w:highlight w:val="none"/>
              </w:rPr>
              <w:t>的比例为</w:t>
            </w:r>
            <w:r>
              <w:rPr>
                <w:rFonts w:ascii="宋体" w:hAnsi="宋体"/>
                <w:szCs w:val="21"/>
                <w:highlight w:val="none"/>
                <w:u w:val="single"/>
              </w:rPr>
              <w:t xml:space="preserve">     </w:t>
            </w:r>
            <w:r>
              <w:rPr>
                <w:rFonts w:ascii="宋体" w:hAnsi="宋体"/>
                <w:szCs w:val="21"/>
                <w:highlight w:val="none"/>
              </w:rPr>
              <w:t>%；属于优先采购环境标志产品总值为￥</w:t>
            </w:r>
            <w:r>
              <w:rPr>
                <w:rFonts w:ascii="宋体" w:hAnsi="宋体"/>
                <w:szCs w:val="21"/>
                <w:highlight w:val="none"/>
                <w:u w:val="single"/>
              </w:rPr>
              <w:t xml:space="preserve">     </w:t>
            </w:r>
            <w:r>
              <w:rPr>
                <w:rFonts w:ascii="宋体" w:hAnsi="宋体"/>
                <w:szCs w:val="21"/>
                <w:highlight w:val="none"/>
              </w:rPr>
              <w:t>元，其所占本</w:t>
            </w:r>
            <w:r>
              <w:rPr>
                <w:rFonts w:hint="eastAsia" w:ascii="宋体" w:hAnsi="宋体"/>
                <w:szCs w:val="21"/>
                <w:highlight w:val="none"/>
              </w:rPr>
              <w:t>项目预算金额</w:t>
            </w:r>
            <w:r>
              <w:rPr>
                <w:rFonts w:ascii="宋体" w:hAnsi="宋体"/>
                <w:szCs w:val="21"/>
                <w:highlight w:val="none"/>
              </w:rPr>
              <w:t>的比例为</w:t>
            </w:r>
            <w:r>
              <w:rPr>
                <w:rFonts w:ascii="宋体" w:hAnsi="宋体"/>
                <w:szCs w:val="21"/>
                <w:highlight w:val="none"/>
                <w:u w:val="single"/>
              </w:rPr>
              <w:t xml:space="preserve">    </w:t>
            </w:r>
            <w:r>
              <w:rPr>
                <w:rFonts w:ascii="宋体" w:hAnsi="宋体"/>
                <w:szCs w:val="21"/>
                <w:highlight w:val="none"/>
              </w:rPr>
              <w:t>%。</w:t>
            </w:r>
          </w:p>
        </w:tc>
      </w:tr>
    </w:tbl>
    <w:p>
      <w:pPr>
        <w:spacing w:line="360" w:lineRule="auto"/>
        <w:jc w:val="left"/>
        <w:rPr>
          <w:szCs w:val="21"/>
          <w:highlight w:val="none"/>
        </w:rPr>
      </w:pPr>
    </w:p>
    <w:p>
      <w:pPr>
        <w:spacing w:line="360" w:lineRule="auto"/>
        <w:jc w:val="left"/>
        <w:rPr>
          <w:szCs w:val="21"/>
          <w:highlight w:val="none"/>
        </w:rPr>
      </w:pPr>
      <w:r>
        <w:rPr>
          <w:szCs w:val="21"/>
          <w:highlight w:val="none"/>
        </w:rPr>
        <w:t>注：</w:t>
      </w:r>
    </w:p>
    <w:p>
      <w:pPr>
        <w:spacing w:line="360" w:lineRule="auto"/>
        <w:jc w:val="left"/>
        <w:rPr>
          <w:rFonts w:hint="eastAsia"/>
          <w:color w:val="FF0000"/>
          <w:szCs w:val="21"/>
          <w:highlight w:val="none"/>
          <w:lang w:val="en-US" w:eastAsia="zh-CN"/>
        </w:rPr>
      </w:pPr>
      <w:r>
        <w:rPr>
          <w:rFonts w:hint="eastAsia"/>
          <w:szCs w:val="21"/>
          <w:highlight w:val="none"/>
          <w:lang w:val="en-US" w:eastAsia="zh-CN"/>
        </w:rPr>
        <w:t>1.投标报价明细表中提供的货物</w:t>
      </w:r>
      <w:r>
        <w:rPr>
          <w:rFonts w:hint="eastAsia"/>
          <w:color w:val="FF0000"/>
          <w:szCs w:val="21"/>
          <w:highlight w:val="none"/>
          <w:lang w:val="en-US" w:eastAsia="zh-CN"/>
        </w:rPr>
        <w:t>必须写明产品名称、商标品牌、制造商、规格型号。</w:t>
      </w:r>
    </w:p>
    <w:p>
      <w:pPr>
        <w:spacing w:line="360" w:lineRule="auto"/>
        <w:jc w:val="left"/>
        <w:rPr>
          <w:rFonts w:hint="eastAsia"/>
          <w:szCs w:val="21"/>
          <w:highlight w:val="none"/>
          <w:lang w:val="en-US" w:eastAsia="zh-CN"/>
        </w:rPr>
      </w:pPr>
      <w:r>
        <w:rPr>
          <w:rFonts w:hint="eastAsia"/>
          <w:szCs w:val="21"/>
          <w:highlight w:val="none"/>
          <w:lang w:val="en-US" w:eastAsia="zh-CN"/>
        </w:rPr>
        <w:t>2.投标报价明细表中提供的货物</w:t>
      </w:r>
      <w:r>
        <w:rPr>
          <w:rFonts w:hint="eastAsia"/>
          <w:color w:val="FF0000"/>
          <w:szCs w:val="21"/>
          <w:highlight w:val="none"/>
          <w:lang w:val="en-US" w:eastAsia="zh-CN"/>
        </w:rPr>
        <w:t>如为定制产品，必须写明原制造商、品牌。</w:t>
      </w:r>
    </w:p>
    <w:p>
      <w:pPr>
        <w:spacing w:line="360" w:lineRule="auto"/>
        <w:jc w:val="left"/>
        <w:rPr>
          <w:rFonts w:hint="eastAsia"/>
          <w:color w:val="auto"/>
          <w:szCs w:val="21"/>
          <w:highlight w:val="none"/>
          <w:lang w:val="en-US" w:eastAsia="zh-CN"/>
        </w:rPr>
      </w:pPr>
      <w:r>
        <w:rPr>
          <w:rFonts w:hint="eastAsia"/>
          <w:szCs w:val="21"/>
          <w:highlight w:val="none"/>
          <w:lang w:val="en-US" w:eastAsia="zh-CN"/>
        </w:rPr>
        <w:t>3</w:t>
      </w:r>
      <w:r>
        <w:rPr>
          <w:rFonts w:hint="eastAsia" w:ascii="Times New Roman" w:eastAsia="宋体"/>
          <w:szCs w:val="21"/>
          <w:highlight w:val="none"/>
          <w:lang w:val="en-US" w:eastAsia="zh-CN"/>
        </w:rPr>
        <w:t>.</w:t>
      </w:r>
      <w:r>
        <w:rPr>
          <w:rFonts w:hint="eastAsia" w:ascii="Times New Roman" w:eastAsia="宋体"/>
          <w:color w:val="FF0000"/>
          <w:szCs w:val="21"/>
          <w:highlight w:val="none"/>
          <w:lang w:val="en-US" w:eastAsia="zh-CN"/>
        </w:rPr>
        <w:t>若投标人</w:t>
      </w:r>
      <w:r>
        <w:rPr>
          <w:rFonts w:hint="eastAsia"/>
          <w:color w:val="FF0000"/>
          <w:szCs w:val="21"/>
          <w:highlight w:val="none"/>
          <w:lang w:val="en-US" w:eastAsia="zh-CN"/>
        </w:rPr>
        <w:t>在</w:t>
      </w:r>
      <w:r>
        <w:rPr>
          <w:rFonts w:hint="eastAsia" w:ascii="Times New Roman" w:eastAsia="宋体"/>
          <w:color w:val="FF0000"/>
          <w:szCs w:val="21"/>
          <w:highlight w:val="none"/>
          <w:lang w:val="en-US" w:eastAsia="zh-CN"/>
        </w:rPr>
        <w:t>投标文件中提供《中小企业声明函》的，则《中小企业声明函》中的“标的”、“制造商”</w:t>
      </w:r>
      <w:r>
        <w:rPr>
          <w:rFonts w:hint="eastAsia" w:ascii="Times New Roman" w:eastAsia="宋体"/>
          <w:color w:val="auto"/>
          <w:szCs w:val="21"/>
          <w:highlight w:val="none"/>
          <w:lang w:val="en-US" w:eastAsia="zh-CN"/>
        </w:rPr>
        <w:t>必须与投标报价明细表中提供的货物一致。</w:t>
      </w:r>
    </w:p>
    <w:p>
      <w:pPr>
        <w:spacing w:line="360" w:lineRule="auto"/>
        <w:jc w:val="left"/>
        <w:rPr>
          <w:rFonts w:hint="eastAsia"/>
          <w:color w:val="FF0000"/>
          <w:szCs w:val="21"/>
          <w:highlight w:val="none"/>
          <w:lang w:val="en-US" w:eastAsia="zh-CN"/>
        </w:rPr>
      </w:pPr>
      <w:r>
        <w:rPr>
          <w:rFonts w:hint="eastAsia"/>
          <w:szCs w:val="21"/>
          <w:highlight w:val="none"/>
          <w:lang w:val="en-US" w:eastAsia="zh-CN"/>
        </w:rPr>
        <w:t>4.上述所指制造商均为中小企业，在货物采购项目中，货物由中小企业制造，即货物由中小企业生产且使用该中小企业商号或者注册商标</w:t>
      </w:r>
      <w:r>
        <w:rPr>
          <w:rFonts w:hint="eastAsia"/>
          <w:color w:val="FF0000"/>
          <w:szCs w:val="21"/>
          <w:highlight w:val="none"/>
          <w:lang w:val="en-US" w:eastAsia="zh-CN"/>
        </w:rPr>
        <w:t>。如不符合上述以及《中小企业声明函》相关要求的，则《中小企业声明函》无效，不予认可。</w:t>
      </w:r>
    </w:p>
    <w:p>
      <w:pPr>
        <w:spacing w:line="360" w:lineRule="auto"/>
        <w:rPr>
          <w:spacing w:val="20"/>
          <w:szCs w:val="21"/>
          <w:highlight w:val="none"/>
        </w:rPr>
      </w:pPr>
    </w:p>
    <w:bookmarkEnd w:id="272"/>
    <w:p>
      <w:pPr>
        <w:snapToGrid w:val="0"/>
        <w:spacing w:before="50" w:after="120" w:afterLines="50" w:line="440" w:lineRule="exact"/>
        <w:jc w:val="right"/>
        <w:rPr>
          <w:spacing w:val="20"/>
          <w:szCs w:val="21"/>
          <w:highlight w:val="none"/>
          <w:lang w:bidi="ar"/>
        </w:rPr>
      </w:pPr>
      <w:r>
        <w:rPr>
          <w:rFonts w:hint="eastAsia" w:cs="宋体"/>
          <w:szCs w:val="21"/>
          <w:highlight w:val="none"/>
          <w:lang w:bidi="ar"/>
        </w:rPr>
        <w:t>供应商名称</w:t>
      </w:r>
      <w:r>
        <w:rPr>
          <w:rFonts w:hint="eastAsia" w:cs="宋体"/>
          <w:spacing w:val="20"/>
          <w:szCs w:val="21"/>
          <w:highlight w:val="none"/>
          <w:lang w:bidi="ar"/>
        </w:rPr>
        <w:t>：</w:t>
      </w:r>
      <w:r>
        <w:rPr>
          <w:szCs w:val="21"/>
          <w:highlight w:val="none"/>
          <w:lang w:bidi="ar"/>
        </w:rPr>
        <w:t>(公章或</w:t>
      </w:r>
      <w:r>
        <w:rPr>
          <w:rFonts w:hint="eastAsia" w:cs="宋体"/>
          <w:szCs w:val="21"/>
          <w:highlight w:val="none"/>
          <w:lang w:bidi="ar"/>
        </w:rPr>
        <w:t>电子签章</w:t>
      </w:r>
      <w:r>
        <w:rPr>
          <w:szCs w:val="21"/>
          <w:highlight w:val="none"/>
          <w:lang w:bidi="ar"/>
        </w:rPr>
        <w:t>)</w:t>
      </w:r>
    </w:p>
    <w:p>
      <w:pPr>
        <w:snapToGrid w:val="0"/>
        <w:spacing w:before="50" w:after="120" w:afterLines="50" w:line="440" w:lineRule="exact"/>
        <w:jc w:val="right"/>
        <w:rPr>
          <w:rFonts w:cs="宋体"/>
          <w:spacing w:val="20"/>
          <w:szCs w:val="21"/>
          <w:highlight w:val="none"/>
          <w:lang w:bidi="ar"/>
        </w:rPr>
      </w:pPr>
      <w:r>
        <w:rPr>
          <w:rFonts w:hint="eastAsia" w:cs="宋体"/>
          <w:spacing w:val="20"/>
          <w:szCs w:val="21"/>
          <w:highlight w:val="none"/>
          <w:lang w:bidi="ar"/>
        </w:rPr>
        <w:t>日</w:t>
      </w:r>
      <w:r>
        <w:rPr>
          <w:spacing w:val="20"/>
          <w:szCs w:val="21"/>
          <w:highlight w:val="none"/>
          <w:lang w:bidi="ar"/>
        </w:rPr>
        <w:t xml:space="preserve">  </w:t>
      </w:r>
      <w:r>
        <w:rPr>
          <w:rFonts w:hint="eastAsia" w:cs="宋体"/>
          <w:spacing w:val="20"/>
          <w:szCs w:val="21"/>
          <w:highlight w:val="none"/>
          <w:lang w:bidi="ar"/>
        </w:rPr>
        <w:t>期：</w:t>
      </w:r>
    </w:p>
    <w:p>
      <w:pPr>
        <w:snapToGrid w:val="0"/>
        <w:spacing w:before="50" w:after="120" w:afterLines="50"/>
        <w:jc w:val="left"/>
        <w:rPr>
          <w:szCs w:val="21"/>
          <w:highlight w:val="none"/>
        </w:rPr>
      </w:pPr>
      <w:r>
        <w:rPr>
          <w:szCs w:val="21"/>
          <w:highlight w:val="none"/>
          <w:lang w:bidi="ar"/>
        </w:rPr>
        <w:br w:type="page"/>
      </w:r>
      <w:bookmarkStart w:id="273" w:name="_Hlk19115884"/>
      <w:bookmarkStart w:id="274" w:name="_Hlk65852042"/>
    </w:p>
    <w:bookmarkEnd w:id="273"/>
    <w:bookmarkEnd w:id="274"/>
    <w:p>
      <w:pPr>
        <w:snapToGrid w:val="0"/>
        <w:spacing w:before="60" w:beforeLines="25" w:after="60" w:afterLines="25" w:line="360" w:lineRule="auto"/>
        <w:outlineLvl w:val="2"/>
        <w:rPr>
          <w:rFonts w:hint="eastAsia" w:ascii="宋体" w:hAnsi="宋体"/>
          <w:b/>
          <w:bCs/>
          <w:szCs w:val="21"/>
          <w:highlight w:val="none"/>
          <w:lang w:bidi="ar"/>
        </w:rPr>
      </w:pPr>
      <w:bookmarkStart w:id="275" w:name="_Hlk88990880"/>
      <w:r>
        <w:rPr>
          <w:rFonts w:hint="eastAsia" w:ascii="宋体" w:hAnsi="宋体"/>
          <w:b/>
          <w:bCs/>
          <w:szCs w:val="21"/>
          <w:highlight w:val="none"/>
          <w:lang w:bidi="ar"/>
        </w:rPr>
        <w:t>3.开标一览表（必须提供）</w:t>
      </w:r>
    </w:p>
    <w:p>
      <w:pPr>
        <w:rPr>
          <w:b/>
          <w:szCs w:val="21"/>
          <w:highlight w:val="none"/>
        </w:rPr>
      </w:pPr>
      <w:r>
        <w:rPr>
          <w:rFonts w:hint="eastAsia" w:cs="宋体"/>
          <w:b/>
          <w:szCs w:val="21"/>
          <w:highlight w:val="none"/>
          <w:lang w:bidi="ar"/>
        </w:rPr>
        <w:t>格式详见广西政府采购云平台，且仅在广西政府采购云平台填写即可。</w:t>
      </w:r>
      <w:bookmarkEnd w:id="275"/>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STXinwei">
    <w:altName w:val="宋体"/>
    <w:panose1 w:val="00000000000000000000"/>
    <w:charset w:val="86"/>
    <w:family w:val="auto"/>
    <w:pitch w:val="default"/>
    <w:sig w:usb0="00000000" w:usb1="00000000" w:usb2="0000001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简体">
    <w:panose1 w:val="02000000000000000000"/>
    <w:charset w:val="86"/>
    <w:family w:val="script"/>
    <w:pitch w:val="default"/>
    <w:sig w:usb0="A00002BF" w:usb1="184F6CFA" w:usb2="00000012"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6896707"/>
    </w:sdtPr>
    <w:sdtContent>
      <w:p>
        <w:pPr>
          <w:pStyle w:val="34"/>
          <w:jc w:val="center"/>
        </w:pPr>
        <w:r>
          <w:fldChar w:fldCharType="begin"/>
        </w:r>
        <w:r>
          <w:instrText xml:space="preserve">PAGE   \* MERGEFORMAT</w:instrText>
        </w:r>
        <w:r>
          <w:fldChar w:fldCharType="separate"/>
        </w:r>
        <w:r>
          <w:rPr>
            <w:lang w:val="zh-CN"/>
          </w:rPr>
          <w:t>43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45</w:t>
    </w:r>
    <w:r>
      <w:fldChar w:fldCharType="end"/>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264891"/>
    </w:sdtPr>
    <w:sdtContent>
      <w:p>
        <w:pPr>
          <w:pStyle w:val="34"/>
          <w:jc w:val="center"/>
        </w:pPr>
        <w:r>
          <w:fldChar w:fldCharType="begin"/>
        </w:r>
        <w:r>
          <w:instrText xml:space="preserve">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7697911"/>
    </w:sdtPr>
    <w:sdtContent>
      <w:p>
        <w:pPr>
          <w:pStyle w:val="34"/>
          <w:jc w:val="center"/>
        </w:pPr>
        <w:r>
          <w:fldChar w:fldCharType="begin"/>
        </w:r>
        <w:r>
          <w:instrText xml:space="preserve">PAGE   \* MERGEFORMAT</w:instrText>
        </w:r>
        <w:r>
          <w:fldChar w:fldCharType="separate"/>
        </w:r>
        <w:r>
          <w:rPr>
            <w:lang w:val="zh-CN"/>
          </w:rPr>
          <w:t>79</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817CC"/>
    <w:multiLevelType w:val="singleLevel"/>
    <w:tmpl w:val="B89817CC"/>
    <w:lvl w:ilvl="0" w:tentative="0">
      <w:start w:val="1"/>
      <w:numFmt w:val="decimal"/>
      <w:lvlText w:val="（%1）"/>
      <w:lvlJc w:val="left"/>
      <w:pPr>
        <w:ind w:left="425" w:hanging="425"/>
      </w:pPr>
      <w:rPr>
        <w:rFonts w:hint="default"/>
      </w:rPr>
    </w:lvl>
  </w:abstractNum>
  <w:abstractNum w:abstractNumId="1">
    <w:nsid w:val="34D228FA"/>
    <w:multiLevelType w:val="multilevel"/>
    <w:tmpl w:val="34D228FA"/>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90069A6"/>
    <w:multiLevelType w:val="multilevel"/>
    <w:tmpl w:val="490069A6"/>
    <w:lvl w:ilvl="0" w:tentative="0">
      <w:start w:val="1"/>
      <w:numFmt w:val="decimal"/>
      <w:lvlText w:val="（%1）"/>
      <w:lvlJc w:val="left"/>
      <w:pPr>
        <w:ind w:left="1140" w:hanging="7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YTY3MzBlMGYzNGY0YzBkOGE4ZDFjNDc4NzcwYTQ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E6F"/>
    <w:rsid w:val="00002AC8"/>
    <w:rsid w:val="00002DDA"/>
    <w:rsid w:val="00002F41"/>
    <w:rsid w:val="00003255"/>
    <w:rsid w:val="000035E7"/>
    <w:rsid w:val="00003C81"/>
    <w:rsid w:val="00003D02"/>
    <w:rsid w:val="00003DAE"/>
    <w:rsid w:val="0000436E"/>
    <w:rsid w:val="0000525B"/>
    <w:rsid w:val="000058D7"/>
    <w:rsid w:val="00005E55"/>
    <w:rsid w:val="00006E2C"/>
    <w:rsid w:val="000079FF"/>
    <w:rsid w:val="00007B0D"/>
    <w:rsid w:val="00007F38"/>
    <w:rsid w:val="000102A9"/>
    <w:rsid w:val="00010339"/>
    <w:rsid w:val="000105C3"/>
    <w:rsid w:val="00011B70"/>
    <w:rsid w:val="00011D72"/>
    <w:rsid w:val="00012078"/>
    <w:rsid w:val="00012218"/>
    <w:rsid w:val="00012320"/>
    <w:rsid w:val="0001242C"/>
    <w:rsid w:val="000128AC"/>
    <w:rsid w:val="000129EA"/>
    <w:rsid w:val="00012D67"/>
    <w:rsid w:val="00013391"/>
    <w:rsid w:val="00013748"/>
    <w:rsid w:val="00013AE8"/>
    <w:rsid w:val="00013D41"/>
    <w:rsid w:val="00013D8B"/>
    <w:rsid w:val="000143A3"/>
    <w:rsid w:val="000144F2"/>
    <w:rsid w:val="000145E3"/>
    <w:rsid w:val="00014CA6"/>
    <w:rsid w:val="00014DD6"/>
    <w:rsid w:val="0001532B"/>
    <w:rsid w:val="0001598C"/>
    <w:rsid w:val="00016007"/>
    <w:rsid w:val="0001659A"/>
    <w:rsid w:val="000169F3"/>
    <w:rsid w:val="00016C31"/>
    <w:rsid w:val="00016CE3"/>
    <w:rsid w:val="00017504"/>
    <w:rsid w:val="000178D7"/>
    <w:rsid w:val="00017900"/>
    <w:rsid w:val="00017C14"/>
    <w:rsid w:val="00017E50"/>
    <w:rsid w:val="00017F40"/>
    <w:rsid w:val="0002053C"/>
    <w:rsid w:val="00020861"/>
    <w:rsid w:val="00020BB1"/>
    <w:rsid w:val="00020BF0"/>
    <w:rsid w:val="00020C0B"/>
    <w:rsid w:val="00020F60"/>
    <w:rsid w:val="000212C0"/>
    <w:rsid w:val="000215B7"/>
    <w:rsid w:val="000217BF"/>
    <w:rsid w:val="00021C98"/>
    <w:rsid w:val="00021CCD"/>
    <w:rsid w:val="00021EE3"/>
    <w:rsid w:val="000228AB"/>
    <w:rsid w:val="00022C7D"/>
    <w:rsid w:val="00022F2A"/>
    <w:rsid w:val="00022F8B"/>
    <w:rsid w:val="00023187"/>
    <w:rsid w:val="000233CA"/>
    <w:rsid w:val="00023436"/>
    <w:rsid w:val="00023652"/>
    <w:rsid w:val="000236EE"/>
    <w:rsid w:val="00024633"/>
    <w:rsid w:val="0002560A"/>
    <w:rsid w:val="00025DA0"/>
    <w:rsid w:val="000262BC"/>
    <w:rsid w:val="0002696D"/>
    <w:rsid w:val="0002754D"/>
    <w:rsid w:val="00027666"/>
    <w:rsid w:val="000276B2"/>
    <w:rsid w:val="00027A1D"/>
    <w:rsid w:val="00027A46"/>
    <w:rsid w:val="00027AC3"/>
    <w:rsid w:val="00027AF3"/>
    <w:rsid w:val="00030024"/>
    <w:rsid w:val="00030124"/>
    <w:rsid w:val="000302F0"/>
    <w:rsid w:val="000305FD"/>
    <w:rsid w:val="0003084F"/>
    <w:rsid w:val="00030C2F"/>
    <w:rsid w:val="00031169"/>
    <w:rsid w:val="000314EA"/>
    <w:rsid w:val="000316FC"/>
    <w:rsid w:val="00031757"/>
    <w:rsid w:val="00031B37"/>
    <w:rsid w:val="00031DDD"/>
    <w:rsid w:val="00032686"/>
    <w:rsid w:val="0003274B"/>
    <w:rsid w:val="00032AD8"/>
    <w:rsid w:val="00032ADF"/>
    <w:rsid w:val="00032B8C"/>
    <w:rsid w:val="000331CC"/>
    <w:rsid w:val="0003322E"/>
    <w:rsid w:val="00033927"/>
    <w:rsid w:val="00033DC1"/>
    <w:rsid w:val="00034947"/>
    <w:rsid w:val="00034A89"/>
    <w:rsid w:val="000352BA"/>
    <w:rsid w:val="00035840"/>
    <w:rsid w:val="00035844"/>
    <w:rsid w:val="00035949"/>
    <w:rsid w:val="00035A8D"/>
    <w:rsid w:val="00035C94"/>
    <w:rsid w:val="00036383"/>
    <w:rsid w:val="00036BAA"/>
    <w:rsid w:val="00036E33"/>
    <w:rsid w:val="00037101"/>
    <w:rsid w:val="00037C2D"/>
    <w:rsid w:val="00037C63"/>
    <w:rsid w:val="00037CE4"/>
    <w:rsid w:val="00037DB6"/>
    <w:rsid w:val="00037FD7"/>
    <w:rsid w:val="00040187"/>
    <w:rsid w:val="000401FD"/>
    <w:rsid w:val="00040AC1"/>
    <w:rsid w:val="00040ED3"/>
    <w:rsid w:val="0004139C"/>
    <w:rsid w:val="000415E3"/>
    <w:rsid w:val="000418B1"/>
    <w:rsid w:val="000418C9"/>
    <w:rsid w:val="00041C02"/>
    <w:rsid w:val="00042280"/>
    <w:rsid w:val="0004231D"/>
    <w:rsid w:val="000424AB"/>
    <w:rsid w:val="00042BF9"/>
    <w:rsid w:val="00042ED7"/>
    <w:rsid w:val="000431D3"/>
    <w:rsid w:val="00043295"/>
    <w:rsid w:val="00043FFA"/>
    <w:rsid w:val="00044236"/>
    <w:rsid w:val="00044578"/>
    <w:rsid w:val="00044990"/>
    <w:rsid w:val="00044A8C"/>
    <w:rsid w:val="00045069"/>
    <w:rsid w:val="00045070"/>
    <w:rsid w:val="000458DE"/>
    <w:rsid w:val="00045947"/>
    <w:rsid w:val="000459FB"/>
    <w:rsid w:val="000462A8"/>
    <w:rsid w:val="00046360"/>
    <w:rsid w:val="0004653D"/>
    <w:rsid w:val="000465AB"/>
    <w:rsid w:val="00046E59"/>
    <w:rsid w:val="000472E6"/>
    <w:rsid w:val="00047834"/>
    <w:rsid w:val="000479CD"/>
    <w:rsid w:val="000479FF"/>
    <w:rsid w:val="00047FDF"/>
    <w:rsid w:val="000500E6"/>
    <w:rsid w:val="000504FE"/>
    <w:rsid w:val="000510EB"/>
    <w:rsid w:val="000513E2"/>
    <w:rsid w:val="00051C80"/>
    <w:rsid w:val="000521F3"/>
    <w:rsid w:val="00052326"/>
    <w:rsid w:val="000529E7"/>
    <w:rsid w:val="00052DBE"/>
    <w:rsid w:val="00053175"/>
    <w:rsid w:val="000534EE"/>
    <w:rsid w:val="0005359C"/>
    <w:rsid w:val="0005387F"/>
    <w:rsid w:val="00053BFC"/>
    <w:rsid w:val="0005428F"/>
    <w:rsid w:val="000544F4"/>
    <w:rsid w:val="000545D3"/>
    <w:rsid w:val="00054870"/>
    <w:rsid w:val="00054AB0"/>
    <w:rsid w:val="00054ABD"/>
    <w:rsid w:val="00054CCC"/>
    <w:rsid w:val="00054F7D"/>
    <w:rsid w:val="00055041"/>
    <w:rsid w:val="00055230"/>
    <w:rsid w:val="00055557"/>
    <w:rsid w:val="000555EA"/>
    <w:rsid w:val="00055945"/>
    <w:rsid w:val="00055A8A"/>
    <w:rsid w:val="00055E6D"/>
    <w:rsid w:val="00055FB0"/>
    <w:rsid w:val="0005625F"/>
    <w:rsid w:val="0005649E"/>
    <w:rsid w:val="0005682D"/>
    <w:rsid w:val="00056945"/>
    <w:rsid w:val="00056B0E"/>
    <w:rsid w:val="00056DFD"/>
    <w:rsid w:val="0005700C"/>
    <w:rsid w:val="00057393"/>
    <w:rsid w:val="00057E45"/>
    <w:rsid w:val="0006027F"/>
    <w:rsid w:val="00060523"/>
    <w:rsid w:val="000606B6"/>
    <w:rsid w:val="000609AC"/>
    <w:rsid w:val="0006148A"/>
    <w:rsid w:val="000618AE"/>
    <w:rsid w:val="00062637"/>
    <w:rsid w:val="0006263C"/>
    <w:rsid w:val="00062949"/>
    <w:rsid w:val="000631AC"/>
    <w:rsid w:val="000631B7"/>
    <w:rsid w:val="000633DD"/>
    <w:rsid w:val="00063894"/>
    <w:rsid w:val="000639D4"/>
    <w:rsid w:val="00063B29"/>
    <w:rsid w:val="0006404F"/>
    <w:rsid w:val="0006408F"/>
    <w:rsid w:val="000642D1"/>
    <w:rsid w:val="000646CC"/>
    <w:rsid w:val="00064840"/>
    <w:rsid w:val="000648B7"/>
    <w:rsid w:val="00064A48"/>
    <w:rsid w:val="00064C80"/>
    <w:rsid w:val="00065429"/>
    <w:rsid w:val="00065AB7"/>
    <w:rsid w:val="00065BFE"/>
    <w:rsid w:val="00065C40"/>
    <w:rsid w:val="00065D71"/>
    <w:rsid w:val="000668D7"/>
    <w:rsid w:val="000673D8"/>
    <w:rsid w:val="00067DE7"/>
    <w:rsid w:val="0007014F"/>
    <w:rsid w:val="000706AC"/>
    <w:rsid w:val="00070950"/>
    <w:rsid w:val="000709D3"/>
    <w:rsid w:val="00070A7D"/>
    <w:rsid w:val="00070AAB"/>
    <w:rsid w:val="000712F8"/>
    <w:rsid w:val="00071A68"/>
    <w:rsid w:val="00071A6A"/>
    <w:rsid w:val="00071C95"/>
    <w:rsid w:val="00072A95"/>
    <w:rsid w:val="00072B66"/>
    <w:rsid w:val="00072CEC"/>
    <w:rsid w:val="0007368B"/>
    <w:rsid w:val="00073C3B"/>
    <w:rsid w:val="00074923"/>
    <w:rsid w:val="00074EE8"/>
    <w:rsid w:val="000750EA"/>
    <w:rsid w:val="0007539D"/>
    <w:rsid w:val="00075641"/>
    <w:rsid w:val="00075A8D"/>
    <w:rsid w:val="000765B4"/>
    <w:rsid w:val="000774F1"/>
    <w:rsid w:val="00077698"/>
    <w:rsid w:val="000777B1"/>
    <w:rsid w:val="00077891"/>
    <w:rsid w:val="0007797E"/>
    <w:rsid w:val="00077C1B"/>
    <w:rsid w:val="0008017C"/>
    <w:rsid w:val="00080321"/>
    <w:rsid w:val="00080AA6"/>
    <w:rsid w:val="00080BE2"/>
    <w:rsid w:val="00081679"/>
    <w:rsid w:val="00081C1C"/>
    <w:rsid w:val="0008224F"/>
    <w:rsid w:val="000822F0"/>
    <w:rsid w:val="000824BD"/>
    <w:rsid w:val="00082611"/>
    <w:rsid w:val="0008264F"/>
    <w:rsid w:val="0008304A"/>
    <w:rsid w:val="0008372E"/>
    <w:rsid w:val="00083A64"/>
    <w:rsid w:val="00083B97"/>
    <w:rsid w:val="00083E27"/>
    <w:rsid w:val="000842B5"/>
    <w:rsid w:val="00085560"/>
    <w:rsid w:val="00085E63"/>
    <w:rsid w:val="00086067"/>
    <w:rsid w:val="000866A9"/>
    <w:rsid w:val="00086EC2"/>
    <w:rsid w:val="000870C0"/>
    <w:rsid w:val="00087358"/>
    <w:rsid w:val="000873F5"/>
    <w:rsid w:val="00087B15"/>
    <w:rsid w:val="00087E2E"/>
    <w:rsid w:val="000900DF"/>
    <w:rsid w:val="00090193"/>
    <w:rsid w:val="0009021F"/>
    <w:rsid w:val="00090524"/>
    <w:rsid w:val="0009134B"/>
    <w:rsid w:val="00091D8D"/>
    <w:rsid w:val="000928ED"/>
    <w:rsid w:val="00093869"/>
    <w:rsid w:val="00093BC0"/>
    <w:rsid w:val="00093DF8"/>
    <w:rsid w:val="000941F6"/>
    <w:rsid w:val="0009454A"/>
    <w:rsid w:val="000945C5"/>
    <w:rsid w:val="00094ECF"/>
    <w:rsid w:val="0009592E"/>
    <w:rsid w:val="00095AAF"/>
    <w:rsid w:val="00095B76"/>
    <w:rsid w:val="00095ECB"/>
    <w:rsid w:val="00096D28"/>
    <w:rsid w:val="0009715C"/>
    <w:rsid w:val="00097406"/>
    <w:rsid w:val="000975D5"/>
    <w:rsid w:val="000A10DB"/>
    <w:rsid w:val="000A111D"/>
    <w:rsid w:val="000A117F"/>
    <w:rsid w:val="000A128A"/>
    <w:rsid w:val="000A1582"/>
    <w:rsid w:val="000A165F"/>
    <w:rsid w:val="000A2960"/>
    <w:rsid w:val="000A2968"/>
    <w:rsid w:val="000A299E"/>
    <w:rsid w:val="000A2AE9"/>
    <w:rsid w:val="000A2E97"/>
    <w:rsid w:val="000A3515"/>
    <w:rsid w:val="000A3518"/>
    <w:rsid w:val="000A4852"/>
    <w:rsid w:val="000A4ACE"/>
    <w:rsid w:val="000A509A"/>
    <w:rsid w:val="000A6C4D"/>
    <w:rsid w:val="000A6C54"/>
    <w:rsid w:val="000A6F1D"/>
    <w:rsid w:val="000A70C7"/>
    <w:rsid w:val="000A7238"/>
    <w:rsid w:val="000A745D"/>
    <w:rsid w:val="000A791D"/>
    <w:rsid w:val="000A7931"/>
    <w:rsid w:val="000B034B"/>
    <w:rsid w:val="000B0720"/>
    <w:rsid w:val="000B09FE"/>
    <w:rsid w:val="000B0BB1"/>
    <w:rsid w:val="000B15EF"/>
    <w:rsid w:val="000B26D6"/>
    <w:rsid w:val="000B2D1E"/>
    <w:rsid w:val="000B316D"/>
    <w:rsid w:val="000B3194"/>
    <w:rsid w:val="000B3CFE"/>
    <w:rsid w:val="000B4C74"/>
    <w:rsid w:val="000B4EF3"/>
    <w:rsid w:val="000B554C"/>
    <w:rsid w:val="000B5D87"/>
    <w:rsid w:val="000B60C6"/>
    <w:rsid w:val="000B6115"/>
    <w:rsid w:val="000B68A5"/>
    <w:rsid w:val="000B6A5E"/>
    <w:rsid w:val="000B6F18"/>
    <w:rsid w:val="000B70DB"/>
    <w:rsid w:val="000B76E7"/>
    <w:rsid w:val="000B797D"/>
    <w:rsid w:val="000B7AC2"/>
    <w:rsid w:val="000B7E6D"/>
    <w:rsid w:val="000C1979"/>
    <w:rsid w:val="000C20B5"/>
    <w:rsid w:val="000C270D"/>
    <w:rsid w:val="000C2B1E"/>
    <w:rsid w:val="000C350A"/>
    <w:rsid w:val="000C3518"/>
    <w:rsid w:val="000C3762"/>
    <w:rsid w:val="000C41CD"/>
    <w:rsid w:val="000C4988"/>
    <w:rsid w:val="000C4D4A"/>
    <w:rsid w:val="000C59D1"/>
    <w:rsid w:val="000C5C88"/>
    <w:rsid w:val="000C626F"/>
    <w:rsid w:val="000C64D1"/>
    <w:rsid w:val="000C655F"/>
    <w:rsid w:val="000C66AB"/>
    <w:rsid w:val="000C6872"/>
    <w:rsid w:val="000C7045"/>
    <w:rsid w:val="000C718C"/>
    <w:rsid w:val="000C71D4"/>
    <w:rsid w:val="000C7563"/>
    <w:rsid w:val="000C757A"/>
    <w:rsid w:val="000C7D9F"/>
    <w:rsid w:val="000D074C"/>
    <w:rsid w:val="000D0C28"/>
    <w:rsid w:val="000D0F2E"/>
    <w:rsid w:val="000D1788"/>
    <w:rsid w:val="000D2D0F"/>
    <w:rsid w:val="000D31CB"/>
    <w:rsid w:val="000D3E1B"/>
    <w:rsid w:val="000D4061"/>
    <w:rsid w:val="000D4860"/>
    <w:rsid w:val="000D48FB"/>
    <w:rsid w:val="000D4B4F"/>
    <w:rsid w:val="000D4E0B"/>
    <w:rsid w:val="000D4EC1"/>
    <w:rsid w:val="000D55FD"/>
    <w:rsid w:val="000D562F"/>
    <w:rsid w:val="000D56C7"/>
    <w:rsid w:val="000D672C"/>
    <w:rsid w:val="000D68F4"/>
    <w:rsid w:val="000D6A04"/>
    <w:rsid w:val="000D6A61"/>
    <w:rsid w:val="000D6C78"/>
    <w:rsid w:val="000D74B9"/>
    <w:rsid w:val="000D77A9"/>
    <w:rsid w:val="000E01DF"/>
    <w:rsid w:val="000E1094"/>
    <w:rsid w:val="000E1838"/>
    <w:rsid w:val="000E18A1"/>
    <w:rsid w:val="000E19AF"/>
    <w:rsid w:val="000E19D1"/>
    <w:rsid w:val="000E1AC3"/>
    <w:rsid w:val="000E1C04"/>
    <w:rsid w:val="000E20DA"/>
    <w:rsid w:val="000E29CF"/>
    <w:rsid w:val="000E2AD1"/>
    <w:rsid w:val="000E2F86"/>
    <w:rsid w:val="000E3D2F"/>
    <w:rsid w:val="000E42EF"/>
    <w:rsid w:val="000E4712"/>
    <w:rsid w:val="000E4723"/>
    <w:rsid w:val="000E5568"/>
    <w:rsid w:val="000E612C"/>
    <w:rsid w:val="000E6372"/>
    <w:rsid w:val="000E6D38"/>
    <w:rsid w:val="000E6D94"/>
    <w:rsid w:val="000E72E7"/>
    <w:rsid w:val="000E72F6"/>
    <w:rsid w:val="000E7533"/>
    <w:rsid w:val="000E75B3"/>
    <w:rsid w:val="000E7CC8"/>
    <w:rsid w:val="000F0D10"/>
    <w:rsid w:val="000F0E1D"/>
    <w:rsid w:val="000F1AF3"/>
    <w:rsid w:val="000F1B78"/>
    <w:rsid w:val="000F1F51"/>
    <w:rsid w:val="000F1FB0"/>
    <w:rsid w:val="000F2181"/>
    <w:rsid w:val="000F238F"/>
    <w:rsid w:val="000F24AC"/>
    <w:rsid w:val="000F2592"/>
    <w:rsid w:val="000F28A5"/>
    <w:rsid w:val="000F2943"/>
    <w:rsid w:val="000F2E97"/>
    <w:rsid w:val="000F2F22"/>
    <w:rsid w:val="000F2F60"/>
    <w:rsid w:val="000F313D"/>
    <w:rsid w:val="000F3461"/>
    <w:rsid w:val="000F4050"/>
    <w:rsid w:val="000F4B3A"/>
    <w:rsid w:val="000F4B82"/>
    <w:rsid w:val="000F5331"/>
    <w:rsid w:val="000F55C9"/>
    <w:rsid w:val="000F60C1"/>
    <w:rsid w:val="000F6242"/>
    <w:rsid w:val="000F666F"/>
    <w:rsid w:val="000F6F32"/>
    <w:rsid w:val="000F75A8"/>
    <w:rsid w:val="000F76E0"/>
    <w:rsid w:val="000F77B5"/>
    <w:rsid w:val="000F79FD"/>
    <w:rsid w:val="00100331"/>
    <w:rsid w:val="00101255"/>
    <w:rsid w:val="001014D2"/>
    <w:rsid w:val="001014F7"/>
    <w:rsid w:val="001016BB"/>
    <w:rsid w:val="0010251A"/>
    <w:rsid w:val="00102768"/>
    <w:rsid w:val="00102BC3"/>
    <w:rsid w:val="00102EF2"/>
    <w:rsid w:val="00103458"/>
    <w:rsid w:val="001037BD"/>
    <w:rsid w:val="0010425A"/>
    <w:rsid w:val="001047CB"/>
    <w:rsid w:val="00104AFF"/>
    <w:rsid w:val="00104E14"/>
    <w:rsid w:val="0010520D"/>
    <w:rsid w:val="001053EE"/>
    <w:rsid w:val="00105629"/>
    <w:rsid w:val="0010574F"/>
    <w:rsid w:val="00105996"/>
    <w:rsid w:val="001059FC"/>
    <w:rsid w:val="00105A06"/>
    <w:rsid w:val="00105F3E"/>
    <w:rsid w:val="001066F6"/>
    <w:rsid w:val="001078F4"/>
    <w:rsid w:val="001105FF"/>
    <w:rsid w:val="00110744"/>
    <w:rsid w:val="00110797"/>
    <w:rsid w:val="00110B3D"/>
    <w:rsid w:val="00110E04"/>
    <w:rsid w:val="0011170E"/>
    <w:rsid w:val="00111849"/>
    <w:rsid w:val="00111A34"/>
    <w:rsid w:val="00111ECD"/>
    <w:rsid w:val="001121DD"/>
    <w:rsid w:val="00112D31"/>
    <w:rsid w:val="00112DBF"/>
    <w:rsid w:val="00113646"/>
    <w:rsid w:val="00113CD1"/>
    <w:rsid w:val="00114359"/>
    <w:rsid w:val="0011487E"/>
    <w:rsid w:val="0011492A"/>
    <w:rsid w:val="00115093"/>
    <w:rsid w:val="00115417"/>
    <w:rsid w:val="001161CA"/>
    <w:rsid w:val="00116258"/>
    <w:rsid w:val="00116494"/>
    <w:rsid w:val="001166D3"/>
    <w:rsid w:val="001167AE"/>
    <w:rsid w:val="001202C5"/>
    <w:rsid w:val="0012077F"/>
    <w:rsid w:val="00120813"/>
    <w:rsid w:val="0012099E"/>
    <w:rsid w:val="00120CE3"/>
    <w:rsid w:val="00120E60"/>
    <w:rsid w:val="0012130E"/>
    <w:rsid w:val="001213B0"/>
    <w:rsid w:val="00121741"/>
    <w:rsid w:val="00121832"/>
    <w:rsid w:val="00122050"/>
    <w:rsid w:val="001221D2"/>
    <w:rsid w:val="00122232"/>
    <w:rsid w:val="0012235C"/>
    <w:rsid w:val="00122857"/>
    <w:rsid w:val="00122A75"/>
    <w:rsid w:val="00123529"/>
    <w:rsid w:val="001241D1"/>
    <w:rsid w:val="00124271"/>
    <w:rsid w:val="00124457"/>
    <w:rsid w:val="00124985"/>
    <w:rsid w:val="00125609"/>
    <w:rsid w:val="001257A9"/>
    <w:rsid w:val="00126655"/>
    <w:rsid w:val="00126707"/>
    <w:rsid w:val="0012679D"/>
    <w:rsid w:val="001269E0"/>
    <w:rsid w:val="00126CFC"/>
    <w:rsid w:val="001270F4"/>
    <w:rsid w:val="0012742F"/>
    <w:rsid w:val="001274D7"/>
    <w:rsid w:val="00127514"/>
    <w:rsid w:val="001279A3"/>
    <w:rsid w:val="00130992"/>
    <w:rsid w:val="00130D23"/>
    <w:rsid w:val="001311C9"/>
    <w:rsid w:val="00131335"/>
    <w:rsid w:val="00131627"/>
    <w:rsid w:val="001318CD"/>
    <w:rsid w:val="0013190A"/>
    <w:rsid w:val="00131955"/>
    <w:rsid w:val="00131C94"/>
    <w:rsid w:val="00131DE6"/>
    <w:rsid w:val="001323E6"/>
    <w:rsid w:val="001326D3"/>
    <w:rsid w:val="001326DF"/>
    <w:rsid w:val="001329EC"/>
    <w:rsid w:val="00132A53"/>
    <w:rsid w:val="00132A5F"/>
    <w:rsid w:val="00132AD8"/>
    <w:rsid w:val="00132CCE"/>
    <w:rsid w:val="00133BBE"/>
    <w:rsid w:val="00133D01"/>
    <w:rsid w:val="001342A2"/>
    <w:rsid w:val="00134510"/>
    <w:rsid w:val="00134EE8"/>
    <w:rsid w:val="00134FBC"/>
    <w:rsid w:val="001358D6"/>
    <w:rsid w:val="00136073"/>
    <w:rsid w:val="00136198"/>
    <w:rsid w:val="001361F7"/>
    <w:rsid w:val="00136606"/>
    <w:rsid w:val="0013663C"/>
    <w:rsid w:val="001367BA"/>
    <w:rsid w:val="00136806"/>
    <w:rsid w:val="001369A6"/>
    <w:rsid w:val="00136BD6"/>
    <w:rsid w:val="00136DBC"/>
    <w:rsid w:val="00136F77"/>
    <w:rsid w:val="001370A8"/>
    <w:rsid w:val="0013776A"/>
    <w:rsid w:val="00137856"/>
    <w:rsid w:val="00137B4E"/>
    <w:rsid w:val="00137BD8"/>
    <w:rsid w:val="00140291"/>
    <w:rsid w:val="00140D22"/>
    <w:rsid w:val="0014229D"/>
    <w:rsid w:val="001422D4"/>
    <w:rsid w:val="0014235F"/>
    <w:rsid w:val="0014236F"/>
    <w:rsid w:val="00142653"/>
    <w:rsid w:val="001428FA"/>
    <w:rsid w:val="00142A87"/>
    <w:rsid w:val="001442C2"/>
    <w:rsid w:val="001449E1"/>
    <w:rsid w:val="00144D5F"/>
    <w:rsid w:val="00144DD9"/>
    <w:rsid w:val="001455BA"/>
    <w:rsid w:val="00145DDE"/>
    <w:rsid w:val="0014621F"/>
    <w:rsid w:val="0014647C"/>
    <w:rsid w:val="00146907"/>
    <w:rsid w:val="00146B4E"/>
    <w:rsid w:val="00146E85"/>
    <w:rsid w:val="00147916"/>
    <w:rsid w:val="0014795D"/>
    <w:rsid w:val="001479AA"/>
    <w:rsid w:val="00147F00"/>
    <w:rsid w:val="00150146"/>
    <w:rsid w:val="001502FF"/>
    <w:rsid w:val="00150564"/>
    <w:rsid w:val="001506A7"/>
    <w:rsid w:val="0015087C"/>
    <w:rsid w:val="00150882"/>
    <w:rsid w:val="00150A4A"/>
    <w:rsid w:val="00150FFB"/>
    <w:rsid w:val="001518B5"/>
    <w:rsid w:val="00151B9F"/>
    <w:rsid w:val="00151BBA"/>
    <w:rsid w:val="0015252D"/>
    <w:rsid w:val="00152656"/>
    <w:rsid w:val="00152C00"/>
    <w:rsid w:val="00152C2B"/>
    <w:rsid w:val="00152E98"/>
    <w:rsid w:val="00153084"/>
    <w:rsid w:val="00153A54"/>
    <w:rsid w:val="00154072"/>
    <w:rsid w:val="00154264"/>
    <w:rsid w:val="00154304"/>
    <w:rsid w:val="001546EA"/>
    <w:rsid w:val="0015477A"/>
    <w:rsid w:val="00154902"/>
    <w:rsid w:val="00154951"/>
    <w:rsid w:val="00154AE0"/>
    <w:rsid w:val="00154F0A"/>
    <w:rsid w:val="001551DA"/>
    <w:rsid w:val="001559DA"/>
    <w:rsid w:val="00156891"/>
    <w:rsid w:val="00156BA3"/>
    <w:rsid w:val="00157320"/>
    <w:rsid w:val="001579B9"/>
    <w:rsid w:val="001602EB"/>
    <w:rsid w:val="0016080B"/>
    <w:rsid w:val="00160853"/>
    <w:rsid w:val="00160F65"/>
    <w:rsid w:val="001610EB"/>
    <w:rsid w:val="00161216"/>
    <w:rsid w:val="001614D4"/>
    <w:rsid w:val="00161BB8"/>
    <w:rsid w:val="00161C1F"/>
    <w:rsid w:val="00161C2F"/>
    <w:rsid w:val="00161F11"/>
    <w:rsid w:val="001620B6"/>
    <w:rsid w:val="001622BA"/>
    <w:rsid w:val="00162664"/>
    <w:rsid w:val="00163194"/>
    <w:rsid w:val="001639B6"/>
    <w:rsid w:val="00163DB9"/>
    <w:rsid w:val="00163DD8"/>
    <w:rsid w:val="00164F8F"/>
    <w:rsid w:val="00165130"/>
    <w:rsid w:val="0016529F"/>
    <w:rsid w:val="0016530E"/>
    <w:rsid w:val="001658F5"/>
    <w:rsid w:val="00165F38"/>
    <w:rsid w:val="001661B8"/>
    <w:rsid w:val="00166237"/>
    <w:rsid w:val="00166385"/>
    <w:rsid w:val="0016644D"/>
    <w:rsid w:val="0016655F"/>
    <w:rsid w:val="00166EE6"/>
    <w:rsid w:val="001672AF"/>
    <w:rsid w:val="00167460"/>
    <w:rsid w:val="00170377"/>
    <w:rsid w:val="001706B2"/>
    <w:rsid w:val="00170A14"/>
    <w:rsid w:val="00170B4C"/>
    <w:rsid w:val="0017112B"/>
    <w:rsid w:val="00171185"/>
    <w:rsid w:val="00171C71"/>
    <w:rsid w:val="001726CF"/>
    <w:rsid w:val="00172A27"/>
    <w:rsid w:val="00172A39"/>
    <w:rsid w:val="00172BAF"/>
    <w:rsid w:val="00172D05"/>
    <w:rsid w:val="00172EC0"/>
    <w:rsid w:val="00173191"/>
    <w:rsid w:val="00173686"/>
    <w:rsid w:val="001737FE"/>
    <w:rsid w:val="00173B52"/>
    <w:rsid w:val="00173F0C"/>
    <w:rsid w:val="0017426E"/>
    <w:rsid w:val="00175014"/>
    <w:rsid w:val="001751EE"/>
    <w:rsid w:val="001753D1"/>
    <w:rsid w:val="00175B11"/>
    <w:rsid w:val="00175B5B"/>
    <w:rsid w:val="00176AFA"/>
    <w:rsid w:val="00176C25"/>
    <w:rsid w:val="00176E50"/>
    <w:rsid w:val="0017723E"/>
    <w:rsid w:val="001775DA"/>
    <w:rsid w:val="00177935"/>
    <w:rsid w:val="00177AD0"/>
    <w:rsid w:val="00181019"/>
    <w:rsid w:val="00181135"/>
    <w:rsid w:val="001813A3"/>
    <w:rsid w:val="00181C0B"/>
    <w:rsid w:val="00181EF7"/>
    <w:rsid w:val="001820BF"/>
    <w:rsid w:val="00182308"/>
    <w:rsid w:val="00182382"/>
    <w:rsid w:val="001825F7"/>
    <w:rsid w:val="00182DF8"/>
    <w:rsid w:val="001833B5"/>
    <w:rsid w:val="0018502B"/>
    <w:rsid w:val="00186403"/>
    <w:rsid w:val="00186455"/>
    <w:rsid w:val="00186DC9"/>
    <w:rsid w:val="0018707E"/>
    <w:rsid w:val="001872C9"/>
    <w:rsid w:val="00187892"/>
    <w:rsid w:val="00187DFB"/>
    <w:rsid w:val="00190463"/>
    <w:rsid w:val="001912FE"/>
    <w:rsid w:val="00191435"/>
    <w:rsid w:val="00191C8B"/>
    <w:rsid w:val="00192213"/>
    <w:rsid w:val="001927A2"/>
    <w:rsid w:val="0019286A"/>
    <w:rsid w:val="00192FED"/>
    <w:rsid w:val="00192FF5"/>
    <w:rsid w:val="0019335B"/>
    <w:rsid w:val="001938DB"/>
    <w:rsid w:val="00193A77"/>
    <w:rsid w:val="001940F4"/>
    <w:rsid w:val="0019423A"/>
    <w:rsid w:val="00194FA4"/>
    <w:rsid w:val="00195203"/>
    <w:rsid w:val="00195234"/>
    <w:rsid w:val="00195384"/>
    <w:rsid w:val="0019557A"/>
    <w:rsid w:val="00195648"/>
    <w:rsid w:val="001959DC"/>
    <w:rsid w:val="00195A29"/>
    <w:rsid w:val="00195F44"/>
    <w:rsid w:val="00195FC6"/>
    <w:rsid w:val="00196019"/>
    <w:rsid w:val="001963F9"/>
    <w:rsid w:val="00196B1D"/>
    <w:rsid w:val="00196C83"/>
    <w:rsid w:val="00196E92"/>
    <w:rsid w:val="00197C3A"/>
    <w:rsid w:val="001A0896"/>
    <w:rsid w:val="001A0FF1"/>
    <w:rsid w:val="001A103D"/>
    <w:rsid w:val="001A11A2"/>
    <w:rsid w:val="001A2185"/>
    <w:rsid w:val="001A2679"/>
    <w:rsid w:val="001A315B"/>
    <w:rsid w:val="001A334F"/>
    <w:rsid w:val="001A3856"/>
    <w:rsid w:val="001A3954"/>
    <w:rsid w:val="001A3F6D"/>
    <w:rsid w:val="001A4C94"/>
    <w:rsid w:val="001A4F40"/>
    <w:rsid w:val="001A56FD"/>
    <w:rsid w:val="001A5923"/>
    <w:rsid w:val="001A5DA1"/>
    <w:rsid w:val="001A6A4C"/>
    <w:rsid w:val="001A7328"/>
    <w:rsid w:val="001A775C"/>
    <w:rsid w:val="001A7CBA"/>
    <w:rsid w:val="001B0DF5"/>
    <w:rsid w:val="001B16E6"/>
    <w:rsid w:val="001B1736"/>
    <w:rsid w:val="001B1AE6"/>
    <w:rsid w:val="001B1F0B"/>
    <w:rsid w:val="001B2576"/>
    <w:rsid w:val="001B2E4E"/>
    <w:rsid w:val="001B32D3"/>
    <w:rsid w:val="001B32E4"/>
    <w:rsid w:val="001B3778"/>
    <w:rsid w:val="001B37D2"/>
    <w:rsid w:val="001B3CB6"/>
    <w:rsid w:val="001B3E30"/>
    <w:rsid w:val="001B43A2"/>
    <w:rsid w:val="001B4634"/>
    <w:rsid w:val="001B4D03"/>
    <w:rsid w:val="001B4ED3"/>
    <w:rsid w:val="001B5091"/>
    <w:rsid w:val="001B50CC"/>
    <w:rsid w:val="001B5355"/>
    <w:rsid w:val="001B5426"/>
    <w:rsid w:val="001B593D"/>
    <w:rsid w:val="001B5FED"/>
    <w:rsid w:val="001B6049"/>
    <w:rsid w:val="001B60D4"/>
    <w:rsid w:val="001B618E"/>
    <w:rsid w:val="001B6482"/>
    <w:rsid w:val="001B6F4A"/>
    <w:rsid w:val="001B7014"/>
    <w:rsid w:val="001B739D"/>
    <w:rsid w:val="001B7432"/>
    <w:rsid w:val="001B7C13"/>
    <w:rsid w:val="001B7C32"/>
    <w:rsid w:val="001B7CBF"/>
    <w:rsid w:val="001B7FF9"/>
    <w:rsid w:val="001C0476"/>
    <w:rsid w:val="001C0846"/>
    <w:rsid w:val="001C148A"/>
    <w:rsid w:val="001C15DB"/>
    <w:rsid w:val="001C17AC"/>
    <w:rsid w:val="001C1814"/>
    <w:rsid w:val="001C1B36"/>
    <w:rsid w:val="001C1C06"/>
    <w:rsid w:val="001C2831"/>
    <w:rsid w:val="001C3D5E"/>
    <w:rsid w:val="001C3D80"/>
    <w:rsid w:val="001C4222"/>
    <w:rsid w:val="001C4361"/>
    <w:rsid w:val="001C4AA8"/>
    <w:rsid w:val="001C51A3"/>
    <w:rsid w:val="001C5358"/>
    <w:rsid w:val="001C56D1"/>
    <w:rsid w:val="001C5A59"/>
    <w:rsid w:val="001C61E9"/>
    <w:rsid w:val="001C6B79"/>
    <w:rsid w:val="001C6F0D"/>
    <w:rsid w:val="001C7325"/>
    <w:rsid w:val="001C7A8C"/>
    <w:rsid w:val="001D0B07"/>
    <w:rsid w:val="001D0D82"/>
    <w:rsid w:val="001D0F05"/>
    <w:rsid w:val="001D151F"/>
    <w:rsid w:val="001D15D9"/>
    <w:rsid w:val="001D1912"/>
    <w:rsid w:val="001D1DD7"/>
    <w:rsid w:val="001D23EF"/>
    <w:rsid w:val="001D2608"/>
    <w:rsid w:val="001D273D"/>
    <w:rsid w:val="001D285A"/>
    <w:rsid w:val="001D34D6"/>
    <w:rsid w:val="001D3534"/>
    <w:rsid w:val="001D49FD"/>
    <w:rsid w:val="001D4EB1"/>
    <w:rsid w:val="001D537F"/>
    <w:rsid w:val="001D565B"/>
    <w:rsid w:val="001D6B8D"/>
    <w:rsid w:val="001D6D80"/>
    <w:rsid w:val="001D723E"/>
    <w:rsid w:val="001D7681"/>
    <w:rsid w:val="001D7EEC"/>
    <w:rsid w:val="001E0531"/>
    <w:rsid w:val="001E131D"/>
    <w:rsid w:val="001E1321"/>
    <w:rsid w:val="001E15B4"/>
    <w:rsid w:val="001E1FA3"/>
    <w:rsid w:val="001E21AC"/>
    <w:rsid w:val="001E24A4"/>
    <w:rsid w:val="001E28CC"/>
    <w:rsid w:val="001E28E4"/>
    <w:rsid w:val="001E290A"/>
    <w:rsid w:val="001E2DA9"/>
    <w:rsid w:val="001E321D"/>
    <w:rsid w:val="001E38B1"/>
    <w:rsid w:val="001E3A2B"/>
    <w:rsid w:val="001E478C"/>
    <w:rsid w:val="001E4C00"/>
    <w:rsid w:val="001E4D12"/>
    <w:rsid w:val="001E4D56"/>
    <w:rsid w:val="001E4DB4"/>
    <w:rsid w:val="001E5559"/>
    <w:rsid w:val="001E5BBC"/>
    <w:rsid w:val="001E62C7"/>
    <w:rsid w:val="001E6542"/>
    <w:rsid w:val="001E66CC"/>
    <w:rsid w:val="001E69FA"/>
    <w:rsid w:val="001E72E0"/>
    <w:rsid w:val="001E7739"/>
    <w:rsid w:val="001E7AB5"/>
    <w:rsid w:val="001F0064"/>
    <w:rsid w:val="001F16DF"/>
    <w:rsid w:val="001F193B"/>
    <w:rsid w:val="001F1960"/>
    <w:rsid w:val="001F1FBA"/>
    <w:rsid w:val="001F2022"/>
    <w:rsid w:val="001F2921"/>
    <w:rsid w:val="001F2C58"/>
    <w:rsid w:val="001F3066"/>
    <w:rsid w:val="001F327B"/>
    <w:rsid w:val="001F32DA"/>
    <w:rsid w:val="001F3DAE"/>
    <w:rsid w:val="001F4A98"/>
    <w:rsid w:val="001F4EBD"/>
    <w:rsid w:val="001F4F82"/>
    <w:rsid w:val="001F6159"/>
    <w:rsid w:val="001F6680"/>
    <w:rsid w:val="001F6C51"/>
    <w:rsid w:val="001F6DC6"/>
    <w:rsid w:val="001F6FB6"/>
    <w:rsid w:val="001F740D"/>
    <w:rsid w:val="001F792F"/>
    <w:rsid w:val="001F7AC9"/>
    <w:rsid w:val="001F7B9E"/>
    <w:rsid w:val="001F7BE1"/>
    <w:rsid w:val="001F7C97"/>
    <w:rsid w:val="00200A84"/>
    <w:rsid w:val="00200C40"/>
    <w:rsid w:val="00201229"/>
    <w:rsid w:val="002013AF"/>
    <w:rsid w:val="002014F7"/>
    <w:rsid w:val="002015E7"/>
    <w:rsid w:val="00202359"/>
    <w:rsid w:val="002023BE"/>
    <w:rsid w:val="00202576"/>
    <w:rsid w:val="00202583"/>
    <w:rsid w:val="0020269C"/>
    <w:rsid w:val="00202B50"/>
    <w:rsid w:val="00202EF9"/>
    <w:rsid w:val="00203204"/>
    <w:rsid w:val="00203236"/>
    <w:rsid w:val="00203395"/>
    <w:rsid w:val="002036E8"/>
    <w:rsid w:val="00203939"/>
    <w:rsid w:val="00203B3F"/>
    <w:rsid w:val="002048AD"/>
    <w:rsid w:val="002051F7"/>
    <w:rsid w:val="0020531C"/>
    <w:rsid w:val="002056B0"/>
    <w:rsid w:val="00205AD3"/>
    <w:rsid w:val="00205B53"/>
    <w:rsid w:val="002066C1"/>
    <w:rsid w:val="002067D2"/>
    <w:rsid w:val="00206D59"/>
    <w:rsid w:val="00206EF3"/>
    <w:rsid w:val="0020708A"/>
    <w:rsid w:val="00207402"/>
    <w:rsid w:val="00207435"/>
    <w:rsid w:val="00207642"/>
    <w:rsid w:val="002077F2"/>
    <w:rsid w:val="00207AAC"/>
    <w:rsid w:val="00207F6A"/>
    <w:rsid w:val="00210191"/>
    <w:rsid w:val="00210256"/>
    <w:rsid w:val="00210394"/>
    <w:rsid w:val="0021051F"/>
    <w:rsid w:val="0021076E"/>
    <w:rsid w:val="00211511"/>
    <w:rsid w:val="0021206E"/>
    <w:rsid w:val="002127B9"/>
    <w:rsid w:val="00212B08"/>
    <w:rsid w:val="00212B38"/>
    <w:rsid w:val="00213289"/>
    <w:rsid w:val="00213825"/>
    <w:rsid w:val="00213CEF"/>
    <w:rsid w:val="00214189"/>
    <w:rsid w:val="0021432D"/>
    <w:rsid w:val="00214532"/>
    <w:rsid w:val="00214ADD"/>
    <w:rsid w:val="0021525B"/>
    <w:rsid w:val="00216356"/>
    <w:rsid w:val="002164F1"/>
    <w:rsid w:val="00216A00"/>
    <w:rsid w:val="00216A68"/>
    <w:rsid w:val="00216B19"/>
    <w:rsid w:val="00216CCC"/>
    <w:rsid w:val="00216E16"/>
    <w:rsid w:val="0021738B"/>
    <w:rsid w:val="00220082"/>
    <w:rsid w:val="002203BD"/>
    <w:rsid w:val="00220517"/>
    <w:rsid w:val="00220776"/>
    <w:rsid w:val="0022169D"/>
    <w:rsid w:val="002216CC"/>
    <w:rsid w:val="00221ED0"/>
    <w:rsid w:val="002221C3"/>
    <w:rsid w:val="00222843"/>
    <w:rsid w:val="0022299A"/>
    <w:rsid w:val="00222A0B"/>
    <w:rsid w:val="00222B91"/>
    <w:rsid w:val="00222D7D"/>
    <w:rsid w:val="00222DE4"/>
    <w:rsid w:val="002230FD"/>
    <w:rsid w:val="002232B3"/>
    <w:rsid w:val="00223561"/>
    <w:rsid w:val="00223664"/>
    <w:rsid w:val="0022401E"/>
    <w:rsid w:val="00224343"/>
    <w:rsid w:val="00224756"/>
    <w:rsid w:val="00224878"/>
    <w:rsid w:val="0022514D"/>
    <w:rsid w:val="00225CEE"/>
    <w:rsid w:val="00225E3F"/>
    <w:rsid w:val="00226447"/>
    <w:rsid w:val="002266DB"/>
    <w:rsid w:val="00226894"/>
    <w:rsid w:val="002268B0"/>
    <w:rsid w:val="00226F86"/>
    <w:rsid w:val="002272F5"/>
    <w:rsid w:val="00227577"/>
    <w:rsid w:val="0022776D"/>
    <w:rsid w:val="002277E9"/>
    <w:rsid w:val="00230153"/>
    <w:rsid w:val="002303A6"/>
    <w:rsid w:val="0023080B"/>
    <w:rsid w:val="00230894"/>
    <w:rsid w:val="002308E9"/>
    <w:rsid w:val="00231675"/>
    <w:rsid w:val="00231B36"/>
    <w:rsid w:val="00231F9E"/>
    <w:rsid w:val="00232498"/>
    <w:rsid w:val="0023254E"/>
    <w:rsid w:val="00232918"/>
    <w:rsid w:val="00232955"/>
    <w:rsid w:val="002329D0"/>
    <w:rsid w:val="0023350C"/>
    <w:rsid w:val="00233698"/>
    <w:rsid w:val="00233E70"/>
    <w:rsid w:val="00234281"/>
    <w:rsid w:val="00234DD6"/>
    <w:rsid w:val="00234FD3"/>
    <w:rsid w:val="00236382"/>
    <w:rsid w:val="00236B90"/>
    <w:rsid w:val="00236C21"/>
    <w:rsid w:val="002371BF"/>
    <w:rsid w:val="002371E1"/>
    <w:rsid w:val="0023754A"/>
    <w:rsid w:val="0023756C"/>
    <w:rsid w:val="00237A87"/>
    <w:rsid w:val="00240262"/>
    <w:rsid w:val="002404C3"/>
    <w:rsid w:val="00241129"/>
    <w:rsid w:val="002411AE"/>
    <w:rsid w:val="00241205"/>
    <w:rsid w:val="00241731"/>
    <w:rsid w:val="00241840"/>
    <w:rsid w:val="00241C36"/>
    <w:rsid w:val="002427EB"/>
    <w:rsid w:val="002427F0"/>
    <w:rsid w:val="002428BD"/>
    <w:rsid w:val="00242D15"/>
    <w:rsid w:val="00242E09"/>
    <w:rsid w:val="002432B7"/>
    <w:rsid w:val="002432E9"/>
    <w:rsid w:val="002440B2"/>
    <w:rsid w:val="002445FE"/>
    <w:rsid w:val="00244CCB"/>
    <w:rsid w:val="00244D30"/>
    <w:rsid w:val="002451B3"/>
    <w:rsid w:val="002458CE"/>
    <w:rsid w:val="002459C5"/>
    <w:rsid w:val="00245DE9"/>
    <w:rsid w:val="00245E81"/>
    <w:rsid w:val="00245F09"/>
    <w:rsid w:val="00246513"/>
    <w:rsid w:val="00246851"/>
    <w:rsid w:val="00246B16"/>
    <w:rsid w:val="00246B1D"/>
    <w:rsid w:val="00246E71"/>
    <w:rsid w:val="00246F16"/>
    <w:rsid w:val="0024705A"/>
    <w:rsid w:val="002477AE"/>
    <w:rsid w:val="00247BDE"/>
    <w:rsid w:val="00247D10"/>
    <w:rsid w:val="00247D4D"/>
    <w:rsid w:val="00250317"/>
    <w:rsid w:val="002504FC"/>
    <w:rsid w:val="002506E3"/>
    <w:rsid w:val="00250B11"/>
    <w:rsid w:val="00250D19"/>
    <w:rsid w:val="00250D82"/>
    <w:rsid w:val="00251CC2"/>
    <w:rsid w:val="00251EB3"/>
    <w:rsid w:val="00251EE5"/>
    <w:rsid w:val="00252136"/>
    <w:rsid w:val="0025329B"/>
    <w:rsid w:val="00253582"/>
    <w:rsid w:val="0025362C"/>
    <w:rsid w:val="002538BA"/>
    <w:rsid w:val="00253B9E"/>
    <w:rsid w:val="00253C3E"/>
    <w:rsid w:val="00253EC4"/>
    <w:rsid w:val="0025418A"/>
    <w:rsid w:val="00254240"/>
    <w:rsid w:val="0025425A"/>
    <w:rsid w:val="0025531B"/>
    <w:rsid w:val="00255536"/>
    <w:rsid w:val="002557BB"/>
    <w:rsid w:val="002558AC"/>
    <w:rsid w:val="00255BC2"/>
    <w:rsid w:val="00255EFE"/>
    <w:rsid w:val="002564CF"/>
    <w:rsid w:val="00256539"/>
    <w:rsid w:val="00256DEA"/>
    <w:rsid w:val="00257117"/>
    <w:rsid w:val="00257923"/>
    <w:rsid w:val="00257C49"/>
    <w:rsid w:val="002603B3"/>
    <w:rsid w:val="0026072F"/>
    <w:rsid w:val="00260952"/>
    <w:rsid w:val="00260B2B"/>
    <w:rsid w:val="00260C11"/>
    <w:rsid w:val="002610D7"/>
    <w:rsid w:val="00261192"/>
    <w:rsid w:val="00261A11"/>
    <w:rsid w:val="00261CB5"/>
    <w:rsid w:val="00261D8A"/>
    <w:rsid w:val="002625F2"/>
    <w:rsid w:val="00262CA3"/>
    <w:rsid w:val="00262D43"/>
    <w:rsid w:val="00263413"/>
    <w:rsid w:val="00263633"/>
    <w:rsid w:val="0026363C"/>
    <w:rsid w:val="00263AEC"/>
    <w:rsid w:val="00263E3B"/>
    <w:rsid w:val="0026408F"/>
    <w:rsid w:val="0026431A"/>
    <w:rsid w:val="002644A4"/>
    <w:rsid w:val="00264C8F"/>
    <w:rsid w:val="00265066"/>
    <w:rsid w:val="00265548"/>
    <w:rsid w:val="00265B9D"/>
    <w:rsid w:val="00265BFC"/>
    <w:rsid w:val="00265C93"/>
    <w:rsid w:val="00265F70"/>
    <w:rsid w:val="00266300"/>
    <w:rsid w:val="0026641E"/>
    <w:rsid w:val="00266678"/>
    <w:rsid w:val="002669B2"/>
    <w:rsid w:val="00266EE2"/>
    <w:rsid w:val="00266FD2"/>
    <w:rsid w:val="002678CA"/>
    <w:rsid w:val="00267A83"/>
    <w:rsid w:val="00267BBD"/>
    <w:rsid w:val="00267EC5"/>
    <w:rsid w:val="00267F3E"/>
    <w:rsid w:val="0027038F"/>
    <w:rsid w:val="00271150"/>
    <w:rsid w:val="00272A45"/>
    <w:rsid w:val="00272EB3"/>
    <w:rsid w:val="00273328"/>
    <w:rsid w:val="0027393F"/>
    <w:rsid w:val="0027447A"/>
    <w:rsid w:val="002747CC"/>
    <w:rsid w:val="00274830"/>
    <w:rsid w:val="00274DF9"/>
    <w:rsid w:val="00275170"/>
    <w:rsid w:val="00275D77"/>
    <w:rsid w:val="0027602C"/>
    <w:rsid w:val="002760F9"/>
    <w:rsid w:val="00276A43"/>
    <w:rsid w:val="00276D2F"/>
    <w:rsid w:val="00276D5E"/>
    <w:rsid w:val="00276FBF"/>
    <w:rsid w:val="002775C7"/>
    <w:rsid w:val="002778F2"/>
    <w:rsid w:val="00277F52"/>
    <w:rsid w:val="00277F90"/>
    <w:rsid w:val="002807D2"/>
    <w:rsid w:val="002809A3"/>
    <w:rsid w:val="00280E91"/>
    <w:rsid w:val="00281979"/>
    <w:rsid w:val="00281E85"/>
    <w:rsid w:val="0028200C"/>
    <w:rsid w:val="00282011"/>
    <w:rsid w:val="00282533"/>
    <w:rsid w:val="00282622"/>
    <w:rsid w:val="00283501"/>
    <w:rsid w:val="002837F8"/>
    <w:rsid w:val="00283A81"/>
    <w:rsid w:val="00283ACF"/>
    <w:rsid w:val="00283C99"/>
    <w:rsid w:val="00283D11"/>
    <w:rsid w:val="0028448F"/>
    <w:rsid w:val="0028473D"/>
    <w:rsid w:val="00284850"/>
    <w:rsid w:val="00284CEE"/>
    <w:rsid w:val="00284D22"/>
    <w:rsid w:val="00284F33"/>
    <w:rsid w:val="002851E8"/>
    <w:rsid w:val="0028529C"/>
    <w:rsid w:val="00285326"/>
    <w:rsid w:val="0028572F"/>
    <w:rsid w:val="00285DE8"/>
    <w:rsid w:val="0028689B"/>
    <w:rsid w:val="00286F35"/>
    <w:rsid w:val="00287067"/>
    <w:rsid w:val="00290337"/>
    <w:rsid w:val="002904A9"/>
    <w:rsid w:val="00290891"/>
    <w:rsid w:val="00291DA9"/>
    <w:rsid w:val="00292157"/>
    <w:rsid w:val="00292661"/>
    <w:rsid w:val="00292773"/>
    <w:rsid w:val="002927AC"/>
    <w:rsid w:val="002928D1"/>
    <w:rsid w:val="00292D88"/>
    <w:rsid w:val="00293689"/>
    <w:rsid w:val="00294241"/>
    <w:rsid w:val="002943E7"/>
    <w:rsid w:val="0029469F"/>
    <w:rsid w:val="0029476B"/>
    <w:rsid w:val="00295405"/>
    <w:rsid w:val="002954FB"/>
    <w:rsid w:val="00295635"/>
    <w:rsid w:val="00295E06"/>
    <w:rsid w:val="0029618D"/>
    <w:rsid w:val="002965BA"/>
    <w:rsid w:val="002967F6"/>
    <w:rsid w:val="00296814"/>
    <w:rsid w:val="00296D48"/>
    <w:rsid w:val="00296EB8"/>
    <w:rsid w:val="00296F5F"/>
    <w:rsid w:val="0029716C"/>
    <w:rsid w:val="00297536"/>
    <w:rsid w:val="002976F2"/>
    <w:rsid w:val="00297A95"/>
    <w:rsid w:val="002A02A0"/>
    <w:rsid w:val="002A0471"/>
    <w:rsid w:val="002A07C4"/>
    <w:rsid w:val="002A0DD4"/>
    <w:rsid w:val="002A20D0"/>
    <w:rsid w:val="002A2381"/>
    <w:rsid w:val="002A24CF"/>
    <w:rsid w:val="002A2537"/>
    <w:rsid w:val="002A2AB8"/>
    <w:rsid w:val="002A2B8E"/>
    <w:rsid w:val="002A3789"/>
    <w:rsid w:val="002A4D11"/>
    <w:rsid w:val="002A5126"/>
    <w:rsid w:val="002A5948"/>
    <w:rsid w:val="002A6115"/>
    <w:rsid w:val="002A639F"/>
    <w:rsid w:val="002A64F2"/>
    <w:rsid w:val="002A6590"/>
    <w:rsid w:val="002A7478"/>
    <w:rsid w:val="002A7678"/>
    <w:rsid w:val="002A7B26"/>
    <w:rsid w:val="002B01AD"/>
    <w:rsid w:val="002B037F"/>
    <w:rsid w:val="002B047F"/>
    <w:rsid w:val="002B1824"/>
    <w:rsid w:val="002B182C"/>
    <w:rsid w:val="002B1845"/>
    <w:rsid w:val="002B1A9F"/>
    <w:rsid w:val="002B210C"/>
    <w:rsid w:val="002B2402"/>
    <w:rsid w:val="002B2847"/>
    <w:rsid w:val="002B2C8F"/>
    <w:rsid w:val="002B2D78"/>
    <w:rsid w:val="002B2E66"/>
    <w:rsid w:val="002B32B6"/>
    <w:rsid w:val="002B32C9"/>
    <w:rsid w:val="002B351A"/>
    <w:rsid w:val="002B35D8"/>
    <w:rsid w:val="002B3736"/>
    <w:rsid w:val="002B4054"/>
    <w:rsid w:val="002B41A8"/>
    <w:rsid w:val="002B427C"/>
    <w:rsid w:val="002B46A0"/>
    <w:rsid w:val="002B46FF"/>
    <w:rsid w:val="002B497D"/>
    <w:rsid w:val="002B4A8E"/>
    <w:rsid w:val="002B4BBC"/>
    <w:rsid w:val="002B4D0E"/>
    <w:rsid w:val="002B4D3C"/>
    <w:rsid w:val="002B542A"/>
    <w:rsid w:val="002B5495"/>
    <w:rsid w:val="002B54C5"/>
    <w:rsid w:val="002B55E5"/>
    <w:rsid w:val="002B5CAD"/>
    <w:rsid w:val="002B61C9"/>
    <w:rsid w:val="002B653E"/>
    <w:rsid w:val="002B6703"/>
    <w:rsid w:val="002B6D69"/>
    <w:rsid w:val="002B6E5B"/>
    <w:rsid w:val="002B6F67"/>
    <w:rsid w:val="002B7411"/>
    <w:rsid w:val="002B7F1B"/>
    <w:rsid w:val="002C0083"/>
    <w:rsid w:val="002C0186"/>
    <w:rsid w:val="002C032E"/>
    <w:rsid w:val="002C081A"/>
    <w:rsid w:val="002C087B"/>
    <w:rsid w:val="002C108A"/>
    <w:rsid w:val="002C1553"/>
    <w:rsid w:val="002C2035"/>
    <w:rsid w:val="002C24C4"/>
    <w:rsid w:val="002C25D4"/>
    <w:rsid w:val="002C2CCD"/>
    <w:rsid w:val="002C2F7F"/>
    <w:rsid w:val="002C2FB4"/>
    <w:rsid w:val="002C2FD3"/>
    <w:rsid w:val="002C3683"/>
    <w:rsid w:val="002C4AFD"/>
    <w:rsid w:val="002C5516"/>
    <w:rsid w:val="002C5A3A"/>
    <w:rsid w:val="002C5D7E"/>
    <w:rsid w:val="002C6DC2"/>
    <w:rsid w:val="002C6DDA"/>
    <w:rsid w:val="002C713E"/>
    <w:rsid w:val="002C72FB"/>
    <w:rsid w:val="002C77B0"/>
    <w:rsid w:val="002D0068"/>
    <w:rsid w:val="002D0466"/>
    <w:rsid w:val="002D053D"/>
    <w:rsid w:val="002D0829"/>
    <w:rsid w:val="002D0B99"/>
    <w:rsid w:val="002D1600"/>
    <w:rsid w:val="002D1936"/>
    <w:rsid w:val="002D1CE8"/>
    <w:rsid w:val="002D1F76"/>
    <w:rsid w:val="002D22E4"/>
    <w:rsid w:val="002D2403"/>
    <w:rsid w:val="002D2D0D"/>
    <w:rsid w:val="002D2FB2"/>
    <w:rsid w:val="002D3066"/>
    <w:rsid w:val="002D32C1"/>
    <w:rsid w:val="002D3363"/>
    <w:rsid w:val="002D34FE"/>
    <w:rsid w:val="002D35EA"/>
    <w:rsid w:val="002D3782"/>
    <w:rsid w:val="002D3B24"/>
    <w:rsid w:val="002D3D77"/>
    <w:rsid w:val="002D4837"/>
    <w:rsid w:val="002D48E6"/>
    <w:rsid w:val="002D5331"/>
    <w:rsid w:val="002D55BB"/>
    <w:rsid w:val="002D5B16"/>
    <w:rsid w:val="002D5BC9"/>
    <w:rsid w:val="002D5DDC"/>
    <w:rsid w:val="002D67F7"/>
    <w:rsid w:val="002D6DE0"/>
    <w:rsid w:val="002D7621"/>
    <w:rsid w:val="002D769A"/>
    <w:rsid w:val="002D7789"/>
    <w:rsid w:val="002D77B7"/>
    <w:rsid w:val="002D79D9"/>
    <w:rsid w:val="002D7CC4"/>
    <w:rsid w:val="002D7DBC"/>
    <w:rsid w:val="002E00DB"/>
    <w:rsid w:val="002E0A65"/>
    <w:rsid w:val="002E0C21"/>
    <w:rsid w:val="002E192A"/>
    <w:rsid w:val="002E1D7B"/>
    <w:rsid w:val="002E2048"/>
    <w:rsid w:val="002E2471"/>
    <w:rsid w:val="002E2A52"/>
    <w:rsid w:val="002E2B84"/>
    <w:rsid w:val="002E300A"/>
    <w:rsid w:val="002E32C6"/>
    <w:rsid w:val="002E3543"/>
    <w:rsid w:val="002E3B82"/>
    <w:rsid w:val="002E3C95"/>
    <w:rsid w:val="002E40D7"/>
    <w:rsid w:val="002E4D81"/>
    <w:rsid w:val="002E4E88"/>
    <w:rsid w:val="002E5103"/>
    <w:rsid w:val="002E5BC7"/>
    <w:rsid w:val="002E5F0D"/>
    <w:rsid w:val="002E6EE7"/>
    <w:rsid w:val="002E72BD"/>
    <w:rsid w:val="002E7655"/>
    <w:rsid w:val="002E7750"/>
    <w:rsid w:val="002E7964"/>
    <w:rsid w:val="002E79AB"/>
    <w:rsid w:val="002E7D40"/>
    <w:rsid w:val="002F0A52"/>
    <w:rsid w:val="002F0C6B"/>
    <w:rsid w:val="002F15CF"/>
    <w:rsid w:val="002F1686"/>
    <w:rsid w:val="002F1771"/>
    <w:rsid w:val="002F1CD0"/>
    <w:rsid w:val="002F1D5C"/>
    <w:rsid w:val="002F1D92"/>
    <w:rsid w:val="002F207F"/>
    <w:rsid w:val="002F23FA"/>
    <w:rsid w:val="002F249E"/>
    <w:rsid w:val="002F24AF"/>
    <w:rsid w:val="002F32ED"/>
    <w:rsid w:val="002F3799"/>
    <w:rsid w:val="002F41D5"/>
    <w:rsid w:val="002F43B6"/>
    <w:rsid w:val="002F49F9"/>
    <w:rsid w:val="002F4D5A"/>
    <w:rsid w:val="002F515D"/>
    <w:rsid w:val="002F5F68"/>
    <w:rsid w:val="002F6673"/>
    <w:rsid w:val="002F66DB"/>
    <w:rsid w:val="002F7155"/>
    <w:rsid w:val="002F7700"/>
    <w:rsid w:val="002F778A"/>
    <w:rsid w:val="002F7CCB"/>
    <w:rsid w:val="002F7EB8"/>
    <w:rsid w:val="0030086D"/>
    <w:rsid w:val="00300D86"/>
    <w:rsid w:val="00300E82"/>
    <w:rsid w:val="00301655"/>
    <w:rsid w:val="003017E1"/>
    <w:rsid w:val="003021BB"/>
    <w:rsid w:val="00302F6A"/>
    <w:rsid w:val="00303061"/>
    <w:rsid w:val="00303A66"/>
    <w:rsid w:val="00303D62"/>
    <w:rsid w:val="00304041"/>
    <w:rsid w:val="003040C0"/>
    <w:rsid w:val="003044AD"/>
    <w:rsid w:val="00304501"/>
    <w:rsid w:val="00304917"/>
    <w:rsid w:val="00305040"/>
    <w:rsid w:val="00305BB3"/>
    <w:rsid w:val="00305CC7"/>
    <w:rsid w:val="00305F62"/>
    <w:rsid w:val="0030688B"/>
    <w:rsid w:val="00306AAF"/>
    <w:rsid w:val="00306E35"/>
    <w:rsid w:val="003074FD"/>
    <w:rsid w:val="00307728"/>
    <w:rsid w:val="00307A2D"/>
    <w:rsid w:val="003100AB"/>
    <w:rsid w:val="00310204"/>
    <w:rsid w:val="00310272"/>
    <w:rsid w:val="00310D86"/>
    <w:rsid w:val="00310EC5"/>
    <w:rsid w:val="00310F34"/>
    <w:rsid w:val="0031233D"/>
    <w:rsid w:val="003126B1"/>
    <w:rsid w:val="00312AF6"/>
    <w:rsid w:val="00312CB7"/>
    <w:rsid w:val="00312E68"/>
    <w:rsid w:val="00313103"/>
    <w:rsid w:val="0031351A"/>
    <w:rsid w:val="00313ADF"/>
    <w:rsid w:val="0031460F"/>
    <w:rsid w:val="00314C8A"/>
    <w:rsid w:val="00314E33"/>
    <w:rsid w:val="00315595"/>
    <w:rsid w:val="00315F66"/>
    <w:rsid w:val="003161E5"/>
    <w:rsid w:val="00316884"/>
    <w:rsid w:val="00316C18"/>
    <w:rsid w:val="00317071"/>
    <w:rsid w:val="003170F2"/>
    <w:rsid w:val="003171A9"/>
    <w:rsid w:val="00317767"/>
    <w:rsid w:val="0032043F"/>
    <w:rsid w:val="003204DA"/>
    <w:rsid w:val="00320582"/>
    <w:rsid w:val="00320DC7"/>
    <w:rsid w:val="00321282"/>
    <w:rsid w:val="0032130E"/>
    <w:rsid w:val="0032187E"/>
    <w:rsid w:val="003218EA"/>
    <w:rsid w:val="00321F93"/>
    <w:rsid w:val="0032278A"/>
    <w:rsid w:val="0032279E"/>
    <w:rsid w:val="00322A25"/>
    <w:rsid w:val="00322E8B"/>
    <w:rsid w:val="0032318E"/>
    <w:rsid w:val="00323277"/>
    <w:rsid w:val="00323389"/>
    <w:rsid w:val="0032399E"/>
    <w:rsid w:val="00324067"/>
    <w:rsid w:val="003246F7"/>
    <w:rsid w:val="003248E7"/>
    <w:rsid w:val="00324925"/>
    <w:rsid w:val="00324A14"/>
    <w:rsid w:val="00324F45"/>
    <w:rsid w:val="00325668"/>
    <w:rsid w:val="00325F1E"/>
    <w:rsid w:val="00326084"/>
    <w:rsid w:val="003262AB"/>
    <w:rsid w:val="0032659C"/>
    <w:rsid w:val="00326D28"/>
    <w:rsid w:val="00327292"/>
    <w:rsid w:val="003272FD"/>
    <w:rsid w:val="0032744E"/>
    <w:rsid w:val="00327480"/>
    <w:rsid w:val="003300E1"/>
    <w:rsid w:val="00330380"/>
    <w:rsid w:val="003303B7"/>
    <w:rsid w:val="00330A37"/>
    <w:rsid w:val="00330A59"/>
    <w:rsid w:val="00330B81"/>
    <w:rsid w:val="003311FC"/>
    <w:rsid w:val="00331300"/>
    <w:rsid w:val="00331820"/>
    <w:rsid w:val="00332B7F"/>
    <w:rsid w:val="00333A15"/>
    <w:rsid w:val="00333A6D"/>
    <w:rsid w:val="00333D8E"/>
    <w:rsid w:val="00333F1D"/>
    <w:rsid w:val="003341BB"/>
    <w:rsid w:val="00335387"/>
    <w:rsid w:val="0033572A"/>
    <w:rsid w:val="00335776"/>
    <w:rsid w:val="00336075"/>
    <w:rsid w:val="00336787"/>
    <w:rsid w:val="003371DD"/>
    <w:rsid w:val="003374B9"/>
    <w:rsid w:val="003375AB"/>
    <w:rsid w:val="00337717"/>
    <w:rsid w:val="003378B1"/>
    <w:rsid w:val="003408E2"/>
    <w:rsid w:val="00340A5B"/>
    <w:rsid w:val="00340A83"/>
    <w:rsid w:val="00340D35"/>
    <w:rsid w:val="0034123C"/>
    <w:rsid w:val="003412BF"/>
    <w:rsid w:val="003415A2"/>
    <w:rsid w:val="0034168B"/>
    <w:rsid w:val="00341CF7"/>
    <w:rsid w:val="00342266"/>
    <w:rsid w:val="0034295D"/>
    <w:rsid w:val="0034312D"/>
    <w:rsid w:val="0034330F"/>
    <w:rsid w:val="00343659"/>
    <w:rsid w:val="00343669"/>
    <w:rsid w:val="00343C67"/>
    <w:rsid w:val="003440AE"/>
    <w:rsid w:val="0034413A"/>
    <w:rsid w:val="00344BA3"/>
    <w:rsid w:val="00344BDC"/>
    <w:rsid w:val="00344D5E"/>
    <w:rsid w:val="00344E8E"/>
    <w:rsid w:val="00345475"/>
    <w:rsid w:val="00345E42"/>
    <w:rsid w:val="00346194"/>
    <w:rsid w:val="00346AE5"/>
    <w:rsid w:val="00346C56"/>
    <w:rsid w:val="00347782"/>
    <w:rsid w:val="00347D51"/>
    <w:rsid w:val="00347E11"/>
    <w:rsid w:val="00350268"/>
    <w:rsid w:val="00350594"/>
    <w:rsid w:val="00350B46"/>
    <w:rsid w:val="003518DC"/>
    <w:rsid w:val="00352012"/>
    <w:rsid w:val="003521BD"/>
    <w:rsid w:val="00352542"/>
    <w:rsid w:val="00352668"/>
    <w:rsid w:val="00352677"/>
    <w:rsid w:val="0035326A"/>
    <w:rsid w:val="0035327A"/>
    <w:rsid w:val="003534CB"/>
    <w:rsid w:val="00353803"/>
    <w:rsid w:val="00353C29"/>
    <w:rsid w:val="00353C8B"/>
    <w:rsid w:val="00353D69"/>
    <w:rsid w:val="00353FC5"/>
    <w:rsid w:val="003541B5"/>
    <w:rsid w:val="003542FC"/>
    <w:rsid w:val="00354407"/>
    <w:rsid w:val="00354730"/>
    <w:rsid w:val="00354C88"/>
    <w:rsid w:val="0035537B"/>
    <w:rsid w:val="003555CF"/>
    <w:rsid w:val="00355B59"/>
    <w:rsid w:val="0035620E"/>
    <w:rsid w:val="003562FE"/>
    <w:rsid w:val="003564B6"/>
    <w:rsid w:val="0035669E"/>
    <w:rsid w:val="003574FA"/>
    <w:rsid w:val="00357C05"/>
    <w:rsid w:val="00357DE5"/>
    <w:rsid w:val="00360354"/>
    <w:rsid w:val="0036071E"/>
    <w:rsid w:val="00360720"/>
    <w:rsid w:val="00360FEF"/>
    <w:rsid w:val="00361955"/>
    <w:rsid w:val="00362D66"/>
    <w:rsid w:val="00363B12"/>
    <w:rsid w:val="003640DD"/>
    <w:rsid w:val="0036423C"/>
    <w:rsid w:val="003648BB"/>
    <w:rsid w:val="00364D2C"/>
    <w:rsid w:val="00364D59"/>
    <w:rsid w:val="0036523B"/>
    <w:rsid w:val="003654BE"/>
    <w:rsid w:val="003654DD"/>
    <w:rsid w:val="00365B9B"/>
    <w:rsid w:val="00365D2E"/>
    <w:rsid w:val="00365DBB"/>
    <w:rsid w:val="00365DF5"/>
    <w:rsid w:val="003668A0"/>
    <w:rsid w:val="0036695E"/>
    <w:rsid w:val="003669FB"/>
    <w:rsid w:val="00366EE1"/>
    <w:rsid w:val="003673E6"/>
    <w:rsid w:val="003675F0"/>
    <w:rsid w:val="003678EA"/>
    <w:rsid w:val="00367A90"/>
    <w:rsid w:val="00370372"/>
    <w:rsid w:val="003703EC"/>
    <w:rsid w:val="003706D5"/>
    <w:rsid w:val="00370769"/>
    <w:rsid w:val="00370963"/>
    <w:rsid w:val="00371009"/>
    <w:rsid w:val="00371252"/>
    <w:rsid w:val="0037191D"/>
    <w:rsid w:val="00371AED"/>
    <w:rsid w:val="00371B9A"/>
    <w:rsid w:val="00371BC4"/>
    <w:rsid w:val="00371EEB"/>
    <w:rsid w:val="003722E8"/>
    <w:rsid w:val="00372601"/>
    <w:rsid w:val="00372733"/>
    <w:rsid w:val="0037280D"/>
    <w:rsid w:val="003728E1"/>
    <w:rsid w:val="00372C4C"/>
    <w:rsid w:val="0037300F"/>
    <w:rsid w:val="00373198"/>
    <w:rsid w:val="00373B9D"/>
    <w:rsid w:val="0037445B"/>
    <w:rsid w:val="003745D0"/>
    <w:rsid w:val="0037468A"/>
    <w:rsid w:val="0037492D"/>
    <w:rsid w:val="00375613"/>
    <w:rsid w:val="00375B8A"/>
    <w:rsid w:val="00375D5B"/>
    <w:rsid w:val="00375E04"/>
    <w:rsid w:val="00376339"/>
    <w:rsid w:val="0037642E"/>
    <w:rsid w:val="003765F7"/>
    <w:rsid w:val="00376AF3"/>
    <w:rsid w:val="00376CFA"/>
    <w:rsid w:val="003770CC"/>
    <w:rsid w:val="00377D36"/>
    <w:rsid w:val="00377D45"/>
    <w:rsid w:val="003801DC"/>
    <w:rsid w:val="00380B4E"/>
    <w:rsid w:val="00380E15"/>
    <w:rsid w:val="00380F51"/>
    <w:rsid w:val="003811BA"/>
    <w:rsid w:val="00381993"/>
    <w:rsid w:val="00381AC4"/>
    <w:rsid w:val="00381B3A"/>
    <w:rsid w:val="00381F75"/>
    <w:rsid w:val="003820D0"/>
    <w:rsid w:val="0038248C"/>
    <w:rsid w:val="00382980"/>
    <w:rsid w:val="00382D1F"/>
    <w:rsid w:val="003832B6"/>
    <w:rsid w:val="00383E24"/>
    <w:rsid w:val="00383F72"/>
    <w:rsid w:val="003840B7"/>
    <w:rsid w:val="003844E0"/>
    <w:rsid w:val="003845BF"/>
    <w:rsid w:val="00384837"/>
    <w:rsid w:val="003851A1"/>
    <w:rsid w:val="0038549F"/>
    <w:rsid w:val="003856C6"/>
    <w:rsid w:val="0038576D"/>
    <w:rsid w:val="00385BDE"/>
    <w:rsid w:val="00385DD1"/>
    <w:rsid w:val="00385E50"/>
    <w:rsid w:val="0038685F"/>
    <w:rsid w:val="003868CB"/>
    <w:rsid w:val="00386B43"/>
    <w:rsid w:val="00386CBA"/>
    <w:rsid w:val="00386FC4"/>
    <w:rsid w:val="0038728C"/>
    <w:rsid w:val="00387677"/>
    <w:rsid w:val="00387F7C"/>
    <w:rsid w:val="00391901"/>
    <w:rsid w:val="00391AC1"/>
    <w:rsid w:val="00391B2B"/>
    <w:rsid w:val="00391B84"/>
    <w:rsid w:val="00391E1C"/>
    <w:rsid w:val="00391E1F"/>
    <w:rsid w:val="003923E6"/>
    <w:rsid w:val="003929A4"/>
    <w:rsid w:val="00393FE9"/>
    <w:rsid w:val="0039476B"/>
    <w:rsid w:val="003949BE"/>
    <w:rsid w:val="00394B29"/>
    <w:rsid w:val="00394E45"/>
    <w:rsid w:val="00395146"/>
    <w:rsid w:val="00395205"/>
    <w:rsid w:val="00396113"/>
    <w:rsid w:val="0039627D"/>
    <w:rsid w:val="00396980"/>
    <w:rsid w:val="003969C2"/>
    <w:rsid w:val="00396C60"/>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719"/>
    <w:rsid w:val="003A19D6"/>
    <w:rsid w:val="003A2CEE"/>
    <w:rsid w:val="003A2D4E"/>
    <w:rsid w:val="003A314E"/>
    <w:rsid w:val="003A3717"/>
    <w:rsid w:val="003A393F"/>
    <w:rsid w:val="003A3999"/>
    <w:rsid w:val="003A4462"/>
    <w:rsid w:val="003A4497"/>
    <w:rsid w:val="003A4663"/>
    <w:rsid w:val="003A4BFF"/>
    <w:rsid w:val="003A4F4E"/>
    <w:rsid w:val="003A5CFA"/>
    <w:rsid w:val="003A5D90"/>
    <w:rsid w:val="003A6084"/>
    <w:rsid w:val="003A62DA"/>
    <w:rsid w:val="003A6366"/>
    <w:rsid w:val="003A7A69"/>
    <w:rsid w:val="003A7B14"/>
    <w:rsid w:val="003A7B7B"/>
    <w:rsid w:val="003A7D2A"/>
    <w:rsid w:val="003A7D38"/>
    <w:rsid w:val="003A7ED5"/>
    <w:rsid w:val="003B08CD"/>
    <w:rsid w:val="003B0C92"/>
    <w:rsid w:val="003B0E1D"/>
    <w:rsid w:val="003B0F13"/>
    <w:rsid w:val="003B0F7B"/>
    <w:rsid w:val="003B13E9"/>
    <w:rsid w:val="003B14FD"/>
    <w:rsid w:val="003B1539"/>
    <w:rsid w:val="003B16D4"/>
    <w:rsid w:val="003B1BB7"/>
    <w:rsid w:val="003B1E0D"/>
    <w:rsid w:val="003B2427"/>
    <w:rsid w:val="003B28A8"/>
    <w:rsid w:val="003B2904"/>
    <w:rsid w:val="003B2D7D"/>
    <w:rsid w:val="003B2F6C"/>
    <w:rsid w:val="003B3324"/>
    <w:rsid w:val="003B3E12"/>
    <w:rsid w:val="003B4696"/>
    <w:rsid w:val="003B4859"/>
    <w:rsid w:val="003B4D81"/>
    <w:rsid w:val="003B4E65"/>
    <w:rsid w:val="003B4EB6"/>
    <w:rsid w:val="003B5177"/>
    <w:rsid w:val="003B5200"/>
    <w:rsid w:val="003B53E7"/>
    <w:rsid w:val="003B5482"/>
    <w:rsid w:val="003B5663"/>
    <w:rsid w:val="003B59DC"/>
    <w:rsid w:val="003B6031"/>
    <w:rsid w:val="003B6178"/>
    <w:rsid w:val="003B64BF"/>
    <w:rsid w:val="003B6BF1"/>
    <w:rsid w:val="003B6C19"/>
    <w:rsid w:val="003B6E81"/>
    <w:rsid w:val="003B7661"/>
    <w:rsid w:val="003B76F3"/>
    <w:rsid w:val="003B7E05"/>
    <w:rsid w:val="003C0456"/>
    <w:rsid w:val="003C052A"/>
    <w:rsid w:val="003C05DF"/>
    <w:rsid w:val="003C0AE9"/>
    <w:rsid w:val="003C131E"/>
    <w:rsid w:val="003C166B"/>
    <w:rsid w:val="003C19A5"/>
    <w:rsid w:val="003C1C85"/>
    <w:rsid w:val="003C1F69"/>
    <w:rsid w:val="003C2010"/>
    <w:rsid w:val="003C20A7"/>
    <w:rsid w:val="003C2323"/>
    <w:rsid w:val="003C2BA9"/>
    <w:rsid w:val="003C2C59"/>
    <w:rsid w:val="003C3895"/>
    <w:rsid w:val="003C3A2A"/>
    <w:rsid w:val="003C3CC7"/>
    <w:rsid w:val="003C3E7F"/>
    <w:rsid w:val="003C4482"/>
    <w:rsid w:val="003C504B"/>
    <w:rsid w:val="003C5260"/>
    <w:rsid w:val="003C5936"/>
    <w:rsid w:val="003C607D"/>
    <w:rsid w:val="003C612F"/>
    <w:rsid w:val="003C6468"/>
    <w:rsid w:val="003C676E"/>
    <w:rsid w:val="003C7B28"/>
    <w:rsid w:val="003D0AF6"/>
    <w:rsid w:val="003D0BFD"/>
    <w:rsid w:val="003D115F"/>
    <w:rsid w:val="003D11D9"/>
    <w:rsid w:val="003D1E5A"/>
    <w:rsid w:val="003D2939"/>
    <w:rsid w:val="003D2F40"/>
    <w:rsid w:val="003D33AE"/>
    <w:rsid w:val="003D3429"/>
    <w:rsid w:val="003D3990"/>
    <w:rsid w:val="003D3C6E"/>
    <w:rsid w:val="003D3FA7"/>
    <w:rsid w:val="003D42CB"/>
    <w:rsid w:val="003D43E2"/>
    <w:rsid w:val="003D4572"/>
    <w:rsid w:val="003D4B62"/>
    <w:rsid w:val="003D4E9A"/>
    <w:rsid w:val="003D51F4"/>
    <w:rsid w:val="003D5345"/>
    <w:rsid w:val="003D5811"/>
    <w:rsid w:val="003D58C5"/>
    <w:rsid w:val="003D6316"/>
    <w:rsid w:val="003D6638"/>
    <w:rsid w:val="003D7786"/>
    <w:rsid w:val="003D7FC4"/>
    <w:rsid w:val="003E007A"/>
    <w:rsid w:val="003E0354"/>
    <w:rsid w:val="003E08DC"/>
    <w:rsid w:val="003E10A8"/>
    <w:rsid w:val="003E127A"/>
    <w:rsid w:val="003E15F9"/>
    <w:rsid w:val="003E184A"/>
    <w:rsid w:val="003E1887"/>
    <w:rsid w:val="003E18C9"/>
    <w:rsid w:val="003E19E2"/>
    <w:rsid w:val="003E1EF3"/>
    <w:rsid w:val="003E2538"/>
    <w:rsid w:val="003E2784"/>
    <w:rsid w:val="003E278F"/>
    <w:rsid w:val="003E2E55"/>
    <w:rsid w:val="003E2F58"/>
    <w:rsid w:val="003E311C"/>
    <w:rsid w:val="003E39F9"/>
    <w:rsid w:val="003E3A5D"/>
    <w:rsid w:val="003E3D4A"/>
    <w:rsid w:val="003E4296"/>
    <w:rsid w:val="003E43C8"/>
    <w:rsid w:val="003E4B5F"/>
    <w:rsid w:val="003E530F"/>
    <w:rsid w:val="003E5A33"/>
    <w:rsid w:val="003E65FD"/>
    <w:rsid w:val="003E69CF"/>
    <w:rsid w:val="003E6DA0"/>
    <w:rsid w:val="003E72DA"/>
    <w:rsid w:val="003E7C3C"/>
    <w:rsid w:val="003F031C"/>
    <w:rsid w:val="003F04BB"/>
    <w:rsid w:val="003F0EED"/>
    <w:rsid w:val="003F0FBA"/>
    <w:rsid w:val="003F10AE"/>
    <w:rsid w:val="003F1622"/>
    <w:rsid w:val="003F1AA3"/>
    <w:rsid w:val="003F25EF"/>
    <w:rsid w:val="003F291F"/>
    <w:rsid w:val="003F2A3E"/>
    <w:rsid w:val="003F3277"/>
    <w:rsid w:val="003F33C5"/>
    <w:rsid w:val="003F39AC"/>
    <w:rsid w:val="003F3BE5"/>
    <w:rsid w:val="003F3EC5"/>
    <w:rsid w:val="003F49D2"/>
    <w:rsid w:val="003F4C79"/>
    <w:rsid w:val="003F4E06"/>
    <w:rsid w:val="003F4FD7"/>
    <w:rsid w:val="003F58F4"/>
    <w:rsid w:val="003F5990"/>
    <w:rsid w:val="003F5E3F"/>
    <w:rsid w:val="003F6152"/>
    <w:rsid w:val="003F67CB"/>
    <w:rsid w:val="003F759C"/>
    <w:rsid w:val="00400688"/>
    <w:rsid w:val="004018B0"/>
    <w:rsid w:val="00401CD0"/>
    <w:rsid w:val="00401D91"/>
    <w:rsid w:val="00402434"/>
    <w:rsid w:val="00402608"/>
    <w:rsid w:val="00403542"/>
    <w:rsid w:val="004036AC"/>
    <w:rsid w:val="00403A15"/>
    <w:rsid w:val="00403AD6"/>
    <w:rsid w:val="004042E5"/>
    <w:rsid w:val="00405461"/>
    <w:rsid w:val="00405477"/>
    <w:rsid w:val="0040566B"/>
    <w:rsid w:val="004058B9"/>
    <w:rsid w:val="004067F1"/>
    <w:rsid w:val="0040689D"/>
    <w:rsid w:val="00406A50"/>
    <w:rsid w:val="00406C91"/>
    <w:rsid w:val="00407363"/>
    <w:rsid w:val="0041007A"/>
    <w:rsid w:val="00410179"/>
    <w:rsid w:val="00410441"/>
    <w:rsid w:val="0041074C"/>
    <w:rsid w:val="0041078F"/>
    <w:rsid w:val="00410B78"/>
    <w:rsid w:val="0041102C"/>
    <w:rsid w:val="00411154"/>
    <w:rsid w:val="004114C9"/>
    <w:rsid w:val="00411D31"/>
    <w:rsid w:val="00412BDE"/>
    <w:rsid w:val="0041398B"/>
    <w:rsid w:val="00413E0A"/>
    <w:rsid w:val="00414601"/>
    <w:rsid w:val="004146E5"/>
    <w:rsid w:val="00414828"/>
    <w:rsid w:val="00414C5A"/>
    <w:rsid w:val="00414D14"/>
    <w:rsid w:val="00414DE0"/>
    <w:rsid w:val="004150FE"/>
    <w:rsid w:val="004158A0"/>
    <w:rsid w:val="00415D69"/>
    <w:rsid w:val="00415DEC"/>
    <w:rsid w:val="00415FAD"/>
    <w:rsid w:val="0041600F"/>
    <w:rsid w:val="0041619C"/>
    <w:rsid w:val="00417049"/>
    <w:rsid w:val="00417088"/>
    <w:rsid w:val="0041747C"/>
    <w:rsid w:val="00417701"/>
    <w:rsid w:val="00417C68"/>
    <w:rsid w:val="00417D7A"/>
    <w:rsid w:val="004203AA"/>
    <w:rsid w:val="00420948"/>
    <w:rsid w:val="00420991"/>
    <w:rsid w:val="00420BA6"/>
    <w:rsid w:val="00420E13"/>
    <w:rsid w:val="004210D7"/>
    <w:rsid w:val="0042121D"/>
    <w:rsid w:val="0042181C"/>
    <w:rsid w:val="004219E8"/>
    <w:rsid w:val="00421FAA"/>
    <w:rsid w:val="00422508"/>
    <w:rsid w:val="0042267A"/>
    <w:rsid w:val="00422BE1"/>
    <w:rsid w:val="00422C59"/>
    <w:rsid w:val="00422CFC"/>
    <w:rsid w:val="00423E35"/>
    <w:rsid w:val="0042412E"/>
    <w:rsid w:val="0042472D"/>
    <w:rsid w:val="0042505E"/>
    <w:rsid w:val="00425115"/>
    <w:rsid w:val="00425185"/>
    <w:rsid w:val="004257A7"/>
    <w:rsid w:val="0042580C"/>
    <w:rsid w:val="00425891"/>
    <w:rsid w:val="00425A22"/>
    <w:rsid w:val="00425EF9"/>
    <w:rsid w:val="00426396"/>
    <w:rsid w:val="0042663A"/>
    <w:rsid w:val="004270B5"/>
    <w:rsid w:val="00427843"/>
    <w:rsid w:val="0043009A"/>
    <w:rsid w:val="004303BB"/>
    <w:rsid w:val="004305C5"/>
    <w:rsid w:val="00430C05"/>
    <w:rsid w:val="0043115F"/>
    <w:rsid w:val="004318F9"/>
    <w:rsid w:val="00431BB8"/>
    <w:rsid w:val="004327A9"/>
    <w:rsid w:val="004329E5"/>
    <w:rsid w:val="00432B9E"/>
    <w:rsid w:val="00432F84"/>
    <w:rsid w:val="0043334B"/>
    <w:rsid w:val="0043362A"/>
    <w:rsid w:val="00434129"/>
    <w:rsid w:val="00434374"/>
    <w:rsid w:val="00434476"/>
    <w:rsid w:val="00434A4A"/>
    <w:rsid w:val="00434E37"/>
    <w:rsid w:val="00434E4F"/>
    <w:rsid w:val="00435197"/>
    <w:rsid w:val="0043557B"/>
    <w:rsid w:val="0043561C"/>
    <w:rsid w:val="0043678E"/>
    <w:rsid w:val="0043699B"/>
    <w:rsid w:val="00436DF9"/>
    <w:rsid w:val="00437005"/>
    <w:rsid w:val="00437B57"/>
    <w:rsid w:val="00440068"/>
    <w:rsid w:val="004404AA"/>
    <w:rsid w:val="004410BC"/>
    <w:rsid w:val="00441164"/>
    <w:rsid w:val="004414D3"/>
    <w:rsid w:val="00441A6C"/>
    <w:rsid w:val="004420F9"/>
    <w:rsid w:val="004422EC"/>
    <w:rsid w:val="0044249D"/>
    <w:rsid w:val="004426AD"/>
    <w:rsid w:val="00442A0F"/>
    <w:rsid w:val="004435D7"/>
    <w:rsid w:val="004436C4"/>
    <w:rsid w:val="0044410A"/>
    <w:rsid w:val="00444188"/>
    <w:rsid w:val="00444473"/>
    <w:rsid w:val="0044482D"/>
    <w:rsid w:val="00444927"/>
    <w:rsid w:val="004449A6"/>
    <w:rsid w:val="00444FEA"/>
    <w:rsid w:val="0044536C"/>
    <w:rsid w:val="004458AB"/>
    <w:rsid w:val="00445C9F"/>
    <w:rsid w:val="00445F4E"/>
    <w:rsid w:val="004463E7"/>
    <w:rsid w:val="00446599"/>
    <w:rsid w:val="0044672C"/>
    <w:rsid w:val="00446D64"/>
    <w:rsid w:val="00446DDF"/>
    <w:rsid w:val="004501E9"/>
    <w:rsid w:val="004503A1"/>
    <w:rsid w:val="00450674"/>
    <w:rsid w:val="00450E10"/>
    <w:rsid w:val="00450F45"/>
    <w:rsid w:val="0045197A"/>
    <w:rsid w:val="0045201A"/>
    <w:rsid w:val="00452687"/>
    <w:rsid w:val="00453DB3"/>
    <w:rsid w:val="00453DC1"/>
    <w:rsid w:val="00453FCD"/>
    <w:rsid w:val="00454A21"/>
    <w:rsid w:val="00454B8F"/>
    <w:rsid w:val="00454C05"/>
    <w:rsid w:val="00454C20"/>
    <w:rsid w:val="0045546F"/>
    <w:rsid w:val="004558FA"/>
    <w:rsid w:val="004559C2"/>
    <w:rsid w:val="00455CAE"/>
    <w:rsid w:val="00455E9B"/>
    <w:rsid w:val="00456D15"/>
    <w:rsid w:val="0045725B"/>
    <w:rsid w:val="004578E3"/>
    <w:rsid w:val="00457CF5"/>
    <w:rsid w:val="004602D4"/>
    <w:rsid w:val="0046031D"/>
    <w:rsid w:val="004608BA"/>
    <w:rsid w:val="00460A4B"/>
    <w:rsid w:val="00460AA8"/>
    <w:rsid w:val="00461252"/>
    <w:rsid w:val="0046159B"/>
    <w:rsid w:val="00461A7C"/>
    <w:rsid w:val="00461A84"/>
    <w:rsid w:val="00461E66"/>
    <w:rsid w:val="00462286"/>
    <w:rsid w:val="00462C80"/>
    <w:rsid w:val="00462D87"/>
    <w:rsid w:val="00462D95"/>
    <w:rsid w:val="00462F25"/>
    <w:rsid w:val="004631A1"/>
    <w:rsid w:val="0046330C"/>
    <w:rsid w:val="00463393"/>
    <w:rsid w:val="00463717"/>
    <w:rsid w:val="00463754"/>
    <w:rsid w:val="004637CD"/>
    <w:rsid w:val="00463EC9"/>
    <w:rsid w:val="004646B4"/>
    <w:rsid w:val="004653AD"/>
    <w:rsid w:val="00465498"/>
    <w:rsid w:val="00465A3C"/>
    <w:rsid w:val="00465A7C"/>
    <w:rsid w:val="00465F55"/>
    <w:rsid w:val="00466093"/>
    <w:rsid w:val="0046615C"/>
    <w:rsid w:val="004661CB"/>
    <w:rsid w:val="0046635D"/>
    <w:rsid w:val="004666B2"/>
    <w:rsid w:val="00466742"/>
    <w:rsid w:val="00466A2E"/>
    <w:rsid w:val="00466AE4"/>
    <w:rsid w:val="00467370"/>
    <w:rsid w:val="0046756D"/>
    <w:rsid w:val="00467B68"/>
    <w:rsid w:val="00467D8B"/>
    <w:rsid w:val="0047122D"/>
    <w:rsid w:val="00471361"/>
    <w:rsid w:val="004716CB"/>
    <w:rsid w:val="00471A12"/>
    <w:rsid w:val="00472834"/>
    <w:rsid w:val="0047291A"/>
    <w:rsid w:val="00472ADA"/>
    <w:rsid w:val="00472AF9"/>
    <w:rsid w:val="00472CA4"/>
    <w:rsid w:val="00472E87"/>
    <w:rsid w:val="004738BC"/>
    <w:rsid w:val="004738E8"/>
    <w:rsid w:val="00473E89"/>
    <w:rsid w:val="00474322"/>
    <w:rsid w:val="0047443D"/>
    <w:rsid w:val="00474620"/>
    <w:rsid w:val="004746A9"/>
    <w:rsid w:val="004746DA"/>
    <w:rsid w:val="00474A03"/>
    <w:rsid w:val="004751FE"/>
    <w:rsid w:val="00475371"/>
    <w:rsid w:val="0047548C"/>
    <w:rsid w:val="004754C9"/>
    <w:rsid w:val="00475FB6"/>
    <w:rsid w:val="00476446"/>
    <w:rsid w:val="00476D81"/>
    <w:rsid w:val="0047762B"/>
    <w:rsid w:val="004779AB"/>
    <w:rsid w:val="00477B96"/>
    <w:rsid w:val="00477C52"/>
    <w:rsid w:val="00477CA1"/>
    <w:rsid w:val="00477FA2"/>
    <w:rsid w:val="004801BA"/>
    <w:rsid w:val="0048028B"/>
    <w:rsid w:val="00480316"/>
    <w:rsid w:val="00481382"/>
    <w:rsid w:val="00481BAB"/>
    <w:rsid w:val="00481C87"/>
    <w:rsid w:val="004828B4"/>
    <w:rsid w:val="00482F94"/>
    <w:rsid w:val="00483314"/>
    <w:rsid w:val="00483495"/>
    <w:rsid w:val="004836CB"/>
    <w:rsid w:val="004840B7"/>
    <w:rsid w:val="00485352"/>
    <w:rsid w:val="004855CA"/>
    <w:rsid w:val="00485B74"/>
    <w:rsid w:val="0048639E"/>
    <w:rsid w:val="004864A9"/>
    <w:rsid w:val="004867DA"/>
    <w:rsid w:val="00486EA4"/>
    <w:rsid w:val="00486FCB"/>
    <w:rsid w:val="004876C2"/>
    <w:rsid w:val="004878B6"/>
    <w:rsid w:val="00487B62"/>
    <w:rsid w:val="00487C76"/>
    <w:rsid w:val="00487F1E"/>
    <w:rsid w:val="004902C0"/>
    <w:rsid w:val="004903DA"/>
    <w:rsid w:val="00490831"/>
    <w:rsid w:val="00491095"/>
    <w:rsid w:val="004918B1"/>
    <w:rsid w:val="00491C5E"/>
    <w:rsid w:val="00492400"/>
    <w:rsid w:val="0049269C"/>
    <w:rsid w:val="00492B8D"/>
    <w:rsid w:val="00492C56"/>
    <w:rsid w:val="00492F1A"/>
    <w:rsid w:val="0049304E"/>
    <w:rsid w:val="00493782"/>
    <w:rsid w:val="004939A6"/>
    <w:rsid w:val="00493CF5"/>
    <w:rsid w:val="00493E2D"/>
    <w:rsid w:val="00494B2E"/>
    <w:rsid w:val="004952A2"/>
    <w:rsid w:val="0049590C"/>
    <w:rsid w:val="00495CBB"/>
    <w:rsid w:val="00495D9A"/>
    <w:rsid w:val="00496145"/>
    <w:rsid w:val="004966E0"/>
    <w:rsid w:val="00496FD6"/>
    <w:rsid w:val="00497550"/>
    <w:rsid w:val="0049793F"/>
    <w:rsid w:val="00497D1D"/>
    <w:rsid w:val="004A0487"/>
    <w:rsid w:val="004A05C8"/>
    <w:rsid w:val="004A0ECC"/>
    <w:rsid w:val="004A1163"/>
    <w:rsid w:val="004A1246"/>
    <w:rsid w:val="004A17FA"/>
    <w:rsid w:val="004A1932"/>
    <w:rsid w:val="004A1DAD"/>
    <w:rsid w:val="004A215B"/>
    <w:rsid w:val="004A23E5"/>
    <w:rsid w:val="004A244E"/>
    <w:rsid w:val="004A25D9"/>
    <w:rsid w:val="004A270B"/>
    <w:rsid w:val="004A29C7"/>
    <w:rsid w:val="004A2CD5"/>
    <w:rsid w:val="004A321F"/>
    <w:rsid w:val="004A3429"/>
    <w:rsid w:val="004A3A41"/>
    <w:rsid w:val="004A3F18"/>
    <w:rsid w:val="004A45FD"/>
    <w:rsid w:val="004A471D"/>
    <w:rsid w:val="004A493E"/>
    <w:rsid w:val="004A4D06"/>
    <w:rsid w:val="004A4FC8"/>
    <w:rsid w:val="004A5232"/>
    <w:rsid w:val="004A55BE"/>
    <w:rsid w:val="004A657D"/>
    <w:rsid w:val="004A664D"/>
    <w:rsid w:val="004A6825"/>
    <w:rsid w:val="004A6D5C"/>
    <w:rsid w:val="004A723F"/>
    <w:rsid w:val="004A76F0"/>
    <w:rsid w:val="004A7922"/>
    <w:rsid w:val="004B0033"/>
    <w:rsid w:val="004B0A5F"/>
    <w:rsid w:val="004B11AD"/>
    <w:rsid w:val="004B140D"/>
    <w:rsid w:val="004B15CE"/>
    <w:rsid w:val="004B1687"/>
    <w:rsid w:val="004B20E2"/>
    <w:rsid w:val="004B2630"/>
    <w:rsid w:val="004B2918"/>
    <w:rsid w:val="004B4A60"/>
    <w:rsid w:val="004B50E3"/>
    <w:rsid w:val="004B51A3"/>
    <w:rsid w:val="004B534E"/>
    <w:rsid w:val="004B5551"/>
    <w:rsid w:val="004B59CB"/>
    <w:rsid w:val="004B64D4"/>
    <w:rsid w:val="004B6901"/>
    <w:rsid w:val="004B6F05"/>
    <w:rsid w:val="004B702B"/>
    <w:rsid w:val="004B768B"/>
    <w:rsid w:val="004B7AD9"/>
    <w:rsid w:val="004C0244"/>
    <w:rsid w:val="004C0712"/>
    <w:rsid w:val="004C0EC9"/>
    <w:rsid w:val="004C0F0D"/>
    <w:rsid w:val="004C142D"/>
    <w:rsid w:val="004C175A"/>
    <w:rsid w:val="004C1838"/>
    <w:rsid w:val="004C19D2"/>
    <w:rsid w:val="004C1AA7"/>
    <w:rsid w:val="004C1CE3"/>
    <w:rsid w:val="004C2977"/>
    <w:rsid w:val="004C2C95"/>
    <w:rsid w:val="004C381C"/>
    <w:rsid w:val="004C3FD7"/>
    <w:rsid w:val="004C4648"/>
    <w:rsid w:val="004C48E5"/>
    <w:rsid w:val="004C4971"/>
    <w:rsid w:val="004C57F3"/>
    <w:rsid w:val="004C5AA1"/>
    <w:rsid w:val="004C5BBD"/>
    <w:rsid w:val="004C5D10"/>
    <w:rsid w:val="004C600D"/>
    <w:rsid w:val="004C6374"/>
    <w:rsid w:val="004C64D0"/>
    <w:rsid w:val="004C6641"/>
    <w:rsid w:val="004C683A"/>
    <w:rsid w:val="004C6B4F"/>
    <w:rsid w:val="004C6D63"/>
    <w:rsid w:val="004C6DF5"/>
    <w:rsid w:val="004C79D9"/>
    <w:rsid w:val="004D0705"/>
    <w:rsid w:val="004D0EBA"/>
    <w:rsid w:val="004D14E1"/>
    <w:rsid w:val="004D199D"/>
    <w:rsid w:val="004D1B7D"/>
    <w:rsid w:val="004D1E35"/>
    <w:rsid w:val="004D21E5"/>
    <w:rsid w:val="004D2237"/>
    <w:rsid w:val="004D259F"/>
    <w:rsid w:val="004D25E2"/>
    <w:rsid w:val="004D26A0"/>
    <w:rsid w:val="004D3A17"/>
    <w:rsid w:val="004D3E36"/>
    <w:rsid w:val="004D4588"/>
    <w:rsid w:val="004D4AC2"/>
    <w:rsid w:val="004D5038"/>
    <w:rsid w:val="004D50DC"/>
    <w:rsid w:val="004D51D4"/>
    <w:rsid w:val="004D5241"/>
    <w:rsid w:val="004D5D9E"/>
    <w:rsid w:val="004D5EBD"/>
    <w:rsid w:val="004D6314"/>
    <w:rsid w:val="004D68BE"/>
    <w:rsid w:val="004D68ED"/>
    <w:rsid w:val="004D6A67"/>
    <w:rsid w:val="004D7312"/>
    <w:rsid w:val="004D7420"/>
    <w:rsid w:val="004E054D"/>
    <w:rsid w:val="004E06B0"/>
    <w:rsid w:val="004E07DA"/>
    <w:rsid w:val="004E08E7"/>
    <w:rsid w:val="004E111B"/>
    <w:rsid w:val="004E1454"/>
    <w:rsid w:val="004E2459"/>
    <w:rsid w:val="004E26C8"/>
    <w:rsid w:val="004E2822"/>
    <w:rsid w:val="004E2921"/>
    <w:rsid w:val="004E2BC5"/>
    <w:rsid w:val="004E305F"/>
    <w:rsid w:val="004E3834"/>
    <w:rsid w:val="004E3C85"/>
    <w:rsid w:val="004E3FB6"/>
    <w:rsid w:val="004E41AF"/>
    <w:rsid w:val="004E4277"/>
    <w:rsid w:val="004E46EE"/>
    <w:rsid w:val="004E4F95"/>
    <w:rsid w:val="004E53FC"/>
    <w:rsid w:val="004E560C"/>
    <w:rsid w:val="004E578F"/>
    <w:rsid w:val="004E5CB9"/>
    <w:rsid w:val="004E5CF5"/>
    <w:rsid w:val="004E650B"/>
    <w:rsid w:val="004E6BC9"/>
    <w:rsid w:val="004E6CBA"/>
    <w:rsid w:val="004E6E6A"/>
    <w:rsid w:val="004E73E8"/>
    <w:rsid w:val="004E7540"/>
    <w:rsid w:val="004E7FC0"/>
    <w:rsid w:val="004F0148"/>
    <w:rsid w:val="004F04C9"/>
    <w:rsid w:val="004F0564"/>
    <w:rsid w:val="004F056A"/>
    <w:rsid w:val="004F05B8"/>
    <w:rsid w:val="004F083D"/>
    <w:rsid w:val="004F0DF9"/>
    <w:rsid w:val="004F1A7E"/>
    <w:rsid w:val="004F2523"/>
    <w:rsid w:val="004F2715"/>
    <w:rsid w:val="004F2A1D"/>
    <w:rsid w:val="004F2F35"/>
    <w:rsid w:val="004F34AC"/>
    <w:rsid w:val="004F3846"/>
    <w:rsid w:val="004F3BE6"/>
    <w:rsid w:val="004F3BF4"/>
    <w:rsid w:val="004F3D20"/>
    <w:rsid w:val="004F40AD"/>
    <w:rsid w:val="004F41C8"/>
    <w:rsid w:val="004F4978"/>
    <w:rsid w:val="004F4F47"/>
    <w:rsid w:val="004F56ED"/>
    <w:rsid w:val="004F588D"/>
    <w:rsid w:val="004F5D56"/>
    <w:rsid w:val="004F5F23"/>
    <w:rsid w:val="004F5FA0"/>
    <w:rsid w:val="004F6045"/>
    <w:rsid w:val="004F6147"/>
    <w:rsid w:val="004F614F"/>
    <w:rsid w:val="004F6782"/>
    <w:rsid w:val="004F69FE"/>
    <w:rsid w:val="004F6ED6"/>
    <w:rsid w:val="004F6EE4"/>
    <w:rsid w:val="004F752A"/>
    <w:rsid w:val="004F781C"/>
    <w:rsid w:val="004F7918"/>
    <w:rsid w:val="004F7F31"/>
    <w:rsid w:val="0050098F"/>
    <w:rsid w:val="00500CC6"/>
    <w:rsid w:val="005017AF"/>
    <w:rsid w:val="00501A5D"/>
    <w:rsid w:val="00502190"/>
    <w:rsid w:val="005022AE"/>
    <w:rsid w:val="005034E2"/>
    <w:rsid w:val="00503797"/>
    <w:rsid w:val="005038CB"/>
    <w:rsid w:val="0050398F"/>
    <w:rsid w:val="005039EE"/>
    <w:rsid w:val="00503F6D"/>
    <w:rsid w:val="00504CF2"/>
    <w:rsid w:val="00505714"/>
    <w:rsid w:val="00505B35"/>
    <w:rsid w:val="0050634D"/>
    <w:rsid w:val="00506441"/>
    <w:rsid w:val="005067EB"/>
    <w:rsid w:val="00506B64"/>
    <w:rsid w:val="00507A0C"/>
    <w:rsid w:val="00507A41"/>
    <w:rsid w:val="00510162"/>
    <w:rsid w:val="005106A0"/>
    <w:rsid w:val="00510A77"/>
    <w:rsid w:val="00510B78"/>
    <w:rsid w:val="005111E1"/>
    <w:rsid w:val="0051126D"/>
    <w:rsid w:val="00511586"/>
    <w:rsid w:val="0051227C"/>
    <w:rsid w:val="0051254F"/>
    <w:rsid w:val="005125B6"/>
    <w:rsid w:val="005129F7"/>
    <w:rsid w:val="005130A1"/>
    <w:rsid w:val="005133C9"/>
    <w:rsid w:val="00513536"/>
    <w:rsid w:val="0051367A"/>
    <w:rsid w:val="00513E25"/>
    <w:rsid w:val="0051430B"/>
    <w:rsid w:val="005144B5"/>
    <w:rsid w:val="00514710"/>
    <w:rsid w:val="0051524A"/>
    <w:rsid w:val="0051601C"/>
    <w:rsid w:val="005162F1"/>
    <w:rsid w:val="00516603"/>
    <w:rsid w:val="0051788F"/>
    <w:rsid w:val="005179CA"/>
    <w:rsid w:val="0052095A"/>
    <w:rsid w:val="00520E0A"/>
    <w:rsid w:val="0052125B"/>
    <w:rsid w:val="00521565"/>
    <w:rsid w:val="005219BF"/>
    <w:rsid w:val="005221B4"/>
    <w:rsid w:val="005224A4"/>
    <w:rsid w:val="00522B66"/>
    <w:rsid w:val="00523055"/>
    <w:rsid w:val="005232C3"/>
    <w:rsid w:val="005234BC"/>
    <w:rsid w:val="00523655"/>
    <w:rsid w:val="00523D53"/>
    <w:rsid w:val="00523D66"/>
    <w:rsid w:val="00523F12"/>
    <w:rsid w:val="00523FCF"/>
    <w:rsid w:val="0052446A"/>
    <w:rsid w:val="00524490"/>
    <w:rsid w:val="00524A48"/>
    <w:rsid w:val="00525285"/>
    <w:rsid w:val="0052553B"/>
    <w:rsid w:val="00525A6A"/>
    <w:rsid w:val="00525BBB"/>
    <w:rsid w:val="00526118"/>
    <w:rsid w:val="00526338"/>
    <w:rsid w:val="005263EB"/>
    <w:rsid w:val="0052640C"/>
    <w:rsid w:val="0052699C"/>
    <w:rsid w:val="00526CF2"/>
    <w:rsid w:val="00526F06"/>
    <w:rsid w:val="0052700A"/>
    <w:rsid w:val="005275E5"/>
    <w:rsid w:val="00527868"/>
    <w:rsid w:val="00527A5E"/>
    <w:rsid w:val="00527BA9"/>
    <w:rsid w:val="00530166"/>
    <w:rsid w:val="00530771"/>
    <w:rsid w:val="00530783"/>
    <w:rsid w:val="00530833"/>
    <w:rsid w:val="00530DE9"/>
    <w:rsid w:val="00530EBF"/>
    <w:rsid w:val="00531469"/>
    <w:rsid w:val="005314FB"/>
    <w:rsid w:val="0053194A"/>
    <w:rsid w:val="005320EA"/>
    <w:rsid w:val="00533561"/>
    <w:rsid w:val="0053578C"/>
    <w:rsid w:val="00535955"/>
    <w:rsid w:val="00535DC9"/>
    <w:rsid w:val="0053625D"/>
    <w:rsid w:val="00536F59"/>
    <w:rsid w:val="00537060"/>
    <w:rsid w:val="005374C1"/>
    <w:rsid w:val="00537507"/>
    <w:rsid w:val="00537A32"/>
    <w:rsid w:val="0054077E"/>
    <w:rsid w:val="00540889"/>
    <w:rsid w:val="00540997"/>
    <w:rsid w:val="005412F3"/>
    <w:rsid w:val="00541413"/>
    <w:rsid w:val="005414EF"/>
    <w:rsid w:val="005420CD"/>
    <w:rsid w:val="00542366"/>
    <w:rsid w:val="005424AA"/>
    <w:rsid w:val="005425AD"/>
    <w:rsid w:val="00542A02"/>
    <w:rsid w:val="005431F0"/>
    <w:rsid w:val="005431FC"/>
    <w:rsid w:val="00544329"/>
    <w:rsid w:val="00544453"/>
    <w:rsid w:val="005446AA"/>
    <w:rsid w:val="005448CD"/>
    <w:rsid w:val="00545158"/>
    <w:rsid w:val="00545440"/>
    <w:rsid w:val="005454E8"/>
    <w:rsid w:val="00546FEB"/>
    <w:rsid w:val="0054766B"/>
    <w:rsid w:val="005501CE"/>
    <w:rsid w:val="00550733"/>
    <w:rsid w:val="00550AA6"/>
    <w:rsid w:val="00550D0E"/>
    <w:rsid w:val="005516BD"/>
    <w:rsid w:val="0055172A"/>
    <w:rsid w:val="005526BE"/>
    <w:rsid w:val="00552833"/>
    <w:rsid w:val="00552F06"/>
    <w:rsid w:val="005530E3"/>
    <w:rsid w:val="00553457"/>
    <w:rsid w:val="0055367A"/>
    <w:rsid w:val="00553797"/>
    <w:rsid w:val="005539EC"/>
    <w:rsid w:val="00553A0B"/>
    <w:rsid w:val="00553FFB"/>
    <w:rsid w:val="00554329"/>
    <w:rsid w:val="00554607"/>
    <w:rsid w:val="00554627"/>
    <w:rsid w:val="0055475C"/>
    <w:rsid w:val="005547FF"/>
    <w:rsid w:val="00554D86"/>
    <w:rsid w:val="00554F04"/>
    <w:rsid w:val="00555E12"/>
    <w:rsid w:val="005563C9"/>
    <w:rsid w:val="00556427"/>
    <w:rsid w:val="005566AA"/>
    <w:rsid w:val="00556B93"/>
    <w:rsid w:val="0055711B"/>
    <w:rsid w:val="0055738E"/>
    <w:rsid w:val="005574F9"/>
    <w:rsid w:val="00560031"/>
    <w:rsid w:val="00560404"/>
    <w:rsid w:val="00560624"/>
    <w:rsid w:val="00560881"/>
    <w:rsid w:val="00560C38"/>
    <w:rsid w:val="00560D2B"/>
    <w:rsid w:val="00560DE2"/>
    <w:rsid w:val="00560FAC"/>
    <w:rsid w:val="005611B9"/>
    <w:rsid w:val="005612D4"/>
    <w:rsid w:val="005613A3"/>
    <w:rsid w:val="005613A7"/>
    <w:rsid w:val="00561975"/>
    <w:rsid w:val="005619B7"/>
    <w:rsid w:val="00561C1C"/>
    <w:rsid w:val="00561CCE"/>
    <w:rsid w:val="00561D3C"/>
    <w:rsid w:val="00562E3D"/>
    <w:rsid w:val="005634BA"/>
    <w:rsid w:val="00563ADB"/>
    <w:rsid w:val="00563F75"/>
    <w:rsid w:val="005640EB"/>
    <w:rsid w:val="00564600"/>
    <w:rsid w:val="0056495D"/>
    <w:rsid w:val="00564DA3"/>
    <w:rsid w:val="00564EB4"/>
    <w:rsid w:val="005651DE"/>
    <w:rsid w:val="00565514"/>
    <w:rsid w:val="0056557A"/>
    <w:rsid w:val="00565FCB"/>
    <w:rsid w:val="00566282"/>
    <w:rsid w:val="00566766"/>
    <w:rsid w:val="00566845"/>
    <w:rsid w:val="00566A6C"/>
    <w:rsid w:val="00566F82"/>
    <w:rsid w:val="00567B69"/>
    <w:rsid w:val="00567D9D"/>
    <w:rsid w:val="0057013D"/>
    <w:rsid w:val="00570584"/>
    <w:rsid w:val="0057094E"/>
    <w:rsid w:val="00570A00"/>
    <w:rsid w:val="00570E16"/>
    <w:rsid w:val="005712D6"/>
    <w:rsid w:val="00571812"/>
    <w:rsid w:val="00571DCD"/>
    <w:rsid w:val="0057218C"/>
    <w:rsid w:val="005723F9"/>
    <w:rsid w:val="00572C81"/>
    <w:rsid w:val="00572E70"/>
    <w:rsid w:val="00572EB6"/>
    <w:rsid w:val="00573348"/>
    <w:rsid w:val="00573369"/>
    <w:rsid w:val="005737C9"/>
    <w:rsid w:val="00573C20"/>
    <w:rsid w:val="00574098"/>
    <w:rsid w:val="0057409B"/>
    <w:rsid w:val="0057418A"/>
    <w:rsid w:val="00574923"/>
    <w:rsid w:val="005749F3"/>
    <w:rsid w:val="00574D59"/>
    <w:rsid w:val="0057535A"/>
    <w:rsid w:val="00575C24"/>
    <w:rsid w:val="00576226"/>
    <w:rsid w:val="005762EA"/>
    <w:rsid w:val="005767AE"/>
    <w:rsid w:val="00576933"/>
    <w:rsid w:val="005773EC"/>
    <w:rsid w:val="00580390"/>
    <w:rsid w:val="00580F52"/>
    <w:rsid w:val="005816EE"/>
    <w:rsid w:val="005817B2"/>
    <w:rsid w:val="005819F7"/>
    <w:rsid w:val="00581C35"/>
    <w:rsid w:val="00581C62"/>
    <w:rsid w:val="0058204A"/>
    <w:rsid w:val="00582171"/>
    <w:rsid w:val="00582265"/>
    <w:rsid w:val="005823A5"/>
    <w:rsid w:val="005824C6"/>
    <w:rsid w:val="00582629"/>
    <w:rsid w:val="00582674"/>
    <w:rsid w:val="005826EE"/>
    <w:rsid w:val="0058271E"/>
    <w:rsid w:val="0058283F"/>
    <w:rsid w:val="005834BC"/>
    <w:rsid w:val="00583930"/>
    <w:rsid w:val="00583BFE"/>
    <w:rsid w:val="00583D8A"/>
    <w:rsid w:val="00583DBE"/>
    <w:rsid w:val="005840EF"/>
    <w:rsid w:val="005843BE"/>
    <w:rsid w:val="005845A3"/>
    <w:rsid w:val="005848F8"/>
    <w:rsid w:val="00584E2F"/>
    <w:rsid w:val="00585151"/>
    <w:rsid w:val="0058523B"/>
    <w:rsid w:val="0058525B"/>
    <w:rsid w:val="00585AAE"/>
    <w:rsid w:val="00585C03"/>
    <w:rsid w:val="00585F1C"/>
    <w:rsid w:val="00586637"/>
    <w:rsid w:val="00587229"/>
    <w:rsid w:val="00587C46"/>
    <w:rsid w:val="00587F56"/>
    <w:rsid w:val="00587FD9"/>
    <w:rsid w:val="005900B9"/>
    <w:rsid w:val="005902C9"/>
    <w:rsid w:val="005908B9"/>
    <w:rsid w:val="00591265"/>
    <w:rsid w:val="00591283"/>
    <w:rsid w:val="00591320"/>
    <w:rsid w:val="005915A4"/>
    <w:rsid w:val="005920AB"/>
    <w:rsid w:val="005924D3"/>
    <w:rsid w:val="005924F1"/>
    <w:rsid w:val="005925E3"/>
    <w:rsid w:val="00592AF8"/>
    <w:rsid w:val="0059304D"/>
    <w:rsid w:val="005933AE"/>
    <w:rsid w:val="005934A8"/>
    <w:rsid w:val="00593CBE"/>
    <w:rsid w:val="00593F5D"/>
    <w:rsid w:val="0059404E"/>
    <w:rsid w:val="005944F1"/>
    <w:rsid w:val="005948E1"/>
    <w:rsid w:val="00594B14"/>
    <w:rsid w:val="00595156"/>
    <w:rsid w:val="005965C9"/>
    <w:rsid w:val="005966C9"/>
    <w:rsid w:val="005967C0"/>
    <w:rsid w:val="00596832"/>
    <w:rsid w:val="00596CCB"/>
    <w:rsid w:val="00596DB6"/>
    <w:rsid w:val="005970CD"/>
    <w:rsid w:val="00597753"/>
    <w:rsid w:val="005979C3"/>
    <w:rsid w:val="00597E6F"/>
    <w:rsid w:val="005A0203"/>
    <w:rsid w:val="005A052F"/>
    <w:rsid w:val="005A05DF"/>
    <w:rsid w:val="005A0689"/>
    <w:rsid w:val="005A0C7F"/>
    <w:rsid w:val="005A0ECA"/>
    <w:rsid w:val="005A0EFC"/>
    <w:rsid w:val="005A1018"/>
    <w:rsid w:val="005A1099"/>
    <w:rsid w:val="005A10AE"/>
    <w:rsid w:val="005A12EF"/>
    <w:rsid w:val="005A13B0"/>
    <w:rsid w:val="005A15D8"/>
    <w:rsid w:val="005A1980"/>
    <w:rsid w:val="005A1A26"/>
    <w:rsid w:val="005A1BC8"/>
    <w:rsid w:val="005A1C64"/>
    <w:rsid w:val="005A1F74"/>
    <w:rsid w:val="005A207E"/>
    <w:rsid w:val="005A2593"/>
    <w:rsid w:val="005A2FFB"/>
    <w:rsid w:val="005A3196"/>
    <w:rsid w:val="005A339E"/>
    <w:rsid w:val="005A35CE"/>
    <w:rsid w:val="005A3858"/>
    <w:rsid w:val="005A3CF7"/>
    <w:rsid w:val="005A3E4B"/>
    <w:rsid w:val="005A408B"/>
    <w:rsid w:val="005A48B4"/>
    <w:rsid w:val="005A581C"/>
    <w:rsid w:val="005A5848"/>
    <w:rsid w:val="005A6E32"/>
    <w:rsid w:val="005A6F80"/>
    <w:rsid w:val="005A7215"/>
    <w:rsid w:val="005A726F"/>
    <w:rsid w:val="005A7550"/>
    <w:rsid w:val="005A782E"/>
    <w:rsid w:val="005A793B"/>
    <w:rsid w:val="005A79AE"/>
    <w:rsid w:val="005A7EBC"/>
    <w:rsid w:val="005B0168"/>
    <w:rsid w:val="005B01B7"/>
    <w:rsid w:val="005B05E7"/>
    <w:rsid w:val="005B0774"/>
    <w:rsid w:val="005B0E02"/>
    <w:rsid w:val="005B1731"/>
    <w:rsid w:val="005B1878"/>
    <w:rsid w:val="005B1B92"/>
    <w:rsid w:val="005B203F"/>
    <w:rsid w:val="005B2054"/>
    <w:rsid w:val="005B247D"/>
    <w:rsid w:val="005B2561"/>
    <w:rsid w:val="005B25AA"/>
    <w:rsid w:val="005B2607"/>
    <w:rsid w:val="005B26FD"/>
    <w:rsid w:val="005B3EF1"/>
    <w:rsid w:val="005B3F34"/>
    <w:rsid w:val="005B429E"/>
    <w:rsid w:val="005B42A7"/>
    <w:rsid w:val="005B44D0"/>
    <w:rsid w:val="005B468D"/>
    <w:rsid w:val="005B4CD8"/>
    <w:rsid w:val="005B55D6"/>
    <w:rsid w:val="005B5B11"/>
    <w:rsid w:val="005B5C27"/>
    <w:rsid w:val="005B5C4A"/>
    <w:rsid w:val="005B5E24"/>
    <w:rsid w:val="005B5FC3"/>
    <w:rsid w:val="005B60BD"/>
    <w:rsid w:val="005B61BF"/>
    <w:rsid w:val="005B67FE"/>
    <w:rsid w:val="005B6837"/>
    <w:rsid w:val="005B6878"/>
    <w:rsid w:val="005B705F"/>
    <w:rsid w:val="005B7A53"/>
    <w:rsid w:val="005C0607"/>
    <w:rsid w:val="005C0A76"/>
    <w:rsid w:val="005C0F3A"/>
    <w:rsid w:val="005C0F51"/>
    <w:rsid w:val="005C0FA9"/>
    <w:rsid w:val="005C0FE5"/>
    <w:rsid w:val="005C11E6"/>
    <w:rsid w:val="005C1457"/>
    <w:rsid w:val="005C147A"/>
    <w:rsid w:val="005C1F3B"/>
    <w:rsid w:val="005C2068"/>
    <w:rsid w:val="005C208C"/>
    <w:rsid w:val="005C2A7E"/>
    <w:rsid w:val="005C2E67"/>
    <w:rsid w:val="005C35ED"/>
    <w:rsid w:val="005C35FA"/>
    <w:rsid w:val="005C37F2"/>
    <w:rsid w:val="005C42EA"/>
    <w:rsid w:val="005C4616"/>
    <w:rsid w:val="005C4D24"/>
    <w:rsid w:val="005C4DD7"/>
    <w:rsid w:val="005C539A"/>
    <w:rsid w:val="005C5693"/>
    <w:rsid w:val="005C6F04"/>
    <w:rsid w:val="005C74F8"/>
    <w:rsid w:val="005C75B9"/>
    <w:rsid w:val="005C778A"/>
    <w:rsid w:val="005C794A"/>
    <w:rsid w:val="005C7B1F"/>
    <w:rsid w:val="005C7E97"/>
    <w:rsid w:val="005D065D"/>
    <w:rsid w:val="005D070B"/>
    <w:rsid w:val="005D0C8D"/>
    <w:rsid w:val="005D12BF"/>
    <w:rsid w:val="005D14E9"/>
    <w:rsid w:val="005D1B75"/>
    <w:rsid w:val="005D1C71"/>
    <w:rsid w:val="005D21A6"/>
    <w:rsid w:val="005D29D5"/>
    <w:rsid w:val="005D29F6"/>
    <w:rsid w:val="005D2FCB"/>
    <w:rsid w:val="005D383D"/>
    <w:rsid w:val="005D3947"/>
    <w:rsid w:val="005D3D18"/>
    <w:rsid w:val="005D3E4A"/>
    <w:rsid w:val="005D3E97"/>
    <w:rsid w:val="005D3F76"/>
    <w:rsid w:val="005D4095"/>
    <w:rsid w:val="005D4641"/>
    <w:rsid w:val="005D49A2"/>
    <w:rsid w:val="005D49FF"/>
    <w:rsid w:val="005D4ACD"/>
    <w:rsid w:val="005D4C36"/>
    <w:rsid w:val="005D4D0A"/>
    <w:rsid w:val="005D526E"/>
    <w:rsid w:val="005D5695"/>
    <w:rsid w:val="005D6156"/>
    <w:rsid w:val="005D63D6"/>
    <w:rsid w:val="005D64BF"/>
    <w:rsid w:val="005D6CA0"/>
    <w:rsid w:val="005D7ED3"/>
    <w:rsid w:val="005E0862"/>
    <w:rsid w:val="005E08CF"/>
    <w:rsid w:val="005E1375"/>
    <w:rsid w:val="005E147F"/>
    <w:rsid w:val="005E178A"/>
    <w:rsid w:val="005E19FF"/>
    <w:rsid w:val="005E1CEB"/>
    <w:rsid w:val="005E2576"/>
    <w:rsid w:val="005E27F6"/>
    <w:rsid w:val="005E2A30"/>
    <w:rsid w:val="005E2FF1"/>
    <w:rsid w:val="005E3850"/>
    <w:rsid w:val="005E3B4D"/>
    <w:rsid w:val="005E3B5B"/>
    <w:rsid w:val="005E3DEF"/>
    <w:rsid w:val="005E41A6"/>
    <w:rsid w:val="005E4266"/>
    <w:rsid w:val="005E427F"/>
    <w:rsid w:val="005E4E97"/>
    <w:rsid w:val="005E54F0"/>
    <w:rsid w:val="005E57F7"/>
    <w:rsid w:val="005E5C65"/>
    <w:rsid w:val="005E5DFA"/>
    <w:rsid w:val="005E682E"/>
    <w:rsid w:val="005E68F3"/>
    <w:rsid w:val="005E6A57"/>
    <w:rsid w:val="005E6F86"/>
    <w:rsid w:val="005E70D9"/>
    <w:rsid w:val="005E71E1"/>
    <w:rsid w:val="005E7479"/>
    <w:rsid w:val="005E756A"/>
    <w:rsid w:val="005E7892"/>
    <w:rsid w:val="005E7CCA"/>
    <w:rsid w:val="005F0245"/>
    <w:rsid w:val="005F0652"/>
    <w:rsid w:val="005F07BE"/>
    <w:rsid w:val="005F0AE1"/>
    <w:rsid w:val="005F0DE4"/>
    <w:rsid w:val="005F1146"/>
    <w:rsid w:val="005F191F"/>
    <w:rsid w:val="005F1D68"/>
    <w:rsid w:val="005F3C0A"/>
    <w:rsid w:val="005F3CEA"/>
    <w:rsid w:val="005F4587"/>
    <w:rsid w:val="005F4A97"/>
    <w:rsid w:val="005F4E85"/>
    <w:rsid w:val="005F50AF"/>
    <w:rsid w:val="005F546F"/>
    <w:rsid w:val="005F5479"/>
    <w:rsid w:val="005F5B32"/>
    <w:rsid w:val="005F66AA"/>
    <w:rsid w:val="005F66DC"/>
    <w:rsid w:val="005F731B"/>
    <w:rsid w:val="005F786A"/>
    <w:rsid w:val="005F7AC1"/>
    <w:rsid w:val="005F7EA3"/>
    <w:rsid w:val="00600DA1"/>
    <w:rsid w:val="006013FB"/>
    <w:rsid w:val="00601583"/>
    <w:rsid w:val="00601CE8"/>
    <w:rsid w:val="00601F1A"/>
    <w:rsid w:val="00601F8B"/>
    <w:rsid w:val="0060259D"/>
    <w:rsid w:val="00602746"/>
    <w:rsid w:val="0060294C"/>
    <w:rsid w:val="00602FB1"/>
    <w:rsid w:val="00603073"/>
    <w:rsid w:val="00603105"/>
    <w:rsid w:val="00603128"/>
    <w:rsid w:val="006036E2"/>
    <w:rsid w:val="006037C5"/>
    <w:rsid w:val="00603976"/>
    <w:rsid w:val="00603A7A"/>
    <w:rsid w:val="00604319"/>
    <w:rsid w:val="00604D76"/>
    <w:rsid w:val="00604F87"/>
    <w:rsid w:val="0060508A"/>
    <w:rsid w:val="006052B9"/>
    <w:rsid w:val="0060556D"/>
    <w:rsid w:val="00605607"/>
    <w:rsid w:val="00605E4D"/>
    <w:rsid w:val="00606002"/>
    <w:rsid w:val="00606458"/>
    <w:rsid w:val="00606720"/>
    <w:rsid w:val="00606841"/>
    <w:rsid w:val="00606CC5"/>
    <w:rsid w:val="00606E65"/>
    <w:rsid w:val="00607141"/>
    <w:rsid w:val="00607385"/>
    <w:rsid w:val="00607B23"/>
    <w:rsid w:val="00610057"/>
    <w:rsid w:val="00610C20"/>
    <w:rsid w:val="00611189"/>
    <w:rsid w:val="00611765"/>
    <w:rsid w:val="00611F01"/>
    <w:rsid w:val="00612172"/>
    <w:rsid w:val="0061233F"/>
    <w:rsid w:val="006125C5"/>
    <w:rsid w:val="00612766"/>
    <w:rsid w:val="0061278B"/>
    <w:rsid w:val="00612B0D"/>
    <w:rsid w:val="00612EE9"/>
    <w:rsid w:val="0061385B"/>
    <w:rsid w:val="00613AB5"/>
    <w:rsid w:val="006144BB"/>
    <w:rsid w:val="00614667"/>
    <w:rsid w:val="006149AD"/>
    <w:rsid w:val="00614CAC"/>
    <w:rsid w:val="00615189"/>
    <w:rsid w:val="00616089"/>
    <w:rsid w:val="0061645D"/>
    <w:rsid w:val="00616900"/>
    <w:rsid w:val="00616A41"/>
    <w:rsid w:val="00616ACC"/>
    <w:rsid w:val="00616B2A"/>
    <w:rsid w:val="0061744E"/>
    <w:rsid w:val="0061799E"/>
    <w:rsid w:val="00617B9D"/>
    <w:rsid w:val="00617CDA"/>
    <w:rsid w:val="00620102"/>
    <w:rsid w:val="0062032D"/>
    <w:rsid w:val="006204D9"/>
    <w:rsid w:val="0062057F"/>
    <w:rsid w:val="006205AD"/>
    <w:rsid w:val="0062165E"/>
    <w:rsid w:val="00621934"/>
    <w:rsid w:val="00621C89"/>
    <w:rsid w:val="00621FA9"/>
    <w:rsid w:val="00622007"/>
    <w:rsid w:val="00622079"/>
    <w:rsid w:val="00622782"/>
    <w:rsid w:val="00622874"/>
    <w:rsid w:val="006239A3"/>
    <w:rsid w:val="00623D94"/>
    <w:rsid w:val="00623F1D"/>
    <w:rsid w:val="00624211"/>
    <w:rsid w:val="00624D93"/>
    <w:rsid w:val="006254B1"/>
    <w:rsid w:val="006261D9"/>
    <w:rsid w:val="006265BD"/>
    <w:rsid w:val="006265D8"/>
    <w:rsid w:val="006269E0"/>
    <w:rsid w:val="00626AAB"/>
    <w:rsid w:val="00627CBE"/>
    <w:rsid w:val="00630007"/>
    <w:rsid w:val="006305AE"/>
    <w:rsid w:val="00630940"/>
    <w:rsid w:val="00630B6A"/>
    <w:rsid w:val="006312F7"/>
    <w:rsid w:val="00631B50"/>
    <w:rsid w:val="006320CB"/>
    <w:rsid w:val="00632656"/>
    <w:rsid w:val="00632991"/>
    <w:rsid w:val="00632D3A"/>
    <w:rsid w:val="00632F67"/>
    <w:rsid w:val="006331E5"/>
    <w:rsid w:val="006333DD"/>
    <w:rsid w:val="006335DE"/>
    <w:rsid w:val="006339B8"/>
    <w:rsid w:val="00633FD6"/>
    <w:rsid w:val="0063450F"/>
    <w:rsid w:val="006345ED"/>
    <w:rsid w:val="006345EE"/>
    <w:rsid w:val="0063465E"/>
    <w:rsid w:val="00634C72"/>
    <w:rsid w:val="0063515E"/>
    <w:rsid w:val="00635E30"/>
    <w:rsid w:val="006361DC"/>
    <w:rsid w:val="00636330"/>
    <w:rsid w:val="00636D17"/>
    <w:rsid w:val="0063731C"/>
    <w:rsid w:val="00637DAB"/>
    <w:rsid w:val="00640005"/>
    <w:rsid w:val="0064043A"/>
    <w:rsid w:val="0064099A"/>
    <w:rsid w:val="00640EE9"/>
    <w:rsid w:val="00640FBA"/>
    <w:rsid w:val="00641758"/>
    <w:rsid w:val="00641B57"/>
    <w:rsid w:val="00641DF1"/>
    <w:rsid w:val="00641E4F"/>
    <w:rsid w:val="006420AB"/>
    <w:rsid w:val="00642978"/>
    <w:rsid w:val="00642B83"/>
    <w:rsid w:val="0064341D"/>
    <w:rsid w:val="00644462"/>
    <w:rsid w:val="00645164"/>
    <w:rsid w:val="006455FE"/>
    <w:rsid w:val="00645C8C"/>
    <w:rsid w:val="006469A2"/>
    <w:rsid w:val="00646AB8"/>
    <w:rsid w:val="00646D0D"/>
    <w:rsid w:val="006470E5"/>
    <w:rsid w:val="006471F9"/>
    <w:rsid w:val="0064776F"/>
    <w:rsid w:val="0064782E"/>
    <w:rsid w:val="006479EC"/>
    <w:rsid w:val="00647A3C"/>
    <w:rsid w:val="0065045B"/>
    <w:rsid w:val="00650635"/>
    <w:rsid w:val="006507E9"/>
    <w:rsid w:val="00650822"/>
    <w:rsid w:val="00650A98"/>
    <w:rsid w:val="00651DE4"/>
    <w:rsid w:val="006521E6"/>
    <w:rsid w:val="006525F9"/>
    <w:rsid w:val="00652863"/>
    <w:rsid w:val="0065290E"/>
    <w:rsid w:val="00652921"/>
    <w:rsid w:val="00652950"/>
    <w:rsid w:val="00652DE0"/>
    <w:rsid w:val="00652E02"/>
    <w:rsid w:val="006532FB"/>
    <w:rsid w:val="00653C4B"/>
    <w:rsid w:val="00653D6D"/>
    <w:rsid w:val="006548AD"/>
    <w:rsid w:val="00654978"/>
    <w:rsid w:val="0065544C"/>
    <w:rsid w:val="006559C6"/>
    <w:rsid w:val="00655DE5"/>
    <w:rsid w:val="00655E4B"/>
    <w:rsid w:val="006560A2"/>
    <w:rsid w:val="00656401"/>
    <w:rsid w:val="00656989"/>
    <w:rsid w:val="006572C7"/>
    <w:rsid w:val="00657372"/>
    <w:rsid w:val="006578FA"/>
    <w:rsid w:val="006600D3"/>
    <w:rsid w:val="0066025F"/>
    <w:rsid w:val="00660473"/>
    <w:rsid w:val="0066047B"/>
    <w:rsid w:val="00660D04"/>
    <w:rsid w:val="00660E13"/>
    <w:rsid w:val="0066141F"/>
    <w:rsid w:val="006615CE"/>
    <w:rsid w:val="00661B9D"/>
    <w:rsid w:val="006624EE"/>
    <w:rsid w:val="006628C1"/>
    <w:rsid w:val="00662E8A"/>
    <w:rsid w:val="00663136"/>
    <w:rsid w:val="00663BB8"/>
    <w:rsid w:val="00663CD7"/>
    <w:rsid w:val="00663E10"/>
    <w:rsid w:val="00663EBA"/>
    <w:rsid w:val="00663F2E"/>
    <w:rsid w:val="0066419D"/>
    <w:rsid w:val="0066434A"/>
    <w:rsid w:val="00664404"/>
    <w:rsid w:val="00664879"/>
    <w:rsid w:val="006655C3"/>
    <w:rsid w:val="00665E1E"/>
    <w:rsid w:val="006661AE"/>
    <w:rsid w:val="006661E7"/>
    <w:rsid w:val="0066694C"/>
    <w:rsid w:val="00666EAA"/>
    <w:rsid w:val="0066711D"/>
    <w:rsid w:val="006671D6"/>
    <w:rsid w:val="00667451"/>
    <w:rsid w:val="006674AF"/>
    <w:rsid w:val="00667861"/>
    <w:rsid w:val="00667C95"/>
    <w:rsid w:val="00667CE2"/>
    <w:rsid w:val="00667EF3"/>
    <w:rsid w:val="00667FEE"/>
    <w:rsid w:val="00670175"/>
    <w:rsid w:val="006701A1"/>
    <w:rsid w:val="00670203"/>
    <w:rsid w:val="006707CC"/>
    <w:rsid w:val="006708F6"/>
    <w:rsid w:val="00670B02"/>
    <w:rsid w:val="00670DF0"/>
    <w:rsid w:val="00670E7B"/>
    <w:rsid w:val="00670ECD"/>
    <w:rsid w:val="0067129F"/>
    <w:rsid w:val="00671629"/>
    <w:rsid w:val="00671A26"/>
    <w:rsid w:val="00671D8A"/>
    <w:rsid w:val="00671E40"/>
    <w:rsid w:val="0067356B"/>
    <w:rsid w:val="00673BEE"/>
    <w:rsid w:val="00673D65"/>
    <w:rsid w:val="00673E42"/>
    <w:rsid w:val="006740EF"/>
    <w:rsid w:val="006746D0"/>
    <w:rsid w:val="00675115"/>
    <w:rsid w:val="00675502"/>
    <w:rsid w:val="00675FA0"/>
    <w:rsid w:val="006775D3"/>
    <w:rsid w:val="00677B79"/>
    <w:rsid w:val="00677FAC"/>
    <w:rsid w:val="006805AC"/>
    <w:rsid w:val="00680B1F"/>
    <w:rsid w:val="00680E20"/>
    <w:rsid w:val="00680E4A"/>
    <w:rsid w:val="00680E71"/>
    <w:rsid w:val="00681209"/>
    <w:rsid w:val="00681436"/>
    <w:rsid w:val="006815F6"/>
    <w:rsid w:val="00681A6F"/>
    <w:rsid w:val="00681C2D"/>
    <w:rsid w:val="00681D97"/>
    <w:rsid w:val="00681E9C"/>
    <w:rsid w:val="00681F24"/>
    <w:rsid w:val="006820A6"/>
    <w:rsid w:val="006826D6"/>
    <w:rsid w:val="006827E6"/>
    <w:rsid w:val="00682D13"/>
    <w:rsid w:val="00682DEB"/>
    <w:rsid w:val="00682F49"/>
    <w:rsid w:val="006838FF"/>
    <w:rsid w:val="00683A08"/>
    <w:rsid w:val="0068401C"/>
    <w:rsid w:val="006840C7"/>
    <w:rsid w:val="0068441B"/>
    <w:rsid w:val="0068476F"/>
    <w:rsid w:val="00684C89"/>
    <w:rsid w:val="00685196"/>
    <w:rsid w:val="0068553C"/>
    <w:rsid w:val="006856C2"/>
    <w:rsid w:val="00686318"/>
    <w:rsid w:val="00686F72"/>
    <w:rsid w:val="0068744E"/>
    <w:rsid w:val="006875BF"/>
    <w:rsid w:val="00687644"/>
    <w:rsid w:val="00687A58"/>
    <w:rsid w:val="00687CF6"/>
    <w:rsid w:val="00687D00"/>
    <w:rsid w:val="0069098B"/>
    <w:rsid w:val="00691115"/>
    <w:rsid w:val="006914F0"/>
    <w:rsid w:val="006915DB"/>
    <w:rsid w:val="006923EA"/>
    <w:rsid w:val="006926D4"/>
    <w:rsid w:val="00692D1A"/>
    <w:rsid w:val="006930F8"/>
    <w:rsid w:val="00693912"/>
    <w:rsid w:val="00693BDB"/>
    <w:rsid w:val="00693D13"/>
    <w:rsid w:val="006940D3"/>
    <w:rsid w:val="006940F0"/>
    <w:rsid w:val="00694113"/>
    <w:rsid w:val="00694168"/>
    <w:rsid w:val="006947F6"/>
    <w:rsid w:val="006949CD"/>
    <w:rsid w:val="00694D72"/>
    <w:rsid w:val="00694FE0"/>
    <w:rsid w:val="006957DE"/>
    <w:rsid w:val="00695C9D"/>
    <w:rsid w:val="006962AA"/>
    <w:rsid w:val="006966DF"/>
    <w:rsid w:val="00696FF1"/>
    <w:rsid w:val="006972F7"/>
    <w:rsid w:val="00697918"/>
    <w:rsid w:val="00697AC1"/>
    <w:rsid w:val="00697F3F"/>
    <w:rsid w:val="006A0405"/>
    <w:rsid w:val="006A0534"/>
    <w:rsid w:val="006A0747"/>
    <w:rsid w:val="006A0D24"/>
    <w:rsid w:val="006A14AC"/>
    <w:rsid w:val="006A1640"/>
    <w:rsid w:val="006A1679"/>
    <w:rsid w:val="006A16A8"/>
    <w:rsid w:val="006A18E6"/>
    <w:rsid w:val="006A1DBF"/>
    <w:rsid w:val="006A273B"/>
    <w:rsid w:val="006A29F8"/>
    <w:rsid w:val="006A3786"/>
    <w:rsid w:val="006A3E95"/>
    <w:rsid w:val="006A4344"/>
    <w:rsid w:val="006A43FD"/>
    <w:rsid w:val="006A46F8"/>
    <w:rsid w:val="006A4E28"/>
    <w:rsid w:val="006A50E1"/>
    <w:rsid w:val="006A55B0"/>
    <w:rsid w:val="006A5946"/>
    <w:rsid w:val="006A5BE3"/>
    <w:rsid w:val="006A5C43"/>
    <w:rsid w:val="006A683D"/>
    <w:rsid w:val="006A6C1F"/>
    <w:rsid w:val="006A6CA6"/>
    <w:rsid w:val="006A77AB"/>
    <w:rsid w:val="006A7D09"/>
    <w:rsid w:val="006B0723"/>
    <w:rsid w:val="006B0794"/>
    <w:rsid w:val="006B0EF2"/>
    <w:rsid w:val="006B1213"/>
    <w:rsid w:val="006B14B4"/>
    <w:rsid w:val="006B1692"/>
    <w:rsid w:val="006B1A4C"/>
    <w:rsid w:val="006B1DA2"/>
    <w:rsid w:val="006B2197"/>
    <w:rsid w:val="006B2257"/>
    <w:rsid w:val="006B249D"/>
    <w:rsid w:val="006B25B8"/>
    <w:rsid w:val="006B26C9"/>
    <w:rsid w:val="006B3A2A"/>
    <w:rsid w:val="006B3E1A"/>
    <w:rsid w:val="006B3F37"/>
    <w:rsid w:val="006B49F5"/>
    <w:rsid w:val="006B4DB0"/>
    <w:rsid w:val="006B51B9"/>
    <w:rsid w:val="006B6130"/>
    <w:rsid w:val="006B632A"/>
    <w:rsid w:val="006B657B"/>
    <w:rsid w:val="006B7123"/>
    <w:rsid w:val="006B75B6"/>
    <w:rsid w:val="006B7772"/>
    <w:rsid w:val="006B7A80"/>
    <w:rsid w:val="006C0484"/>
    <w:rsid w:val="006C05A9"/>
    <w:rsid w:val="006C0689"/>
    <w:rsid w:val="006C0F83"/>
    <w:rsid w:val="006C179E"/>
    <w:rsid w:val="006C1850"/>
    <w:rsid w:val="006C1A5F"/>
    <w:rsid w:val="006C1D4C"/>
    <w:rsid w:val="006C1F6C"/>
    <w:rsid w:val="006C25DD"/>
    <w:rsid w:val="006C2910"/>
    <w:rsid w:val="006C2CB1"/>
    <w:rsid w:val="006C2D53"/>
    <w:rsid w:val="006C2DAE"/>
    <w:rsid w:val="006C3AB5"/>
    <w:rsid w:val="006C562C"/>
    <w:rsid w:val="006C5775"/>
    <w:rsid w:val="006C580C"/>
    <w:rsid w:val="006C61A8"/>
    <w:rsid w:val="006C65A0"/>
    <w:rsid w:val="006C6E7A"/>
    <w:rsid w:val="006C7394"/>
    <w:rsid w:val="006C76C7"/>
    <w:rsid w:val="006C7EC3"/>
    <w:rsid w:val="006D036D"/>
    <w:rsid w:val="006D0793"/>
    <w:rsid w:val="006D0B8E"/>
    <w:rsid w:val="006D0F97"/>
    <w:rsid w:val="006D101E"/>
    <w:rsid w:val="006D130E"/>
    <w:rsid w:val="006D1A28"/>
    <w:rsid w:val="006D1B1C"/>
    <w:rsid w:val="006D21C1"/>
    <w:rsid w:val="006D21F8"/>
    <w:rsid w:val="006D2BDA"/>
    <w:rsid w:val="006D348B"/>
    <w:rsid w:val="006D3522"/>
    <w:rsid w:val="006D3530"/>
    <w:rsid w:val="006D3625"/>
    <w:rsid w:val="006D3751"/>
    <w:rsid w:val="006D4415"/>
    <w:rsid w:val="006D47F4"/>
    <w:rsid w:val="006D48BD"/>
    <w:rsid w:val="006D4DAD"/>
    <w:rsid w:val="006D5683"/>
    <w:rsid w:val="006D60C9"/>
    <w:rsid w:val="006D6F11"/>
    <w:rsid w:val="006D7EAC"/>
    <w:rsid w:val="006E03A8"/>
    <w:rsid w:val="006E0CFF"/>
    <w:rsid w:val="006E0F5E"/>
    <w:rsid w:val="006E165B"/>
    <w:rsid w:val="006E17E8"/>
    <w:rsid w:val="006E1A47"/>
    <w:rsid w:val="006E255D"/>
    <w:rsid w:val="006E3379"/>
    <w:rsid w:val="006E3648"/>
    <w:rsid w:val="006E38CF"/>
    <w:rsid w:val="006E3B32"/>
    <w:rsid w:val="006E4494"/>
    <w:rsid w:val="006E551D"/>
    <w:rsid w:val="006E566A"/>
    <w:rsid w:val="006E566E"/>
    <w:rsid w:val="006E5CD9"/>
    <w:rsid w:val="006E737E"/>
    <w:rsid w:val="006E783E"/>
    <w:rsid w:val="006E7889"/>
    <w:rsid w:val="006E7CBD"/>
    <w:rsid w:val="006E7FC2"/>
    <w:rsid w:val="006F000F"/>
    <w:rsid w:val="006F003B"/>
    <w:rsid w:val="006F0608"/>
    <w:rsid w:val="006F090F"/>
    <w:rsid w:val="006F09BD"/>
    <w:rsid w:val="006F1238"/>
    <w:rsid w:val="006F1358"/>
    <w:rsid w:val="006F1F39"/>
    <w:rsid w:val="006F26CE"/>
    <w:rsid w:val="006F27E3"/>
    <w:rsid w:val="006F28FB"/>
    <w:rsid w:val="006F2E0B"/>
    <w:rsid w:val="006F2EE7"/>
    <w:rsid w:val="006F316D"/>
    <w:rsid w:val="006F3298"/>
    <w:rsid w:val="006F337A"/>
    <w:rsid w:val="006F3918"/>
    <w:rsid w:val="006F39CD"/>
    <w:rsid w:val="006F3DAA"/>
    <w:rsid w:val="006F491F"/>
    <w:rsid w:val="006F4F72"/>
    <w:rsid w:val="006F529F"/>
    <w:rsid w:val="006F5FB6"/>
    <w:rsid w:val="006F6611"/>
    <w:rsid w:val="006F6A43"/>
    <w:rsid w:val="006F7DDF"/>
    <w:rsid w:val="00700123"/>
    <w:rsid w:val="007004A0"/>
    <w:rsid w:val="0070109F"/>
    <w:rsid w:val="00701447"/>
    <w:rsid w:val="007016A8"/>
    <w:rsid w:val="007016D3"/>
    <w:rsid w:val="00701979"/>
    <w:rsid w:val="00701F65"/>
    <w:rsid w:val="007021FC"/>
    <w:rsid w:val="007023A5"/>
    <w:rsid w:val="00702672"/>
    <w:rsid w:val="0070281F"/>
    <w:rsid w:val="00702F78"/>
    <w:rsid w:val="00702F7F"/>
    <w:rsid w:val="00703425"/>
    <w:rsid w:val="00703C9A"/>
    <w:rsid w:val="00703CFD"/>
    <w:rsid w:val="00703E2E"/>
    <w:rsid w:val="00703FAC"/>
    <w:rsid w:val="00704A0E"/>
    <w:rsid w:val="00704A76"/>
    <w:rsid w:val="00704B01"/>
    <w:rsid w:val="00704E72"/>
    <w:rsid w:val="0070538E"/>
    <w:rsid w:val="00705495"/>
    <w:rsid w:val="007055DE"/>
    <w:rsid w:val="007056E8"/>
    <w:rsid w:val="0070661B"/>
    <w:rsid w:val="0070698D"/>
    <w:rsid w:val="00706F45"/>
    <w:rsid w:val="00706FCE"/>
    <w:rsid w:val="00707282"/>
    <w:rsid w:val="00707892"/>
    <w:rsid w:val="00707992"/>
    <w:rsid w:val="00707ACC"/>
    <w:rsid w:val="007104DD"/>
    <w:rsid w:val="00710809"/>
    <w:rsid w:val="007108D9"/>
    <w:rsid w:val="00711196"/>
    <w:rsid w:val="00711564"/>
    <w:rsid w:val="00711674"/>
    <w:rsid w:val="00711B3F"/>
    <w:rsid w:val="00712024"/>
    <w:rsid w:val="007121B4"/>
    <w:rsid w:val="00712886"/>
    <w:rsid w:val="00713423"/>
    <w:rsid w:val="00713D1E"/>
    <w:rsid w:val="00713DE8"/>
    <w:rsid w:val="00714306"/>
    <w:rsid w:val="00714870"/>
    <w:rsid w:val="0071490C"/>
    <w:rsid w:val="007150D4"/>
    <w:rsid w:val="00715101"/>
    <w:rsid w:val="0071544C"/>
    <w:rsid w:val="00715664"/>
    <w:rsid w:val="00715A72"/>
    <w:rsid w:val="00715EA4"/>
    <w:rsid w:val="0071693D"/>
    <w:rsid w:val="007177FC"/>
    <w:rsid w:val="00717B75"/>
    <w:rsid w:val="00717ECB"/>
    <w:rsid w:val="00717FE8"/>
    <w:rsid w:val="007203E3"/>
    <w:rsid w:val="0072064C"/>
    <w:rsid w:val="00720710"/>
    <w:rsid w:val="00720C72"/>
    <w:rsid w:val="007213E4"/>
    <w:rsid w:val="0072161F"/>
    <w:rsid w:val="0072163E"/>
    <w:rsid w:val="007219FB"/>
    <w:rsid w:val="00721B66"/>
    <w:rsid w:val="00721D3E"/>
    <w:rsid w:val="00722F64"/>
    <w:rsid w:val="00723F70"/>
    <w:rsid w:val="00723F81"/>
    <w:rsid w:val="007241E9"/>
    <w:rsid w:val="00724A61"/>
    <w:rsid w:val="00724F8A"/>
    <w:rsid w:val="007252CB"/>
    <w:rsid w:val="00725385"/>
    <w:rsid w:val="0072578A"/>
    <w:rsid w:val="00725F9F"/>
    <w:rsid w:val="0072662E"/>
    <w:rsid w:val="00726C8F"/>
    <w:rsid w:val="00726CB3"/>
    <w:rsid w:val="00727C11"/>
    <w:rsid w:val="00730355"/>
    <w:rsid w:val="00730825"/>
    <w:rsid w:val="00730894"/>
    <w:rsid w:val="00730D1A"/>
    <w:rsid w:val="007311D1"/>
    <w:rsid w:val="00731544"/>
    <w:rsid w:val="0073158E"/>
    <w:rsid w:val="007315F4"/>
    <w:rsid w:val="00731679"/>
    <w:rsid w:val="0073172A"/>
    <w:rsid w:val="00732773"/>
    <w:rsid w:val="00732EBC"/>
    <w:rsid w:val="00733672"/>
    <w:rsid w:val="0073379C"/>
    <w:rsid w:val="007339DE"/>
    <w:rsid w:val="00733B01"/>
    <w:rsid w:val="00733FAF"/>
    <w:rsid w:val="00733FFC"/>
    <w:rsid w:val="0073414D"/>
    <w:rsid w:val="00734191"/>
    <w:rsid w:val="00734289"/>
    <w:rsid w:val="007345C7"/>
    <w:rsid w:val="00734DB4"/>
    <w:rsid w:val="00734EF6"/>
    <w:rsid w:val="00734F10"/>
    <w:rsid w:val="00735263"/>
    <w:rsid w:val="00735626"/>
    <w:rsid w:val="007358CC"/>
    <w:rsid w:val="00735B47"/>
    <w:rsid w:val="00735C2D"/>
    <w:rsid w:val="0073630A"/>
    <w:rsid w:val="00736733"/>
    <w:rsid w:val="00736A2F"/>
    <w:rsid w:val="007371A6"/>
    <w:rsid w:val="00737264"/>
    <w:rsid w:val="00737B6E"/>
    <w:rsid w:val="00737BA6"/>
    <w:rsid w:val="007409B2"/>
    <w:rsid w:val="007409C1"/>
    <w:rsid w:val="00740B5D"/>
    <w:rsid w:val="00740BA0"/>
    <w:rsid w:val="00741015"/>
    <w:rsid w:val="00741510"/>
    <w:rsid w:val="0074157A"/>
    <w:rsid w:val="00742506"/>
    <w:rsid w:val="00742577"/>
    <w:rsid w:val="00742DC6"/>
    <w:rsid w:val="007433F0"/>
    <w:rsid w:val="00743AB9"/>
    <w:rsid w:val="00743ADC"/>
    <w:rsid w:val="00743CE3"/>
    <w:rsid w:val="00744416"/>
    <w:rsid w:val="00744493"/>
    <w:rsid w:val="007446F8"/>
    <w:rsid w:val="0074484C"/>
    <w:rsid w:val="00744C97"/>
    <w:rsid w:val="00745C63"/>
    <w:rsid w:val="00745C69"/>
    <w:rsid w:val="007462EC"/>
    <w:rsid w:val="00746589"/>
    <w:rsid w:val="0074663B"/>
    <w:rsid w:val="00747DCF"/>
    <w:rsid w:val="0075090A"/>
    <w:rsid w:val="00750B94"/>
    <w:rsid w:val="00750D6E"/>
    <w:rsid w:val="00751195"/>
    <w:rsid w:val="007514A9"/>
    <w:rsid w:val="00751720"/>
    <w:rsid w:val="0075215B"/>
    <w:rsid w:val="007522AF"/>
    <w:rsid w:val="00752C7D"/>
    <w:rsid w:val="007533C9"/>
    <w:rsid w:val="007539BF"/>
    <w:rsid w:val="007539CB"/>
    <w:rsid w:val="00753DAF"/>
    <w:rsid w:val="00753DE8"/>
    <w:rsid w:val="00753F62"/>
    <w:rsid w:val="007544A9"/>
    <w:rsid w:val="007550EE"/>
    <w:rsid w:val="00755901"/>
    <w:rsid w:val="00755D9A"/>
    <w:rsid w:val="00756B31"/>
    <w:rsid w:val="00757425"/>
    <w:rsid w:val="0075771E"/>
    <w:rsid w:val="00757887"/>
    <w:rsid w:val="0075790F"/>
    <w:rsid w:val="00761795"/>
    <w:rsid w:val="00761AC8"/>
    <w:rsid w:val="00761DB1"/>
    <w:rsid w:val="0076206F"/>
    <w:rsid w:val="00762226"/>
    <w:rsid w:val="00762400"/>
    <w:rsid w:val="00762CF0"/>
    <w:rsid w:val="007632E0"/>
    <w:rsid w:val="007634AC"/>
    <w:rsid w:val="00763566"/>
    <w:rsid w:val="00764453"/>
    <w:rsid w:val="0076449D"/>
    <w:rsid w:val="00764801"/>
    <w:rsid w:val="00764C4A"/>
    <w:rsid w:val="0076515D"/>
    <w:rsid w:val="007655FA"/>
    <w:rsid w:val="007658E5"/>
    <w:rsid w:val="00765AA7"/>
    <w:rsid w:val="00765C16"/>
    <w:rsid w:val="00766003"/>
    <w:rsid w:val="007669D7"/>
    <w:rsid w:val="00766FEB"/>
    <w:rsid w:val="007679EB"/>
    <w:rsid w:val="007704CA"/>
    <w:rsid w:val="007709A2"/>
    <w:rsid w:val="00770C8A"/>
    <w:rsid w:val="00770D94"/>
    <w:rsid w:val="007715F2"/>
    <w:rsid w:val="0077160D"/>
    <w:rsid w:val="00771631"/>
    <w:rsid w:val="00771F9B"/>
    <w:rsid w:val="00772559"/>
    <w:rsid w:val="0077261D"/>
    <w:rsid w:val="00772656"/>
    <w:rsid w:val="0077271B"/>
    <w:rsid w:val="00772880"/>
    <w:rsid w:val="00772ADE"/>
    <w:rsid w:val="00772D6E"/>
    <w:rsid w:val="00772F01"/>
    <w:rsid w:val="007732F1"/>
    <w:rsid w:val="00774114"/>
    <w:rsid w:val="007741FF"/>
    <w:rsid w:val="007746B7"/>
    <w:rsid w:val="0077546B"/>
    <w:rsid w:val="007756C3"/>
    <w:rsid w:val="007757DD"/>
    <w:rsid w:val="00775ACF"/>
    <w:rsid w:val="00776033"/>
    <w:rsid w:val="0077621D"/>
    <w:rsid w:val="007762CD"/>
    <w:rsid w:val="0077643C"/>
    <w:rsid w:val="0077684B"/>
    <w:rsid w:val="00776E36"/>
    <w:rsid w:val="0077726D"/>
    <w:rsid w:val="00777290"/>
    <w:rsid w:val="007772E7"/>
    <w:rsid w:val="007772E8"/>
    <w:rsid w:val="00777335"/>
    <w:rsid w:val="007773AC"/>
    <w:rsid w:val="00780273"/>
    <w:rsid w:val="00780355"/>
    <w:rsid w:val="00780956"/>
    <w:rsid w:val="0078148C"/>
    <w:rsid w:val="00781619"/>
    <w:rsid w:val="00781725"/>
    <w:rsid w:val="007818C2"/>
    <w:rsid w:val="00781C82"/>
    <w:rsid w:val="0078233F"/>
    <w:rsid w:val="007828D5"/>
    <w:rsid w:val="00782990"/>
    <w:rsid w:val="00782A08"/>
    <w:rsid w:val="00782D8F"/>
    <w:rsid w:val="00782F00"/>
    <w:rsid w:val="00782FC5"/>
    <w:rsid w:val="00783263"/>
    <w:rsid w:val="0078357E"/>
    <w:rsid w:val="0078385A"/>
    <w:rsid w:val="007839E7"/>
    <w:rsid w:val="007841FF"/>
    <w:rsid w:val="00785009"/>
    <w:rsid w:val="0078599A"/>
    <w:rsid w:val="00785A63"/>
    <w:rsid w:val="00785E26"/>
    <w:rsid w:val="00785EFF"/>
    <w:rsid w:val="00786307"/>
    <w:rsid w:val="00786824"/>
    <w:rsid w:val="0078724C"/>
    <w:rsid w:val="0078751E"/>
    <w:rsid w:val="00787C9D"/>
    <w:rsid w:val="00787D70"/>
    <w:rsid w:val="007906CA"/>
    <w:rsid w:val="00790E20"/>
    <w:rsid w:val="00791503"/>
    <w:rsid w:val="00791816"/>
    <w:rsid w:val="00791E96"/>
    <w:rsid w:val="007934D4"/>
    <w:rsid w:val="00793896"/>
    <w:rsid w:val="0079394A"/>
    <w:rsid w:val="007939BD"/>
    <w:rsid w:val="00793C16"/>
    <w:rsid w:val="00793DE4"/>
    <w:rsid w:val="00793FBD"/>
    <w:rsid w:val="00794E9D"/>
    <w:rsid w:val="00795610"/>
    <w:rsid w:val="0079574C"/>
    <w:rsid w:val="00795792"/>
    <w:rsid w:val="00795B10"/>
    <w:rsid w:val="00796220"/>
    <w:rsid w:val="0079663A"/>
    <w:rsid w:val="00796AC3"/>
    <w:rsid w:val="00796C5E"/>
    <w:rsid w:val="00796F84"/>
    <w:rsid w:val="00796F8B"/>
    <w:rsid w:val="007970F4"/>
    <w:rsid w:val="0079775B"/>
    <w:rsid w:val="00797C38"/>
    <w:rsid w:val="00797E54"/>
    <w:rsid w:val="007A0692"/>
    <w:rsid w:val="007A0B62"/>
    <w:rsid w:val="007A11B0"/>
    <w:rsid w:val="007A1236"/>
    <w:rsid w:val="007A1760"/>
    <w:rsid w:val="007A1B02"/>
    <w:rsid w:val="007A1B67"/>
    <w:rsid w:val="007A1D32"/>
    <w:rsid w:val="007A21A0"/>
    <w:rsid w:val="007A2818"/>
    <w:rsid w:val="007A28A4"/>
    <w:rsid w:val="007A2A69"/>
    <w:rsid w:val="007A2A6F"/>
    <w:rsid w:val="007A39D3"/>
    <w:rsid w:val="007A3BDD"/>
    <w:rsid w:val="007A3D3F"/>
    <w:rsid w:val="007A3E4D"/>
    <w:rsid w:val="007A4506"/>
    <w:rsid w:val="007A4BE7"/>
    <w:rsid w:val="007A4C59"/>
    <w:rsid w:val="007A518D"/>
    <w:rsid w:val="007A57AE"/>
    <w:rsid w:val="007A6896"/>
    <w:rsid w:val="007A6E20"/>
    <w:rsid w:val="007A6FD8"/>
    <w:rsid w:val="007A7136"/>
    <w:rsid w:val="007A73DA"/>
    <w:rsid w:val="007A7498"/>
    <w:rsid w:val="007A74B2"/>
    <w:rsid w:val="007A771E"/>
    <w:rsid w:val="007A7C64"/>
    <w:rsid w:val="007B0571"/>
    <w:rsid w:val="007B06B8"/>
    <w:rsid w:val="007B07C4"/>
    <w:rsid w:val="007B0A6A"/>
    <w:rsid w:val="007B0B94"/>
    <w:rsid w:val="007B0C12"/>
    <w:rsid w:val="007B109A"/>
    <w:rsid w:val="007B11EC"/>
    <w:rsid w:val="007B139D"/>
    <w:rsid w:val="007B16E5"/>
    <w:rsid w:val="007B1F57"/>
    <w:rsid w:val="007B2135"/>
    <w:rsid w:val="007B216F"/>
    <w:rsid w:val="007B25D1"/>
    <w:rsid w:val="007B2616"/>
    <w:rsid w:val="007B2926"/>
    <w:rsid w:val="007B3057"/>
    <w:rsid w:val="007B4597"/>
    <w:rsid w:val="007B47A0"/>
    <w:rsid w:val="007B5174"/>
    <w:rsid w:val="007B5336"/>
    <w:rsid w:val="007B55C5"/>
    <w:rsid w:val="007B57D2"/>
    <w:rsid w:val="007B5E43"/>
    <w:rsid w:val="007B5F3C"/>
    <w:rsid w:val="007B6CC6"/>
    <w:rsid w:val="007B6F4D"/>
    <w:rsid w:val="007B70FB"/>
    <w:rsid w:val="007B72CD"/>
    <w:rsid w:val="007B74DB"/>
    <w:rsid w:val="007B7566"/>
    <w:rsid w:val="007B7AD7"/>
    <w:rsid w:val="007C0482"/>
    <w:rsid w:val="007C0E18"/>
    <w:rsid w:val="007C123C"/>
    <w:rsid w:val="007C1637"/>
    <w:rsid w:val="007C1DC9"/>
    <w:rsid w:val="007C20FE"/>
    <w:rsid w:val="007C2343"/>
    <w:rsid w:val="007C24BB"/>
    <w:rsid w:val="007C2678"/>
    <w:rsid w:val="007C2714"/>
    <w:rsid w:val="007C3435"/>
    <w:rsid w:val="007C35A9"/>
    <w:rsid w:val="007C360B"/>
    <w:rsid w:val="007C376A"/>
    <w:rsid w:val="007C3888"/>
    <w:rsid w:val="007C4526"/>
    <w:rsid w:val="007C4A77"/>
    <w:rsid w:val="007C4AC1"/>
    <w:rsid w:val="007C4ACA"/>
    <w:rsid w:val="007C55A5"/>
    <w:rsid w:val="007C55BE"/>
    <w:rsid w:val="007C5AB5"/>
    <w:rsid w:val="007C62D0"/>
    <w:rsid w:val="007C7506"/>
    <w:rsid w:val="007C766F"/>
    <w:rsid w:val="007C7AD6"/>
    <w:rsid w:val="007C7C59"/>
    <w:rsid w:val="007C7DC7"/>
    <w:rsid w:val="007D03B3"/>
    <w:rsid w:val="007D0816"/>
    <w:rsid w:val="007D094C"/>
    <w:rsid w:val="007D132F"/>
    <w:rsid w:val="007D15F0"/>
    <w:rsid w:val="007D178B"/>
    <w:rsid w:val="007D1B64"/>
    <w:rsid w:val="007D1F73"/>
    <w:rsid w:val="007D226F"/>
    <w:rsid w:val="007D22CE"/>
    <w:rsid w:val="007D296D"/>
    <w:rsid w:val="007D2C50"/>
    <w:rsid w:val="007D2E49"/>
    <w:rsid w:val="007D33FA"/>
    <w:rsid w:val="007D3A86"/>
    <w:rsid w:val="007D3B12"/>
    <w:rsid w:val="007D3BC5"/>
    <w:rsid w:val="007D40F5"/>
    <w:rsid w:val="007D46D8"/>
    <w:rsid w:val="007D4892"/>
    <w:rsid w:val="007D48E9"/>
    <w:rsid w:val="007D4A1A"/>
    <w:rsid w:val="007D4D44"/>
    <w:rsid w:val="007D4DC5"/>
    <w:rsid w:val="007D53CB"/>
    <w:rsid w:val="007D561F"/>
    <w:rsid w:val="007D5857"/>
    <w:rsid w:val="007D5BB4"/>
    <w:rsid w:val="007D6246"/>
    <w:rsid w:val="007D68DB"/>
    <w:rsid w:val="007D6E43"/>
    <w:rsid w:val="007D6F86"/>
    <w:rsid w:val="007D72CB"/>
    <w:rsid w:val="007D72EB"/>
    <w:rsid w:val="007D7CDD"/>
    <w:rsid w:val="007E016B"/>
    <w:rsid w:val="007E02BC"/>
    <w:rsid w:val="007E08C9"/>
    <w:rsid w:val="007E0A12"/>
    <w:rsid w:val="007E0F8F"/>
    <w:rsid w:val="007E13A8"/>
    <w:rsid w:val="007E2236"/>
    <w:rsid w:val="007E296A"/>
    <w:rsid w:val="007E2A9F"/>
    <w:rsid w:val="007E317C"/>
    <w:rsid w:val="007E3456"/>
    <w:rsid w:val="007E35D0"/>
    <w:rsid w:val="007E3A03"/>
    <w:rsid w:val="007E3E82"/>
    <w:rsid w:val="007E44F9"/>
    <w:rsid w:val="007E47D5"/>
    <w:rsid w:val="007E4C3C"/>
    <w:rsid w:val="007E4DA6"/>
    <w:rsid w:val="007E502A"/>
    <w:rsid w:val="007E5268"/>
    <w:rsid w:val="007E53AF"/>
    <w:rsid w:val="007E5725"/>
    <w:rsid w:val="007E5937"/>
    <w:rsid w:val="007E5ED9"/>
    <w:rsid w:val="007E5EDC"/>
    <w:rsid w:val="007E6646"/>
    <w:rsid w:val="007E67D9"/>
    <w:rsid w:val="007E6C51"/>
    <w:rsid w:val="007E7232"/>
    <w:rsid w:val="007E72AB"/>
    <w:rsid w:val="007E7754"/>
    <w:rsid w:val="007E7E0F"/>
    <w:rsid w:val="007E7EC0"/>
    <w:rsid w:val="007F0378"/>
    <w:rsid w:val="007F0684"/>
    <w:rsid w:val="007F06B6"/>
    <w:rsid w:val="007F06E8"/>
    <w:rsid w:val="007F0AF8"/>
    <w:rsid w:val="007F0E4C"/>
    <w:rsid w:val="007F1933"/>
    <w:rsid w:val="007F1B94"/>
    <w:rsid w:val="007F1F1C"/>
    <w:rsid w:val="007F219A"/>
    <w:rsid w:val="007F3130"/>
    <w:rsid w:val="007F35B8"/>
    <w:rsid w:val="007F3D80"/>
    <w:rsid w:val="007F3F16"/>
    <w:rsid w:val="007F42F0"/>
    <w:rsid w:val="007F4906"/>
    <w:rsid w:val="007F4981"/>
    <w:rsid w:val="007F4C6E"/>
    <w:rsid w:val="007F6340"/>
    <w:rsid w:val="007F65DB"/>
    <w:rsid w:val="007F6761"/>
    <w:rsid w:val="007F6BC4"/>
    <w:rsid w:val="007F70D4"/>
    <w:rsid w:val="007F76B6"/>
    <w:rsid w:val="007F7893"/>
    <w:rsid w:val="007F7ABF"/>
    <w:rsid w:val="0080073F"/>
    <w:rsid w:val="00800917"/>
    <w:rsid w:val="00801607"/>
    <w:rsid w:val="00801713"/>
    <w:rsid w:val="0080176E"/>
    <w:rsid w:val="00801B94"/>
    <w:rsid w:val="00801CB1"/>
    <w:rsid w:val="00802758"/>
    <w:rsid w:val="00802A50"/>
    <w:rsid w:val="00802A7A"/>
    <w:rsid w:val="00802AA7"/>
    <w:rsid w:val="00802B6F"/>
    <w:rsid w:val="008038AE"/>
    <w:rsid w:val="00803AAC"/>
    <w:rsid w:val="00803ACE"/>
    <w:rsid w:val="00804D2A"/>
    <w:rsid w:val="00805834"/>
    <w:rsid w:val="00805B99"/>
    <w:rsid w:val="00805D3E"/>
    <w:rsid w:val="00805EEC"/>
    <w:rsid w:val="008061C2"/>
    <w:rsid w:val="00806E9B"/>
    <w:rsid w:val="00807090"/>
    <w:rsid w:val="00807926"/>
    <w:rsid w:val="0080796B"/>
    <w:rsid w:val="00807A15"/>
    <w:rsid w:val="00807AB5"/>
    <w:rsid w:val="008100A2"/>
    <w:rsid w:val="008107F5"/>
    <w:rsid w:val="00810A75"/>
    <w:rsid w:val="00810D27"/>
    <w:rsid w:val="00810E30"/>
    <w:rsid w:val="00810ED7"/>
    <w:rsid w:val="00811057"/>
    <w:rsid w:val="0081169E"/>
    <w:rsid w:val="0081176F"/>
    <w:rsid w:val="008123D4"/>
    <w:rsid w:val="00812B2D"/>
    <w:rsid w:val="00812C4E"/>
    <w:rsid w:val="00813AEB"/>
    <w:rsid w:val="00814049"/>
    <w:rsid w:val="00814CAD"/>
    <w:rsid w:val="0081580E"/>
    <w:rsid w:val="00815914"/>
    <w:rsid w:val="00815BB1"/>
    <w:rsid w:val="0081623E"/>
    <w:rsid w:val="00816340"/>
    <w:rsid w:val="008172FD"/>
    <w:rsid w:val="008177AE"/>
    <w:rsid w:val="00817D96"/>
    <w:rsid w:val="00817E6F"/>
    <w:rsid w:val="00817F9A"/>
    <w:rsid w:val="00820896"/>
    <w:rsid w:val="008213A6"/>
    <w:rsid w:val="00821956"/>
    <w:rsid w:val="00821A07"/>
    <w:rsid w:val="008227FA"/>
    <w:rsid w:val="008229A2"/>
    <w:rsid w:val="0082443D"/>
    <w:rsid w:val="0082498C"/>
    <w:rsid w:val="00824A9E"/>
    <w:rsid w:val="00824E44"/>
    <w:rsid w:val="00825ED1"/>
    <w:rsid w:val="00825EDB"/>
    <w:rsid w:val="00825F58"/>
    <w:rsid w:val="008264EB"/>
    <w:rsid w:val="008267E6"/>
    <w:rsid w:val="008268CF"/>
    <w:rsid w:val="00826DEF"/>
    <w:rsid w:val="008270EE"/>
    <w:rsid w:val="008273A3"/>
    <w:rsid w:val="0082744A"/>
    <w:rsid w:val="00827497"/>
    <w:rsid w:val="008275A9"/>
    <w:rsid w:val="0083026B"/>
    <w:rsid w:val="008307F9"/>
    <w:rsid w:val="00830845"/>
    <w:rsid w:val="0083098F"/>
    <w:rsid w:val="008309E1"/>
    <w:rsid w:val="00831472"/>
    <w:rsid w:val="008327A9"/>
    <w:rsid w:val="008327F0"/>
    <w:rsid w:val="00832922"/>
    <w:rsid w:val="008329FF"/>
    <w:rsid w:val="00832ECB"/>
    <w:rsid w:val="0083302B"/>
    <w:rsid w:val="00833526"/>
    <w:rsid w:val="008336EE"/>
    <w:rsid w:val="008340EC"/>
    <w:rsid w:val="00834B47"/>
    <w:rsid w:val="00835459"/>
    <w:rsid w:val="0083566C"/>
    <w:rsid w:val="00836259"/>
    <w:rsid w:val="00836AC7"/>
    <w:rsid w:val="00836C77"/>
    <w:rsid w:val="00836E1B"/>
    <w:rsid w:val="008376CD"/>
    <w:rsid w:val="0083793C"/>
    <w:rsid w:val="00837BB6"/>
    <w:rsid w:val="00837C92"/>
    <w:rsid w:val="00837F0F"/>
    <w:rsid w:val="00837FEE"/>
    <w:rsid w:val="008404E0"/>
    <w:rsid w:val="008416E5"/>
    <w:rsid w:val="00841A00"/>
    <w:rsid w:val="0084210C"/>
    <w:rsid w:val="00842BBA"/>
    <w:rsid w:val="00842D41"/>
    <w:rsid w:val="00842E56"/>
    <w:rsid w:val="00843029"/>
    <w:rsid w:val="00843420"/>
    <w:rsid w:val="00843B5D"/>
    <w:rsid w:val="00843F87"/>
    <w:rsid w:val="008447D4"/>
    <w:rsid w:val="0084506C"/>
    <w:rsid w:val="008454BD"/>
    <w:rsid w:val="00845B66"/>
    <w:rsid w:val="008463F3"/>
    <w:rsid w:val="00846509"/>
    <w:rsid w:val="008467CB"/>
    <w:rsid w:val="008467D3"/>
    <w:rsid w:val="00846845"/>
    <w:rsid w:val="00846D76"/>
    <w:rsid w:val="00847650"/>
    <w:rsid w:val="008476DC"/>
    <w:rsid w:val="00847829"/>
    <w:rsid w:val="008479B1"/>
    <w:rsid w:val="0085005F"/>
    <w:rsid w:val="008500F5"/>
    <w:rsid w:val="0085062F"/>
    <w:rsid w:val="00851307"/>
    <w:rsid w:val="008515B1"/>
    <w:rsid w:val="00851C40"/>
    <w:rsid w:val="00852508"/>
    <w:rsid w:val="00852578"/>
    <w:rsid w:val="00852A75"/>
    <w:rsid w:val="00852E5B"/>
    <w:rsid w:val="0085323E"/>
    <w:rsid w:val="008535EB"/>
    <w:rsid w:val="00853677"/>
    <w:rsid w:val="00853A88"/>
    <w:rsid w:val="00853ACD"/>
    <w:rsid w:val="00853ACF"/>
    <w:rsid w:val="00853F1F"/>
    <w:rsid w:val="008544D3"/>
    <w:rsid w:val="00854AD2"/>
    <w:rsid w:val="00855089"/>
    <w:rsid w:val="008558A1"/>
    <w:rsid w:val="00855A1E"/>
    <w:rsid w:val="00855DEB"/>
    <w:rsid w:val="0085642F"/>
    <w:rsid w:val="0085717F"/>
    <w:rsid w:val="008573AF"/>
    <w:rsid w:val="008573F8"/>
    <w:rsid w:val="00857645"/>
    <w:rsid w:val="00857D80"/>
    <w:rsid w:val="008602FC"/>
    <w:rsid w:val="00860989"/>
    <w:rsid w:val="00860CF9"/>
    <w:rsid w:val="008614A8"/>
    <w:rsid w:val="00861DEF"/>
    <w:rsid w:val="008622D3"/>
    <w:rsid w:val="0086268A"/>
    <w:rsid w:val="00862BD4"/>
    <w:rsid w:val="00862BFA"/>
    <w:rsid w:val="00862EE5"/>
    <w:rsid w:val="008639A2"/>
    <w:rsid w:val="00863BBB"/>
    <w:rsid w:val="008640FD"/>
    <w:rsid w:val="0086426C"/>
    <w:rsid w:val="008644D5"/>
    <w:rsid w:val="00864A96"/>
    <w:rsid w:val="00864C8B"/>
    <w:rsid w:val="00864E19"/>
    <w:rsid w:val="00865020"/>
    <w:rsid w:val="0086564F"/>
    <w:rsid w:val="00865681"/>
    <w:rsid w:val="00865C9A"/>
    <w:rsid w:val="00866618"/>
    <w:rsid w:val="00867578"/>
    <w:rsid w:val="00867B6B"/>
    <w:rsid w:val="00867FDD"/>
    <w:rsid w:val="0087000F"/>
    <w:rsid w:val="008706D6"/>
    <w:rsid w:val="00870788"/>
    <w:rsid w:val="00870923"/>
    <w:rsid w:val="00870A8A"/>
    <w:rsid w:val="00870AFC"/>
    <w:rsid w:val="00870F67"/>
    <w:rsid w:val="00870F6E"/>
    <w:rsid w:val="008715CC"/>
    <w:rsid w:val="0087210B"/>
    <w:rsid w:val="00872589"/>
    <w:rsid w:val="00872770"/>
    <w:rsid w:val="00873125"/>
    <w:rsid w:val="008731F2"/>
    <w:rsid w:val="00873754"/>
    <w:rsid w:val="0087378A"/>
    <w:rsid w:val="00873CF3"/>
    <w:rsid w:val="008746D7"/>
    <w:rsid w:val="008752FC"/>
    <w:rsid w:val="00875FA4"/>
    <w:rsid w:val="008763C8"/>
    <w:rsid w:val="0087656D"/>
    <w:rsid w:val="0087672D"/>
    <w:rsid w:val="008779E9"/>
    <w:rsid w:val="00877D2C"/>
    <w:rsid w:val="00877D6E"/>
    <w:rsid w:val="00877E35"/>
    <w:rsid w:val="0088014E"/>
    <w:rsid w:val="00880AA4"/>
    <w:rsid w:val="00880BAB"/>
    <w:rsid w:val="008812A7"/>
    <w:rsid w:val="008816B2"/>
    <w:rsid w:val="008817FF"/>
    <w:rsid w:val="0088239C"/>
    <w:rsid w:val="00882745"/>
    <w:rsid w:val="008828F7"/>
    <w:rsid w:val="00882946"/>
    <w:rsid w:val="00882A65"/>
    <w:rsid w:val="00882C4D"/>
    <w:rsid w:val="00882D67"/>
    <w:rsid w:val="00882E58"/>
    <w:rsid w:val="0088318D"/>
    <w:rsid w:val="008835B1"/>
    <w:rsid w:val="00883B3F"/>
    <w:rsid w:val="00883E0A"/>
    <w:rsid w:val="00884A91"/>
    <w:rsid w:val="008851BE"/>
    <w:rsid w:val="00885538"/>
    <w:rsid w:val="00885960"/>
    <w:rsid w:val="00885ADA"/>
    <w:rsid w:val="00886188"/>
    <w:rsid w:val="0088651F"/>
    <w:rsid w:val="00886632"/>
    <w:rsid w:val="00887063"/>
    <w:rsid w:val="00887798"/>
    <w:rsid w:val="0088796B"/>
    <w:rsid w:val="00887D83"/>
    <w:rsid w:val="00887F1B"/>
    <w:rsid w:val="008900CF"/>
    <w:rsid w:val="008903F8"/>
    <w:rsid w:val="00890709"/>
    <w:rsid w:val="00891AE3"/>
    <w:rsid w:val="00891D67"/>
    <w:rsid w:val="00892165"/>
    <w:rsid w:val="008922CF"/>
    <w:rsid w:val="008923D1"/>
    <w:rsid w:val="008925B9"/>
    <w:rsid w:val="00892827"/>
    <w:rsid w:val="00892AEE"/>
    <w:rsid w:val="008937AC"/>
    <w:rsid w:val="008937CB"/>
    <w:rsid w:val="00893EA3"/>
    <w:rsid w:val="00893FF7"/>
    <w:rsid w:val="0089427B"/>
    <w:rsid w:val="008942A5"/>
    <w:rsid w:val="0089483C"/>
    <w:rsid w:val="00894A6B"/>
    <w:rsid w:val="00894A7F"/>
    <w:rsid w:val="00895DCC"/>
    <w:rsid w:val="00895E5A"/>
    <w:rsid w:val="008962BC"/>
    <w:rsid w:val="008973BA"/>
    <w:rsid w:val="00897502"/>
    <w:rsid w:val="00897602"/>
    <w:rsid w:val="00897855"/>
    <w:rsid w:val="008A03C3"/>
    <w:rsid w:val="008A045F"/>
    <w:rsid w:val="008A09CE"/>
    <w:rsid w:val="008A0B6D"/>
    <w:rsid w:val="008A0E02"/>
    <w:rsid w:val="008A0E63"/>
    <w:rsid w:val="008A0F85"/>
    <w:rsid w:val="008A173F"/>
    <w:rsid w:val="008A1EFD"/>
    <w:rsid w:val="008A1F90"/>
    <w:rsid w:val="008A211F"/>
    <w:rsid w:val="008A2385"/>
    <w:rsid w:val="008A2711"/>
    <w:rsid w:val="008A2790"/>
    <w:rsid w:val="008A279B"/>
    <w:rsid w:val="008A2830"/>
    <w:rsid w:val="008A2C5D"/>
    <w:rsid w:val="008A30BD"/>
    <w:rsid w:val="008A336F"/>
    <w:rsid w:val="008A3544"/>
    <w:rsid w:val="008A3C32"/>
    <w:rsid w:val="008A444A"/>
    <w:rsid w:val="008A46CB"/>
    <w:rsid w:val="008A4876"/>
    <w:rsid w:val="008A4B83"/>
    <w:rsid w:val="008A4F57"/>
    <w:rsid w:val="008A52CE"/>
    <w:rsid w:val="008A544C"/>
    <w:rsid w:val="008A574C"/>
    <w:rsid w:val="008A5BC7"/>
    <w:rsid w:val="008A67A1"/>
    <w:rsid w:val="008A6A25"/>
    <w:rsid w:val="008A720F"/>
    <w:rsid w:val="008A72DE"/>
    <w:rsid w:val="008A77BD"/>
    <w:rsid w:val="008A7949"/>
    <w:rsid w:val="008A7A03"/>
    <w:rsid w:val="008A7B45"/>
    <w:rsid w:val="008B0BA7"/>
    <w:rsid w:val="008B0DE8"/>
    <w:rsid w:val="008B0E9B"/>
    <w:rsid w:val="008B103F"/>
    <w:rsid w:val="008B12FC"/>
    <w:rsid w:val="008B1C8C"/>
    <w:rsid w:val="008B1E06"/>
    <w:rsid w:val="008B20A4"/>
    <w:rsid w:val="008B2F1A"/>
    <w:rsid w:val="008B31AD"/>
    <w:rsid w:val="008B329A"/>
    <w:rsid w:val="008B331F"/>
    <w:rsid w:val="008B3960"/>
    <w:rsid w:val="008B3A87"/>
    <w:rsid w:val="008B3C1B"/>
    <w:rsid w:val="008B3C1F"/>
    <w:rsid w:val="008B3D7A"/>
    <w:rsid w:val="008B4243"/>
    <w:rsid w:val="008B47F4"/>
    <w:rsid w:val="008B4953"/>
    <w:rsid w:val="008B4E19"/>
    <w:rsid w:val="008B4F72"/>
    <w:rsid w:val="008B5181"/>
    <w:rsid w:val="008B58E4"/>
    <w:rsid w:val="008B5A61"/>
    <w:rsid w:val="008B5F58"/>
    <w:rsid w:val="008B6190"/>
    <w:rsid w:val="008B6231"/>
    <w:rsid w:val="008B6367"/>
    <w:rsid w:val="008B63AD"/>
    <w:rsid w:val="008B6939"/>
    <w:rsid w:val="008B6A05"/>
    <w:rsid w:val="008B6ADB"/>
    <w:rsid w:val="008B6F26"/>
    <w:rsid w:val="008B7546"/>
    <w:rsid w:val="008B7ECB"/>
    <w:rsid w:val="008C0557"/>
    <w:rsid w:val="008C0771"/>
    <w:rsid w:val="008C0845"/>
    <w:rsid w:val="008C1779"/>
    <w:rsid w:val="008C1DC1"/>
    <w:rsid w:val="008C287C"/>
    <w:rsid w:val="008C28B3"/>
    <w:rsid w:val="008C3591"/>
    <w:rsid w:val="008C3982"/>
    <w:rsid w:val="008C3A88"/>
    <w:rsid w:val="008C3AC1"/>
    <w:rsid w:val="008C3D73"/>
    <w:rsid w:val="008C41CD"/>
    <w:rsid w:val="008C44FA"/>
    <w:rsid w:val="008C482E"/>
    <w:rsid w:val="008C4E96"/>
    <w:rsid w:val="008C4EB8"/>
    <w:rsid w:val="008C4FFE"/>
    <w:rsid w:val="008C51AD"/>
    <w:rsid w:val="008C5A8B"/>
    <w:rsid w:val="008C61B0"/>
    <w:rsid w:val="008C6E3D"/>
    <w:rsid w:val="008C6FD3"/>
    <w:rsid w:val="008C70EB"/>
    <w:rsid w:val="008C71DE"/>
    <w:rsid w:val="008C7C23"/>
    <w:rsid w:val="008C7FA7"/>
    <w:rsid w:val="008D0E8E"/>
    <w:rsid w:val="008D155D"/>
    <w:rsid w:val="008D15E6"/>
    <w:rsid w:val="008D1C2B"/>
    <w:rsid w:val="008D229E"/>
    <w:rsid w:val="008D24C5"/>
    <w:rsid w:val="008D24FA"/>
    <w:rsid w:val="008D2F91"/>
    <w:rsid w:val="008D36D2"/>
    <w:rsid w:val="008D3E05"/>
    <w:rsid w:val="008D3FE4"/>
    <w:rsid w:val="008D415F"/>
    <w:rsid w:val="008D463D"/>
    <w:rsid w:val="008D536E"/>
    <w:rsid w:val="008D5506"/>
    <w:rsid w:val="008D5659"/>
    <w:rsid w:val="008D57A3"/>
    <w:rsid w:val="008D5C9A"/>
    <w:rsid w:val="008D5D6F"/>
    <w:rsid w:val="008D5DAB"/>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B3"/>
    <w:rsid w:val="008E054A"/>
    <w:rsid w:val="008E08F2"/>
    <w:rsid w:val="008E0DE2"/>
    <w:rsid w:val="008E0EA1"/>
    <w:rsid w:val="008E0EF1"/>
    <w:rsid w:val="008E19E9"/>
    <w:rsid w:val="008E1A0B"/>
    <w:rsid w:val="008E1CA4"/>
    <w:rsid w:val="008E22E0"/>
    <w:rsid w:val="008E260B"/>
    <w:rsid w:val="008E2BCC"/>
    <w:rsid w:val="008E52E7"/>
    <w:rsid w:val="008E53DB"/>
    <w:rsid w:val="008E5981"/>
    <w:rsid w:val="008E5A4E"/>
    <w:rsid w:val="008E5C8F"/>
    <w:rsid w:val="008E646A"/>
    <w:rsid w:val="008E68B9"/>
    <w:rsid w:val="008E6D37"/>
    <w:rsid w:val="008E6F52"/>
    <w:rsid w:val="008E6F6B"/>
    <w:rsid w:val="008E712B"/>
    <w:rsid w:val="008E7155"/>
    <w:rsid w:val="008E71FB"/>
    <w:rsid w:val="008E7365"/>
    <w:rsid w:val="008E78ED"/>
    <w:rsid w:val="008F0248"/>
    <w:rsid w:val="008F07B8"/>
    <w:rsid w:val="008F0932"/>
    <w:rsid w:val="008F0945"/>
    <w:rsid w:val="008F0A86"/>
    <w:rsid w:val="008F0AB8"/>
    <w:rsid w:val="008F0EF5"/>
    <w:rsid w:val="008F1238"/>
    <w:rsid w:val="008F14CA"/>
    <w:rsid w:val="008F24BD"/>
    <w:rsid w:val="008F257A"/>
    <w:rsid w:val="008F2A47"/>
    <w:rsid w:val="008F2AFA"/>
    <w:rsid w:val="008F35D9"/>
    <w:rsid w:val="008F3793"/>
    <w:rsid w:val="008F3F41"/>
    <w:rsid w:val="008F438C"/>
    <w:rsid w:val="008F43D6"/>
    <w:rsid w:val="008F45BC"/>
    <w:rsid w:val="008F48C6"/>
    <w:rsid w:val="008F49F3"/>
    <w:rsid w:val="008F525C"/>
    <w:rsid w:val="008F5309"/>
    <w:rsid w:val="008F540C"/>
    <w:rsid w:val="008F58A7"/>
    <w:rsid w:val="008F6060"/>
    <w:rsid w:val="008F6426"/>
    <w:rsid w:val="008F6AB0"/>
    <w:rsid w:val="008F6B8B"/>
    <w:rsid w:val="0090097F"/>
    <w:rsid w:val="00900D92"/>
    <w:rsid w:val="0090146E"/>
    <w:rsid w:val="009015F4"/>
    <w:rsid w:val="00901E4D"/>
    <w:rsid w:val="00901F1D"/>
    <w:rsid w:val="0090296B"/>
    <w:rsid w:val="00902972"/>
    <w:rsid w:val="00903424"/>
    <w:rsid w:val="00904206"/>
    <w:rsid w:val="0090441B"/>
    <w:rsid w:val="00905456"/>
    <w:rsid w:val="00905530"/>
    <w:rsid w:val="00905BE3"/>
    <w:rsid w:val="0090621C"/>
    <w:rsid w:val="00906618"/>
    <w:rsid w:val="00906BB6"/>
    <w:rsid w:val="00906C4A"/>
    <w:rsid w:val="00907986"/>
    <w:rsid w:val="00907D90"/>
    <w:rsid w:val="00910078"/>
    <w:rsid w:val="009104AB"/>
    <w:rsid w:val="00910866"/>
    <w:rsid w:val="0091095D"/>
    <w:rsid w:val="00910D99"/>
    <w:rsid w:val="00910E2C"/>
    <w:rsid w:val="009110AD"/>
    <w:rsid w:val="009111CC"/>
    <w:rsid w:val="009114FF"/>
    <w:rsid w:val="00911A79"/>
    <w:rsid w:val="00911D8B"/>
    <w:rsid w:val="00911DAD"/>
    <w:rsid w:val="00912464"/>
    <w:rsid w:val="009127CC"/>
    <w:rsid w:val="00912D42"/>
    <w:rsid w:val="009133DD"/>
    <w:rsid w:val="00914525"/>
    <w:rsid w:val="00914722"/>
    <w:rsid w:val="009151EB"/>
    <w:rsid w:val="00915465"/>
    <w:rsid w:val="009158B9"/>
    <w:rsid w:val="00915A71"/>
    <w:rsid w:val="009160F5"/>
    <w:rsid w:val="0091620A"/>
    <w:rsid w:val="00916301"/>
    <w:rsid w:val="00916863"/>
    <w:rsid w:val="0091688E"/>
    <w:rsid w:val="00916F1E"/>
    <w:rsid w:val="00917458"/>
    <w:rsid w:val="00917CA8"/>
    <w:rsid w:val="009206CD"/>
    <w:rsid w:val="0092096D"/>
    <w:rsid w:val="00920975"/>
    <w:rsid w:val="009217B9"/>
    <w:rsid w:val="00921C79"/>
    <w:rsid w:val="00921D9C"/>
    <w:rsid w:val="00921E56"/>
    <w:rsid w:val="009221ED"/>
    <w:rsid w:val="0092259C"/>
    <w:rsid w:val="009228A9"/>
    <w:rsid w:val="00922EB9"/>
    <w:rsid w:val="009234E2"/>
    <w:rsid w:val="00923EDA"/>
    <w:rsid w:val="00926AD0"/>
    <w:rsid w:val="00926F12"/>
    <w:rsid w:val="009278EB"/>
    <w:rsid w:val="00927C90"/>
    <w:rsid w:val="00927DE3"/>
    <w:rsid w:val="00930591"/>
    <w:rsid w:val="00930609"/>
    <w:rsid w:val="00930B72"/>
    <w:rsid w:val="0093110E"/>
    <w:rsid w:val="0093122C"/>
    <w:rsid w:val="009316C7"/>
    <w:rsid w:val="0093196E"/>
    <w:rsid w:val="00931A58"/>
    <w:rsid w:val="00932113"/>
    <w:rsid w:val="00932670"/>
    <w:rsid w:val="00932AD7"/>
    <w:rsid w:val="00932AFD"/>
    <w:rsid w:val="00932DAC"/>
    <w:rsid w:val="00932E71"/>
    <w:rsid w:val="009332E0"/>
    <w:rsid w:val="0093397C"/>
    <w:rsid w:val="00934DE7"/>
    <w:rsid w:val="00935130"/>
    <w:rsid w:val="00935153"/>
    <w:rsid w:val="009352C5"/>
    <w:rsid w:val="00935534"/>
    <w:rsid w:val="0093562F"/>
    <w:rsid w:val="0093573A"/>
    <w:rsid w:val="00935929"/>
    <w:rsid w:val="009359EE"/>
    <w:rsid w:val="00935F61"/>
    <w:rsid w:val="009360BB"/>
    <w:rsid w:val="00936981"/>
    <w:rsid w:val="00936B1F"/>
    <w:rsid w:val="0093775C"/>
    <w:rsid w:val="00937887"/>
    <w:rsid w:val="009379F0"/>
    <w:rsid w:val="00937A67"/>
    <w:rsid w:val="00937BEC"/>
    <w:rsid w:val="0094055F"/>
    <w:rsid w:val="00940757"/>
    <w:rsid w:val="009415F9"/>
    <w:rsid w:val="00941A0C"/>
    <w:rsid w:val="00941A8A"/>
    <w:rsid w:val="00941FF5"/>
    <w:rsid w:val="00942B2E"/>
    <w:rsid w:val="00942DF0"/>
    <w:rsid w:val="00943238"/>
    <w:rsid w:val="00943464"/>
    <w:rsid w:val="009434EB"/>
    <w:rsid w:val="00943572"/>
    <w:rsid w:val="00943CFE"/>
    <w:rsid w:val="00943F96"/>
    <w:rsid w:val="00943FA2"/>
    <w:rsid w:val="0094494D"/>
    <w:rsid w:val="00944BA5"/>
    <w:rsid w:val="00944E59"/>
    <w:rsid w:val="00944FD3"/>
    <w:rsid w:val="00945401"/>
    <w:rsid w:val="009456F4"/>
    <w:rsid w:val="009459F4"/>
    <w:rsid w:val="00945ABE"/>
    <w:rsid w:val="00945E58"/>
    <w:rsid w:val="00945F58"/>
    <w:rsid w:val="00946127"/>
    <w:rsid w:val="0094689D"/>
    <w:rsid w:val="00946907"/>
    <w:rsid w:val="0094690A"/>
    <w:rsid w:val="00947607"/>
    <w:rsid w:val="009477F9"/>
    <w:rsid w:val="009505EB"/>
    <w:rsid w:val="00950CAE"/>
    <w:rsid w:val="00951164"/>
    <w:rsid w:val="009512EC"/>
    <w:rsid w:val="00952E7D"/>
    <w:rsid w:val="0095306C"/>
    <w:rsid w:val="0095315A"/>
    <w:rsid w:val="009534DD"/>
    <w:rsid w:val="009535C2"/>
    <w:rsid w:val="00953A73"/>
    <w:rsid w:val="00953B1B"/>
    <w:rsid w:val="00953C98"/>
    <w:rsid w:val="0095432C"/>
    <w:rsid w:val="00954BB2"/>
    <w:rsid w:val="00954D5A"/>
    <w:rsid w:val="009551A8"/>
    <w:rsid w:val="00955540"/>
    <w:rsid w:val="00955665"/>
    <w:rsid w:val="00955C1A"/>
    <w:rsid w:val="00956984"/>
    <w:rsid w:val="009569BE"/>
    <w:rsid w:val="009569E3"/>
    <w:rsid w:val="00956B6C"/>
    <w:rsid w:val="00957932"/>
    <w:rsid w:val="00957B5B"/>
    <w:rsid w:val="009601CB"/>
    <w:rsid w:val="0096059A"/>
    <w:rsid w:val="0096081E"/>
    <w:rsid w:val="00960C64"/>
    <w:rsid w:val="00960D39"/>
    <w:rsid w:val="00960F7E"/>
    <w:rsid w:val="009611A5"/>
    <w:rsid w:val="00961279"/>
    <w:rsid w:val="0096193B"/>
    <w:rsid w:val="00961B25"/>
    <w:rsid w:val="00961B7B"/>
    <w:rsid w:val="009622A5"/>
    <w:rsid w:val="0096267A"/>
    <w:rsid w:val="009629FE"/>
    <w:rsid w:val="00963188"/>
    <w:rsid w:val="00963240"/>
    <w:rsid w:val="00963957"/>
    <w:rsid w:val="00963B82"/>
    <w:rsid w:val="00964475"/>
    <w:rsid w:val="00964A6E"/>
    <w:rsid w:val="00964FB4"/>
    <w:rsid w:val="0096582E"/>
    <w:rsid w:val="00965C9A"/>
    <w:rsid w:val="00965DAE"/>
    <w:rsid w:val="00966006"/>
    <w:rsid w:val="009666BD"/>
    <w:rsid w:val="00966B91"/>
    <w:rsid w:val="00966BFB"/>
    <w:rsid w:val="00966FF8"/>
    <w:rsid w:val="0096749A"/>
    <w:rsid w:val="00967CDA"/>
    <w:rsid w:val="00967FBD"/>
    <w:rsid w:val="00970048"/>
    <w:rsid w:val="00971831"/>
    <w:rsid w:val="0097185A"/>
    <w:rsid w:val="00971CAF"/>
    <w:rsid w:val="00971F8D"/>
    <w:rsid w:val="0097216D"/>
    <w:rsid w:val="00972D8F"/>
    <w:rsid w:val="00973C2B"/>
    <w:rsid w:val="00974255"/>
    <w:rsid w:val="0097437B"/>
    <w:rsid w:val="0097441E"/>
    <w:rsid w:val="00975466"/>
    <w:rsid w:val="00975740"/>
    <w:rsid w:val="00975990"/>
    <w:rsid w:val="00975FB0"/>
    <w:rsid w:val="009762C7"/>
    <w:rsid w:val="0097670F"/>
    <w:rsid w:val="00976C61"/>
    <w:rsid w:val="0097710C"/>
    <w:rsid w:val="009803EC"/>
    <w:rsid w:val="00980DC7"/>
    <w:rsid w:val="00981215"/>
    <w:rsid w:val="009812AC"/>
    <w:rsid w:val="009812FC"/>
    <w:rsid w:val="009813BF"/>
    <w:rsid w:val="009816E3"/>
    <w:rsid w:val="009819CD"/>
    <w:rsid w:val="00981AC2"/>
    <w:rsid w:val="00982032"/>
    <w:rsid w:val="009824DD"/>
    <w:rsid w:val="00982C0D"/>
    <w:rsid w:val="009834ED"/>
    <w:rsid w:val="00983D98"/>
    <w:rsid w:val="009844B4"/>
    <w:rsid w:val="0098453B"/>
    <w:rsid w:val="0098461D"/>
    <w:rsid w:val="009849BE"/>
    <w:rsid w:val="00984B0E"/>
    <w:rsid w:val="00984BB9"/>
    <w:rsid w:val="00984D82"/>
    <w:rsid w:val="0098572B"/>
    <w:rsid w:val="00985CDA"/>
    <w:rsid w:val="0098603A"/>
    <w:rsid w:val="00986137"/>
    <w:rsid w:val="00986B96"/>
    <w:rsid w:val="0098740B"/>
    <w:rsid w:val="00987506"/>
    <w:rsid w:val="00987512"/>
    <w:rsid w:val="00987C6F"/>
    <w:rsid w:val="00990117"/>
    <w:rsid w:val="0099018C"/>
    <w:rsid w:val="00990708"/>
    <w:rsid w:val="00990718"/>
    <w:rsid w:val="00990C3D"/>
    <w:rsid w:val="009914A3"/>
    <w:rsid w:val="0099199D"/>
    <w:rsid w:val="00991B9A"/>
    <w:rsid w:val="00992205"/>
    <w:rsid w:val="0099238D"/>
    <w:rsid w:val="0099242C"/>
    <w:rsid w:val="00992837"/>
    <w:rsid w:val="00992A01"/>
    <w:rsid w:val="00993499"/>
    <w:rsid w:val="009934DB"/>
    <w:rsid w:val="009939CB"/>
    <w:rsid w:val="00993D95"/>
    <w:rsid w:val="00994409"/>
    <w:rsid w:val="009945C0"/>
    <w:rsid w:val="009948FE"/>
    <w:rsid w:val="009949AE"/>
    <w:rsid w:val="00994D20"/>
    <w:rsid w:val="00994D3D"/>
    <w:rsid w:val="00995267"/>
    <w:rsid w:val="009952F4"/>
    <w:rsid w:val="00995756"/>
    <w:rsid w:val="00995B58"/>
    <w:rsid w:val="00995B8C"/>
    <w:rsid w:val="00995E08"/>
    <w:rsid w:val="00996468"/>
    <w:rsid w:val="00996554"/>
    <w:rsid w:val="009966AD"/>
    <w:rsid w:val="009967AF"/>
    <w:rsid w:val="00997125"/>
    <w:rsid w:val="00997F39"/>
    <w:rsid w:val="009A0208"/>
    <w:rsid w:val="009A03AC"/>
    <w:rsid w:val="009A0B05"/>
    <w:rsid w:val="009A0BE4"/>
    <w:rsid w:val="009A0C34"/>
    <w:rsid w:val="009A1089"/>
    <w:rsid w:val="009A1B80"/>
    <w:rsid w:val="009A1D3F"/>
    <w:rsid w:val="009A1F44"/>
    <w:rsid w:val="009A21EE"/>
    <w:rsid w:val="009A24A0"/>
    <w:rsid w:val="009A253B"/>
    <w:rsid w:val="009A3205"/>
    <w:rsid w:val="009A346F"/>
    <w:rsid w:val="009A34D5"/>
    <w:rsid w:val="009A3C6E"/>
    <w:rsid w:val="009A3CC7"/>
    <w:rsid w:val="009A3DA2"/>
    <w:rsid w:val="009A49BD"/>
    <w:rsid w:val="009A4E70"/>
    <w:rsid w:val="009A640C"/>
    <w:rsid w:val="009A671A"/>
    <w:rsid w:val="009A6A04"/>
    <w:rsid w:val="009A6A34"/>
    <w:rsid w:val="009A78A6"/>
    <w:rsid w:val="009A7BB0"/>
    <w:rsid w:val="009B01AE"/>
    <w:rsid w:val="009B04F2"/>
    <w:rsid w:val="009B0A43"/>
    <w:rsid w:val="009B0EAE"/>
    <w:rsid w:val="009B123D"/>
    <w:rsid w:val="009B12D4"/>
    <w:rsid w:val="009B1C1B"/>
    <w:rsid w:val="009B1E55"/>
    <w:rsid w:val="009B1FF8"/>
    <w:rsid w:val="009B22AC"/>
    <w:rsid w:val="009B23BE"/>
    <w:rsid w:val="009B35B9"/>
    <w:rsid w:val="009B35BF"/>
    <w:rsid w:val="009B422A"/>
    <w:rsid w:val="009B4C28"/>
    <w:rsid w:val="009B4C3E"/>
    <w:rsid w:val="009B4D2F"/>
    <w:rsid w:val="009B5038"/>
    <w:rsid w:val="009B56BE"/>
    <w:rsid w:val="009B573C"/>
    <w:rsid w:val="009B582F"/>
    <w:rsid w:val="009B5C8F"/>
    <w:rsid w:val="009B6071"/>
    <w:rsid w:val="009B65D5"/>
    <w:rsid w:val="009B6E0F"/>
    <w:rsid w:val="009B6EF9"/>
    <w:rsid w:val="009B7356"/>
    <w:rsid w:val="009B78A7"/>
    <w:rsid w:val="009B7A8A"/>
    <w:rsid w:val="009C03A2"/>
    <w:rsid w:val="009C099B"/>
    <w:rsid w:val="009C0B86"/>
    <w:rsid w:val="009C113F"/>
    <w:rsid w:val="009C1832"/>
    <w:rsid w:val="009C1978"/>
    <w:rsid w:val="009C1ADB"/>
    <w:rsid w:val="009C2E36"/>
    <w:rsid w:val="009C353A"/>
    <w:rsid w:val="009C3599"/>
    <w:rsid w:val="009C36D1"/>
    <w:rsid w:val="009C37BF"/>
    <w:rsid w:val="009C398A"/>
    <w:rsid w:val="009C39D9"/>
    <w:rsid w:val="009C407C"/>
    <w:rsid w:val="009C4676"/>
    <w:rsid w:val="009C4684"/>
    <w:rsid w:val="009C4ADF"/>
    <w:rsid w:val="009C5263"/>
    <w:rsid w:val="009C576C"/>
    <w:rsid w:val="009C5BB9"/>
    <w:rsid w:val="009C5FC3"/>
    <w:rsid w:val="009C60E9"/>
    <w:rsid w:val="009C6629"/>
    <w:rsid w:val="009C7896"/>
    <w:rsid w:val="009C79FD"/>
    <w:rsid w:val="009C7E85"/>
    <w:rsid w:val="009D014A"/>
    <w:rsid w:val="009D0530"/>
    <w:rsid w:val="009D0C23"/>
    <w:rsid w:val="009D0CF4"/>
    <w:rsid w:val="009D0D52"/>
    <w:rsid w:val="009D140A"/>
    <w:rsid w:val="009D16C5"/>
    <w:rsid w:val="009D1A74"/>
    <w:rsid w:val="009D1C65"/>
    <w:rsid w:val="009D2B87"/>
    <w:rsid w:val="009D2C76"/>
    <w:rsid w:val="009D2CDC"/>
    <w:rsid w:val="009D3079"/>
    <w:rsid w:val="009D313C"/>
    <w:rsid w:val="009D39E1"/>
    <w:rsid w:val="009D3D90"/>
    <w:rsid w:val="009D4060"/>
    <w:rsid w:val="009D43C4"/>
    <w:rsid w:val="009D4831"/>
    <w:rsid w:val="009D4AF8"/>
    <w:rsid w:val="009D4C5D"/>
    <w:rsid w:val="009D5B6B"/>
    <w:rsid w:val="009D645F"/>
    <w:rsid w:val="009D6D3F"/>
    <w:rsid w:val="009D7410"/>
    <w:rsid w:val="009D7601"/>
    <w:rsid w:val="009D7622"/>
    <w:rsid w:val="009E055D"/>
    <w:rsid w:val="009E09DF"/>
    <w:rsid w:val="009E0BE2"/>
    <w:rsid w:val="009E0D0F"/>
    <w:rsid w:val="009E137C"/>
    <w:rsid w:val="009E188B"/>
    <w:rsid w:val="009E1908"/>
    <w:rsid w:val="009E1A9B"/>
    <w:rsid w:val="009E2463"/>
    <w:rsid w:val="009E262E"/>
    <w:rsid w:val="009E2B4C"/>
    <w:rsid w:val="009E2C55"/>
    <w:rsid w:val="009E2E3F"/>
    <w:rsid w:val="009E2FAC"/>
    <w:rsid w:val="009E44A4"/>
    <w:rsid w:val="009E4A34"/>
    <w:rsid w:val="009E4E3B"/>
    <w:rsid w:val="009E59F4"/>
    <w:rsid w:val="009E5DD3"/>
    <w:rsid w:val="009E5EDA"/>
    <w:rsid w:val="009E61B0"/>
    <w:rsid w:val="009E622E"/>
    <w:rsid w:val="009E6387"/>
    <w:rsid w:val="009E63F0"/>
    <w:rsid w:val="009E7209"/>
    <w:rsid w:val="009E760A"/>
    <w:rsid w:val="009E7BCD"/>
    <w:rsid w:val="009E7BFC"/>
    <w:rsid w:val="009E7CC4"/>
    <w:rsid w:val="009F012F"/>
    <w:rsid w:val="009F0217"/>
    <w:rsid w:val="009F05AC"/>
    <w:rsid w:val="009F0707"/>
    <w:rsid w:val="009F086C"/>
    <w:rsid w:val="009F09BE"/>
    <w:rsid w:val="009F1191"/>
    <w:rsid w:val="009F1443"/>
    <w:rsid w:val="009F1448"/>
    <w:rsid w:val="009F1778"/>
    <w:rsid w:val="009F1949"/>
    <w:rsid w:val="009F1EEE"/>
    <w:rsid w:val="009F1F3F"/>
    <w:rsid w:val="009F2131"/>
    <w:rsid w:val="009F239C"/>
    <w:rsid w:val="009F274F"/>
    <w:rsid w:val="009F2E88"/>
    <w:rsid w:val="009F3166"/>
    <w:rsid w:val="009F39A1"/>
    <w:rsid w:val="009F3CF2"/>
    <w:rsid w:val="009F3FE4"/>
    <w:rsid w:val="009F43DD"/>
    <w:rsid w:val="009F4825"/>
    <w:rsid w:val="009F49FF"/>
    <w:rsid w:val="009F583E"/>
    <w:rsid w:val="009F5CE6"/>
    <w:rsid w:val="009F60E0"/>
    <w:rsid w:val="009F68A3"/>
    <w:rsid w:val="009F6B75"/>
    <w:rsid w:val="009F6F3D"/>
    <w:rsid w:val="009F71FD"/>
    <w:rsid w:val="009F74DB"/>
    <w:rsid w:val="009F77DF"/>
    <w:rsid w:val="009F7813"/>
    <w:rsid w:val="009F7930"/>
    <w:rsid w:val="009F7F8E"/>
    <w:rsid w:val="00A00221"/>
    <w:rsid w:val="00A00437"/>
    <w:rsid w:val="00A00792"/>
    <w:rsid w:val="00A00BCB"/>
    <w:rsid w:val="00A00DDA"/>
    <w:rsid w:val="00A01385"/>
    <w:rsid w:val="00A01A18"/>
    <w:rsid w:val="00A01B9D"/>
    <w:rsid w:val="00A0201C"/>
    <w:rsid w:val="00A02C0A"/>
    <w:rsid w:val="00A03068"/>
    <w:rsid w:val="00A03652"/>
    <w:rsid w:val="00A03A2A"/>
    <w:rsid w:val="00A03E4B"/>
    <w:rsid w:val="00A047DA"/>
    <w:rsid w:val="00A0480E"/>
    <w:rsid w:val="00A04844"/>
    <w:rsid w:val="00A04982"/>
    <w:rsid w:val="00A05073"/>
    <w:rsid w:val="00A051EA"/>
    <w:rsid w:val="00A05375"/>
    <w:rsid w:val="00A05CA6"/>
    <w:rsid w:val="00A05CF4"/>
    <w:rsid w:val="00A06990"/>
    <w:rsid w:val="00A06ED8"/>
    <w:rsid w:val="00A06F9D"/>
    <w:rsid w:val="00A0738D"/>
    <w:rsid w:val="00A07570"/>
    <w:rsid w:val="00A100F8"/>
    <w:rsid w:val="00A10103"/>
    <w:rsid w:val="00A1054B"/>
    <w:rsid w:val="00A10BC9"/>
    <w:rsid w:val="00A11137"/>
    <w:rsid w:val="00A111EA"/>
    <w:rsid w:val="00A1135E"/>
    <w:rsid w:val="00A11447"/>
    <w:rsid w:val="00A11555"/>
    <w:rsid w:val="00A11B67"/>
    <w:rsid w:val="00A11D49"/>
    <w:rsid w:val="00A11DEE"/>
    <w:rsid w:val="00A120EE"/>
    <w:rsid w:val="00A12A38"/>
    <w:rsid w:val="00A12A97"/>
    <w:rsid w:val="00A12B28"/>
    <w:rsid w:val="00A1374B"/>
    <w:rsid w:val="00A13EAB"/>
    <w:rsid w:val="00A15545"/>
    <w:rsid w:val="00A1602B"/>
    <w:rsid w:val="00A162DF"/>
    <w:rsid w:val="00A16324"/>
    <w:rsid w:val="00A17013"/>
    <w:rsid w:val="00A172C8"/>
    <w:rsid w:val="00A1757D"/>
    <w:rsid w:val="00A17AF1"/>
    <w:rsid w:val="00A17B4D"/>
    <w:rsid w:val="00A17B91"/>
    <w:rsid w:val="00A17FCB"/>
    <w:rsid w:val="00A20220"/>
    <w:rsid w:val="00A2055E"/>
    <w:rsid w:val="00A20CAE"/>
    <w:rsid w:val="00A21676"/>
    <w:rsid w:val="00A21C7C"/>
    <w:rsid w:val="00A225DB"/>
    <w:rsid w:val="00A23269"/>
    <w:rsid w:val="00A23DCC"/>
    <w:rsid w:val="00A23F95"/>
    <w:rsid w:val="00A24090"/>
    <w:rsid w:val="00A24C51"/>
    <w:rsid w:val="00A252CA"/>
    <w:rsid w:val="00A252DC"/>
    <w:rsid w:val="00A256A9"/>
    <w:rsid w:val="00A25A23"/>
    <w:rsid w:val="00A25E6E"/>
    <w:rsid w:val="00A26159"/>
    <w:rsid w:val="00A2627C"/>
    <w:rsid w:val="00A26462"/>
    <w:rsid w:val="00A26700"/>
    <w:rsid w:val="00A26B21"/>
    <w:rsid w:val="00A274E2"/>
    <w:rsid w:val="00A27542"/>
    <w:rsid w:val="00A27A34"/>
    <w:rsid w:val="00A27BE4"/>
    <w:rsid w:val="00A30B97"/>
    <w:rsid w:val="00A31193"/>
    <w:rsid w:val="00A312FC"/>
    <w:rsid w:val="00A3170B"/>
    <w:rsid w:val="00A31F9A"/>
    <w:rsid w:val="00A31FF4"/>
    <w:rsid w:val="00A32429"/>
    <w:rsid w:val="00A3288D"/>
    <w:rsid w:val="00A3307A"/>
    <w:rsid w:val="00A33111"/>
    <w:rsid w:val="00A33A21"/>
    <w:rsid w:val="00A34BDA"/>
    <w:rsid w:val="00A358DC"/>
    <w:rsid w:val="00A362FE"/>
    <w:rsid w:val="00A36EC0"/>
    <w:rsid w:val="00A37357"/>
    <w:rsid w:val="00A374BC"/>
    <w:rsid w:val="00A375B5"/>
    <w:rsid w:val="00A37719"/>
    <w:rsid w:val="00A377F2"/>
    <w:rsid w:val="00A40089"/>
    <w:rsid w:val="00A40459"/>
    <w:rsid w:val="00A408A1"/>
    <w:rsid w:val="00A4164A"/>
    <w:rsid w:val="00A41C3D"/>
    <w:rsid w:val="00A41F2E"/>
    <w:rsid w:val="00A432A0"/>
    <w:rsid w:val="00A4354B"/>
    <w:rsid w:val="00A43A5C"/>
    <w:rsid w:val="00A43F0A"/>
    <w:rsid w:val="00A43FF9"/>
    <w:rsid w:val="00A44220"/>
    <w:rsid w:val="00A45207"/>
    <w:rsid w:val="00A457C1"/>
    <w:rsid w:val="00A45944"/>
    <w:rsid w:val="00A46305"/>
    <w:rsid w:val="00A465E9"/>
    <w:rsid w:val="00A468F2"/>
    <w:rsid w:val="00A46A4B"/>
    <w:rsid w:val="00A470C6"/>
    <w:rsid w:val="00A473C7"/>
    <w:rsid w:val="00A47774"/>
    <w:rsid w:val="00A47BC1"/>
    <w:rsid w:val="00A5077D"/>
    <w:rsid w:val="00A50899"/>
    <w:rsid w:val="00A50C78"/>
    <w:rsid w:val="00A50D1E"/>
    <w:rsid w:val="00A51049"/>
    <w:rsid w:val="00A51084"/>
    <w:rsid w:val="00A512A2"/>
    <w:rsid w:val="00A5175F"/>
    <w:rsid w:val="00A51875"/>
    <w:rsid w:val="00A51879"/>
    <w:rsid w:val="00A518F7"/>
    <w:rsid w:val="00A51996"/>
    <w:rsid w:val="00A51A4B"/>
    <w:rsid w:val="00A5216F"/>
    <w:rsid w:val="00A52254"/>
    <w:rsid w:val="00A52401"/>
    <w:rsid w:val="00A5287D"/>
    <w:rsid w:val="00A529D4"/>
    <w:rsid w:val="00A52D7C"/>
    <w:rsid w:val="00A54C42"/>
    <w:rsid w:val="00A550F7"/>
    <w:rsid w:val="00A55BF7"/>
    <w:rsid w:val="00A562BE"/>
    <w:rsid w:val="00A568ED"/>
    <w:rsid w:val="00A56A4F"/>
    <w:rsid w:val="00A56AAE"/>
    <w:rsid w:val="00A56DDE"/>
    <w:rsid w:val="00A5746C"/>
    <w:rsid w:val="00A5773B"/>
    <w:rsid w:val="00A5787F"/>
    <w:rsid w:val="00A57C06"/>
    <w:rsid w:val="00A57E73"/>
    <w:rsid w:val="00A600F7"/>
    <w:rsid w:val="00A601FA"/>
    <w:rsid w:val="00A60436"/>
    <w:rsid w:val="00A6052E"/>
    <w:rsid w:val="00A60601"/>
    <w:rsid w:val="00A607D9"/>
    <w:rsid w:val="00A60C3A"/>
    <w:rsid w:val="00A6104C"/>
    <w:rsid w:val="00A61C35"/>
    <w:rsid w:val="00A621B7"/>
    <w:rsid w:val="00A62DC7"/>
    <w:rsid w:val="00A63037"/>
    <w:rsid w:val="00A6323E"/>
    <w:rsid w:val="00A63277"/>
    <w:rsid w:val="00A638B4"/>
    <w:rsid w:val="00A63AF3"/>
    <w:rsid w:val="00A63C03"/>
    <w:rsid w:val="00A64173"/>
    <w:rsid w:val="00A6419E"/>
    <w:rsid w:val="00A64E32"/>
    <w:rsid w:val="00A64E8C"/>
    <w:rsid w:val="00A64EF8"/>
    <w:rsid w:val="00A65366"/>
    <w:rsid w:val="00A65CE4"/>
    <w:rsid w:val="00A65E01"/>
    <w:rsid w:val="00A6619D"/>
    <w:rsid w:val="00A66203"/>
    <w:rsid w:val="00A664B6"/>
    <w:rsid w:val="00A6677B"/>
    <w:rsid w:val="00A66B3F"/>
    <w:rsid w:val="00A66CE9"/>
    <w:rsid w:val="00A67D1C"/>
    <w:rsid w:val="00A67F0E"/>
    <w:rsid w:val="00A702BB"/>
    <w:rsid w:val="00A70BB5"/>
    <w:rsid w:val="00A70C67"/>
    <w:rsid w:val="00A70F1D"/>
    <w:rsid w:val="00A70FB9"/>
    <w:rsid w:val="00A70FE6"/>
    <w:rsid w:val="00A710AC"/>
    <w:rsid w:val="00A714AD"/>
    <w:rsid w:val="00A7177F"/>
    <w:rsid w:val="00A717AD"/>
    <w:rsid w:val="00A7186E"/>
    <w:rsid w:val="00A71CBF"/>
    <w:rsid w:val="00A71FC9"/>
    <w:rsid w:val="00A725DB"/>
    <w:rsid w:val="00A72980"/>
    <w:rsid w:val="00A729FA"/>
    <w:rsid w:val="00A72C03"/>
    <w:rsid w:val="00A733FB"/>
    <w:rsid w:val="00A73738"/>
    <w:rsid w:val="00A73D7C"/>
    <w:rsid w:val="00A73E8F"/>
    <w:rsid w:val="00A747DC"/>
    <w:rsid w:val="00A74A82"/>
    <w:rsid w:val="00A74D3F"/>
    <w:rsid w:val="00A74D4E"/>
    <w:rsid w:val="00A74DFA"/>
    <w:rsid w:val="00A752A2"/>
    <w:rsid w:val="00A753BD"/>
    <w:rsid w:val="00A761EE"/>
    <w:rsid w:val="00A766DD"/>
    <w:rsid w:val="00A76A99"/>
    <w:rsid w:val="00A76B33"/>
    <w:rsid w:val="00A76FA4"/>
    <w:rsid w:val="00A771A7"/>
    <w:rsid w:val="00A777C4"/>
    <w:rsid w:val="00A77933"/>
    <w:rsid w:val="00A77F98"/>
    <w:rsid w:val="00A77FCB"/>
    <w:rsid w:val="00A80559"/>
    <w:rsid w:val="00A80813"/>
    <w:rsid w:val="00A80EA4"/>
    <w:rsid w:val="00A8115F"/>
    <w:rsid w:val="00A819DD"/>
    <w:rsid w:val="00A81C95"/>
    <w:rsid w:val="00A81DE0"/>
    <w:rsid w:val="00A81F01"/>
    <w:rsid w:val="00A82D4D"/>
    <w:rsid w:val="00A830D3"/>
    <w:rsid w:val="00A83A16"/>
    <w:rsid w:val="00A83CA5"/>
    <w:rsid w:val="00A83DCF"/>
    <w:rsid w:val="00A84336"/>
    <w:rsid w:val="00A84863"/>
    <w:rsid w:val="00A84EAD"/>
    <w:rsid w:val="00A84EBD"/>
    <w:rsid w:val="00A84EDD"/>
    <w:rsid w:val="00A84F34"/>
    <w:rsid w:val="00A8538C"/>
    <w:rsid w:val="00A8620E"/>
    <w:rsid w:val="00A864E9"/>
    <w:rsid w:val="00A86521"/>
    <w:rsid w:val="00A86AC3"/>
    <w:rsid w:val="00A86CC9"/>
    <w:rsid w:val="00A8730E"/>
    <w:rsid w:val="00A8749C"/>
    <w:rsid w:val="00A87673"/>
    <w:rsid w:val="00A87906"/>
    <w:rsid w:val="00A87958"/>
    <w:rsid w:val="00A87E75"/>
    <w:rsid w:val="00A87E9E"/>
    <w:rsid w:val="00A901BE"/>
    <w:rsid w:val="00A904E2"/>
    <w:rsid w:val="00A90D2E"/>
    <w:rsid w:val="00A912E7"/>
    <w:rsid w:val="00A91B6C"/>
    <w:rsid w:val="00A91E97"/>
    <w:rsid w:val="00A92BCF"/>
    <w:rsid w:val="00A92E80"/>
    <w:rsid w:val="00A93095"/>
    <w:rsid w:val="00A93309"/>
    <w:rsid w:val="00A9382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A1C"/>
    <w:rsid w:val="00A97616"/>
    <w:rsid w:val="00A97AC3"/>
    <w:rsid w:val="00AA0125"/>
    <w:rsid w:val="00AA0297"/>
    <w:rsid w:val="00AA170D"/>
    <w:rsid w:val="00AA19A6"/>
    <w:rsid w:val="00AA1AED"/>
    <w:rsid w:val="00AA1EE1"/>
    <w:rsid w:val="00AA20B1"/>
    <w:rsid w:val="00AA25BA"/>
    <w:rsid w:val="00AA262E"/>
    <w:rsid w:val="00AA2BA2"/>
    <w:rsid w:val="00AA2C89"/>
    <w:rsid w:val="00AA3451"/>
    <w:rsid w:val="00AA3902"/>
    <w:rsid w:val="00AA3C1A"/>
    <w:rsid w:val="00AA43BD"/>
    <w:rsid w:val="00AA46E6"/>
    <w:rsid w:val="00AA48B6"/>
    <w:rsid w:val="00AA48C1"/>
    <w:rsid w:val="00AA5EC1"/>
    <w:rsid w:val="00AA60A4"/>
    <w:rsid w:val="00AA6AB5"/>
    <w:rsid w:val="00AA714D"/>
    <w:rsid w:val="00AA73A8"/>
    <w:rsid w:val="00AA7ADF"/>
    <w:rsid w:val="00AA7C13"/>
    <w:rsid w:val="00AA7E0A"/>
    <w:rsid w:val="00AB006F"/>
    <w:rsid w:val="00AB0BEA"/>
    <w:rsid w:val="00AB1A9F"/>
    <w:rsid w:val="00AB200F"/>
    <w:rsid w:val="00AB3037"/>
    <w:rsid w:val="00AB3184"/>
    <w:rsid w:val="00AB33CF"/>
    <w:rsid w:val="00AB33F9"/>
    <w:rsid w:val="00AB35B0"/>
    <w:rsid w:val="00AB3CEC"/>
    <w:rsid w:val="00AB3E8B"/>
    <w:rsid w:val="00AB4AFF"/>
    <w:rsid w:val="00AB537C"/>
    <w:rsid w:val="00AB5887"/>
    <w:rsid w:val="00AB5B81"/>
    <w:rsid w:val="00AB5C13"/>
    <w:rsid w:val="00AB5D24"/>
    <w:rsid w:val="00AB617F"/>
    <w:rsid w:val="00AB6276"/>
    <w:rsid w:val="00AB64E5"/>
    <w:rsid w:val="00AB65F3"/>
    <w:rsid w:val="00AB6859"/>
    <w:rsid w:val="00AB6C31"/>
    <w:rsid w:val="00AB7213"/>
    <w:rsid w:val="00AB7442"/>
    <w:rsid w:val="00AB74CF"/>
    <w:rsid w:val="00AC0717"/>
    <w:rsid w:val="00AC0F8F"/>
    <w:rsid w:val="00AC1226"/>
    <w:rsid w:val="00AC1481"/>
    <w:rsid w:val="00AC1686"/>
    <w:rsid w:val="00AC179A"/>
    <w:rsid w:val="00AC18EF"/>
    <w:rsid w:val="00AC24F6"/>
    <w:rsid w:val="00AC299E"/>
    <w:rsid w:val="00AC2A54"/>
    <w:rsid w:val="00AC2CAF"/>
    <w:rsid w:val="00AC598F"/>
    <w:rsid w:val="00AC5C6A"/>
    <w:rsid w:val="00AC635D"/>
    <w:rsid w:val="00AC6484"/>
    <w:rsid w:val="00AC65AF"/>
    <w:rsid w:val="00AC679E"/>
    <w:rsid w:val="00AC7052"/>
    <w:rsid w:val="00AC7703"/>
    <w:rsid w:val="00AC7E57"/>
    <w:rsid w:val="00AD00CD"/>
    <w:rsid w:val="00AD0558"/>
    <w:rsid w:val="00AD10E5"/>
    <w:rsid w:val="00AD13A8"/>
    <w:rsid w:val="00AD1A75"/>
    <w:rsid w:val="00AD1FF4"/>
    <w:rsid w:val="00AD21D6"/>
    <w:rsid w:val="00AD23CC"/>
    <w:rsid w:val="00AD2479"/>
    <w:rsid w:val="00AD248F"/>
    <w:rsid w:val="00AD31EC"/>
    <w:rsid w:val="00AD32BE"/>
    <w:rsid w:val="00AD35A4"/>
    <w:rsid w:val="00AD37F0"/>
    <w:rsid w:val="00AD3C2A"/>
    <w:rsid w:val="00AD3E6B"/>
    <w:rsid w:val="00AD4028"/>
    <w:rsid w:val="00AD4379"/>
    <w:rsid w:val="00AD4652"/>
    <w:rsid w:val="00AD47F1"/>
    <w:rsid w:val="00AD4A21"/>
    <w:rsid w:val="00AD4DAE"/>
    <w:rsid w:val="00AD580F"/>
    <w:rsid w:val="00AD59D8"/>
    <w:rsid w:val="00AD5D1F"/>
    <w:rsid w:val="00AD5D9A"/>
    <w:rsid w:val="00AD5E26"/>
    <w:rsid w:val="00AD6676"/>
    <w:rsid w:val="00AD66A7"/>
    <w:rsid w:val="00AD6833"/>
    <w:rsid w:val="00AD6D41"/>
    <w:rsid w:val="00AD715B"/>
    <w:rsid w:val="00AD7356"/>
    <w:rsid w:val="00AD77FA"/>
    <w:rsid w:val="00AE06F7"/>
    <w:rsid w:val="00AE0914"/>
    <w:rsid w:val="00AE0E20"/>
    <w:rsid w:val="00AE1220"/>
    <w:rsid w:val="00AE14B9"/>
    <w:rsid w:val="00AE1923"/>
    <w:rsid w:val="00AE1935"/>
    <w:rsid w:val="00AE1CFC"/>
    <w:rsid w:val="00AE1D4C"/>
    <w:rsid w:val="00AE23AB"/>
    <w:rsid w:val="00AE252A"/>
    <w:rsid w:val="00AE29AA"/>
    <w:rsid w:val="00AE329C"/>
    <w:rsid w:val="00AE3D0F"/>
    <w:rsid w:val="00AE3EC3"/>
    <w:rsid w:val="00AE4513"/>
    <w:rsid w:val="00AE48A4"/>
    <w:rsid w:val="00AE4D24"/>
    <w:rsid w:val="00AE4F38"/>
    <w:rsid w:val="00AE507F"/>
    <w:rsid w:val="00AE521A"/>
    <w:rsid w:val="00AE5749"/>
    <w:rsid w:val="00AE5AEC"/>
    <w:rsid w:val="00AE600B"/>
    <w:rsid w:val="00AE6602"/>
    <w:rsid w:val="00AE6873"/>
    <w:rsid w:val="00AE6D21"/>
    <w:rsid w:val="00AE6D50"/>
    <w:rsid w:val="00AE7F9B"/>
    <w:rsid w:val="00AF0007"/>
    <w:rsid w:val="00AF03AA"/>
    <w:rsid w:val="00AF0D9E"/>
    <w:rsid w:val="00AF106D"/>
    <w:rsid w:val="00AF1099"/>
    <w:rsid w:val="00AF1DE2"/>
    <w:rsid w:val="00AF278C"/>
    <w:rsid w:val="00AF2806"/>
    <w:rsid w:val="00AF34EA"/>
    <w:rsid w:val="00AF362D"/>
    <w:rsid w:val="00AF406C"/>
    <w:rsid w:val="00AF428A"/>
    <w:rsid w:val="00AF498E"/>
    <w:rsid w:val="00AF49D2"/>
    <w:rsid w:val="00AF4AA9"/>
    <w:rsid w:val="00AF4AF0"/>
    <w:rsid w:val="00AF4E90"/>
    <w:rsid w:val="00AF4FDE"/>
    <w:rsid w:val="00AF5391"/>
    <w:rsid w:val="00AF5912"/>
    <w:rsid w:val="00AF5D8B"/>
    <w:rsid w:val="00AF698E"/>
    <w:rsid w:val="00AF6A75"/>
    <w:rsid w:val="00AF6EE6"/>
    <w:rsid w:val="00AF7341"/>
    <w:rsid w:val="00AF7555"/>
    <w:rsid w:val="00AF7CBE"/>
    <w:rsid w:val="00B0063B"/>
    <w:rsid w:val="00B00A76"/>
    <w:rsid w:val="00B00EA1"/>
    <w:rsid w:val="00B00F17"/>
    <w:rsid w:val="00B0133A"/>
    <w:rsid w:val="00B01DB9"/>
    <w:rsid w:val="00B01E36"/>
    <w:rsid w:val="00B025A1"/>
    <w:rsid w:val="00B0264A"/>
    <w:rsid w:val="00B02693"/>
    <w:rsid w:val="00B03DEE"/>
    <w:rsid w:val="00B04053"/>
    <w:rsid w:val="00B04C10"/>
    <w:rsid w:val="00B04D6B"/>
    <w:rsid w:val="00B051DD"/>
    <w:rsid w:val="00B0575B"/>
    <w:rsid w:val="00B0666D"/>
    <w:rsid w:val="00B068E4"/>
    <w:rsid w:val="00B068FF"/>
    <w:rsid w:val="00B069DE"/>
    <w:rsid w:val="00B06A46"/>
    <w:rsid w:val="00B074DD"/>
    <w:rsid w:val="00B078AE"/>
    <w:rsid w:val="00B10279"/>
    <w:rsid w:val="00B1063A"/>
    <w:rsid w:val="00B10802"/>
    <w:rsid w:val="00B10E88"/>
    <w:rsid w:val="00B1147E"/>
    <w:rsid w:val="00B115ED"/>
    <w:rsid w:val="00B117CB"/>
    <w:rsid w:val="00B117D7"/>
    <w:rsid w:val="00B11E1F"/>
    <w:rsid w:val="00B12047"/>
    <w:rsid w:val="00B126DA"/>
    <w:rsid w:val="00B12732"/>
    <w:rsid w:val="00B12859"/>
    <w:rsid w:val="00B12E82"/>
    <w:rsid w:val="00B12FD8"/>
    <w:rsid w:val="00B13785"/>
    <w:rsid w:val="00B13B16"/>
    <w:rsid w:val="00B13B8E"/>
    <w:rsid w:val="00B13BC6"/>
    <w:rsid w:val="00B142E0"/>
    <w:rsid w:val="00B15237"/>
    <w:rsid w:val="00B156A9"/>
    <w:rsid w:val="00B15E04"/>
    <w:rsid w:val="00B16360"/>
    <w:rsid w:val="00B166F6"/>
    <w:rsid w:val="00B2074F"/>
    <w:rsid w:val="00B20D7C"/>
    <w:rsid w:val="00B210CC"/>
    <w:rsid w:val="00B21E4C"/>
    <w:rsid w:val="00B22475"/>
    <w:rsid w:val="00B231BC"/>
    <w:rsid w:val="00B23573"/>
    <w:rsid w:val="00B23ABE"/>
    <w:rsid w:val="00B23B67"/>
    <w:rsid w:val="00B23E6A"/>
    <w:rsid w:val="00B23F6D"/>
    <w:rsid w:val="00B24B78"/>
    <w:rsid w:val="00B26797"/>
    <w:rsid w:val="00B26C98"/>
    <w:rsid w:val="00B26E4F"/>
    <w:rsid w:val="00B27027"/>
    <w:rsid w:val="00B271E8"/>
    <w:rsid w:val="00B275D8"/>
    <w:rsid w:val="00B27981"/>
    <w:rsid w:val="00B27B3E"/>
    <w:rsid w:val="00B3007E"/>
    <w:rsid w:val="00B300C3"/>
    <w:rsid w:val="00B3135E"/>
    <w:rsid w:val="00B313F6"/>
    <w:rsid w:val="00B314BB"/>
    <w:rsid w:val="00B31DC7"/>
    <w:rsid w:val="00B31E63"/>
    <w:rsid w:val="00B32506"/>
    <w:rsid w:val="00B32CCD"/>
    <w:rsid w:val="00B32EA4"/>
    <w:rsid w:val="00B32F66"/>
    <w:rsid w:val="00B33678"/>
    <w:rsid w:val="00B33CE9"/>
    <w:rsid w:val="00B33E58"/>
    <w:rsid w:val="00B33FD6"/>
    <w:rsid w:val="00B3407B"/>
    <w:rsid w:val="00B340B5"/>
    <w:rsid w:val="00B348D2"/>
    <w:rsid w:val="00B34AFD"/>
    <w:rsid w:val="00B34CAA"/>
    <w:rsid w:val="00B3512D"/>
    <w:rsid w:val="00B354E2"/>
    <w:rsid w:val="00B358C1"/>
    <w:rsid w:val="00B35C85"/>
    <w:rsid w:val="00B361AC"/>
    <w:rsid w:val="00B36705"/>
    <w:rsid w:val="00B36B2F"/>
    <w:rsid w:val="00B37073"/>
    <w:rsid w:val="00B371B2"/>
    <w:rsid w:val="00B37391"/>
    <w:rsid w:val="00B37D98"/>
    <w:rsid w:val="00B40037"/>
    <w:rsid w:val="00B4141C"/>
    <w:rsid w:val="00B414E0"/>
    <w:rsid w:val="00B41861"/>
    <w:rsid w:val="00B41A1A"/>
    <w:rsid w:val="00B41D7E"/>
    <w:rsid w:val="00B42107"/>
    <w:rsid w:val="00B427F8"/>
    <w:rsid w:val="00B42B60"/>
    <w:rsid w:val="00B439E2"/>
    <w:rsid w:val="00B43A1C"/>
    <w:rsid w:val="00B43F14"/>
    <w:rsid w:val="00B440D1"/>
    <w:rsid w:val="00B443DF"/>
    <w:rsid w:val="00B443F0"/>
    <w:rsid w:val="00B4492B"/>
    <w:rsid w:val="00B44A28"/>
    <w:rsid w:val="00B453BC"/>
    <w:rsid w:val="00B457F9"/>
    <w:rsid w:val="00B45B91"/>
    <w:rsid w:val="00B45BBA"/>
    <w:rsid w:val="00B462D8"/>
    <w:rsid w:val="00B46347"/>
    <w:rsid w:val="00B46444"/>
    <w:rsid w:val="00B46775"/>
    <w:rsid w:val="00B47117"/>
    <w:rsid w:val="00B475E1"/>
    <w:rsid w:val="00B4762E"/>
    <w:rsid w:val="00B47D1C"/>
    <w:rsid w:val="00B507E3"/>
    <w:rsid w:val="00B5155A"/>
    <w:rsid w:val="00B51800"/>
    <w:rsid w:val="00B51E22"/>
    <w:rsid w:val="00B51E5E"/>
    <w:rsid w:val="00B51F70"/>
    <w:rsid w:val="00B52425"/>
    <w:rsid w:val="00B52EAD"/>
    <w:rsid w:val="00B52F36"/>
    <w:rsid w:val="00B542AE"/>
    <w:rsid w:val="00B546AB"/>
    <w:rsid w:val="00B5474A"/>
    <w:rsid w:val="00B547C5"/>
    <w:rsid w:val="00B54851"/>
    <w:rsid w:val="00B54B97"/>
    <w:rsid w:val="00B54C7E"/>
    <w:rsid w:val="00B554EB"/>
    <w:rsid w:val="00B55772"/>
    <w:rsid w:val="00B55825"/>
    <w:rsid w:val="00B55C56"/>
    <w:rsid w:val="00B55E09"/>
    <w:rsid w:val="00B55E9E"/>
    <w:rsid w:val="00B566ED"/>
    <w:rsid w:val="00B56C16"/>
    <w:rsid w:val="00B57205"/>
    <w:rsid w:val="00B57320"/>
    <w:rsid w:val="00B574FC"/>
    <w:rsid w:val="00B57AE5"/>
    <w:rsid w:val="00B603D4"/>
    <w:rsid w:val="00B604C7"/>
    <w:rsid w:val="00B60CC4"/>
    <w:rsid w:val="00B60E24"/>
    <w:rsid w:val="00B61068"/>
    <w:rsid w:val="00B6118D"/>
    <w:rsid w:val="00B61F6B"/>
    <w:rsid w:val="00B62104"/>
    <w:rsid w:val="00B6233A"/>
    <w:rsid w:val="00B62AFD"/>
    <w:rsid w:val="00B6312A"/>
    <w:rsid w:val="00B63594"/>
    <w:rsid w:val="00B63CE9"/>
    <w:rsid w:val="00B6435F"/>
    <w:rsid w:val="00B64FF2"/>
    <w:rsid w:val="00B650FB"/>
    <w:rsid w:val="00B651B7"/>
    <w:rsid w:val="00B65553"/>
    <w:rsid w:val="00B65643"/>
    <w:rsid w:val="00B658B7"/>
    <w:rsid w:val="00B66D63"/>
    <w:rsid w:val="00B66E77"/>
    <w:rsid w:val="00B674BE"/>
    <w:rsid w:val="00B6799D"/>
    <w:rsid w:val="00B67A5D"/>
    <w:rsid w:val="00B67BF5"/>
    <w:rsid w:val="00B70240"/>
    <w:rsid w:val="00B7038A"/>
    <w:rsid w:val="00B706E0"/>
    <w:rsid w:val="00B70E68"/>
    <w:rsid w:val="00B70F95"/>
    <w:rsid w:val="00B71BEA"/>
    <w:rsid w:val="00B71C5E"/>
    <w:rsid w:val="00B71D0E"/>
    <w:rsid w:val="00B71D57"/>
    <w:rsid w:val="00B7222F"/>
    <w:rsid w:val="00B72616"/>
    <w:rsid w:val="00B72695"/>
    <w:rsid w:val="00B72C21"/>
    <w:rsid w:val="00B7351F"/>
    <w:rsid w:val="00B73814"/>
    <w:rsid w:val="00B73D20"/>
    <w:rsid w:val="00B73F56"/>
    <w:rsid w:val="00B743DF"/>
    <w:rsid w:val="00B74B6F"/>
    <w:rsid w:val="00B752A3"/>
    <w:rsid w:val="00B75640"/>
    <w:rsid w:val="00B75690"/>
    <w:rsid w:val="00B759E3"/>
    <w:rsid w:val="00B75B23"/>
    <w:rsid w:val="00B76B9D"/>
    <w:rsid w:val="00B77355"/>
    <w:rsid w:val="00B776A8"/>
    <w:rsid w:val="00B77A84"/>
    <w:rsid w:val="00B77E94"/>
    <w:rsid w:val="00B80321"/>
    <w:rsid w:val="00B81C69"/>
    <w:rsid w:val="00B821B7"/>
    <w:rsid w:val="00B82451"/>
    <w:rsid w:val="00B8299B"/>
    <w:rsid w:val="00B82F98"/>
    <w:rsid w:val="00B83503"/>
    <w:rsid w:val="00B8471F"/>
    <w:rsid w:val="00B84D02"/>
    <w:rsid w:val="00B84ED5"/>
    <w:rsid w:val="00B85018"/>
    <w:rsid w:val="00B858B4"/>
    <w:rsid w:val="00B8596D"/>
    <w:rsid w:val="00B863E7"/>
    <w:rsid w:val="00B86CD2"/>
    <w:rsid w:val="00B86F0A"/>
    <w:rsid w:val="00B8778B"/>
    <w:rsid w:val="00B9031C"/>
    <w:rsid w:val="00B90653"/>
    <w:rsid w:val="00B925DB"/>
    <w:rsid w:val="00B928E5"/>
    <w:rsid w:val="00B9333B"/>
    <w:rsid w:val="00B938E4"/>
    <w:rsid w:val="00B93D40"/>
    <w:rsid w:val="00B947BF"/>
    <w:rsid w:val="00B94811"/>
    <w:rsid w:val="00B94BC2"/>
    <w:rsid w:val="00B94E55"/>
    <w:rsid w:val="00B94F87"/>
    <w:rsid w:val="00B951C1"/>
    <w:rsid w:val="00B9556E"/>
    <w:rsid w:val="00B95619"/>
    <w:rsid w:val="00B95DC7"/>
    <w:rsid w:val="00B96335"/>
    <w:rsid w:val="00B96C53"/>
    <w:rsid w:val="00B975CF"/>
    <w:rsid w:val="00B97784"/>
    <w:rsid w:val="00B97EBA"/>
    <w:rsid w:val="00BA0103"/>
    <w:rsid w:val="00BA0DF2"/>
    <w:rsid w:val="00BA0E5B"/>
    <w:rsid w:val="00BA0F89"/>
    <w:rsid w:val="00BA1049"/>
    <w:rsid w:val="00BA108A"/>
    <w:rsid w:val="00BA179D"/>
    <w:rsid w:val="00BA181F"/>
    <w:rsid w:val="00BA1AFD"/>
    <w:rsid w:val="00BA217B"/>
    <w:rsid w:val="00BA2A85"/>
    <w:rsid w:val="00BA3074"/>
    <w:rsid w:val="00BA3094"/>
    <w:rsid w:val="00BA37F0"/>
    <w:rsid w:val="00BA3CC9"/>
    <w:rsid w:val="00BA42EA"/>
    <w:rsid w:val="00BA4418"/>
    <w:rsid w:val="00BA4525"/>
    <w:rsid w:val="00BA4AAE"/>
    <w:rsid w:val="00BA4BFB"/>
    <w:rsid w:val="00BA4D60"/>
    <w:rsid w:val="00BA4E2C"/>
    <w:rsid w:val="00BA509D"/>
    <w:rsid w:val="00BA51F6"/>
    <w:rsid w:val="00BA5B47"/>
    <w:rsid w:val="00BA5ED6"/>
    <w:rsid w:val="00BA648B"/>
    <w:rsid w:val="00BA6818"/>
    <w:rsid w:val="00BA6E28"/>
    <w:rsid w:val="00BA74ED"/>
    <w:rsid w:val="00BA771E"/>
    <w:rsid w:val="00BA77DE"/>
    <w:rsid w:val="00BA782E"/>
    <w:rsid w:val="00BA7A25"/>
    <w:rsid w:val="00BA7C2F"/>
    <w:rsid w:val="00BB05F4"/>
    <w:rsid w:val="00BB0630"/>
    <w:rsid w:val="00BB064E"/>
    <w:rsid w:val="00BB12F6"/>
    <w:rsid w:val="00BB13AC"/>
    <w:rsid w:val="00BB1CAB"/>
    <w:rsid w:val="00BB2322"/>
    <w:rsid w:val="00BB2405"/>
    <w:rsid w:val="00BB25E1"/>
    <w:rsid w:val="00BB2DFE"/>
    <w:rsid w:val="00BB3436"/>
    <w:rsid w:val="00BB3828"/>
    <w:rsid w:val="00BB3A7C"/>
    <w:rsid w:val="00BB3D9E"/>
    <w:rsid w:val="00BB4199"/>
    <w:rsid w:val="00BB439E"/>
    <w:rsid w:val="00BB4460"/>
    <w:rsid w:val="00BB48F9"/>
    <w:rsid w:val="00BB4D2D"/>
    <w:rsid w:val="00BB4D97"/>
    <w:rsid w:val="00BB51DC"/>
    <w:rsid w:val="00BB53DF"/>
    <w:rsid w:val="00BB56C4"/>
    <w:rsid w:val="00BB570B"/>
    <w:rsid w:val="00BB5776"/>
    <w:rsid w:val="00BB5B56"/>
    <w:rsid w:val="00BB6030"/>
    <w:rsid w:val="00BB6067"/>
    <w:rsid w:val="00BB6172"/>
    <w:rsid w:val="00BB6853"/>
    <w:rsid w:val="00BB6B0B"/>
    <w:rsid w:val="00BB6C0B"/>
    <w:rsid w:val="00BB6DEB"/>
    <w:rsid w:val="00BB6F1C"/>
    <w:rsid w:val="00BB716B"/>
    <w:rsid w:val="00BB772D"/>
    <w:rsid w:val="00BB78B8"/>
    <w:rsid w:val="00BB7E75"/>
    <w:rsid w:val="00BC04A5"/>
    <w:rsid w:val="00BC0725"/>
    <w:rsid w:val="00BC091B"/>
    <w:rsid w:val="00BC13E1"/>
    <w:rsid w:val="00BC1A7C"/>
    <w:rsid w:val="00BC23C0"/>
    <w:rsid w:val="00BC25A3"/>
    <w:rsid w:val="00BC265E"/>
    <w:rsid w:val="00BC2978"/>
    <w:rsid w:val="00BC3563"/>
    <w:rsid w:val="00BC3677"/>
    <w:rsid w:val="00BC38CC"/>
    <w:rsid w:val="00BC4118"/>
    <w:rsid w:val="00BC466E"/>
    <w:rsid w:val="00BC4D34"/>
    <w:rsid w:val="00BC6794"/>
    <w:rsid w:val="00BC6862"/>
    <w:rsid w:val="00BC730B"/>
    <w:rsid w:val="00BC7530"/>
    <w:rsid w:val="00BC77EA"/>
    <w:rsid w:val="00BC7C23"/>
    <w:rsid w:val="00BD0264"/>
    <w:rsid w:val="00BD070A"/>
    <w:rsid w:val="00BD0750"/>
    <w:rsid w:val="00BD08AA"/>
    <w:rsid w:val="00BD0B7D"/>
    <w:rsid w:val="00BD0E33"/>
    <w:rsid w:val="00BD14A8"/>
    <w:rsid w:val="00BD1D83"/>
    <w:rsid w:val="00BD26A7"/>
    <w:rsid w:val="00BD35F1"/>
    <w:rsid w:val="00BD369A"/>
    <w:rsid w:val="00BD37BA"/>
    <w:rsid w:val="00BD383C"/>
    <w:rsid w:val="00BD3A57"/>
    <w:rsid w:val="00BD4AB7"/>
    <w:rsid w:val="00BD4CCC"/>
    <w:rsid w:val="00BD51DF"/>
    <w:rsid w:val="00BD577E"/>
    <w:rsid w:val="00BD58C0"/>
    <w:rsid w:val="00BD58CD"/>
    <w:rsid w:val="00BD5FD1"/>
    <w:rsid w:val="00BD601C"/>
    <w:rsid w:val="00BD6389"/>
    <w:rsid w:val="00BD6B3A"/>
    <w:rsid w:val="00BD6E31"/>
    <w:rsid w:val="00BD70AE"/>
    <w:rsid w:val="00BD7A78"/>
    <w:rsid w:val="00BE024B"/>
    <w:rsid w:val="00BE0254"/>
    <w:rsid w:val="00BE05AF"/>
    <w:rsid w:val="00BE0C8C"/>
    <w:rsid w:val="00BE0CB7"/>
    <w:rsid w:val="00BE0DCB"/>
    <w:rsid w:val="00BE0EF8"/>
    <w:rsid w:val="00BE14AB"/>
    <w:rsid w:val="00BE172B"/>
    <w:rsid w:val="00BE1859"/>
    <w:rsid w:val="00BE1C87"/>
    <w:rsid w:val="00BE24E9"/>
    <w:rsid w:val="00BE259F"/>
    <w:rsid w:val="00BE2D0C"/>
    <w:rsid w:val="00BE2DD2"/>
    <w:rsid w:val="00BE2E40"/>
    <w:rsid w:val="00BE2EA5"/>
    <w:rsid w:val="00BE2EBD"/>
    <w:rsid w:val="00BE2F37"/>
    <w:rsid w:val="00BE30E9"/>
    <w:rsid w:val="00BE32A6"/>
    <w:rsid w:val="00BE3535"/>
    <w:rsid w:val="00BE3753"/>
    <w:rsid w:val="00BE3F30"/>
    <w:rsid w:val="00BE4090"/>
    <w:rsid w:val="00BE40B0"/>
    <w:rsid w:val="00BE428C"/>
    <w:rsid w:val="00BE4398"/>
    <w:rsid w:val="00BE538C"/>
    <w:rsid w:val="00BE55E1"/>
    <w:rsid w:val="00BE6556"/>
    <w:rsid w:val="00BE6738"/>
    <w:rsid w:val="00BE6DD4"/>
    <w:rsid w:val="00BE72B2"/>
    <w:rsid w:val="00BE756C"/>
    <w:rsid w:val="00BE7822"/>
    <w:rsid w:val="00BE7934"/>
    <w:rsid w:val="00BE79B8"/>
    <w:rsid w:val="00BE7AC2"/>
    <w:rsid w:val="00BF00B4"/>
    <w:rsid w:val="00BF01F1"/>
    <w:rsid w:val="00BF04AD"/>
    <w:rsid w:val="00BF05A0"/>
    <w:rsid w:val="00BF07D6"/>
    <w:rsid w:val="00BF0BDC"/>
    <w:rsid w:val="00BF10ED"/>
    <w:rsid w:val="00BF12DD"/>
    <w:rsid w:val="00BF1740"/>
    <w:rsid w:val="00BF19B3"/>
    <w:rsid w:val="00BF2146"/>
    <w:rsid w:val="00BF2184"/>
    <w:rsid w:val="00BF2BBE"/>
    <w:rsid w:val="00BF36F1"/>
    <w:rsid w:val="00BF381C"/>
    <w:rsid w:val="00BF3B7F"/>
    <w:rsid w:val="00BF4606"/>
    <w:rsid w:val="00BF4733"/>
    <w:rsid w:val="00BF498B"/>
    <w:rsid w:val="00BF4E4A"/>
    <w:rsid w:val="00BF4EB8"/>
    <w:rsid w:val="00BF5D42"/>
    <w:rsid w:val="00BF6690"/>
    <w:rsid w:val="00BF6A28"/>
    <w:rsid w:val="00BF7E99"/>
    <w:rsid w:val="00C00469"/>
    <w:rsid w:val="00C0047B"/>
    <w:rsid w:val="00C00DFE"/>
    <w:rsid w:val="00C0102F"/>
    <w:rsid w:val="00C010FA"/>
    <w:rsid w:val="00C015EB"/>
    <w:rsid w:val="00C01A05"/>
    <w:rsid w:val="00C01AF6"/>
    <w:rsid w:val="00C01BB0"/>
    <w:rsid w:val="00C01C75"/>
    <w:rsid w:val="00C02121"/>
    <w:rsid w:val="00C02210"/>
    <w:rsid w:val="00C02714"/>
    <w:rsid w:val="00C02E62"/>
    <w:rsid w:val="00C037FC"/>
    <w:rsid w:val="00C03BCA"/>
    <w:rsid w:val="00C03FC3"/>
    <w:rsid w:val="00C042FB"/>
    <w:rsid w:val="00C0440C"/>
    <w:rsid w:val="00C04568"/>
    <w:rsid w:val="00C04A9A"/>
    <w:rsid w:val="00C04B40"/>
    <w:rsid w:val="00C05057"/>
    <w:rsid w:val="00C05098"/>
    <w:rsid w:val="00C05267"/>
    <w:rsid w:val="00C05422"/>
    <w:rsid w:val="00C0546D"/>
    <w:rsid w:val="00C05541"/>
    <w:rsid w:val="00C05611"/>
    <w:rsid w:val="00C05659"/>
    <w:rsid w:val="00C0591B"/>
    <w:rsid w:val="00C0643E"/>
    <w:rsid w:val="00C06A28"/>
    <w:rsid w:val="00C06FD8"/>
    <w:rsid w:val="00C07889"/>
    <w:rsid w:val="00C07AE4"/>
    <w:rsid w:val="00C07EE8"/>
    <w:rsid w:val="00C10E4A"/>
    <w:rsid w:val="00C10F84"/>
    <w:rsid w:val="00C111C4"/>
    <w:rsid w:val="00C115D3"/>
    <w:rsid w:val="00C11958"/>
    <w:rsid w:val="00C11E2F"/>
    <w:rsid w:val="00C11E76"/>
    <w:rsid w:val="00C1230A"/>
    <w:rsid w:val="00C1238B"/>
    <w:rsid w:val="00C125A7"/>
    <w:rsid w:val="00C129C1"/>
    <w:rsid w:val="00C13E3A"/>
    <w:rsid w:val="00C13EC6"/>
    <w:rsid w:val="00C14145"/>
    <w:rsid w:val="00C14D49"/>
    <w:rsid w:val="00C15346"/>
    <w:rsid w:val="00C15A41"/>
    <w:rsid w:val="00C15E18"/>
    <w:rsid w:val="00C161A7"/>
    <w:rsid w:val="00C163E9"/>
    <w:rsid w:val="00C16DA8"/>
    <w:rsid w:val="00C17D16"/>
    <w:rsid w:val="00C202DC"/>
    <w:rsid w:val="00C20364"/>
    <w:rsid w:val="00C203F0"/>
    <w:rsid w:val="00C20431"/>
    <w:rsid w:val="00C20959"/>
    <w:rsid w:val="00C20C2D"/>
    <w:rsid w:val="00C20D32"/>
    <w:rsid w:val="00C20DA8"/>
    <w:rsid w:val="00C20DF3"/>
    <w:rsid w:val="00C21563"/>
    <w:rsid w:val="00C215CB"/>
    <w:rsid w:val="00C21792"/>
    <w:rsid w:val="00C21910"/>
    <w:rsid w:val="00C2200C"/>
    <w:rsid w:val="00C223D6"/>
    <w:rsid w:val="00C224D0"/>
    <w:rsid w:val="00C22655"/>
    <w:rsid w:val="00C2285B"/>
    <w:rsid w:val="00C22E4B"/>
    <w:rsid w:val="00C22FD7"/>
    <w:rsid w:val="00C23397"/>
    <w:rsid w:val="00C233C0"/>
    <w:rsid w:val="00C23610"/>
    <w:rsid w:val="00C238FD"/>
    <w:rsid w:val="00C23CB8"/>
    <w:rsid w:val="00C23E65"/>
    <w:rsid w:val="00C240D2"/>
    <w:rsid w:val="00C241C5"/>
    <w:rsid w:val="00C24368"/>
    <w:rsid w:val="00C2442D"/>
    <w:rsid w:val="00C24886"/>
    <w:rsid w:val="00C24A19"/>
    <w:rsid w:val="00C24A20"/>
    <w:rsid w:val="00C24D83"/>
    <w:rsid w:val="00C25770"/>
    <w:rsid w:val="00C2636E"/>
    <w:rsid w:val="00C268C6"/>
    <w:rsid w:val="00C270A5"/>
    <w:rsid w:val="00C273F5"/>
    <w:rsid w:val="00C27402"/>
    <w:rsid w:val="00C274F3"/>
    <w:rsid w:val="00C27F83"/>
    <w:rsid w:val="00C3074B"/>
    <w:rsid w:val="00C30904"/>
    <w:rsid w:val="00C30957"/>
    <w:rsid w:val="00C3188D"/>
    <w:rsid w:val="00C318A2"/>
    <w:rsid w:val="00C318AF"/>
    <w:rsid w:val="00C31A94"/>
    <w:rsid w:val="00C321FC"/>
    <w:rsid w:val="00C324F0"/>
    <w:rsid w:val="00C3267E"/>
    <w:rsid w:val="00C327BC"/>
    <w:rsid w:val="00C32D84"/>
    <w:rsid w:val="00C32E23"/>
    <w:rsid w:val="00C3327C"/>
    <w:rsid w:val="00C335D7"/>
    <w:rsid w:val="00C336EC"/>
    <w:rsid w:val="00C3385B"/>
    <w:rsid w:val="00C33BE1"/>
    <w:rsid w:val="00C34193"/>
    <w:rsid w:val="00C34B20"/>
    <w:rsid w:val="00C35323"/>
    <w:rsid w:val="00C354FC"/>
    <w:rsid w:val="00C35747"/>
    <w:rsid w:val="00C35780"/>
    <w:rsid w:val="00C35A2D"/>
    <w:rsid w:val="00C3607D"/>
    <w:rsid w:val="00C3671C"/>
    <w:rsid w:val="00C368B2"/>
    <w:rsid w:val="00C369C5"/>
    <w:rsid w:val="00C36C40"/>
    <w:rsid w:val="00C36E59"/>
    <w:rsid w:val="00C36FB7"/>
    <w:rsid w:val="00C37102"/>
    <w:rsid w:val="00C378BB"/>
    <w:rsid w:val="00C37A49"/>
    <w:rsid w:val="00C37C66"/>
    <w:rsid w:val="00C4004B"/>
    <w:rsid w:val="00C40C65"/>
    <w:rsid w:val="00C40D7A"/>
    <w:rsid w:val="00C411C6"/>
    <w:rsid w:val="00C411E8"/>
    <w:rsid w:val="00C42009"/>
    <w:rsid w:val="00C42089"/>
    <w:rsid w:val="00C42278"/>
    <w:rsid w:val="00C4227F"/>
    <w:rsid w:val="00C4251E"/>
    <w:rsid w:val="00C425B1"/>
    <w:rsid w:val="00C43733"/>
    <w:rsid w:val="00C43770"/>
    <w:rsid w:val="00C43996"/>
    <w:rsid w:val="00C43D1B"/>
    <w:rsid w:val="00C43DB2"/>
    <w:rsid w:val="00C43F3C"/>
    <w:rsid w:val="00C448AE"/>
    <w:rsid w:val="00C44997"/>
    <w:rsid w:val="00C44B2F"/>
    <w:rsid w:val="00C44B92"/>
    <w:rsid w:val="00C44D9B"/>
    <w:rsid w:val="00C44E74"/>
    <w:rsid w:val="00C4508E"/>
    <w:rsid w:val="00C45217"/>
    <w:rsid w:val="00C45F1A"/>
    <w:rsid w:val="00C45FCA"/>
    <w:rsid w:val="00C4632E"/>
    <w:rsid w:val="00C46358"/>
    <w:rsid w:val="00C46905"/>
    <w:rsid w:val="00C46E0F"/>
    <w:rsid w:val="00C46FC4"/>
    <w:rsid w:val="00C4786D"/>
    <w:rsid w:val="00C47A35"/>
    <w:rsid w:val="00C47DE2"/>
    <w:rsid w:val="00C50543"/>
    <w:rsid w:val="00C505BA"/>
    <w:rsid w:val="00C508DA"/>
    <w:rsid w:val="00C50ADB"/>
    <w:rsid w:val="00C50B3A"/>
    <w:rsid w:val="00C50D96"/>
    <w:rsid w:val="00C51470"/>
    <w:rsid w:val="00C5157D"/>
    <w:rsid w:val="00C519DA"/>
    <w:rsid w:val="00C51A3B"/>
    <w:rsid w:val="00C522FC"/>
    <w:rsid w:val="00C52CEE"/>
    <w:rsid w:val="00C530B7"/>
    <w:rsid w:val="00C53C97"/>
    <w:rsid w:val="00C54752"/>
    <w:rsid w:val="00C54D41"/>
    <w:rsid w:val="00C5514C"/>
    <w:rsid w:val="00C55504"/>
    <w:rsid w:val="00C56DA3"/>
    <w:rsid w:val="00C56DA7"/>
    <w:rsid w:val="00C56EA1"/>
    <w:rsid w:val="00C57721"/>
    <w:rsid w:val="00C57A60"/>
    <w:rsid w:val="00C57C31"/>
    <w:rsid w:val="00C57D85"/>
    <w:rsid w:val="00C603F9"/>
    <w:rsid w:val="00C60AE1"/>
    <w:rsid w:val="00C61102"/>
    <w:rsid w:val="00C620C3"/>
    <w:rsid w:val="00C624A9"/>
    <w:rsid w:val="00C62B22"/>
    <w:rsid w:val="00C62C3F"/>
    <w:rsid w:val="00C63304"/>
    <w:rsid w:val="00C63926"/>
    <w:rsid w:val="00C63BC0"/>
    <w:rsid w:val="00C63D7F"/>
    <w:rsid w:val="00C63FCC"/>
    <w:rsid w:val="00C63FEC"/>
    <w:rsid w:val="00C64D09"/>
    <w:rsid w:val="00C65A73"/>
    <w:rsid w:val="00C65AE0"/>
    <w:rsid w:val="00C65E33"/>
    <w:rsid w:val="00C661CD"/>
    <w:rsid w:val="00C66409"/>
    <w:rsid w:val="00C66521"/>
    <w:rsid w:val="00C66925"/>
    <w:rsid w:val="00C66FFA"/>
    <w:rsid w:val="00C6779C"/>
    <w:rsid w:val="00C67BA4"/>
    <w:rsid w:val="00C67C07"/>
    <w:rsid w:val="00C700B4"/>
    <w:rsid w:val="00C703AA"/>
    <w:rsid w:val="00C7112E"/>
    <w:rsid w:val="00C71A7E"/>
    <w:rsid w:val="00C71C06"/>
    <w:rsid w:val="00C7205C"/>
    <w:rsid w:val="00C7254D"/>
    <w:rsid w:val="00C72A44"/>
    <w:rsid w:val="00C72CA9"/>
    <w:rsid w:val="00C72F5F"/>
    <w:rsid w:val="00C73184"/>
    <w:rsid w:val="00C7332A"/>
    <w:rsid w:val="00C733D9"/>
    <w:rsid w:val="00C73401"/>
    <w:rsid w:val="00C7346A"/>
    <w:rsid w:val="00C736A6"/>
    <w:rsid w:val="00C73906"/>
    <w:rsid w:val="00C73BEB"/>
    <w:rsid w:val="00C73F09"/>
    <w:rsid w:val="00C744F3"/>
    <w:rsid w:val="00C74825"/>
    <w:rsid w:val="00C7524C"/>
    <w:rsid w:val="00C76508"/>
    <w:rsid w:val="00C765DF"/>
    <w:rsid w:val="00C766FC"/>
    <w:rsid w:val="00C76BCA"/>
    <w:rsid w:val="00C76D6D"/>
    <w:rsid w:val="00C773AF"/>
    <w:rsid w:val="00C775FD"/>
    <w:rsid w:val="00C776FD"/>
    <w:rsid w:val="00C8020F"/>
    <w:rsid w:val="00C804E2"/>
    <w:rsid w:val="00C80B8B"/>
    <w:rsid w:val="00C81705"/>
    <w:rsid w:val="00C81842"/>
    <w:rsid w:val="00C81CF0"/>
    <w:rsid w:val="00C82240"/>
    <w:rsid w:val="00C8225E"/>
    <w:rsid w:val="00C82B49"/>
    <w:rsid w:val="00C82BD2"/>
    <w:rsid w:val="00C82D8D"/>
    <w:rsid w:val="00C836F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627D"/>
    <w:rsid w:val="00C86A07"/>
    <w:rsid w:val="00C8799A"/>
    <w:rsid w:val="00C900E3"/>
    <w:rsid w:val="00C9029B"/>
    <w:rsid w:val="00C903B9"/>
    <w:rsid w:val="00C907F3"/>
    <w:rsid w:val="00C909E3"/>
    <w:rsid w:val="00C90DD2"/>
    <w:rsid w:val="00C9150F"/>
    <w:rsid w:val="00C91C46"/>
    <w:rsid w:val="00C93087"/>
    <w:rsid w:val="00C93512"/>
    <w:rsid w:val="00C935FF"/>
    <w:rsid w:val="00C93944"/>
    <w:rsid w:val="00C93964"/>
    <w:rsid w:val="00C93BBF"/>
    <w:rsid w:val="00C94149"/>
    <w:rsid w:val="00C9424C"/>
    <w:rsid w:val="00C94660"/>
    <w:rsid w:val="00C94796"/>
    <w:rsid w:val="00C94C8D"/>
    <w:rsid w:val="00C9516A"/>
    <w:rsid w:val="00C95385"/>
    <w:rsid w:val="00C955D7"/>
    <w:rsid w:val="00C95D09"/>
    <w:rsid w:val="00C95F4E"/>
    <w:rsid w:val="00C9622B"/>
    <w:rsid w:val="00C964A6"/>
    <w:rsid w:val="00C96502"/>
    <w:rsid w:val="00C9681F"/>
    <w:rsid w:val="00C96D5B"/>
    <w:rsid w:val="00C971AB"/>
    <w:rsid w:val="00C9755E"/>
    <w:rsid w:val="00C97617"/>
    <w:rsid w:val="00C97DCE"/>
    <w:rsid w:val="00CA043B"/>
    <w:rsid w:val="00CA062B"/>
    <w:rsid w:val="00CA0CFC"/>
    <w:rsid w:val="00CA121B"/>
    <w:rsid w:val="00CA1283"/>
    <w:rsid w:val="00CA19A4"/>
    <w:rsid w:val="00CA1D40"/>
    <w:rsid w:val="00CA1E6F"/>
    <w:rsid w:val="00CA1EDA"/>
    <w:rsid w:val="00CA2076"/>
    <w:rsid w:val="00CA2C8D"/>
    <w:rsid w:val="00CA2E6A"/>
    <w:rsid w:val="00CA301A"/>
    <w:rsid w:val="00CA3771"/>
    <w:rsid w:val="00CA3981"/>
    <w:rsid w:val="00CA461D"/>
    <w:rsid w:val="00CA46A4"/>
    <w:rsid w:val="00CA4B8E"/>
    <w:rsid w:val="00CA4CB1"/>
    <w:rsid w:val="00CA5278"/>
    <w:rsid w:val="00CA5A78"/>
    <w:rsid w:val="00CA5F9E"/>
    <w:rsid w:val="00CA5FEC"/>
    <w:rsid w:val="00CA68D4"/>
    <w:rsid w:val="00CA75EB"/>
    <w:rsid w:val="00CA776F"/>
    <w:rsid w:val="00CA7CF2"/>
    <w:rsid w:val="00CA7D6B"/>
    <w:rsid w:val="00CB0479"/>
    <w:rsid w:val="00CB0A16"/>
    <w:rsid w:val="00CB0F0C"/>
    <w:rsid w:val="00CB10F5"/>
    <w:rsid w:val="00CB1696"/>
    <w:rsid w:val="00CB1B71"/>
    <w:rsid w:val="00CB1DCD"/>
    <w:rsid w:val="00CB2363"/>
    <w:rsid w:val="00CB2434"/>
    <w:rsid w:val="00CB2774"/>
    <w:rsid w:val="00CB2A32"/>
    <w:rsid w:val="00CB2A50"/>
    <w:rsid w:val="00CB2F05"/>
    <w:rsid w:val="00CB30CA"/>
    <w:rsid w:val="00CB3172"/>
    <w:rsid w:val="00CB4022"/>
    <w:rsid w:val="00CB4125"/>
    <w:rsid w:val="00CB4562"/>
    <w:rsid w:val="00CB471F"/>
    <w:rsid w:val="00CB47F9"/>
    <w:rsid w:val="00CB4FA0"/>
    <w:rsid w:val="00CB5679"/>
    <w:rsid w:val="00CB5713"/>
    <w:rsid w:val="00CB5AAB"/>
    <w:rsid w:val="00CB6792"/>
    <w:rsid w:val="00CB68A2"/>
    <w:rsid w:val="00CB7040"/>
    <w:rsid w:val="00CB70E1"/>
    <w:rsid w:val="00CB731B"/>
    <w:rsid w:val="00CB7F3B"/>
    <w:rsid w:val="00CC01EB"/>
    <w:rsid w:val="00CC0A7F"/>
    <w:rsid w:val="00CC10DE"/>
    <w:rsid w:val="00CC150E"/>
    <w:rsid w:val="00CC1768"/>
    <w:rsid w:val="00CC1F89"/>
    <w:rsid w:val="00CC2314"/>
    <w:rsid w:val="00CC2408"/>
    <w:rsid w:val="00CC258C"/>
    <w:rsid w:val="00CC25FD"/>
    <w:rsid w:val="00CC2CA2"/>
    <w:rsid w:val="00CC327F"/>
    <w:rsid w:val="00CC34CB"/>
    <w:rsid w:val="00CC385A"/>
    <w:rsid w:val="00CC46CB"/>
    <w:rsid w:val="00CC474A"/>
    <w:rsid w:val="00CC47D7"/>
    <w:rsid w:val="00CC4C03"/>
    <w:rsid w:val="00CC5AA7"/>
    <w:rsid w:val="00CC60F5"/>
    <w:rsid w:val="00CC6105"/>
    <w:rsid w:val="00CC61AA"/>
    <w:rsid w:val="00CC6E85"/>
    <w:rsid w:val="00CC71A0"/>
    <w:rsid w:val="00CC7238"/>
    <w:rsid w:val="00CC75C2"/>
    <w:rsid w:val="00CC778A"/>
    <w:rsid w:val="00CC7E8F"/>
    <w:rsid w:val="00CC7F04"/>
    <w:rsid w:val="00CC7F41"/>
    <w:rsid w:val="00CD000D"/>
    <w:rsid w:val="00CD016C"/>
    <w:rsid w:val="00CD0246"/>
    <w:rsid w:val="00CD067E"/>
    <w:rsid w:val="00CD0842"/>
    <w:rsid w:val="00CD1074"/>
    <w:rsid w:val="00CD157B"/>
    <w:rsid w:val="00CD173D"/>
    <w:rsid w:val="00CD23D6"/>
    <w:rsid w:val="00CD2656"/>
    <w:rsid w:val="00CD3318"/>
    <w:rsid w:val="00CD365A"/>
    <w:rsid w:val="00CD3A18"/>
    <w:rsid w:val="00CD3B31"/>
    <w:rsid w:val="00CD3F18"/>
    <w:rsid w:val="00CD3FFB"/>
    <w:rsid w:val="00CD45E3"/>
    <w:rsid w:val="00CD483F"/>
    <w:rsid w:val="00CD48E4"/>
    <w:rsid w:val="00CD4AF1"/>
    <w:rsid w:val="00CD4B8D"/>
    <w:rsid w:val="00CD4FBF"/>
    <w:rsid w:val="00CD55A2"/>
    <w:rsid w:val="00CD55AF"/>
    <w:rsid w:val="00CD5857"/>
    <w:rsid w:val="00CD58E5"/>
    <w:rsid w:val="00CD5E1F"/>
    <w:rsid w:val="00CD5FFD"/>
    <w:rsid w:val="00CD6874"/>
    <w:rsid w:val="00CD688F"/>
    <w:rsid w:val="00CD7002"/>
    <w:rsid w:val="00CD7104"/>
    <w:rsid w:val="00CD72EA"/>
    <w:rsid w:val="00CD73A3"/>
    <w:rsid w:val="00CE0055"/>
    <w:rsid w:val="00CE02E6"/>
    <w:rsid w:val="00CE082E"/>
    <w:rsid w:val="00CE083C"/>
    <w:rsid w:val="00CE088E"/>
    <w:rsid w:val="00CE0912"/>
    <w:rsid w:val="00CE0C8D"/>
    <w:rsid w:val="00CE0CFD"/>
    <w:rsid w:val="00CE1043"/>
    <w:rsid w:val="00CE1570"/>
    <w:rsid w:val="00CE1B40"/>
    <w:rsid w:val="00CE1CE6"/>
    <w:rsid w:val="00CE1DEC"/>
    <w:rsid w:val="00CE1F54"/>
    <w:rsid w:val="00CE1FB6"/>
    <w:rsid w:val="00CE22BC"/>
    <w:rsid w:val="00CE25E7"/>
    <w:rsid w:val="00CE29BD"/>
    <w:rsid w:val="00CE2BED"/>
    <w:rsid w:val="00CE2E1B"/>
    <w:rsid w:val="00CE301A"/>
    <w:rsid w:val="00CE31E5"/>
    <w:rsid w:val="00CE3564"/>
    <w:rsid w:val="00CE48FB"/>
    <w:rsid w:val="00CE4E97"/>
    <w:rsid w:val="00CE5039"/>
    <w:rsid w:val="00CE5085"/>
    <w:rsid w:val="00CE5A59"/>
    <w:rsid w:val="00CE60F0"/>
    <w:rsid w:val="00CE629E"/>
    <w:rsid w:val="00CE62B8"/>
    <w:rsid w:val="00CE63A8"/>
    <w:rsid w:val="00CE6528"/>
    <w:rsid w:val="00CE6B16"/>
    <w:rsid w:val="00CE6BB0"/>
    <w:rsid w:val="00CE6F27"/>
    <w:rsid w:val="00CE6F96"/>
    <w:rsid w:val="00CE7672"/>
    <w:rsid w:val="00CE79FE"/>
    <w:rsid w:val="00CE7DD6"/>
    <w:rsid w:val="00CE7E16"/>
    <w:rsid w:val="00CF010F"/>
    <w:rsid w:val="00CF0423"/>
    <w:rsid w:val="00CF072B"/>
    <w:rsid w:val="00CF0ADD"/>
    <w:rsid w:val="00CF0AFE"/>
    <w:rsid w:val="00CF0D20"/>
    <w:rsid w:val="00CF19EB"/>
    <w:rsid w:val="00CF2753"/>
    <w:rsid w:val="00CF28EE"/>
    <w:rsid w:val="00CF2FA8"/>
    <w:rsid w:val="00CF3159"/>
    <w:rsid w:val="00CF33B8"/>
    <w:rsid w:val="00CF3885"/>
    <w:rsid w:val="00CF402D"/>
    <w:rsid w:val="00CF431B"/>
    <w:rsid w:val="00CF5577"/>
    <w:rsid w:val="00CF5BE3"/>
    <w:rsid w:val="00CF620E"/>
    <w:rsid w:val="00CF62A8"/>
    <w:rsid w:val="00CF6DF4"/>
    <w:rsid w:val="00CF6EA7"/>
    <w:rsid w:val="00CF7684"/>
    <w:rsid w:val="00CF79A6"/>
    <w:rsid w:val="00CF7A07"/>
    <w:rsid w:val="00CF7AF7"/>
    <w:rsid w:val="00D00680"/>
    <w:rsid w:val="00D00A23"/>
    <w:rsid w:val="00D011FE"/>
    <w:rsid w:val="00D01CCF"/>
    <w:rsid w:val="00D0212E"/>
    <w:rsid w:val="00D0214A"/>
    <w:rsid w:val="00D026CD"/>
    <w:rsid w:val="00D02A25"/>
    <w:rsid w:val="00D02DB4"/>
    <w:rsid w:val="00D035D5"/>
    <w:rsid w:val="00D0391C"/>
    <w:rsid w:val="00D04C15"/>
    <w:rsid w:val="00D04F7B"/>
    <w:rsid w:val="00D0512C"/>
    <w:rsid w:val="00D053C2"/>
    <w:rsid w:val="00D05FA5"/>
    <w:rsid w:val="00D06211"/>
    <w:rsid w:val="00D06E9F"/>
    <w:rsid w:val="00D06FFF"/>
    <w:rsid w:val="00D07871"/>
    <w:rsid w:val="00D07B7D"/>
    <w:rsid w:val="00D10782"/>
    <w:rsid w:val="00D113E7"/>
    <w:rsid w:val="00D116BB"/>
    <w:rsid w:val="00D116F0"/>
    <w:rsid w:val="00D11724"/>
    <w:rsid w:val="00D119B8"/>
    <w:rsid w:val="00D11A72"/>
    <w:rsid w:val="00D11B26"/>
    <w:rsid w:val="00D11B66"/>
    <w:rsid w:val="00D122BD"/>
    <w:rsid w:val="00D123EA"/>
    <w:rsid w:val="00D124C5"/>
    <w:rsid w:val="00D12A77"/>
    <w:rsid w:val="00D12C8C"/>
    <w:rsid w:val="00D12E24"/>
    <w:rsid w:val="00D134C5"/>
    <w:rsid w:val="00D13890"/>
    <w:rsid w:val="00D13CD4"/>
    <w:rsid w:val="00D14332"/>
    <w:rsid w:val="00D14C3A"/>
    <w:rsid w:val="00D15178"/>
    <w:rsid w:val="00D151AE"/>
    <w:rsid w:val="00D15B0C"/>
    <w:rsid w:val="00D15F88"/>
    <w:rsid w:val="00D167E6"/>
    <w:rsid w:val="00D16C97"/>
    <w:rsid w:val="00D16F9B"/>
    <w:rsid w:val="00D174D0"/>
    <w:rsid w:val="00D17611"/>
    <w:rsid w:val="00D17A0C"/>
    <w:rsid w:val="00D17E0F"/>
    <w:rsid w:val="00D17E1D"/>
    <w:rsid w:val="00D17E36"/>
    <w:rsid w:val="00D211A0"/>
    <w:rsid w:val="00D21366"/>
    <w:rsid w:val="00D21A5A"/>
    <w:rsid w:val="00D21E2C"/>
    <w:rsid w:val="00D22039"/>
    <w:rsid w:val="00D22381"/>
    <w:rsid w:val="00D2244D"/>
    <w:rsid w:val="00D22863"/>
    <w:rsid w:val="00D22A36"/>
    <w:rsid w:val="00D22D74"/>
    <w:rsid w:val="00D231EA"/>
    <w:rsid w:val="00D23502"/>
    <w:rsid w:val="00D239B8"/>
    <w:rsid w:val="00D23D32"/>
    <w:rsid w:val="00D23D51"/>
    <w:rsid w:val="00D24778"/>
    <w:rsid w:val="00D259F3"/>
    <w:rsid w:val="00D25ADF"/>
    <w:rsid w:val="00D25BE6"/>
    <w:rsid w:val="00D25C2E"/>
    <w:rsid w:val="00D25FFA"/>
    <w:rsid w:val="00D264A4"/>
    <w:rsid w:val="00D26E87"/>
    <w:rsid w:val="00D27086"/>
    <w:rsid w:val="00D274E2"/>
    <w:rsid w:val="00D279F9"/>
    <w:rsid w:val="00D27BB8"/>
    <w:rsid w:val="00D27CDB"/>
    <w:rsid w:val="00D27D1C"/>
    <w:rsid w:val="00D27E92"/>
    <w:rsid w:val="00D30112"/>
    <w:rsid w:val="00D3018C"/>
    <w:rsid w:val="00D30458"/>
    <w:rsid w:val="00D30B67"/>
    <w:rsid w:val="00D30D2F"/>
    <w:rsid w:val="00D30E04"/>
    <w:rsid w:val="00D31529"/>
    <w:rsid w:val="00D31901"/>
    <w:rsid w:val="00D3190D"/>
    <w:rsid w:val="00D31C33"/>
    <w:rsid w:val="00D3345B"/>
    <w:rsid w:val="00D33974"/>
    <w:rsid w:val="00D34629"/>
    <w:rsid w:val="00D346EB"/>
    <w:rsid w:val="00D34B45"/>
    <w:rsid w:val="00D35DEF"/>
    <w:rsid w:val="00D360BA"/>
    <w:rsid w:val="00D362D1"/>
    <w:rsid w:val="00D3648B"/>
    <w:rsid w:val="00D36D7D"/>
    <w:rsid w:val="00D36FEC"/>
    <w:rsid w:val="00D3723B"/>
    <w:rsid w:val="00D37435"/>
    <w:rsid w:val="00D377B1"/>
    <w:rsid w:val="00D37996"/>
    <w:rsid w:val="00D37C81"/>
    <w:rsid w:val="00D37DF7"/>
    <w:rsid w:val="00D405B2"/>
    <w:rsid w:val="00D40BBB"/>
    <w:rsid w:val="00D4101C"/>
    <w:rsid w:val="00D411AB"/>
    <w:rsid w:val="00D41B32"/>
    <w:rsid w:val="00D41BD7"/>
    <w:rsid w:val="00D41E32"/>
    <w:rsid w:val="00D42078"/>
    <w:rsid w:val="00D42CC1"/>
    <w:rsid w:val="00D42D59"/>
    <w:rsid w:val="00D42F6C"/>
    <w:rsid w:val="00D43663"/>
    <w:rsid w:val="00D43A1F"/>
    <w:rsid w:val="00D44755"/>
    <w:rsid w:val="00D4477C"/>
    <w:rsid w:val="00D454FE"/>
    <w:rsid w:val="00D45EDA"/>
    <w:rsid w:val="00D46126"/>
    <w:rsid w:val="00D46750"/>
    <w:rsid w:val="00D46B3E"/>
    <w:rsid w:val="00D47F43"/>
    <w:rsid w:val="00D5004E"/>
    <w:rsid w:val="00D506A4"/>
    <w:rsid w:val="00D509C4"/>
    <w:rsid w:val="00D50D8F"/>
    <w:rsid w:val="00D50DFF"/>
    <w:rsid w:val="00D50F88"/>
    <w:rsid w:val="00D512A4"/>
    <w:rsid w:val="00D5138A"/>
    <w:rsid w:val="00D51A7A"/>
    <w:rsid w:val="00D51B6D"/>
    <w:rsid w:val="00D521C2"/>
    <w:rsid w:val="00D52785"/>
    <w:rsid w:val="00D52986"/>
    <w:rsid w:val="00D53395"/>
    <w:rsid w:val="00D53401"/>
    <w:rsid w:val="00D5370C"/>
    <w:rsid w:val="00D537D1"/>
    <w:rsid w:val="00D539EF"/>
    <w:rsid w:val="00D53A72"/>
    <w:rsid w:val="00D54038"/>
    <w:rsid w:val="00D54213"/>
    <w:rsid w:val="00D54F96"/>
    <w:rsid w:val="00D5509A"/>
    <w:rsid w:val="00D550A4"/>
    <w:rsid w:val="00D5556F"/>
    <w:rsid w:val="00D55A61"/>
    <w:rsid w:val="00D55E63"/>
    <w:rsid w:val="00D5610F"/>
    <w:rsid w:val="00D5676F"/>
    <w:rsid w:val="00D567D7"/>
    <w:rsid w:val="00D56AE7"/>
    <w:rsid w:val="00D56B08"/>
    <w:rsid w:val="00D57027"/>
    <w:rsid w:val="00D573B0"/>
    <w:rsid w:val="00D57521"/>
    <w:rsid w:val="00D576B6"/>
    <w:rsid w:val="00D576E3"/>
    <w:rsid w:val="00D578DF"/>
    <w:rsid w:val="00D579E1"/>
    <w:rsid w:val="00D600EC"/>
    <w:rsid w:val="00D60147"/>
    <w:rsid w:val="00D60CB8"/>
    <w:rsid w:val="00D60DEF"/>
    <w:rsid w:val="00D6110E"/>
    <w:rsid w:val="00D61D9D"/>
    <w:rsid w:val="00D6217D"/>
    <w:rsid w:val="00D6231B"/>
    <w:rsid w:val="00D62439"/>
    <w:rsid w:val="00D62801"/>
    <w:rsid w:val="00D62C17"/>
    <w:rsid w:val="00D62DFA"/>
    <w:rsid w:val="00D62E01"/>
    <w:rsid w:val="00D63ACC"/>
    <w:rsid w:val="00D63D29"/>
    <w:rsid w:val="00D63EDB"/>
    <w:rsid w:val="00D65C79"/>
    <w:rsid w:val="00D660C0"/>
    <w:rsid w:val="00D664E2"/>
    <w:rsid w:val="00D66949"/>
    <w:rsid w:val="00D66DF2"/>
    <w:rsid w:val="00D674AD"/>
    <w:rsid w:val="00D67A60"/>
    <w:rsid w:val="00D67A77"/>
    <w:rsid w:val="00D70016"/>
    <w:rsid w:val="00D700E6"/>
    <w:rsid w:val="00D70178"/>
    <w:rsid w:val="00D701CE"/>
    <w:rsid w:val="00D701D4"/>
    <w:rsid w:val="00D701D7"/>
    <w:rsid w:val="00D7069F"/>
    <w:rsid w:val="00D7083D"/>
    <w:rsid w:val="00D7100B"/>
    <w:rsid w:val="00D7121B"/>
    <w:rsid w:val="00D71336"/>
    <w:rsid w:val="00D71461"/>
    <w:rsid w:val="00D71471"/>
    <w:rsid w:val="00D719AD"/>
    <w:rsid w:val="00D71B67"/>
    <w:rsid w:val="00D71C56"/>
    <w:rsid w:val="00D72BE6"/>
    <w:rsid w:val="00D73B2C"/>
    <w:rsid w:val="00D73C72"/>
    <w:rsid w:val="00D73DDB"/>
    <w:rsid w:val="00D7429D"/>
    <w:rsid w:val="00D742AC"/>
    <w:rsid w:val="00D745D7"/>
    <w:rsid w:val="00D746BB"/>
    <w:rsid w:val="00D7519D"/>
    <w:rsid w:val="00D75281"/>
    <w:rsid w:val="00D75A53"/>
    <w:rsid w:val="00D75B25"/>
    <w:rsid w:val="00D760B7"/>
    <w:rsid w:val="00D763AA"/>
    <w:rsid w:val="00D7657C"/>
    <w:rsid w:val="00D765FD"/>
    <w:rsid w:val="00D76BAD"/>
    <w:rsid w:val="00D76C97"/>
    <w:rsid w:val="00D76E8B"/>
    <w:rsid w:val="00D7706C"/>
    <w:rsid w:val="00D77433"/>
    <w:rsid w:val="00D779A5"/>
    <w:rsid w:val="00D80CCC"/>
    <w:rsid w:val="00D80F0E"/>
    <w:rsid w:val="00D810BB"/>
    <w:rsid w:val="00D81524"/>
    <w:rsid w:val="00D81801"/>
    <w:rsid w:val="00D81ADA"/>
    <w:rsid w:val="00D81FBB"/>
    <w:rsid w:val="00D8205D"/>
    <w:rsid w:val="00D82A69"/>
    <w:rsid w:val="00D8352F"/>
    <w:rsid w:val="00D836E9"/>
    <w:rsid w:val="00D83760"/>
    <w:rsid w:val="00D8395B"/>
    <w:rsid w:val="00D83D93"/>
    <w:rsid w:val="00D844C1"/>
    <w:rsid w:val="00D8462F"/>
    <w:rsid w:val="00D846FB"/>
    <w:rsid w:val="00D849D6"/>
    <w:rsid w:val="00D84E58"/>
    <w:rsid w:val="00D85504"/>
    <w:rsid w:val="00D8567A"/>
    <w:rsid w:val="00D85C74"/>
    <w:rsid w:val="00D85D02"/>
    <w:rsid w:val="00D86512"/>
    <w:rsid w:val="00D86695"/>
    <w:rsid w:val="00D867A8"/>
    <w:rsid w:val="00D86A06"/>
    <w:rsid w:val="00D86ABB"/>
    <w:rsid w:val="00D86AD8"/>
    <w:rsid w:val="00D87080"/>
    <w:rsid w:val="00D87115"/>
    <w:rsid w:val="00D8744F"/>
    <w:rsid w:val="00D879C1"/>
    <w:rsid w:val="00D87B29"/>
    <w:rsid w:val="00D87D72"/>
    <w:rsid w:val="00D9035B"/>
    <w:rsid w:val="00D90444"/>
    <w:rsid w:val="00D90A77"/>
    <w:rsid w:val="00D90BA1"/>
    <w:rsid w:val="00D91492"/>
    <w:rsid w:val="00D9177C"/>
    <w:rsid w:val="00D91911"/>
    <w:rsid w:val="00D91A0A"/>
    <w:rsid w:val="00D91A82"/>
    <w:rsid w:val="00D91B5D"/>
    <w:rsid w:val="00D91B8A"/>
    <w:rsid w:val="00D920D1"/>
    <w:rsid w:val="00D92F25"/>
    <w:rsid w:val="00D9376B"/>
    <w:rsid w:val="00D93E53"/>
    <w:rsid w:val="00D9449B"/>
    <w:rsid w:val="00D94A33"/>
    <w:rsid w:val="00D94AD1"/>
    <w:rsid w:val="00D96232"/>
    <w:rsid w:val="00D96787"/>
    <w:rsid w:val="00D967A5"/>
    <w:rsid w:val="00D968DA"/>
    <w:rsid w:val="00D96B99"/>
    <w:rsid w:val="00D96D89"/>
    <w:rsid w:val="00D97CB3"/>
    <w:rsid w:val="00D97F7F"/>
    <w:rsid w:val="00DA00C4"/>
    <w:rsid w:val="00DA00E5"/>
    <w:rsid w:val="00DA037D"/>
    <w:rsid w:val="00DA1306"/>
    <w:rsid w:val="00DA182E"/>
    <w:rsid w:val="00DA1E23"/>
    <w:rsid w:val="00DA31BB"/>
    <w:rsid w:val="00DA32AF"/>
    <w:rsid w:val="00DA33EF"/>
    <w:rsid w:val="00DA35AD"/>
    <w:rsid w:val="00DA3EAD"/>
    <w:rsid w:val="00DA4370"/>
    <w:rsid w:val="00DA4479"/>
    <w:rsid w:val="00DA4694"/>
    <w:rsid w:val="00DA477A"/>
    <w:rsid w:val="00DA4973"/>
    <w:rsid w:val="00DA4F32"/>
    <w:rsid w:val="00DA5172"/>
    <w:rsid w:val="00DA5259"/>
    <w:rsid w:val="00DA545B"/>
    <w:rsid w:val="00DA585B"/>
    <w:rsid w:val="00DA5A3E"/>
    <w:rsid w:val="00DA67B4"/>
    <w:rsid w:val="00DA6B61"/>
    <w:rsid w:val="00DA6CF4"/>
    <w:rsid w:val="00DA70E8"/>
    <w:rsid w:val="00DA73AF"/>
    <w:rsid w:val="00DA7CFE"/>
    <w:rsid w:val="00DB0056"/>
    <w:rsid w:val="00DB016D"/>
    <w:rsid w:val="00DB0947"/>
    <w:rsid w:val="00DB09C0"/>
    <w:rsid w:val="00DB0DD9"/>
    <w:rsid w:val="00DB10A8"/>
    <w:rsid w:val="00DB1191"/>
    <w:rsid w:val="00DB11DF"/>
    <w:rsid w:val="00DB19CC"/>
    <w:rsid w:val="00DB2C19"/>
    <w:rsid w:val="00DB30F4"/>
    <w:rsid w:val="00DB31E4"/>
    <w:rsid w:val="00DB3A12"/>
    <w:rsid w:val="00DB3D95"/>
    <w:rsid w:val="00DB3D9F"/>
    <w:rsid w:val="00DB436C"/>
    <w:rsid w:val="00DB49CD"/>
    <w:rsid w:val="00DB5435"/>
    <w:rsid w:val="00DB5698"/>
    <w:rsid w:val="00DB575F"/>
    <w:rsid w:val="00DB59FC"/>
    <w:rsid w:val="00DB63F0"/>
    <w:rsid w:val="00DB66AC"/>
    <w:rsid w:val="00DB6947"/>
    <w:rsid w:val="00DB6D8A"/>
    <w:rsid w:val="00DB6E07"/>
    <w:rsid w:val="00DB7131"/>
    <w:rsid w:val="00DB7344"/>
    <w:rsid w:val="00DB73D7"/>
    <w:rsid w:val="00DB768C"/>
    <w:rsid w:val="00DB77CD"/>
    <w:rsid w:val="00DB7C6A"/>
    <w:rsid w:val="00DB7E20"/>
    <w:rsid w:val="00DB7E8D"/>
    <w:rsid w:val="00DB7ED2"/>
    <w:rsid w:val="00DB7FA2"/>
    <w:rsid w:val="00DC0050"/>
    <w:rsid w:val="00DC08BF"/>
    <w:rsid w:val="00DC0D2B"/>
    <w:rsid w:val="00DC0EA9"/>
    <w:rsid w:val="00DC1061"/>
    <w:rsid w:val="00DC10F2"/>
    <w:rsid w:val="00DC1326"/>
    <w:rsid w:val="00DC143B"/>
    <w:rsid w:val="00DC1926"/>
    <w:rsid w:val="00DC1C01"/>
    <w:rsid w:val="00DC1E36"/>
    <w:rsid w:val="00DC2244"/>
    <w:rsid w:val="00DC22A2"/>
    <w:rsid w:val="00DC2860"/>
    <w:rsid w:val="00DC2886"/>
    <w:rsid w:val="00DC2B13"/>
    <w:rsid w:val="00DC2C91"/>
    <w:rsid w:val="00DC390F"/>
    <w:rsid w:val="00DC3A85"/>
    <w:rsid w:val="00DC3D25"/>
    <w:rsid w:val="00DC4CD9"/>
    <w:rsid w:val="00DC56E3"/>
    <w:rsid w:val="00DC5DB6"/>
    <w:rsid w:val="00DC6192"/>
    <w:rsid w:val="00DC6EC3"/>
    <w:rsid w:val="00DC72DC"/>
    <w:rsid w:val="00DC77BD"/>
    <w:rsid w:val="00DC7ADB"/>
    <w:rsid w:val="00DC7B45"/>
    <w:rsid w:val="00DC7B88"/>
    <w:rsid w:val="00DC7C54"/>
    <w:rsid w:val="00DC7F16"/>
    <w:rsid w:val="00DC7F49"/>
    <w:rsid w:val="00DD0179"/>
    <w:rsid w:val="00DD09EB"/>
    <w:rsid w:val="00DD0C04"/>
    <w:rsid w:val="00DD0CED"/>
    <w:rsid w:val="00DD15F1"/>
    <w:rsid w:val="00DD1A9E"/>
    <w:rsid w:val="00DD2301"/>
    <w:rsid w:val="00DD240B"/>
    <w:rsid w:val="00DD2520"/>
    <w:rsid w:val="00DD28FB"/>
    <w:rsid w:val="00DD30CB"/>
    <w:rsid w:val="00DD323E"/>
    <w:rsid w:val="00DD357B"/>
    <w:rsid w:val="00DD3791"/>
    <w:rsid w:val="00DD3A1E"/>
    <w:rsid w:val="00DD3AFE"/>
    <w:rsid w:val="00DD3D22"/>
    <w:rsid w:val="00DD417C"/>
    <w:rsid w:val="00DD426D"/>
    <w:rsid w:val="00DD436B"/>
    <w:rsid w:val="00DD4752"/>
    <w:rsid w:val="00DD47E4"/>
    <w:rsid w:val="00DD488F"/>
    <w:rsid w:val="00DD4AFB"/>
    <w:rsid w:val="00DD4D46"/>
    <w:rsid w:val="00DD4DAF"/>
    <w:rsid w:val="00DD50A3"/>
    <w:rsid w:val="00DD5130"/>
    <w:rsid w:val="00DD5595"/>
    <w:rsid w:val="00DD584B"/>
    <w:rsid w:val="00DD5948"/>
    <w:rsid w:val="00DD616C"/>
    <w:rsid w:val="00DD6294"/>
    <w:rsid w:val="00DD67E5"/>
    <w:rsid w:val="00DD6A57"/>
    <w:rsid w:val="00DD6DAA"/>
    <w:rsid w:val="00DD6DE4"/>
    <w:rsid w:val="00DD7848"/>
    <w:rsid w:val="00DD7EAF"/>
    <w:rsid w:val="00DE01F6"/>
    <w:rsid w:val="00DE0520"/>
    <w:rsid w:val="00DE0CD5"/>
    <w:rsid w:val="00DE0FBE"/>
    <w:rsid w:val="00DE1031"/>
    <w:rsid w:val="00DE170D"/>
    <w:rsid w:val="00DE1B18"/>
    <w:rsid w:val="00DE1D5F"/>
    <w:rsid w:val="00DE1E84"/>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CE5"/>
    <w:rsid w:val="00DE4063"/>
    <w:rsid w:val="00DE472C"/>
    <w:rsid w:val="00DE4B1A"/>
    <w:rsid w:val="00DE5159"/>
    <w:rsid w:val="00DE56AD"/>
    <w:rsid w:val="00DE5A62"/>
    <w:rsid w:val="00DE686E"/>
    <w:rsid w:val="00DE6EB9"/>
    <w:rsid w:val="00DE76A7"/>
    <w:rsid w:val="00DE78CE"/>
    <w:rsid w:val="00DE7B6E"/>
    <w:rsid w:val="00DF074F"/>
    <w:rsid w:val="00DF0ED7"/>
    <w:rsid w:val="00DF123F"/>
    <w:rsid w:val="00DF12B3"/>
    <w:rsid w:val="00DF13F9"/>
    <w:rsid w:val="00DF16D3"/>
    <w:rsid w:val="00DF17D8"/>
    <w:rsid w:val="00DF1A16"/>
    <w:rsid w:val="00DF1C08"/>
    <w:rsid w:val="00DF21F4"/>
    <w:rsid w:val="00DF2409"/>
    <w:rsid w:val="00DF2583"/>
    <w:rsid w:val="00DF26B1"/>
    <w:rsid w:val="00DF2865"/>
    <w:rsid w:val="00DF2CE5"/>
    <w:rsid w:val="00DF2E7F"/>
    <w:rsid w:val="00DF3158"/>
    <w:rsid w:val="00DF3219"/>
    <w:rsid w:val="00DF3814"/>
    <w:rsid w:val="00DF3BF6"/>
    <w:rsid w:val="00DF3DA5"/>
    <w:rsid w:val="00DF4252"/>
    <w:rsid w:val="00DF4400"/>
    <w:rsid w:val="00DF480A"/>
    <w:rsid w:val="00DF4CAF"/>
    <w:rsid w:val="00DF4FB9"/>
    <w:rsid w:val="00DF504C"/>
    <w:rsid w:val="00DF52D1"/>
    <w:rsid w:val="00DF5789"/>
    <w:rsid w:val="00DF5984"/>
    <w:rsid w:val="00DF5A45"/>
    <w:rsid w:val="00DF6037"/>
    <w:rsid w:val="00DF630F"/>
    <w:rsid w:val="00DF663B"/>
    <w:rsid w:val="00DF6BBE"/>
    <w:rsid w:val="00DF6E21"/>
    <w:rsid w:val="00DF71D8"/>
    <w:rsid w:val="00E006FB"/>
    <w:rsid w:val="00E00719"/>
    <w:rsid w:val="00E0085F"/>
    <w:rsid w:val="00E0188B"/>
    <w:rsid w:val="00E01CA7"/>
    <w:rsid w:val="00E020CB"/>
    <w:rsid w:val="00E02D07"/>
    <w:rsid w:val="00E02E95"/>
    <w:rsid w:val="00E033BA"/>
    <w:rsid w:val="00E03692"/>
    <w:rsid w:val="00E037C1"/>
    <w:rsid w:val="00E0382F"/>
    <w:rsid w:val="00E03980"/>
    <w:rsid w:val="00E03DA9"/>
    <w:rsid w:val="00E041EC"/>
    <w:rsid w:val="00E047AD"/>
    <w:rsid w:val="00E0489F"/>
    <w:rsid w:val="00E05450"/>
    <w:rsid w:val="00E05743"/>
    <w:rsid w:val="00E058EE"/>
    <w:rsid w:val="00E05C35"/>
    <w:rsid w:val="00E05E5A"/>
    <w:rsid w:val="00E06676"/>
    <w:rsid w:val="00E066F5"/>
    <w:rsid w:val="00E06A0D"/>
    <w:rsid w:val="00E0716E"/>
    <w:rsid w:val="00E073BA"/>
    <w:rsid w:val="00E075DE"/>
    <w:rsid w:val="00E0775F"/>
    <w:rsid w:val="00E07AA3"/>
    <w:rsid w:val="00E07AB5"/>
    <w:rsid w:val="00E10A5A"/>
    <w:rsid w:val="00E10C82"/>
    <w:rsid w:val="00E10EC8"/>
    <w:rsid w:val="00E11D68"/>
    <w:rsid w:val="00E11DB0"/>
    <w:rsid w:val="00E120FC"/>
    <w:rsid w:val="00E1213E"/>
    <w:rsid w:val="00E1219F"/>
    <w:rsid w:val="00E1220B"/>
    <w:rsid w:val="00E1228B"/>
    <w:rsid w:val="00E12742"/>
    <w:rsid w:val="00E12812"/>
    <w:rsid w:val="00E12CBB"/>
    <w:rsid w:val="00E12D6C"/>
    <w:rsid w:val="00E12EDF"/>
    <w:rsid w:val="00E13408"/>
    <w:rsid w:val="00E14153"/>
    <w:rsid w:val="00E1448C"/>
    <w:rsid w:val="00E14B7B"/>
    <w:rsid w:val="00E14D04"/>
    <w:rsid w:val="00E15B76"/>
    <w:rsid w:val="00E16431"/>
    <w:rsid w:val="00E16805"/>
    <w:rsid w:val="00E1695A"/>
    <w:rsid w:val="00E16B28"/>
    <w:rsid w:val="00E16CA5"/>
    <w:rsid w:val="00E16D2F"/>
    <w:rsid w:val="00E17820"/>
    <w:rsid w:val="00E17B40"/>
    <w:rsid w:val="00E17D6E"/>
    <w:rsid w:val="00E17F71"/>
    <w:rsid w:val="00E17F94"/>
    <w:rsid w:val="00E20DD3"/>
    <w:rsid w:val="00E2102D"/>
    <w:rsid w:val="00E210F1"/>
    <w:rsid w:val="00E21224"/>
    <w:rsid w:val="00E2148C"/>
    <w:rsid w:val="00E21C86"/>
    <w:rsid w:val="00E21EAD"/>
    <w:rsid w:val="00E21F8A"/>
    <w:rsid w:val="00E223B3"/>
    <w:rsid w:val="00E22541"/>
    <w:rsid w:val="00E22D6F"/>
    <w:rsid w:val="00E22E87"/>
    <w:rsid w:val="00E2360B"/>
    <w:rsid w:val="00E23C52"/>
    <w:rsid w:val="00E23C67"/>
    <w:rsid w:val="00E23CEF"/>
    <w:rsid w:val="00E23D0D"/>
    <w:rsid w:val="00E23FAE"/>
    <w:rsid w:val="00E245C3"/>
    <w:rsid w:val="00E246BA"/>
    <w:rsid w:val="00E247DE"/>
    <w:rsid w:val="00E24BC4"/>
    <w:rsid w:val="00E24F76"/>
    <w:rsid w:val="00E2631F"/>
    <w:rsid w:val="00E2675C"/>
    <w:rsid w:val="00E26A6B"/>
    <w:rsid w:val="00E26D12"/>
    <w:rsid w:val="00E2764E"/>
    <w:rsid w:val="00E27665"/>
    <w:rsid w:val="00E278AC"/>
    <w:rsid w:val="00E27BEE"/>
    <w:rsid w:val="00E27F69"/>
    <w:rsid w:val="00E3052B"/>
    <w:rsid w:val="00E30EEA"/>
    <w:rsid w:val="00E31471"/>
    <w:rsid w:val="00E31710"/>
    <w:rsid w:val="00E32188"/>
    <w:rsid w:val="00E328D8"/>
    <w:rsid w:val="00E32CE2"/>
    <w:rsid w:val="00E32D37"/>
    <w:rsid w:val="00E32F10"/>
    <w:rsid w:val="00E33B59"/>
    <w:rsid w:val="00E33C12"/>
    <w:rsid w:val="00E33F65"/>
    <w:rsid w:val="00E34142"/>
    <w:rsid w:val="00E3460C"/>
    <w:rsid w:val="00E3489A"/>
    <w:rsid w:val="00E3495E"/>
    <w:rsid w:val="00E35CB7"/>
    <w:rsid w:val="00E35F92"/>
    <w:rsid w:val="00E3617F"/>
    <w:rsid w:val="00E3638F"/>
    <w:rsid w:val="00E36453"/>
    <w:rsid w:val="00E37667"/>
    <w:rsid w:val="00E4024F"/>
    <w:rsid w:val="00E406DA"/>
    <w:rsid w:val="00E40707"/>
    <w:rsid w:val="00E40ADA"/>
    <w:rsid w:val="00E40B1E"/>
    <w:rsid w:val="00E415FC"/>
    <w:rsid w:val="00E4170E"/>
    <w:rsid w:val="00E41911"/>
    <w:rsid w:val="00E4246E"/>
    <w:rsid w:val="00E43398"/>
    <w:rsid w:val="00E43AA3"/>
    <w:rsid w:val="00E43EB0"/>
    <w:rsid w:val="00E43FB8"/>
    <w:rsid w:val="00E44214"/>
    <w:rsid w:val="00E44A83"/>
    <w:rsid w:val="00E44BFF"/>
    <w:rsid w:val="00E44C59"/>
    <w:rsid w:val="00E453AF"/>
    <w:rsid w:val="00E4549D"/>
    <w:rsid w:val="00E45BF2"/>
    <w:rsid w:val="00E45DEA"/>
    <w:rsid w:val="00E4677E"/>
    <w:rsid w:val="00E46935"/>
    <w:rsid w:val="00E47684"/>
    <w:rsid w:val="00E47A76"/>
    <w:rsid w:val="00E500ED"/>
    <w:rsid w:val="00E50366"/>
    <w:rsid w:val="00E50C4C"/>
    <w:rsid w:val="00E51829"/>
    <w:rsid w:val="00E52D7D"/>
    <w:rsid w:val="00E52E0B"/>
    <w:rsid w:val="00E53651"/>
    <w:rsid w:val="00E53DCD"/>
    <w:rsid w:val="00E54030"/>
    <w:rsid w:val="00E54066"/>
    <w:rsid w:val="00E54291"/>
    <w:rsid w:val="00E54585"/>
    <w:rsid w:val="00E5459C"/>
    <w:rsid w:val="00E5475E"/>
    <w:rsid w:val="00E549C2"/>
    <w:rsid w:val="00E55537"/>
    <w:rsid w:val="00E557B5"/>
    <w:rsid w:val="00E55CD8"/>
    <w:rsid w:val="00E55E1B"/>
    <w:rsid w:val="00E56BD8"/>
    <w:rsid w:val="00E56F3C"/>
    <w:rsid w:val="00E574B1"/>
    <w:rsid w:val="00E57B6A"/>
    <w:rsid w:val="00E57D28"/>
    <w:rsid w:val="00E60952"/>
    <w:rsid w:val="00E616CC"/>
    <w:rsid w:val="00E61819"/>
    <w:rsid w:val="00E61E23"/>
    <w:rsid w:val="00E620A6"/>
    <w:rsid w:val="00E6210D"/>
    <w:rsid w:val="00E62171"/>
    <w:rsid w:val="00E62656"/>
    <w:rsid w:val="00E62768"/>
    <w:rsid w:val="00E62781"/>
    <w:rsid w:val="00E62E62"/>
    <w:rsid w:val="00E62F0B"/>
    <w:rsid w:val="00E633BF"/>
    <w:rsid w:val="00E6448D"/>
    <w:rsid w:val="00E6462C"/>
    <w:rsid w:val="00E64745"/>
    <w:rsid w:val="00E64A14"/>
    <w:rsid w:val="00E65BCA"/>
    <w:rsid w:val="00E65F73"/>
    <w:rsid w:val="00E65F80"/>
    <w:rsid w:val="00E66365"/>
    <w:rsid w:val="00E664B9"/>
    <w:rsid w:val="00E66FF1"/>
    <w:rsid w:val="00E672DE"/>
    <w:rsid w:val="00E70029"/>
    <w:rsid w:val="00E70AAC"/>
    <w:rsid w:val="00E70C5F"/>
    <w:rsid w:val="00E71702"/>
    <w:rsid w:val="00E718FA"/>
    <w:rsid w:val="00E719D3"/>
    <w:rsid w:val="00E720FE"/>
    <w:rsid w:val="00E7210E"/>
    <w:rsid w:val="00E72A86"/>
    <w:rsid w:val="00E72C29"/>
    <w:rsid w:val="00E72D83"/>
    <w:rsid w:val="00E730C6"/>
    <w:rsid w:val="00E73583"/>
    <w:rsid w:val="00E73A50"/>
    <w:rsid w:val="00E73E05"/>
    <w:rsid w:val="00E7442B"/>
    <w:rsid w:val="00E748F5"/>
    <w:rsid w:val="00E74DB2"/>
    <w:rsid w:val="00E74EE7"/>
    <w:rsid w:val="00E75023"/>
    <w:rsid w:val="00E75236"/>
    <w:rsid w:val="00E75D1A"/>
    <w:rsid w:val="00E75E52"/>
    <w:rsid w:val="00E766C1"/>
    <w:rsid w:val="00E76782"/>
    <w:rsid w:val="00E76956"/>
    <w:rsid w:val="00E76AE4"/>
    <w:rsid w:val="00E76B6E"/>
    <w:rsid w:val="00E76DB9"/>
    <w:rsid w:val="00E77030"/>
    <w:rsid w:val="00E773C5"/>
    <w:rsid w:val="00E77744"/>
    <w:rsid w:val="00E777AD"/>
    <w:rsid w:val="00E779CB"/>
    <w:rsid w:val="00E80B80"/>
    <w:rsid w:val="00E814BC"/>
    <w:rsid w:val="00E81603"/>
    <w:rsid w:val="00E81756"/>
    <w:rsid w:val="00E81A4E"/>
    <w:rsid w:val="00E81A79"/>
    <w:rsid w:val="00E82946"/>
    <w:rsid w:val="00E829A1"/>
    <w:rsid w:val="00E82C70"/>
    <w:rsid w:val="00E82DC8"/>
    <w:rsid w:val="00E83D1B"/>
    <w:rsid w:val="00E84AB4"/>
    <w:rsid w:val="00E84B48"/>
    <w:rsid w:val="00E84CC9"/>
    <w:rsid w:val="00E84EBF"/>
    <w:rsid w:val="00E85188"/>
    <w:rsid w:val="00E8590A"/>
    <w:rsid w:val="00E85C14"/>
    <w:rsid w:val="00E85EFE"/>
    <w:rsid w:val="00E85F38"/>
    <w:rsid w:val="00E861A8"/>
    <w:rsid w:val="00E8664F"/>
    <w:rsid w:val="00E86ED2"/>
    <w:rsid w:val="00E87080"/>
    <w:rsid w:val="00E871DB"/>
    <w:rsid w:val="00E87629"/>
    <w:rsid w:val="00E87846"/>
    <w:rsid w:val="00E87853"/>
    <w:rsid w:val="00E90075"/>
    <w:rsid w:val="00E90423"/>
    <w:rsid w:val="00E9047F"/>
    <w:rsid w:val="00E90630"/>
    <w:rsid w:val="00E90C12"/>
    <w:rsid w:val="00E90D4F"/>
    <w:rsid w:val="00E90F1F"/>
    <w:rsid w:val="00E915DE"/>
    <w:rsid w:val="00E91621"/>
    <w:rsid w:val="00E9187D"/>
    <w:rsid w:val="00E91C47"/>
    <w:rsid w:val="00E91D47"/>
    <w:rsid w:val="00E91FEE"/>
    <w:rsid w:val="00E92935"/>
    <w:rsid w:val="00E9426C"/>
    <w:rsid w:val="00E94784"/>
    <w:rsid w:val="00E949D3"/>
    <w:rsid w:val="00E94A10"/>
    <w:rsid w:val="00E94E52"/>
    <w:rsid w:val="00E958D6"/>
    <w:rsid w:val="00E95D01"/>
    <w:rsid w:val="00E95F82"/>
    <w:rsid w:val="00E96141"/>
    <w:rsid w:val="00E96473"/>
    <w:rsid w:val="00E96829"/>
    <w:rsid w:val="00E9686D"/>
    <w:rsid w:val="00E9720F"/>
    <w:rsid w:val="00E9757C"/>
    <w:rsid w:val="00E9760E"/>
    <w:rsid w:val="00E9778F"/>
    <w:rsid w:val="00E97928"/>
    <w:rsid w:val="00E97A5E"/>
    <w:rsid w:val="00EA0D57"/>
    <w:rsid w:val="00EA0E45"/>
    <w:rsid w:val="00EA1EAD"/>
    <w:rsid w:val="00EA205B"/>
    <w:rsid w:val="00EA3628"/>
    <w:rsid w:val="00EA36D3"/>
    <w:rsid w:val="00EA3702"/>
    <w:rsid w:val="00EA38FA"/>
    <w:rsid w:val="00EA3AA9"/>
    <w:rsid w:val="00EA446D"/>
    <w:rsid w:val="00EA460C"/>
    <w:rsid w:val="00EA4907"/>
    <w:rsid w:val="00EA4974"/>
    <w:rsid w:val="00EA4A2E"/>
    <w:rsid w:val="00EA4BCD"/>
    <w:rsid w:val="00EA4CE0"/>
    <w:rsid w:val="00EA4EE3"/>
    <w:rsid w:val="00EA5058"/>
    <w:rsid w:val="00EA52B7"/>
    <w:rsid w:val="00EA5618"/>
    <w:rsid w:val="00EA5AC7"/>
    <w:rsid w:val="00EA6303"/>
    <w:rsid w:val="00EA63E7"/>
    <w:rsid w:val="00EA67FD"/>
    <w:rsid w:val="00EA6872"/>
    <w:rsid w:val="00EA69A8"/>
    <w:rsid w:val="00EA6B29"/>
    <w:rsid w:val="00EA6B90"/>
    <w:rsid w:val="00EA6EA1"/>
    <w:rsid w:val="00EA740F"/>
    <w:rsid w:val="00EA7587"/>
    <w:rsid w:val="00EA7A0F"/>
    <w:rsid w:val="00EB0043"/>
    <w:rsid w:val="00EB04B5"/>
    <w:rsid w:val="00EB06AF"/>
    <w:rsid w:val="00EB1023"/>
    <w:rsid w:val="00EB1073"/>
    <w:rsid w:val="00EB199B"/>
    <w:rsid w:val="00EB1BC0"/>
    <w:rsid w:val="00EB210B"/>
    <w:rsid w:val="00EB2248"/>
    <w:rsid w:val="00EB2453"/>
    <w:rsid w:val="00EB269D"/>
    <w:rsid w:val="00EB2979"/>
    <w:rsid w:val="00EB36CB"/>
    <w:rsid w:val="00EB39F9"/>
    <w:rsid w:val="00EB3BCE"/>
    <w:rsid w:val="00EB3FD7"/>
    <w:rsid w:val="00EB407E"/>
    <w:rsid w:val="00EB47E5"/>
    <w:rsid w:val="00EB4CEC"/>
    <w:rsid w:val="00EB5877"/>
    <w:rsid w:val="00EB5A86"/>
    <w:rsid w:val="00EB5CAD"/>
    <w:rsid w:val="00EB61ED"/>
    <w:rsid w:val="00EB621E"/>
    <w:rsid w:val="00EB65A1"/>
    <w:rsid w:val="00EB6633"/>
    <w:rsid w:val="00EB684B"/>
    <w:rsid w:val="00EB6AA0"/>
    <w:rsid w:val="00EB6F79"/>
    <w:rsid w:val="00EB730C"/>
    <w:rsid w:val="00EB7561"/>
    <w:rsid w:val="00EB7939"/>
    <w:rsid w:val="00EB7B45"/>
    <w:rsid w:val="00EB7C89"/>
    <w:rsid w:val="00EC0324"/>
    <w:rsid w:val="00EC0DD2"/>
    <w:rsid w:val="00EC0E73"/>
    <w:rsid w:val="00EC13B2"/>
    <w:rsid w:val="00EC1543"/>
    <w:rsid w:val="00EC1ABE"/>
    <w:rsid w:val="00EC23B5"/>
    <w:rsid w:val="00EC2BC2"/>
    <w:rsid w:val="00EC2C2F"/>
    <w:rsid w:val="00EC2CF2"/>
    <w:rsid w:val="00EC2D72"/>
    <w:rsid w:val="00EC2DE4"/>
    <w:rsid w:val="00EC3159"/>
    <w:rsid w:val="00EC323A"/>
    <w:rsid w:val="00EC34E3"/>
    <w:rsid w:val="00EC3700"/>
    <w:rsid w:val="00EC37CE"/>
    <w:rsid w:val="00EC3C14"/>
    <w:rsid w:val="00EC3D4A"/>
    <w:rsid w:val="00EC3FFF"/>
    <w:rsid w:val="00EC4820"/>
    <w:rsid w:val="00EC4901"/>
    <w:rsid w:val="00EC5062"/>
    <w:rsid w:val="00EC53F0"/>
    <w:rsid w:val="00EC581C"/>
    <w:rsid w:val="00EC5DD1"/>
    <w:rsid w:val="00EC686E"/>
    <w:rsid w:val="00EC68D3"/>
    <w:rsid w:val="00EC6B20"/>
    <w:rsid w:val="00EC70F7"/>
    <w:rsid w:val="00EC7B23"/>
    <w:rsid w:val="00EC7EB7"/>
    <w:rsid w:val="00EC7F4A"/>
    <w:rsid w:val="00ED0291"/>
    <w:rsid w:val="00ED0516"/>
    <w:rsid w:val="00ED053F"/>
    <w:rsid w:val="00ED0BC4"/>
    <w:rsid w:val="00ED198F"/>
    <w:rsid w:val="00ED1A2D"/>
    <w:rsid w:val="00ED1BFF"/>
    <w:rsid w:val="00ED241C"/>
    <w:rsid w:val="00ED26AE"/>
    <w:rsid w:val="00ED28D4"/>
    <w:rsid w:val="00ED296D"/>
    <w:rsid w:val="00ED2B38"/>
    <w:rsid w:val="00ED2F2E"/>
    <w:rsid w:val="00ED3A50"/>
    <w:rsid w:val="00ED4090"/>
    <w:rsid w:val="00ED4348"/>
    <w:rsid w:val="00ED43DA"/>
    <w:rsid w:val="00ED46D7"/>
    <w:rsid w:val="00ED4C1B"/>
    <w:rsid w:val="00ED529E"/>
    <w:rsid w:val="00ED542F"/>
    <w:rsid w:val="00ED66C5"/>
    <w:rsid w:val="00ED6A8D"/>
    <w:rsid w:val="00ED6B2E"/>
    <w:rsid w:val="00ED6EBD"/>
    <w:rsid w:val="00ED710B"/>
    <w:rsid w:val="00ED7133"/>
    <w:rsid w:val="00ED796E"/>
    <w:rsid w:val="00EE11F8"/>
    <w:rsid w:val="00EE14A7"/>
    <w:rsid w:val="00EE190E"/>
    <w:rsid w:val="00EE1BEB"/>
    <w:rsid w:val="00EE1E35"/>
    <w:rsid w:val="00EE27E2"/>
    <w:rsid w:val="00EE2819"/>
    <w:rsid w:val="00EE2EC4"/>
    <w:rsid w:val="00EE38B4"/>
    <w:rsid w:val="00EE392A"/>
    <w:rsid w:val="00EE3A60"/>
    <w:rsid w:val="00EE3B06"/>
    <w:rsid w:val="00EE3B46"/>
    <w:rsid w:val="00EE3F23"/>
    <w:rsid w:val="00EE4B2A"/>
    <w:rsid w:val="00EE5009"/>
    <w:rsid w:val="00EE59ED"/>
    <w:rsid w:val="00EE60A1"/>
    <w:rsid w:val="00EE6168"/>
    <w:rsid w:val="00EE6853"/>
    <w:rsid w:val="00EE6C9F"/>
    <w:rsid w:val="00EE7E5F"/>
    <w:rsid w:val="00EF01F1"/>
    <w:rsid w:val="00EF0345"/>
    <w:rsid w:val="00EF04B9"/>
    <w:rsid w:val="00EF067D"/>
    <w:rsid w:val="00EF0CF9"/>
    <w:rsid w:val="00EF105D"/>
    <w:rsid w:val="00EF1A9B"/>
    <w:rsid w:val="00EF2262"/>
    <w:rsid w:val="00EF2380"/>
    <w:rsid w:val="00EF24F5"/>
    <w:rsid w:val="00EF2565"/>
    <w:rsid w:val="00EF2765"/>
    <w:rsid w:val="00EF27D0"/>
    <w:rsid w:val="00EF28B1"/>
    <w:rsid w:val="00EF2DE8"/>
    <w:rsid w:val="00EF32F6"/>
    <w:rsid w:val="00EF40E2"/>
    <w:rsid w:val="00EF4580"/>
    <w:rsid w:val="00EF4D4A"/>
    <w:rsid w:val="00EF4EF1"/>
    <w:rsid w:val="00EF4F30"/>
    <w:rsid w:val="00EF539F"/>
    <w:rsid w:val="00EF5925"/>
    <w:rsid w:val="00EF662C"/>
    <w:rsid w:val="00EF6928"/>
    <w:rsid w:val="00EF6DB5"/>
    <w:rsid w:val="00EF6FA9"/>
    <w:rsid w:val="00EF7405"/>
    <w:rsid w:val="00EF78EA"/>
    <w:rsid w:val="00EF7ED5"/>
    <w:rsid w:val="00F016E4"/>
    <w:rsid w:val="00F017DC"/>
    <w:rsid w:val="00F01CB5"/>
    <w:rsid w:val="00F01E6C"/>
    <w:rsid w:val="00F02075"/>
    <w:rsid w:val="00F03219"/>
    <w:rsid w:val="00F03702"/>
    <w:rsid w:val="00F03C06"/>
    <w:rsid w:val="00F04097"/>
    <w:rsid w:val="00F045E2"/>
    <w:rsid w:val="00F04CAD"/>
    <w:rsid w:val="00F04EA7"/>
    <w:rsid w:val="00F051B0"/>
    <w:rsid w:val="00F05409"/>
    <w:rsid w:val="00F06034"/>
    <w:rsid w:val="00F06448"/>
    <w:rsid w:val="00F065D0"/>
    <w:rsid w:val="00F0689B"/>
    <w:rsid w:val="00F06E30"/>
    <w:rsid w:val="00F06E52"/>
    <w:rsid w:val="00F06F62"/>
    <w:rsid w:val="00F077E9"/>
    <w:rsid w:val="00F078AE"/>
    <w:rsid w:val="00F07EC3"/>
    <w:rsid w:val="00F07FE8"/>
    <w:rsid w:val="00F100E0"/>
    <w:rsid w:val="00F10625"/>
    <w:rsid w:val="00F1079D"/>
    <w:rsid w:val="00F11081"/>
    <w:rsid w:val="00F11209"/>
    <w:rsid w:val="00F11547"/>
    <w:rsid w:val="00F11A95"/>
    <w:rsid w:val="00F11C39"/>
    <w:rsid w:val="00F11CEB"/>
    <w:rsid w:val="00F1248F"/>
    <w:rsid w:val="00F1264C"/>
    <w:rsid w:val="00F126D2"/>
    <w:rsid w:val="00F12C6A"/>
    <w:rsid w:val="00F130A4"/>
    <w:rsid w:val="00F13573"/>
    <w:rsid w:val="00F139E1"/>
    <w:rsid w:val="00F13A22"/>
    <w:rsid w:val="00F13EA0"/>
    <w:rsid w:val="00F140E4"/>
    <w:rsid w:val="00F14107"/>
    <w:rsid w:val="00F1457D"/>
    <w:rsid w:val="00F14673"/>
    <w:rsid w:val="00F1469A"/>
    <w:rsid w:val="00F1480E"/>
    <w:rsid w:val="00F149A3"/>
    <w:rsid w:val="00F1501B"/>
    <w:rsid w:val="00F15443"/>
    <w:rsid w:val="00F15BD1"/>
    <w:rsid w:val="00F16440"/>
    <w:rsid w:val="00F16554"/>
    <w:rsid w:val="00F1677E"/>
    <w:rsid w:val="00F174DB"/>
    <w:rsid w:val="00F1767B"/>
    <w:rsid w:val="00F17B2F"/>
    <w:rsid w:val="00F20583"/>
    <w:rsid w:val="00F20797"/>
    <w:rsid w:val="00F20E6E"/>
    <w:rsid w:val="00F21185"/>
    <w:rsid w:val="00F211C1"/>
    <w:rsid w:val="00F217CB"/>
    <w:rsid w:val="00F21874"/>
    <w:rsid w:val="00F2199E"/>
    <w:rsid w:val="00F21B43"/>
    <w:rsid w:val="00F21E65"/>
    <w:rsid w:val="00F21EEB"/>
    <w:rsid w:val="00F22268"/>
    <w:rsid w:val="00F2231E"/>
    <w:rsid w:val="00F22877"/>
    <w:rsid w:val="00F23077"/>
    <w:rsid w:val="00F234F2"/>
    <w:rsid w:val="00F236E1"/>
    <w:rsid w:val="00F23763"/>
    <w:rsid w:val="00F240F6"/>
    <w:rsid w:val="00F24486"/>
    <w:rsid w:val="00F24755"/>
    <w:rsid w:val="00F25875"/>
    <w:rsid w:val="00F25E7A"/>
    <w:rsid w:val="00F25F15"/>
    <w:rsid w:val="00F25FDD"/>
    <w:rsid w:val="00F26877"/>
    <w:rsid w:val="00F268BA"/>
    <w:rsid w:val="00F26D15"/>
    <w:rsid w:val="00F26E93"/>
    <w:rsid w:val="00F26F42"/>
    <w:rsid w:val="00F272E0"/>
    <w:rsid w:val="00F273BB"/>
    <w:rsid w:val="00F275D4"/>
    <w:rsid w:val="00F30562"/>
    <w:rsid w:val="00F30952"/>
    <w:rsid w:val="00F30CB3"/>
    <w:rsid w:val="00F3163A"/>
    <w:rsid w:val="00F31A97"/>
    <w:rsid w:val="00F31DDB"/>
    <w:rsid w:val="00F3200C"/>
    <w:rsid w:val="00F320EB"/>
    <w:rsid w:val="00F321E3"/>
    <w:rsid w:val="00F323D2"/>
    <w:rsid w:val="00F32665"/>
    <w:rsid w:val="00F32E30"/>
    <w:rsid w:val="00F32EE7"/>
    <w:rsid w:val="00F330A5"/>
    <w:rsid w:val="00F3344A"/>
    <w:rsid w:val="00F3372C"/>
    <w:rsid w:val="00F33FEC"/>
    <w:rsid w:val="00F3411B"/>
    <w:rsid w:val="00F3498B"/>
    <w:rsid w:val="00F35842"/>
    <w:rsid w:val="00F359EB"/>
    <w:rsid w:val="00F36501"/>
    <w:rsid w:val="00F36694"/>
    <w:rsid w:val="00F36CD4"/>
    <w:rsid w:val="00F3703F"/>
    <w:rsid w:val="00F3767D"/>
    <w:rsid w:val="00F37743"/>
    <w:rsid w:val="00F4012C"/>
    <w:rsid w:val="00F40607"/>
    <w:rsid w:val="00F4063A"/>
    <w:rsid w:val="00F4093E"/>
    <w:rsid w:val="00F40A93"/>
    <w:rsid w:val="00F4170C"/>
    <w:rsid w:val="00F41879"/>
    <w:rsid w:val="00F41CFF"/>
    <w:rsid w:val="00F42280"/>
    <w:rsid w:val="00F4243B"/>
    <w:rsid w:val="00F42646"/>
    <w:rsid w:val="00F42AC1"/>
    <w:rsid w:val="00F42EA6"/>
    <w:rsid w:val="00F42FD1"/>
    <w:rsid w:val="00F43598"/>
    <w:rsid w:val="00F436D2"/>
    <w:rsid w:val="00F43A0D"/>
    <w:rsid w:val="00F43BF4"/>
    <w:rsid w:val="00F44001"/>
    <w:rsid w:val="00F45032"/>
    <w:rsid w:val="00F4606E"/>
    <w:rsid w:val="00F461EB"/>
    <w:rsid w:val="00F4667C"/>
    <w:rsid w:val="00F46963"/>
    <w:rsid w:val="00F46E81"/>
    <w:rsid w:val="00F47047"/>
    <w:rsid w:val="00F4761B"/>
    <w:rsid w:val="00F4786F"/>
    <w:rsid w:val="00F4792C"/>
    <w:rsid w:val="00F47C30"/>
    <w:rsid w:val="00F50392"/>
    <w:rsid w:val="00F50828"/>
    <w:rsid w:val="00F50906"/>
    <w:rsid w:val="00F50AA7"/>
    <w:rsid w:val="00F50C49"/>
    <w:rsid w:val="00F515AB"/>
    <w:rsid w:val="00F517D6"/>
    <w:rsid w:val="00F51F1A"/>
    <w:rsid w:val="00F5211D"/>
    <w:rsid w:val="00F52C19"/>
    <w:rsid w:val="00F52CC2"/>
    <w:rsid w:val="00F53002"/>
    <w:rsid w:val="00F5365A"/>
    <w:rsid w:val="00F53743"/>
    <w:rsid w:val="00F53A09"/>
    <w:rsid w:val="00F53B8B"/>
    <w:rsid w:val="00F53C98"/>
    <w:rsid w:val="00F54714"/>
    <w:rsid w:val="00F54BA2"/>
    <w:rsid w:val="00F54C9C"/>
    <w:rsid w:val="00F554CF"/>
    <w:rsid w:val="00F558D4"/>
    <w:rsid w:val="00F55C3E"/>
    <w:rsid w:val="00F55FFC"/>
    <w:rsid w:val="00F56BF3"/>
    <w:rsid w:val="00F56F60"/>
    <w:rsid w:val="00F576B5"/>
    <w:rsid w:val="00F577C6"/>
    <w:rsid w:val="00F57800"/>
    <w:rsid w:val="00F57936"/>
    <w:rsid w:val="00F57F76"/>
    <w:rsid w:val="00F603F5"/>
    <w:rsid w:val="00F6081D"/>
    <w:rsid w:val="00F6083E"/>
    <w:rsid w:val="00F60B70"/>
    <w:rsid w:val="00F61372"/>
    <w:rsid w:val="00F6185D"/>
    <w:rsid w:val="00F61FC9"/>
    <w:rsid w:val="00F62238"/>
    <w:rsid w:val="00F6223E"/>
    <w:rsid w:val="00F622FD"/>
    <w:rsid w:val="00F62391"/>
    <w:rsid w:val="00F62A2D"/>
    <w:rsid w:val="00F62AC7"/>
    <w:rsid w:val="00F63A0E"/>
    <w:rsid w:val="00F63B07"/>
    <w:rsid w:val="00F63CED"/>
    <w:rsid w:val="00F6416D"/>
    <w:rsid w:val="00F642E8"/>
    <w:rsid w:val="00F64B72"/>
    <w:rsid w:val="00F64FC3"/>
    <w:rsid w:val="00F64FE7"/>
    <w:rsid w:val="00F655DB"/>
    <w:rsid w:val="00F658DA"/>
    <w:rsid w:val="00F65A96"/>
    <w:rsid w:val="00F65B4B"/>
    <w:rsid w:val="00F65B8A"/>
    <w:rsid w:val="00F65E8C"/>
    <w:rsid w:val="00F663A0"/>
    <w:rsid w:val="00F66F43"/>
    <w:rsid w:val="00F678E8"/>
    <w:rsid w:val="00F70D4F"/>
    <w:rsid w:val="00F70FD0"/>
    <w:rsid w:val="00F7113A"/>
    <w:rsid w:val="00F71278"/>
    <w:rsid w:val="00F712F4"/>
    <w:rsid w:val="00F7132A"/>
    <w:rsid w:val="00F721EA"/>
    <w:rsid w:val="00F723C0"/>
    <w:rsid w:val="00F7257B"/>
    <w:rsid w:val="00F72B0E"/>
    <w:rsid w:val="00F72BF8"/>
    <w:rsid w:val="00F72D40"/>
    <w:rsid w:val="00F72D4F"/>
    <w:rsid w:val="00F72F42"/>
    <w:rsid w:val="00F731D2"/>
    <w:rsid w:val="00F73A5D"/>
    <w:rsid w:val="00F73AC5"/>
    <w:rsid w:val="00F73C9D"/>
    <w:rsid w:val="00F73E94"/>
    <w:rsid w:val="00F73F5D"/>
    <w:rsid w:val="00F74FA0"/>
    <w:rsid w:val="00F75181"/>
    <w:rsid w:val="00F75320"/>
    <w:rsid w:val="00F75913"/>
    <w:rsid w:val="00F75E1F"/>
    <w:rsid w:val="00F76222"/>
    <w:rsid w:val="00F767F2"/>
    <w:rsid w:val="00F76AE7"/>
    <w:rsid w:val="00F76D63"/>
    <w:rsid w:val="00F76EF1"/>
    <w:rsid w:val="00F77075"/>
    <w:rsid w:val="00F77748"/>
    <w:rsid w:val="00F77E2A"/>
    <w:rsid w:val="00F804B2"/>
    <w:rsid w:val="00F8050A"/>
    <w:rsid w:val="00F80C8A"/>
    <w:rsid w:val="00F81169"/>
    <w:rsid w:val="00F8119C"/>
    <w:rsid w:val="00F813AF"/>
    <w:rsid w:val="00F82251"/>
    <w:rsid w:val="00F82403"/>
    <w:rsid w:val="00F82B0C"/>
    <w:rsid w:val="00F83339"/>
    <w:rsid w:val="00F83651"/>
    <w:rsid w:val="00F839FE"/>
    <w:rsid w:val="00F83D4F"/>
    <w:rsid w:val="00F8427A"/>
    <w:rsid w:val="00F84C70"/>
    <w:rsid w:val="00F84CA9"/>
    <w:rsid w:val="00F84E5D"/>
    <w:rsid w:val="00F85338"/>
    <w:rsid w:val="00F855E0"/>
    <w:rsid w:val="00F85A8A"/>
    <w:rsid w:val="00F85B92"/>
    <w:rsid w:val="00F85E5F"/>
    <w:rsid w:val="00F85FD0"/>
    <w:rsid w:val="00F866D0"/>
    <w:rsid w:val="00F8681C"/>
    <w:rsid w:val="00F86C07"/>
    <w:rsid w:val="00F87A7C"/>
    <w:rsid w:val="00F87D2B"/>
    <w:rsid w:val="00F9069B"/>
    <w:rsid w:val="00F90ACA"/>
    <w:rsid w:val="00F912FF"/>
    <w:rsid w:val="00F91578"/>
    <w:rsid w:val="00F919A5"/>
    <w:rsid w:val="00F91C99"/>
    <w:rsid w:val="00F92166"/>
    <w:rsid w:val="00F9266C"/>
    <w:rsid w:val="00F94078"/>
    <w:rsid w:val="00F9431A"/>
    <w:rsid w:val="00F94493"/>
    <w:rsid w:val="00F94CF3"/>
    <w:rsid w:val="00F9509D"/>
    <w:rsid w:val="00F957C9"/>
    <w:rsid w:val="00F95A85"/>
    <w:rsid w:val="00F95F8D"/>
    <w:rsid w:val="00F96182"/>
    <w:rsid w:val="00F963DA"/>
    <w:rsid w:val="00F96403"/>
    <w:rsid w:val="00F9643D"/>
    <w:rsid w:val="00F967F7"/>
    <w:rsid w:val="00F96ACB"/>
    <w:rsid w:val="00F972F3"/>
    <w:rsid w:val="00F9735E"/>
    <w:rsid w:val="00F97919"/>
    <w:rsid w:val="00F97C27"/>
    <w:rsid w:val="00FA084D"/>
    <w:rsid w:val="00FA106A"/>
    <w:rsid w:val="00FA2240"/>
    <w:rsid w:val="00FA27B3"/>
    <w:rsid w:val="00FA2FF6"/>
    <w:rsid w:val="00FA350E"/>
    <w:rsid w:val="00FA4023"/>
    <w:rsid w:val="00FA43A7"/>
    <w:rsid w:val="00FA44D9"/>
    <w:rsid w:val="00FA46C1"/>
    <w:rsid w:val="00FA49C3"/>
    <w:rsid w:val="00FA5B44"/>
    <w:rsid w:val="00FA5BA8"/>
    <w:rsid w:val="00FA68B5"/>
    <w:rsid w:val="00FA6CF1"/>
    <w:rsid w:val="00FA7753"/>
    <w:rsid w:val="00FA77BD"/>
    <w:rsid w:val="00FA7FCA"/>
    <w:rsid w:val="00FB01EC"/>
    <w:rsid w:val="00FB0AE6"/>
    <w:rsid w:val="00FB0CC7"/>
    <w:rsid w:val="00FB188E"/>
    <w:rsid w:val="00FB192B"/>
    <w:rsid w:val="00FB1935"/>
    <w:rsid w:val="00FB1A6B"/>
    <w:rsid w:val="00FB1D70"/>
    <w:rsid w:val="00FB20FB"/>
    <w:rsid w:val="00FB21C9"/>
    <w:rsid w:val="00FB240E"/>
    <w:rsid w:val="00FB280F"/>
    <w:rsid w:val="00FB2A0D"/>
    <w:rsid w:val="00FB2BE6"/>
    <w:rsid w:val="00FB2CA5"/>
    <w:rsid w:val="00FB3318"/>
    <w:rsid w:val="00FB3415"/>
    <w:rsid w:val="00FB35FD"/>
    <w:rsid w:val="00FB3A0C"/>
    <w:rsid w:val="00FB415B"/>
    <w:rsid w:val="00FB44B4"/>
    <w:rsid w:val="00FB463B"/>
    <w:rsid w:val="00FB4EAA"/>
    <w:rsid w:val="00FB5A06"/>
    <w:rsid w:val="00FB707F"/>
    <w:rsid w:val="00FB791F"/>
    <w:rsid w:val="00FB7943"/>
    <w:rsid w:val="00FB7C6D"/>
    <w:rsid w:val="00FB7F47"/>
    <w:rsid w:val="00FC04E5"/>
    <w:rsid w:val="00FC0734"/>
    <w:rsid w:val="00FC0957"/>
    <w:rsid w:val="00FC0FE0"/>
    <w:rsid w:val="00FC1B2C"/>
    <w:rsid w:val="00FC2034"/>
    <w:rsid w:val="00FC247E"/>
    <w:rsid w:val="00FC26AD"/>
    <w:rsid w:val="00FC2DF9"/>
    <w:rsid w:val="00FC317E"/>
    <w:rsid w:val="00FC328B"/>
    <w:rsid w:val="00FC32AD"/>
    <w:rsid w:val="00FC3BF1"/>
    <w:rsid w:val="00FC3FA0"/>
    <w:rsid w:val="00FC49E2"/>
    <w:rsid w:val="00FC503A"/>
    <w:rsid w:val="00FC5254"/>
    <w:rsid w:val="00FC56FB"/>
    <w:rsid w:val="00FC58F4"/>
    <w:rsid w:val="00FC5A8E"/>
    <w:rsid w:val="00FC6D9B"/>
    <w:rsid w:val="00FC72FD"/>
    <w:rsid w:val="00FC7517"/>
    <w:rsid w:val="00FC799F"/>
    <w:rsid w:val="00FD0020"/>
    <w:rsid w:val="00FD04EE"/>
    <w:rsid w:val="00FD0DC4"/>
    <w:rsid w:val="00FD11D9"/>
    <w:rsid w:val="00FD11F8"/>
    <w:rsid w:val="00FD1613"/>
    <w:rsid w:val="00FD1638"/>
    <w:rsid w:val="00FD16BC"/>
    <w:rsid w:val="00FD1ECC"/>
    <w:rsid w:val="00FD1F92"/>
    <w:rsid w:val="00FD2722"/>
    <w:rsid w:val="00FD272A"/>
    <w:rsid w:val="00FD2B56"/>
    <w:rsid w:val="00FD2B89"/>
    <w:rsid w:val="00FD36F8"/>
    <w:rsid w:val="00FD4326"/>
    <w:rsid w:val="00FD4BC6"/>
    <w:rsid w:val="00FD5988"/>
    <w:rsid w:val="00FD59E3"/>
    <w:rsid w:val="00FD5C7D"/>
    <w:rsid w:val="00FD61CF"/>
    <w:rsid w:val="00FD63C4"/>
    <w:rsid w:val="00FD6A99"/>
    <w:rsid w:val="00FD6AEA"/>
    <w:rsid w:val="00FD6FB2"/>
    <w:rsid w:val="00FD7C2E"/>
    <w:rsid w:val="00FD7DB4"/>
    <w:rsid w:val="00FD7EB6"/>
    <w:rsid w:val="00FE098C"/>
    <w:rsid w:val="00FE0AF5"/>
    <w:rsid w:val="00FE0D21"/>
    <w:rsid w:val="00FE10A9"/>
    <w:rsid w:val="00FE1199"/>
    <w:rsid w:val="00FE1425"/>
    <w:rsid w:val="00FE14ED"/>
    <w:rsid w:val="00FE162B"/>
    <w:rsid w:val="00FE21E9"/>
    <w:rsid w:val="00FE2D16"/>
    <w:rsid w:val="00FE31B2"/>
    <w:rsid w:val="00FE3716"/>
    <w:rsid w:val="00FE3D19"/>
    <w:rsid w:val="00FE3DAA"/>
    <w:rsid w:val="00FE3E0F"/>
    <w:rsid w:val="00FE40EE"/>
    <w:rsid w:val="00FE4192"/>
    <w:rsid w:val="00FE4D74"/>
    <w:rsid w:val="00FE4EBE"/>
    <w:rsid w:val="00FE5456"/>
    <w:rsid w:val="00FE559F"/>
    <w:rsid w:val="00FE5DDE"/>
    <w:rsid w:val="00FE6281"/>
    <w:rsid w:val="00FE6865"/>
    <w:rsid w:val="00FE6BDE"/>
    <w:rsid w:val="00FE7473"/>
    <w:rsid w:val="00FE74AB"/>
    <w:rsid w:val="00FE766E"/>
    <w:rsid w:val="00FE7783"/>
    <w:rsid w:val="00FE790B"/>
    <w:rsid w:val="00FF0007"/>
    <w:rsid w:val="00FF03A2"/>
    <w:rsid w:val="00FF0A01"/>
    <w:rsid w:val="00FF0CD1"/>
    <w:rsid w:val="00FF1653"/>
    <w:rsid w:val="00FF231D"/>
    <w:rsid w:val="00FF28FE"/>
    <w:rsid w:val="00FF2BC0"/>
    <w:rsid w:val="00FF32A9"/>
    <w:rsid w:val="00FF33A9"/>
    <w:rsid w:val="00FF3582"/>
    <w:rsid w:val="00FF3907"/>
    <w:rsid w:val="00FF3BC9"/>
    <w:rsid w:val="00FF3FAC"/>
    <w:rsid w:val="00FF4016"/>
    <w:rsid w:val="00FF421B"/>
    <w:rsid w:val="00FF423A"/>
    <w:rsid w:val="00FF4F68"/>
    <w:rsid w:val="00FF5044"/>
    <w:rsid w:val="00FF52DE"/>
    <w:rsid w:val="00FF55D8"/>
    <w:rsid w:val="00FF565C"/>
    <w:rsid w:val="00FF5A1D"/>
    <w:rsid w:val="00FF5F0C"/>
    <w:rsid w:val="00FF6002"/>
    <w:rsid w:val="00FF601C"/>
    <w:rsid w:val="00FF6341"/>
    <w:rsid w:val="00FF64BE"/>
    <w:rsid w:val="00FF66D1"/>
    <w:rsid w:val="00FF70B5"/>
    <w:rsid w:val="00FF7189"/>
    <w:rsid w:val="00FF7721"/>
    <w:rsid w:val="00FF7E98"/>
    <w:rsid w:val="00FF7F30"/>
    <w:rsid w:val="010D427B"/>
    <w:rsid w:val="011A11A4"/>
    <w:rsid w:val="013D1966"/>
    <w:rsid w:val="01405559"/>
    <w:rsid w:val="014B5B44"/>
    <w:rsid w:val="015D704A"/>
    <w:rsid w:val="0182219D"/>
    <w:rsid w:val="018C5F7F"/>
    <w:rsid w:val="01BE4069"/>
    <w:rsid w:val="01BE5800"/>
    <w:rsid w:val="01E46F65"/>
    <w:rsid w:val="02661A7B"/>
    <w:rsid w:val="028E2C3F"/>
    <w:rsid w:val="02E536DD"/>
    <w:rsid w:val="034675D0"/>
    <w:rsid w:val="035E737B"/>
    <w:rsid w:val="037D3DF5"/>
    <w:rsid w:val="03883498"/>
    <w:rsid w:val="03C35825"/>
    <w:rsid w:val="03F06C42"/>
    <w:rsid w:val="041B3357"/>
    <w:rsid w:val="04C20EA2"/>
    <w:rsid w:val="04C34346"/>
    <w:rsid w:val="04E30437"/>
    <w:rsid w:val="050C2C6B"/>
    <w:rsid w:val="05284B01"/>
    <w:rsid w:val="052C6D8B"/>
    <w:rsid w:val="05465FD3"/>
    <w:rsid w:val="057B238D"/>
    <w:rsid w:val="05A45750"/>
    <w:rsid w:val="05F41FAA"/>
    <w:rsid w:val="05F45E3B"/>
    <w:rsid w:val="063B78DC"/>
    <w:rsid w:val="06971FEE"/>
    <w:rsid w:val="06C123D8"/>
    <w:rsid w:val="071D17BE"/>
    <w:rsid w:val="0759191E"/>
    <w:rsid w:val="076E0F6D"/>
    <w:rsid w:val="07E84F31"/>
    <w:rsid w:val="0839529D"/>
    <w:rsid w:val="088B130A"/>
    <w:rsid w:val="08984829"/>
    <w:rsid w:val="08CA13FE"/>
    <w:rsid w:val="092A3778"/>
    <w:rsid w:val="096351F6"/>
    <w:rsid w:val="09974C33"/>
    <w:rsid w:val="09B82947"/>
    <w:rsid w:val="09FA57F0"/>
    <w:rsid w:val="0A304297"/>
    <w:rsid w:val="0A8C5FC6"/>
    <w:rsid w:val="0AA82941"/>
    <w:rsid w:val="0BF958C7"/>
    <w:rsid w:val="0C220C09"/>
    <w:rsid w:val="0C2561A2"/>
    <w:rsid w:val="0C3F3332"/>
    <w:rsid w:val="0C5A09A9"/>
    <w:rsid w:val="0C9F38DD"/>
    <w:rsid w:val="0CDB719E"/>
    <w:rsid w:val="0CE11B9B"/>
    <w:rsid w:val="0D56019D"/>
    <w:rsid w:val="0E0812B7"/>
    <w:rsid w:val="0E407559"/>
    <w:rsid w:val="0EAB6A73"/>
    <w:rsid w:val="0EF12219"/>
    <w:rsid w:val="0F4D0707"/>
    <w:rsid w:val="0FB726D8"/>
    <w:rsid w:val="0FBA2A45"/>
    <w:rsid w:val="0FC41654"/>
    <w:rsid w:val="0FD40798"/>
    <w:rsid w:val="0FDE7285"/>
    <w:rsid w:val="1042721E"/>
    <w:rsid w:val="104C05B8"/>
    <w:rsid w:val="10A92F65"/>
    <w:rsid w:val="10AA5642"/>
    <w:rsid w:val="1147532F"/>
    <w:rsid w:val="118C2ED5"/>
    <w:rsid w:val="11B83D31"/>
    <w:rsid w:val="11DE7B32"/>
    <w:rsid w:val="125A4EAA"/>
    <w:rsid w:val="126F5DEF"/>
    <w:rsid w:val="12795B29"/>
    <w:rsid w:val="12A91EFE"/>
    <w:rsid w:val="12B92258"/>
    <w:rsid w:val="12CC3ADE"/>
    <w:rsid w:val="12F62B63"/>
    <w:rsid w:val="131033BB"/>
    <w:rsid w:val="13696837"/>
    <w:rsid w:val="13B31AEC"/>
    <w:rsid w:val="13FE3FBA"/>
    <w:rsid w:val="140E1568"/>
    <w:rsid w:val="14353651"/>
    <w:rsid w:val="14404369"/>
    <w:rsid w:val="151F30B3"/>
    <w:rsid w:val="156670AB"/>
    <w:rsid w:val="15BF51BB"/>
    <w:rsid w:val="16822CFB"/>
    <w:rsid w:val="16A04184"/>
    <w:rsid w:val="174B5FC7"/>
    <w:rsid w:val="175D674F"/>
    <w:rsid w:val="179055A0"/>
    <w:rsid w:val="17AE49E6"/>
    <w:rsid w:val="17B53534"/>
    <w:rsid w:val="17BD7EC8"/>
    <w:rsid w:val="17CD2550"/>
    <w:rsid w:val="18114189"/>
    <w:rsid w:val="1863496E"/>
    <w:rsid w:val="18DF3E5F"/>
    <w:rsid w:val="18F06F2D"/>
    <w:rsid w:val="18FC27B3"/>
    <w:rsid w:val="19090643"/>
    <w:rsid w:val="19117739"/>
    <w:rsid w:val="19403824"/>
    <w:rsid w:val="19AD7F51"/>
    <w:rsid w:val="19DB3F03"/>
    <w:rsid w:val="1A774E7A"/>
    <w:rsid w:val="1A9E3747"/>
    <w:rsid w:val="1B1D2572"/>
    <w:rsid w:val="1BA50D14"/>
    <w:rsid w:val="1BA677E7"/>
    <w:rsid w:val="1BB92D54"/>
    <w:rsid w:val="1BE240CC"/>
    <w:rsid w:val="1C157D87"/>
    <w:rsid w:val="1C625D30"/>
    <w:rsid w:val="1C6B45E3"/>
    <w:rsid w:val="1C7671E3"/>
    <w:rsid w:val="1C777601"/>
    <w:rsid w:val="1C7B6556"/>
    <w:rsid w:val="1C8A493E"/>
    <w:rsid w:val="1CCB6998"/>
    <w:rsid w:val="1CD6623F"/>
    <w:rsid w:val="1CF90898"/>
    <w:rsid w:val="1CFA0FE7"/>
    <w:rsid w:val="1D2F04E9"/>
    <w:rsid w:val="1D4824C2"/>
    <w:rsid w:val="1D8C69C4"/>
    <w:rsid w:val="1E1024E2"/>
    <w:rsid w:val="1E1C7C6C"/>
    <w:rsid w:val="1E786F00"/>
    <w:rsid w:val="1EE26B01"/>
    <w:rsid w:val="1F147CCD"/>
    <w:rsid w:val="1F1F65F5"/>
    <w:rsid w:val="1F227F17"/>
    <w:rsid w:val="1F343C02"/>
    <w:rsid w:val="1FAC7E53"/>
    <w:rsid w:val="200008B3"/>
    <w:rsid w:val="200E34A9"/>
    <w:rsid w:val="20517FE3"/>
    <w:rsid w:val="20597707"/>
    <w:rsid w:val="20CE2C18"/>
    <w:rsid w:val="21577705"/>
    <w:rsid w:val="217C1DAF"/>
    <w:rsid w:val="218220DE"/>
    <w:rsid w:val="218340B7"/>
    <w:rsid w:val="21FE096D"/>
    <w:rsid w:val="222C76C6"/>
    <w:rsid w:val="22466CF3"/>
    <w:rsid w:val="2253067F"/>
    <w:rsid w:val="22A24AF6"/>
    <w:rsid w:val="22A344E7"/>
    <w:rsid w:val="22C9107A"/>
    <w:rsid w:val="22DE3197"/>
    <w:rsid w:val="230E0741"/>
    <w:rsid w:val="23493948"/>
    <w:rsid w:val="234B70F7"/>
    <w:rsid w:val="23B459CF"/>
    <w:rsid w:val="23CE1578"/>
    <w:rsid w:val="23F63E16"/>
    <w:rsid w:val="242D23BA"/>
    <w:rsid w:val="243A32C2"/>
    <w:rsid w:val="243F71F1"/>
    <w:rsid w:val="246221B3"/>
    <w:rsid w:val="24F25B18"/>
    <w:rsid w:val="25093A3B"/>
    <w:rsid w:val="25236D0D"/>
    <w:rsid w:val="252F645D"/>
    <w:rsid w:val="255E2F6B"/>
    <w:rsid w:val="258858A9"/>
    <w:rsid w:val="25E21C3F"/>
    <w:rsid w:val="25F64D5E"/>
    <w:rsid w:val="26757E2C"/>
    <w:rsid w:val="26790701"/>
    <w:rsid w:val="268B14A1"/>
    <w:rsid w:val="268E7F4D"/>
    <w:rsid w:val="273508EE"/>
    <w:rsid w:val="27483692"/>
    <w:rsid w:val="2761060E"/>
    <w:rsid w:val="276F6E45"/>
    <w:rsid w:val="277A46D2"/>
    <w:rsid w:val="278066D7"/>
    <w:rsid w:val="27827B0F"/>
    <w:rsid w:val="27886287"/>
    <w:rsid w:val="27AA35CA"/>
    <w:rsid w:val="27B0758A"/>
    <w:rsid w:val="27F53526"/>
    <w:rsid w:val="27FA5E76"/>
    <w:rsid w:val="28510862"/>
    <w:rsid w:val="28690FE5"/>
    <w:rsid w:val="288E2BD2"/>
    <w:rsid w:val="28BE4194"/>
    <w:rsid w:val="28DC50AB"/>
    <w:rsid w:val="28E55271"/>
    <w:rsid w:val="28E7739E"/>
    <w:rsid w:val="2923374B"/>
    <w:rsid w:val="29BD796F"/>
    <w:rsid w:val="2A9867EE"/>
    <w:rsid w:val="2A9A11E6"/>
    <w:rsid w:val="2AAC3644"/>
    <w:rsid w:val="2B0122B4"/>
    <w:rsid w:val="2B3F0281"/>
    <w:rsid w:val="2B683CD8"/>
    <w:rsid w:val="2B8946FF"/>
    <w:rsid w:val="2BAE6DAE"/>
    <w:rsid w:val="2BC24FD7"/>
    <w:rsid w:val="2C0A4741"/>
    <w:rsid w:val="2C1C4AB5"/>
    <w:rsid w:val="2C773801"/>
    <w:rsid w:val="2C8A4A20"/>
    <w:rsid w:val="2CBE5CC3"/>
    <w:rsid w:val="2CF86E08"/>
    <w:rsid w:val="2D263567"/>
    <w:rsid w:val="2D975CC4"/>
    <w:rsid w:val="2D9B15EF"/>
    <w:rsid w:val="2E2869BD"/>
    <w:rsid w:val="2E304308"/>
    <w:rsid w:val="2E336D9D"/>
    <w:rsid w:val="2E7F3BD6"/>
    <w:rsid w:val="2EB26D79"/>
    <w:rsid w:val="2F16026E"/>
    <w:rsid w:val="2F5B5D4C"/>
    <w:rsid w:val="2F7145F4"/>
    <w:rsid w:val="2F7545D9"/>
    <w:rsid w:val="2FAE20C9"/>
    <w:rsid w:val="301C1F55"/>
    <w:rsid w:val="30580298"/>
    <w:rsid w:val="305956D7"/>
    <w:rsid w:val="30646F90"/>
    <w:rsid w:val="30CB0402"/>
    <w:rsid w:val="310955F2"/>
    <w:rsid w:val="31197E88"/>
    <w:rsid w:val="312F34BF"/>
    <w:rsid w:val="31300F41"/>
    <w:rsid w:val="321E42BD"/>
    <w:rsid w:val="324D2681"/>
    <w:rsid w:val="32D528F6"/>
    <w:rsid w:val="336E16AA"/>
    <w:rsid w:val="338D2A88"/>
    <w:rsid w:val="33A81F62"/>
    <w:rsid w:val="33EF5AF4"/>
    <w:rsid w:val="340254F1"/>
    <w:rsid w:val="342307AD"/>
    <w:rsid w:val="342F3A6A"/>
    <w:rsid w:val="34457450"/>
    <w:rsid w:val="34772832"/>
    <w:rsid w:val="34BC749F"/>
    <w:rsid w:val="350C5086"/>
    <w:rsid w:val="350E185E"/>
    <w:rsid w:val="35373F98"/>
    <w:rsid w:val="35871ED9"/>
    <w:rsid w:val="36246068"/>
    <w:rsid w:val="36381C83"/>
    <w:rsid w:val="363B08C1"/>
    <w:rsid w:val="363B7932"/>
    <w:rsid w:val="36AD7126"/>
    <w:rsid w:val="36D15C2A"/>
    <w:rsid w:val="36FA4BBC"/>
    <w:rsid w:val="371D61FE"/>
    <w:rsid w:val="37343CC3"/>
    <w:rsid w:val="374B5AC3"/>
    <w:rsid w:val="375955DE"/>
    <w:rsid w:val="37A700FB"/>
    <w:rsid w:val="37F64381"/>
    <w:rsid w:val="38187E4F"/>
    <w:rsid w:val="3820445B"/>
    <w:rsid w:val="38210467"/>
    <w:rsid w:val="38401B73"/>
    <w:rsid w:val="384B1D2A"/>
    <w:rsid w:val="385D3B87"/>
    <w:rsid w:val="38C914AA"/>
    <w:rsid w:val="38F24247"/>
    <w:rsid w:val="39780BBB"/>
    <w:rsid w:val="39A25D11"/>
    <w:rsid w:val="39BD593F"/>
    <w:rsid w:val="39D617F2"/>
    <w:rsid w:val="39E3014C"/>
    <w:rsid w:val="3A103AE1"/>
    <w:rsid w:val="3A1D1852"/>
    <w:rsid w:val="3A767A79"/>
    <w:rsid w:val="3A9974DB"/>
    <w:rsid w:val="3ABD1E6F"/>
    <w:rsid w:val="3ADD3999"/>
    <w:rsid w:val="3AF41294"/>
    <w:rsid w:val="3AFA2251"/>
    <w:rsid w:val="3AFD268F"/>
    <w:rsid w:val="3B4E6F37"/>
    <w:rsid w:val="3B5C31EF"/>
    <w:rsid w:val="3B692DFB"/>
    <w:rsid w:val="3B731AB5"/>
    <w:rsid w:val="3B833738"/>
    <w:rsid w:val="3B874762"/>
    <w:rsid w:val="3C1648BC"/>
    <w:rsid w:val="3C2527C5"/>
    <w:rsid w:val="3C2C0044"/>
    <w:rsid w:val="3C36466F"/>
    <w:rsid w:val="3C84642E"/>
    <w:rsid w:val="3C912621"/>
    <w:rsid w:val="3D2B262D"/>
    <w:rsid w:val="3D6F75C9"/>
    <w:rsid w:val="3DE90F01"/>
    <w:rsid w:val="3E201255"/>
    <w:rsid w:val="3E266E35"/>
    <w:rsid w:val="3F4829A1"/>
    <w:rsid w:val="3F7F04D5"/>
    <w:rsid w:val="3FDF42CA"/>
    <w:rsid w:val="3FF7137F"/>
    <w:rsid w:val="3FF71B72"/>
    <w:rsid w:val="40A005F0"/>
    <w:rsid w:val="40BC115F"/>
    <w:rsid w:val="40CD253B"/>
    <w:rsid w:val="40E20083"/>
    <w:rsid w:val="416730DD"/>
    <w:rsid w:val="417D76A0"/>
    <w:rsid w:val="417E1386"/>
    <w:rsid w:val="41B579E4"/>
    <w:rsid w:val="422B6BF4"/>
    <w:rsid w:val="42347713"/>
    <w:rsid w:val="435636B8"/>
    <w:rsid w:val="43B00A8F"/>
    <w:rsid w:val="43CB13F8"/>
    <w:rsid w:val="449F0F07"/>
    <w:rsid w:val="44AC00B9"/>
    <w:rsid w:val="44CC7E6A"/>
    <w:rsid w:val="452545FE"/>
    <w:rsid w:val="453431C8"/>
    <w:rsid w:val="454B391C"/>
    <w:rsid w:val="45511B47"/>
    <w:rsid w:val="459557D9"/>
    <w:rsid w:val="45A15DDB"/>
    <w:rsid w:val="45A3513D"/>
    <w:rsid w:val="45B22926"/>
    <w:rsid w:val="46401C86"/>
    <w:rsid w:val="4681712C"/>
    <w:rsid w:val="468B6718"/>
    <w:rsid w:val="473B23EB"/>
    <w:rsid w:val="47461F7B"/>
    <w:rsid w:val="476250CF"/>
    <w:rsid w:val="47B32EAB"/>
    <w:rsid w:val="47C40E8C"/>
    <w:rsid w:val="47DB60FA"/>
    <w:rsid w:val="48143843"/>
    <w:rsid w:val="48B1218F"/>
    <w:rsid w:val="48B14AB0"/>
    <w:rsid w:val="48BB286C"/>
    <w:rsid w:val="48D6123C"/>
    <w:rsid w:val="49150F51"/>
    <w:rsid w:val="49480BD4"/>
    <w:rsid w:val="496E11C3"/>
    <w:rsid w:val="498B5A38"/>
    <w:rsid w:val="499F04DF"/>
    <w:rsid w:val="49CB3BFF"/>
    <w:rsid w:val="4A695AAE"/>
    <w:rsid w:val="4A962459"/>
    <w:rsid w:val="4AA4619B"/>
    <w:rsid w:val="4AAE7A16"/>
    <w:rsid w:val="4ABD70AF"/>
    <w:rsid w:val="4AC62161"/>
    <w:rsid w:val="4B284D77"/>
    <w:rsid w:val="4B4C4394"/>
    <w:rsid w:val="4BEC1507"/>
    <w:rsid w:val="4C0E1F3B"/>
    <w:rsid w:val="4CA20DA9"/>
    <w:rsid w:val="4CB94CC1"/>
    <w:rsid w:val="4CBD0D73"/>
    <w:rsid w:val="4CD363C9"/>
    <w:rsid w:val="4D7F6702"/>
    <w:rsid w:val="4DD21421"/>
    <w:rsid w:val="4DD27ACF"/>
    <w:rsid w:val="4E1A7ECD"/>
    <w:rsid w:val="4EB672FA"/>
    <w:rsid w:val="4EE534FE"/>
    <w:rsid w:val="4EEF444E"/>
    <w:rsid w:val="4F123950"/>
    <w:rsid w:val="4F134C73"/>
    <w:rsid w:val="4F1D2E5C"/>
    <w:rsid w:val="4F6713B3"/>
    <w:rsid w:val="4F7C53DB"/>
    <w:rsid w:val="4FD84F46"/>
    <w:rsid w:val="500477F6"/>
    <w:rsid w:val="507519D9"/>
    <w:rsid w:val="507A757C"/>
    <w:rsid w:val="50E553DA"/>
    <w:rsid w:val="50E6454A"/>
    <w:rsid w:val="50EC442B"/>
    <w:rsid w:val="51193B9B"/>
    <w:rsid w:val="517C422B"/>
    <w:rsid w:val="51824CF6"/>
    <w:rsid w:val="519F50F9"/>
    <w:rsid w:val="52127D7D"/>
    <w:rsid w:val="52412A63"/>
    <w:rsid w:val="52416E80"/>
    <w:rsid w:val="525672F6"/>
    <w:rsid w:val="534179D1"/>
    <w:rsid w:val="5359794D"/>
    <w:rsid w:val="53763D4D"/>
    <w:rsid w:val="538930F7"/>
    <w:rsid w:val="53BD78CC"/>
    <w:rsid w:val="54030091"/>
    <w:rsid w:val="54135280"/>
    <w:rsid w:val="54DC2048"/>
    <w:rsid w:val="5526139C"/>
    <w:rsid w:val="552B2D26"/>
    <w:rsid w:val="554E1470"/>
    <w:rsid w:val="55986D51"/>
    <w:rsid w:val="55C32DF1"/>
    <w:rsid w:val="55D42624"/>
    <w:rsid w:val="56133CA0"/>
    <w:rsid w:val="56160EC1"/>
    <w:rsid w:val="562055A1"/>
    <w:rsid w:val="56844457"/>
    <w:rsid w:val="56DD4ABD"/>
    <w:rsid w:val="56FC7AC4"/>
    <w:rsid w:val="5703231E"/>
    <w:rsid w:val="57116442"/>
    <w:rsid w:val="572850BA"/>
    <w:rsid w:val="573C3783"/>
    <w:rsid w:val="578D3493"/>
    <w:rsid w:val="57A624DB"/>
    <w:rsid w:val="586A7A45"/>
    <w:rsid w:val="58914C8B"/>
    <w:rsid w:val="58E3423E"/>
    <w:rsid w:val="58F23ED5"/>
    <w:rsid w:val="5956205C"/>
    <w:rsid w:val="59605048"/>
    <w:rsid w:val="599E6CB8"/>
    <w:rsid w:val="59E031E2"/>
    <w:rsid w:val="5A1C50E2"/>
    <w:rsid w:val="5A3D0F94"/>
    <w:rsid w:val="5A5B5FB9"/>
    <w:rsid w:val="5AA974E8"/>
    <w:rsid w:val="5AB070AB"/>
    <w:rsid w:val="5AD0387F"/>
    <w:rsid w:val="5B1F720D"/>
    <w:rsid w:val="5B8340E7"/>
    <w:rsid w:val="5B8D0599"/>
    <w:rsid w:val="5B937814"/>
    <w:rsid w:val="5BA627EA"/>
    <w:rsid w:val="5BAA125C"/>
    <w:rsid w:val="5BCF26A2"/>
    <w:rsid w:val="5C0C16FA"/>
    <w:rsid w:val="5C254E10"/>
    <w:rsid w:val="5C6E79F1"/>
    <w:rsid w:val="5C7F7E08"/>
    <w:rsid w:val="5C8657B1"/>
    <w:rsid w:val="5CA73484"/>
    <w:rsid w:val="5CB66DDB"/>
    <w:rsid w:val="5CE5499C"/>
    <w:rsid w:val="5D604902"/>
    <w:rsid w:val="5D77243C"/>
    <w:rsid w:val="5DBD0035"/>
    <w:rsid w:val="5DD60CDA"/>
    <w:rsid w:val="5DE33EC7"/>
    <w:rsid w:val="5E2F13E4"/>
    <w:rsid w:val="5E723AD5"/>
    <w:rsid w:val="5E906226"/>
    <w:rsid w:val="5EC546B7"/>
    <w:rsid w:val="5EE01513"/>
    <w:rsid w:val="5F515511"/>
    <w:rsid w:val="5FA9036D"/>
    <w:rsid w:val="5FB20CF3"/>
    <w:rsid w:val="5FE20A6A"/>
    <w:rsid w:val="5FE80DF1"/>
    <w:rsid w:val="5FED079B"/>
    <w:rsid w:val="60394F33"/>
    <w:rsid w:val="607A028C"/>
    <w:rsid w:val="611C5F5F"/>
    <w:rsid w:val="615D5F76"/>
    <w:rsid w:val="61904268"/>
    <w:rsid w:val="61922827"/>
    <w:rsid w:val="61985AAE"/>
    <w:rsid w:val="619B21A0"/>
    <w:rsid w:val="61A24375"/>
    <w:rsid w:val="61C95215"/>
    <w:rsid w:val="61CF4043"/>
    <w:rsid w:val="61D563A6"/>
    <w:rsid w:val="620863D2"/>
    <w:rsid w:val="620D3A5B"/>
    <w:rsid w:val="62197E84"/>
    <w:rsid w:val="625C6C5B"/>
    <w:rsid w:val="626058BD"/>
    <w:rsid w:val="62D70238"/>
    <w:rsid w:val="62EF16DE"/>
    <w:rsid w:val="630014F2"/>
    <w:rsid w:val="634E5810"/>
    <w:rsid w:val="636310DD"/>
    <w:rsid w:val="63834122"/>
    <w:rsid w:val="63A745AB"/>
    <w:rsid w:val="63A81226"/>
    <w:rsid w:val="63D02C15"/>
    <w:rsid w:val="63D70DA6"/>
    <w:rsid w:val="645657AD"/>
    <w:rsid w:val="645779AB"/>
    <w:rsid w:val="645A0930"/>
    <w:rsid w:val="64BA3CE1"/>
    <w:rsid w:val="650A079C"/>
    <w:rsid w:val="656D324B"/>
    <w:rsid w:val="659828F3"/>
    <w:rsid w:val="65A73E55"/>
    <w:rsid w:val="65B71508"/>
    <w:rsid w:val="65E5355A"/>
    <w:rsid w:val="66DF783D"/>
    <w:rsid w:val="673C65F0"/>
    <w:rsid w:val="674A3D4F"/>
    <w:rsid w:val="676F7453"/>
    <w:rsid w:val="679006E0"/>
    <w:rsid w:val="67B406B2"/>
    <w:rsid w:val="68120C78"/>
    <w:rsid w:val="686065CC"/>
    <w:rsid w:val="6864772D"/>
    <w:rsid w:val="68767A6C"/>
    <w:rsid w:val="68BC6A3B"/>
    <w:rsid w:val="68D2350A"/>
    <w:rsid w:val="68DF6B1A"/>
    <w:rsid w:val="69926386"/>
    <w:rsid w:val="69C97638"/>
    <w:rsid w:val="6A121AD7"/>
    <w:rsid w:val="6A3C248C"/>
    <w:rsid w:val="6A806A47"/>
    <w:rsid w:val="6A8F6861"/>
    <w:rsid w:val="6ABA024E"/>
    <w:rsid w:val="6AD23B35"/>
    <w:rsid w:val="6B2B66DF"/>
    <w:rsid w:val="6B47600F"/>
    <w:rsid w:val="6B75585A"/>
    <w:rsid w:val="6C3226C6"/>
    <w:rsid w:val="6C403C55"/>
    <w:rsid w:val="6C545FF5"/>
    <w:rsid w:val="6C591BE2"/>
    <w:rsid w:val="6C97063E"/>
    <w:rsid w:val="6D554232"/>
    <w:rsid w:val="6D9B2FE1"/>
    <w:rsid w:val="6DA854AB"/>
    <w:rsid w:val="6E0A4A26"/>
    <w:rsid w:val="6E426C72"/>
    <w:rsid w:val="6E5A4385"/>
    <w:rsid w:val="6E5E1B6C"/>
    <w:rsid w:val="6EEF71D1"/>
    <w:rsid w:val="6EF04F82"/>
    <w:rsid w:val="6F021A16"/>
    <w:rsid w:val="6F1D40CE"/>
    <w:rsid w:val="6F3C22AB"/>
    <w:rsid w:val="700965DD"/>
    <w:rsid w:val="70411FBB"/>
    <w:rsid w:val="7051517A"/>
    <w:rsid w:val="70A647A4"/>
    <w:rsid w:val="70D85BD1"/>
    <w:rsid w:val="715B338A"/>
    <w:rsid w:val="71695F18"/>
    <w:rsid w:val="716A7ADC"/>
    <w:rsid w:val="71912BE1"/>
    <w:rsid w:val="71A64355"/>
    <w:rsid w:val="71DD525F"/>
    <w:rsid w:val="71DE2E53"/>
    <w:rsid w:val="71FA41B7"/>
    <w:rsid w:val="721F39FF"/>
    <w:rsid w:val="722B755C"/>
    <w:rsid w:val="723850D9"/>
    <w:rsid w:val="729E121E"/>
    <w:rsid w:val="72E23A7A"/>
    <w:rsid w:val="72F6179B"/>
    <w:rsid w:val="73023D3C"/>
    <w:rsid w:val="73384E20"/>
    <w:rsid w:val="735B2E64"/>
    <w:rsid w:val="738003CA"/>
    <w:rsid w:val="73C56EED"/>
    <w:rsid w:val="74180D50"/>
    <w:rsid w:val="741E3A74"/>
    <w:rsid w:val="74CC56DC"/>
    <w:rsid w:val="750B5416"/>
    <w:rsid w:val="758D4AB4"/>
    <w:rsid w:val="75D12961"/>
    <w:rsid w:val="765941C5"/>
    <w:rsid w:val="769A3BB8"/>
    <w:rsid w:val="773B6CD4"/>
    <w:rsid w:val="77E30949"/>
    <w:rsid w:val="77F16A53"/>
    <w:rsid w:val="78197E01"/>
    <w:rsid w:val="783525A0"/>
    <w:rsid w:val="78524E73"/>
    <w:rsid w:val="786F12BD"/>
    <w:rsid w:val="786F1AA9"/>
    <w:rsid w:val="7872551D"/>
    <w:rsid w:val="78734ED4"/>
    <w:rsid w:val="78B86EE8"/>
    <w:rsid w:val="78BD7865"/>
    <w:rsid w:val="7920071D"/>
    <w:rsid w:val="79346FAC"/>
    <w:rsid w:val="79705F95"/>
    <w:rsid w:val="79A9544A"/>
    <w:rsid w:val="79B56BC5"/>
    <w:rsid w:val="79B64941"/>
    <w:rsid w:val="79C52BC7"/>
    <w:rsid w:val="79C747F6"/>
    <w:rsid w:val="79CC19FD"/>
    <w:rsid w:val="7A2861E8"/>
    <w:rsid w:val="7A36659D"/>
    <w:rsid w:val="7A6027C1"/>
    <w:rsid w:val="7A854A12"/>
    <w:rsid w:val="7AC83418"/>
    <w:rsid w:val="7AF976D0"/>
    <w:rsid w:val="7B237820"/>
    <w:rsid w:val="7B974622"/>
    <w:rsid w:val="7C3C1587"/>
    <w:rsid w:val="7C6B3F7A"/>
    <w:rsid w:val="7C9A772A"/>
    <w:rsid w:val="7CA52AE4"/>
    <w:rsid w:val="7CF93571"/>
    <w:rsid w:val="7D4E72F0"/>
    <w:rsid w:val="7D860B69"/>
    <w:rsid w:val="7D896705"/>
    <w:rsid w:val="7DBF62ED"/>
    <w:rsid w:val="7DD15417"/>
    <w:rsid w:val="7DED1691"/>
    <w:rsid w:val="7DF207B9"/>
    <w:rsid w:val="7E662EAD"/>
    <w:rsid w:val="7E9219F9"/>
    <w:rsid w:val="7EC14C30"/>
    <w:rsid w:val="7EF771E2"/>
    <w:rsid w:val="7EF87B3E"/>
    <w:rsid w:val="7F474277"/>
    <w:rsid w:val="7F52348C"/>
    <w:rsid w:val="7F8D2652"/>
    <w:rsid w:val="7F924DA0"/>
    <w:rsid w:val="7FD30D2C"/>
    <w:rsid w:val="7FF23112"/>
    <w:rsid w:val="7FF2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spacing w:before="340" w:after="330" w:line="576" w:lineRule="auto"/>
      <w:outlineLvl w:val="0"/>
    </w:pPr>
    <w:rPr>
      <w:b/>
      <w:bCs/>
      <w:kern w:val="44"/>
      <w:sz w:val="44"/>
      <w:szCs w:val="44"/>
    </w:rPr>
  </w:style>
  <w:style w:type="paragraph" w:styleId="3">
    <w:name w:val="heading 2"/>
    <w:basedOn w:val="4"/>
    <w:next w:val="1"/>
    <w:link w:val="64"/>
    <w:qFormat/>
    <w:uiPriority w:val="9"/>
    <w:pPr>
      <w:tabs>
        <w:tab w:val="left" w:pos="1152"/>
      </w:tabs>
      <w:spacing w:before="260" w:after="260" w:line="413" w:lineRule="auto"/>
      <w:outlineLvl w:val="1"/>
    </w:pPr>
    <w:rPr>
      <w:rFonts w:ascii="Arial" w:hAnsi="Arial" w:eastAsia="黑体"/>
      <w:bCs/>
      <w:sz w:val="32"/>
      <w:szCs w:val="32"/>
    </w:rPr>
  </w:style>
  <w:style w:type="paragraph" w:styleId="6">
    <w:name w:val="heading 3"/>
    <w:basedOn w:val="1"/>
    <w:next w:val="7"/>
    <w:link w:val="65"/>
    <w:qFormat/>
    <w:uiPriority w:val="9"/>
    <w:pPr>
      <w:keepNext/>
      <w:keepLines/>
      <w:spacing w:before="260" w:after="260" w:line="413" w:lineRule="auto"/>
      <w:outlineLvl w:val="2"/>
    </w:pPr>
    <w:rPr>
      <w:b/>
      <w:bCs/>
      <w:sz w:val="32"/>
      <w:szCs w:val="32"/>
    </w:rPr>
  </w:style>
  <w:style w:type="paragraph" w:styleId="8">
    <w:name w:val="heading 4"/>
    <w:basedOn w:val="1"/>
    <w:next w:val="9"/>
    <w:link w:val="66"/>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5">
    <w:name w:val="heading 5"/>
    <w:basedOn w:val="1"/>
    <w:next w:val="1"/>
    <w:link w:val="67"/>
    <w:qFormat/>
    <w:uiPriority w:val="9"/>
    <w:pPr>
      <w:keepNext/>
      <w:keepLines/>
      <w:spacing w:before="280" w:after="290" w:line="372" w:lineRule="auto"/>
      <w:outlineLvl w:val="4"/>
    </w:pPr>
    <w:rPr>
      <w:b/>
      <w:sz w:val="28"/>
    </w:rPr>
  </w:style>
  <w:style w:type="paragraph" w:styleId="10">
    <w:name w:val="heading 6"/>
    <w:basedOn w:val="1"/>
    <w:next w:val="9"/>
    <w:link w:val="68"/>
    <w:qFormat/>
    <w:uiPriority w:val="9"/>
    <w:pPr>
      <w:keepNext/>
      <w:keepLines/>
      <w:spacing w:before="240" w:after="64" w:line="317" w:lineRule="auto"/>
      <w:outlineLvl w:val="5"/>
    </w:pPr>
    <w:rPr>
      <w:rFonts w:ascii="Arial" w:hAnsi="Arial" w:eastAsia="黑体"/>
      <w:b/>
      <w:sz w:val="24"/>
    </w:rPr>
  </w:style>
  <w:style w:type="paragraph" w:styleId="11">
    <w:name w:val="heading 7"/>
    <w:basedOn w:val="1"/>
    <w:next w:val="9"/>
    <w:link w:val="69"/>
    <w:qFormat/>
    <w:uiPriority w:val="9"/>
    <w:pPr>
      <w:keepNext/>
      <w:keepLines/>
      <w:spacing w:before="240" w:after="64" w:line="317" w:lineRule="auto"/>
      <w:outlineLvl w:val="6"/>
    </w:pPr>
    <w:rPr>
      <w:b/>
      <w:sz w:val="24"/>
    </w:rPr>
  </w:style>
  <w:style w:type="paragraph" w:styleId="12">
    <w:name w:val="heading 8"/>
    <w:basedOn w:val="1"/>
    <w:next w:val="9"/>
    <w:link w:val="70"/>
    <w:qFormat/>
    <w:uiPriority w:val="9"/>
    <w:pPr>
      <w:keepNext/>
      <w:keepLines/>
      <w:spacing w:before="240" w:after="64" w:line="317" w:lineRule="auto"/>
      <w:outlineLvl w:val="7"/>
    </w:pPr>
    <w:rPr>
      <w:rFonts w:ascii="Arial" w:hAnsi="Arial" w:eastAsia="黑体"/>
      <w:sz w:val="24"/>
    </w:rPr>
  </w:style>
  <w:style w:type="paragraph" w:styleId="13">
    <w:name w:val="heading 9"/>
    <w:basedOn w:val="1"/>
    <w:next w:val="9"/>
    <w:link w:val="71"/>
    <w:qFormat/>
    <w:uiPriority w:val="9"/>
    <w:pPr>
      <w:keepNext/>
      <w:keepLines/>
      <w:spacing w:before="240" w:after="64" w:line="317"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4">
    <w:name w:val="标题 55"/>
    <w:basedOn w:val="5"/>
    <w:qFormat/>
    <w:uiPriority w:val="0"/>
    <w:pPr>
      <w:tabs>
        <w:tab w:val="left" w:pos="1152"/>
      </w:tabs>
      <w:spacing w:line="376" w:lineRule="auto"/>
    </w:pPr>
    <w:rPr>
      <w:rFonts w:ascii="方正黑体简体" w:eastAsia="方正黑体简体"/>
    </w:rPr>
  </w:style>
  <w:style w:type="paragraph" w:customStyle="1" w:styleId="7">
    <w:name w:val="正文首行缩进1"/>
    <w:basedOn w:val="1"/>
    <w:qFormat/>
    <w:uiPriority w:val="0"/>
    <w:pPr>
      <w:autoSpaceDE w:val="0"/>
      <w:autoSpaceDN w:val="0"/>
      <w:adjustRightInd w:val="0"/>
      <w:spacing w:before="30" w:beforeLines="30"/>
      <w:ind w:firstLine="200" w:firstLineChars="200"/>
    </w:pPr>
    <w:rPr>
      <w:kern w:val="0"/>
      <w:sz w:val="28"/>
      <w:szCs w:val="20"/>
      <w:lang w:val="zh-CN"/>
    </w:rPr>
  </w:style>
  <w:style w:type="paragraph" w:styleId="9">
    <w:name w:val="Normal Indent"/>
    <w:basedOn w:val="1"/>
    <w:qFormat/>
    <w:uiPriority w:val="0"/>
    <w:pPr>
      <w:ind w:firstLine="420"/>
    </w:pPr>
    <w:rPr>
      <w:szCs w:val="20"/>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qFormat/>
    <w:uiPriority w:val="35"/>
    <w:pPr>
      <w:spacing w:before="152" w:after="160"/>
    </w:pPr>
    <w:rPr>
      <w:rFonts w:ascii="Arial" w:hAnsi="Arial" w:eastAsia="黑体" w:cs="Arial"/>
      <w:sz w:val="20"/>
      <w:szCs w:val="20"/>
    </w:rPr>
  </w:style>
  <w:style w:type="paragraph" w:styleId="18">
    <w:name w:val="Document Map"/>
    <w:basedOn w:val="1"/>
    <w:link w:val="76"/>
    <w:qFormat/>
    <w:uiPriority w:val="0"/>
    <w:pPr>
      <w:shd w:val="clear" w:color="auto" w:fill="000080"/>
      <w:adjustRightInd w:val="0"/>
      <w:spacing w:line="312" w:lineRule="atLeast"/>
      <w:textAlignment w:val="baseline"/>
    </w:pPr>
    <w:rPr>
      <w:kern w:val="0"/>
      <w:szCs w:val="20"/>
    </w:rPr>
  </w:style>
  <w:style w:type="paragraph" w:styleId="19">
    <w:name w:val="annotation text"/>
    <w:basedOn w:val="1"/>
    <w:link w:val="72"/>
    <w:qFormat/>
    <w:uiPriority w:val="99"/>
    <w:pPr>
      <w:jc w:val="left"/>
    </w:pPr>
  </w:style>
  <w:style w:type="paragraph" w:styleId="20">
    <w:name w:val="Body Text 3"/>
    <w:basedOn w:val="1"/>
    <w:link w:val="77"/>
    <w:qFormat/>
    <w:uiPriority w:val="0"/>
    <w:pPr>
      <w:spacing w:line="500" w:lineRule="exact"/>
    </w:pPr>
    <w:rPr>
      <w:b/>
      <w:bCs/>
      <w:sz w:val="24"/>
    </w:rPr>
  </w:style>
  <w:style w:type="paragraph" w:styleId="21">
    <w:name w:val="Body Text"/>
    <w:basedOn w:val="1"/>
    <w:next w:val="22"/>
    <w:link w:val="74"/>
    <w:qFormat/>
    <w:uiPriority w:val="99"/>
    <w:pPr>
      <w:spacing w:line="380" w:lineRule="exact"/>
    </w:pPr>
    <w:rPr>
      <w:sz w:val="24"/>
    </w:rPr>
  </w:style>
  <w:style w:type="paragraph" w:styleId="22">
    <w:name w:val="Body Text First Indent 2"/>
    <w:basedOn w:val="23"/>
    <w:link w:val="84"/>
    <w:qFormat/>
    <w:uiPriority w:val="0"/>
    <w:pPr>
      <w:spacing w:after="120"/>
      <w:ind w:left="420" w:leftChars="200" w:firstLine="420" w:firstLineChars="200"/>
    </w:pPr>
    <w:rPr>
      <w:rFonts w:ascii="Times New Roman" w:eastAsia="宋体"/>
      <w:sz w:val="21"/>
      <w:szCs w:val="24"/>
    </w:rPr>
  </w:style>
  <w:style w:type="paragraph" w:styleId="23">
    <w:name w:val="Body Text Indent"/>
    <w:basedOn w:val="1"/>
    <w:next w:val="22"/>
    <w:link w:val="78"/>
    <w:qFormat/>
    <w:uiPriority w:val="99"/>
    <w:pPr>
      <w:ind w:firstLine="830" w:firstLineChars="352"/>
    </w:pPr>
    <w:rPr>
      <w:rFonts w:ascii="仿宋_GB2312" w:eastAsia="仿宋_GB2312"/>
      <w:sz w:val="32"/>
      <w:szCs w:val="20"/>
    </w:rPr>
  </w:style>
  <w:style w:type="paragraph" w:styleId="24">
    <w:name w:val="List Number 3"/>
    <w:basedOn w:val="1"/>
    <w:qFormat/>
    <w:uiPriority w:val="0"/>
    <w:pPr>
      <w:tabs>
        <w:tab w:val="left" w:pos="1200"/>
      </w:tabs>
      <w:ind w:left="1200" w:leftChars="400" w:hanging="360" w:hangingChars="20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39"/>
    <w:pPr>
      <w:ind w:left="840" w:leftChars="400"/>
    </w:pPr>
  </w:style>
  <w:style w:type="paragraph" w:styleId="29">
    <w:name w:val="Plain Text"/>
    <w:basedOn w:val="1"/>
    <w:link w:val="79"/>
    <w:qFormat/>
    <w:uiPriority w:val="0"/>
    <w:rPr>
      <w:rFonts w:ascii="宋体" w:hAnsi="Courier New" w:cs="Courier New"/>
      <w:szCs w:val="21"/>
    </w:rPr>
  </w:style>
  <w:style w:type="paragraph" w:styleId="30">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0"/>
    <w:qFormat/>
    <w:uiPriority w:val="0"/>
    <w:pPr>
      <w:ind w:left="100" w:leftChars="2500"/>
    </w:pPr>
    <w:rPr>
      <w:rFonts w:ascii="宋体" w:hAnsi="Courier New"/>
      <w:szCs w:val="21"/>
    </w:rPr>
  </w:style>
  <w:style w:type="paragraph" w:styleId="32">
    <w:name w:val="Body Text Indent 2"/>
    <w:basedOn w:val="1"/>
    <w:link w:val="81"/>
    <w:qFormat/>
    <w:uiPriority w:val="0"/>
    <w:pPr>
      <w:ind w:firstLine="630"/>
    </w:pPr>
    <w:rPr>
      <w:sz w:val="32"/>
      <w:szCs w:val="20"/>
    </w:rPr>
  </w:style>
  <w:style w:type="paragraph" w:styleId="33">
    <w:name w:val="Balloon Text"/>
    <w:basedOn w:val="1"/>
    <w:link w:val="82"/>
    <w:qFormat/>
    <w:uiPriority w:val="0"/>
    <w:rPr>
      <w:sz w:val="18"/>
      <w:szCs w:val="18"/>
    </w:rPr>
  </w:style>
  <w:style w:type="paragraph" w:styleId="34">
    <w:name w:val="footer"/>
    <w:basedOn w:val="1"/>
    <w:link w:val="83"/>
    <w:qFormat/>
    <w:uiPriority w:val="99"/>
    <w:pPr>
      <w:tabs>
        <w:tab w:val="center" w:pos="4153"/>
        <w:tab w:val="right" w:pos="8306"/>
      </w:tabs>
      <w:snapToGrid w:val="0"/>
      <w:jc w:val="left"/>
    </w:pPr>
    <w:rPr>
      <w:sz w:val="18"/>
      <w:szCs w:val="18"/>
    </w:rPr>
  </w:style>
  <w:style w:type="paragraph" w:styleId="35">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229"/>
    <w:qFormat/>
    <w:uiPriority w:val="11"/>
    <w:pPr>
      <w:widowControl/>
      <w:spacing w:after="60"/>
      <w:jc w:val="center"/>
      <w:outlineLvl w:val="1"/>
    </w:pPr>
    <w:rPr>
      <w:rFonts w:ascii="等线 Light" w:hAnsi="等线 Light" w:eastAsia="等线 Light"/>
      <w:kern w:val="0"/>
      <w:sz w:val="24"/>
    </w:rPr>
  </w:style>
  <w:style w:type="paragraph" w:styleId="39">
    <w:name w:val="List"/>
    <w:basedOn w:val="1"/>
    <w:qFormat/>
    <w:uiPriority w:val="0"/>
    <w:pPr>
      <w:ind w:left="200" w:hanging="200" w:hangingChars="200"/>
    </w:pPr>
    <w:rPr>
      <w:sz w:val="28"/>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86"/>
    <w:qFormat/>
    <w:uiPriority w:val="0"/>
    <w:pPr>
      <w:spacing w:after="12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87"/>
    <w:qFormat/>
    <w:uiPriority w:val="0"/>
    <w:pPr>
      <w:spacing w:after="12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ind w:left="840" w:leftChars="400"/>
    </w:pPr>
  </w:style>
  <w:style w:type="paragraph" w:styleId="48">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qFormat/>
    <w:uiPriority w:val="0"/>
    <w:pPr>
      <w:spacing w:line="400" w:lineRule="exact"/>
      <w:ind w:firstLine="420" w:firstLineChars="200"/>
    </w:pPr>
    <w:rPr>
      <w:rFonts w:ascii="宋体" w:hAnsi="Courier New"/>
      <w:b/>
      <w:szCs w:val="20"/>
    </w:rPr>
  </w:style>
  <w:style w:type="paragraph" w:styleId="51">
    <w:name w:val="Title"/>
    <w:basedOn w:val="1"/>
    <w:link w:val="89"/>
    <w:qFormat/>
    <w:uiPriority w:val="10"/>
    <w:pPr>
      <w:jc w:val="center"/>
    </w:pPr>
    <w:rPr>
      <w:sz w:val="30"/>
    </w:rPr>
  </w:style>
  <w:style w:type="paragraph" w:styleId="52">
    <w:name w:val="annotation subject"/>
    <w:basedOn w:val="19"/>
    <w:next w:val="19"/>
    <w:link w:val="73"/>
    <w:qFormat/>
    <w:uiPriority w:val="0"/>
    <w:rPr>
      <w:b/>
      <w:bCs/>
    </w:rPr>
  </w:style>
  <w:style w:type="paragraph" w:styleId="53">
    <w:name w:val="Body Text First Indent"/>
    <w:basedOn w:val="21"/>
    <w:link w:val="75"/>
    <w:qFormat/>
    <w:uiPriority w:val="0"/>
    <w:pPr>
      <w:spacing w:after="120" w:line="240" w:lineRule="auto"/>
      <w:ind w:firstLine="420" w:firstLineChars="100"/>
    </w:pPr>
    <w:rPr>
      <w:sz w:val="21"/>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99"/>
    <w:rPr>
      <w:color w:val="800080"/>
      <w:u w:val="single"/>
    </w:rPr>
  </w:style>
  <w:style w:type="character" w:styleId="60">
    <w:name w:val="Emphasis"/>
    <w:qFormat/>
    <w:uiPriority w:val="20"/>
    <w:rPr>
      <w:rFonts w:ascii="等线" w:hAnsi="等线" w:eastAsia="宋体" w:cs="Times New Roman"/>
      <w:b/>
      <w:i/>
      <w:iCs/>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customStyle="1" w:styleId="63">
    <w:name w:val="标题 1 字符2"/>
    <w:link w:val="2"/>
    <w:qFormat/>
    <w:uiPriority w:val="9"/>
    <w:rPr>
      <w:rFonts w:eastAsia="宋体"/>
      <w:b/>
      <w:bCs/>
      <w:kern w:val="44"/>
      <w:sz w:val="44"/>
      <w:szCs w:val="44"/>
      <w:lang w:val="en-US" w:eastAsia="zh-CN" w:bidi="ar-SA"/>
    </w:rPr>
  </w:style>
  <w:style w:type="character" w:customStyle="1" w:styleId="64">
    <w:name w:val="标题 2 字符2"/>
    <w:link w:val="3"/>
    <w:qFormat/>
    <w:uiPriority w:val="9"/>
    <w:rPr>
      <w:rFonts w:ascii="Arial" w:hAnsi="Arial" w:eastAsia="黑体"/>
      <w:b/>
      <w:bCs/>
      <w:kern w:val="2"/>
      <w:sz w:val="32"/>
      <w:szCs w:val="32"/>
    </w:rPr>
  </w:style>
  <w:style w:type="character" w:customStyle="1" w:styleId="65">
    <w:name w:val="标题 3 字符2"/>
    <w:link w:val="6"/>
    <w:qFormat/>
    <w:uiPriority w:val="0"/>
    <w:rPr>
      <w:b/>
      <w:bCs/>
      <w:kern w:val="2"/>
      <w:sz w:val="32"/>
      <w:szCs w:val="32"/>
    </w:rPr>
  </w:style>
  <w:style w:type="character" w:customStyle="1" w:styleId="66">
    <w:name w:val="标题 4 字符2"/>
    <w:link w:val="8"/>
    <w:qFormat/>
    <w:uiPriority w:val="0"/>
    <w:rPr>
      <w:rFonts w:ascii="Arial" w:hAnsi="Arial" w:eastAsia="黑体"/>
      <w:sz w:val="28"/>
    </w:rPr>
  </w:style>
  <w:style w:type="character" w:customStyle="1" w:styleId="67">
    <w:name w:val="标题 5 字符2"/>
    <w:link w:val="5"/>
    <w:qFormat/>
    <w:uiPriority w:val="0"/>
    <w:rPr>
      <w:b/>
      <w:kern w:val="2"/>
      <w:sz w:val="28"/>
      <w:szCs w:val="24"/>
    </w:rPr>
  </w:style>
  <w:style w:type="character" w:customStyle="1" w:styleId="68">
    <w:name w:val="标题 6 字符2"/>
    <w:link w:val="10"/>
    <w:qFormat/>
    <w:uiPriority w:val="0"/>
    <w:rPr>
      <w:rFonts w:ascii="Arial" w:hAnsi="Arial" w:eastAsia="黑体"/>
      <w:b/>
      <w:kern w:val="2"/>
      <w:sz w:val="24"/>
      <w:szCs w:val="24"/>
    </w:rPr>
  </w:style>
  <w:style w:type="character" w:customStyle="1" w:styleId="69">
    <w:name w:val="标题 7 字符2"/>
    <w:link w:val="11"/>
    <w:qFormat/>
    <w:uiPriority w:val="0"/>
    <w:rPr>
      <w:b/>
      <w:kern w:val="2"/>
      <w:sz w:val="24"/>
      <w:szCs w:val="24"/>
    </w:rPr>
  </w:style>
  <w:style w:type="character" w:customStyle="1" w:styleId="70">
    <w:name w:val="标题 8 字符2"/>
    <w:link w:val="12"/>
    <w:qFormat/>
    <w:uiPriority w:val="0"/>
    <w:rPr>
      <w:rFonts w:ascii="Arial" w:hAnsi="Arial" w:eastAsia="黑体"/>
      <w:kern w:val="2"/>
      <w:sz w:val="24"/>
      <w:szCs w:val="24"/>
    </w:rPr>
  </w:style>
  <w:style w:type="character" w:customStyle="1" w:styleId="71">
    <w:name w:val="标题 9 字符2"/>
    <w:link w:val="13"/>
    <w:qFormat/>
    <w:uiPriority w:val="0"/>
    <w:rPr>
      <w:rFonts w:ascii="Arial" w:hAnsi="Arial" w:eastAsia="黑体"/>
      <w:kern w:val="2"/>
      <w:sz w:val="21"/>
      <w:szCs w:val="24"/>
    </w:rPr>
  </w:style>
  <w:style w:type="character" w:customStyle="1" w:styleId="72">
    <w:name w:val="批注文字 字符2"/>
    <w:link w:val="19"/>
    <w:qFormat/>
    <w:uiPriority w:val="0"/>
    <w:rPr>
      <w:kern w:val="2"/>
      <w:sz w:val="21"/>
      <w:szCs w:val="24"/>
    </w:rPr>
  </w:style>
  <w:style w:type="character" w:customStyle="1" w:styleId="73">
    <w:name w:val="批注主题 字符1"/>
    <w:link w:val="52"/>
    <w:qFormat/>
    <w:uiPriority w:val="0"/>
    <w:rPr>
      <w:b/>
      <w:bCs/>
      <w:kern w:val="2"/>
      <w:sz w:val="21"/>
      <w:szCs w:val="24"/>
    </w:rPr>
  </w:style>
  <w:style w:type="character" w:customStyle="1" w:styleId="74">
    <w:name w:val="正文文本 字符1"/>
    <w:link w:val="21"/>
    <w:qFormat/>
    <w:uiPriority w:val="99"/>
    <w:rPr>
      <w:kern w:val="2"/>
      <w:sz w:val="24"/>
      <w:szCs w:val="24"/>
    </w:rPr>
  </w:style>
  <w:style w:type="character" w:customStyle="1" w:styleId="75">
    <w:name w:val="正文文本首行缩进 字符2"/>
    <w:link w:val="53"/>
    <w:qFormat/>
    <w:uiPriority w:val="0"/>
    <w:rPr>
      <w:kern w:val="2"/>
      <w:sz w:val="21"/>
      <w:szCs w:val="24"/>
    </w:rPr>
  </w:style>
  <w:style w:type="character" w:customStyle="1" w:styleId="76">
    <w:name w:val="文档结构图 字符1"/>
    <w:link w:val="18"/>
    <w:qFormat/>
    <w:uiPriority w:val="0"/>
    <w:rPr>
      <w:sz w:val="21"/>
      <w:shd w:val="clear" w:color="auto" w:fill="000080"/>
    </w:rPr>
  </w:style>
  <w:style w:type="character" w:customStyle="1" w:styleId="77">
    <w:name w:val="正文文本 3 字符1"/>
    <w:link w:val="20"/>
    <w:qFormat/>
    <w:uiPriority w:val="0"/>
    <w:rPr>
      <w:b/>
      <w:bCs/>
      <w:kern w:val="2"/>
      <w:sz w:val="24"/>
      <w:szCs w:val="24"/>
    </w:rPr>
  </w:style>
  <w:style w:type="character" w:customStyle="1" w:styleId="78">
    <w:name w:val="正文文本缩进 字符1"/>
    <w:link w:val="23"/>
    <w:qFormat/>
    <w:uiPriority w:val="99"/>
    <w:rPr>
      <w:rFonts w:ascii="仿宋_GB2312" w:eastAsia="仿宋_GB2312"/>
      <w:kern w:val="2"/>
      <w:sz w:val="32"/>
    </w:rPr>
  </w:style>
  <w:style w:type="character" w:customStyle="1" w:styleId="79">
    <w:name w:val="纯文本 字符3"/>
    <w:link w:val="29"/>
    <w:qFormat/>
    <w:uiPriority w:val="99"/>
    <w:rPr>
      <w:rFonts w:ascii="宋体" w:hAnsi="Courier New" w:eastAsia="宋体" w:cs="Courier New"/>
      <w:kern w:val="2"/>
      <w:sz w:val="21"/>
      <w:szCs w:val="21"/>
      <w:lang w:val="en-US" w:eastAsia="zh-CN" w:bidi="ar-SA"/>
    </w:rPr>
  </w:style>
  <w:style w:type="character" w:customStyle="1" w:styleId="80">
    <w:name w:val="日期 字符1"/>
    <w:link w:val="31"/>
    <w:qFormat/>
    <w:uiPriority w:val="0"/>
    <w:rPr>
      <w:rFonts w:ascii="宋体" w:hAnsi="Courier New" w:cs="Courier New"/>
      <w:kern w:val="2"/>
      <w:sz w:val="21"/>
      <w:szCs w:val="21"/>
    </w:rPr>
  </w:style>
  <w:style w:type="character" w:customStyle="1" w:styleId="81">
    <w:name w:val="正文文本缩进 2 字符1"/>
    <w:link w:val="32"/>
    <w:qFormat/>
    <w:uiPriority w:val="0"/>
    <w:rPr>
      <w:kern w:val="2"/>
      <w:sz w:val="32"/>
    </w:rPr>
  </w:style>
  <w:style w:type="character" w:customStyle="1" w:styleId="82">
    <w:name w:val="批注框文本 字符1"/>
    <w:link w:val="33"/>
    <w:qFormat/>
    <w:uiPriority w:val="0"/>
    <w:rPr>
      <w:kern w:val="2"/>
      <w:sz w:val="18"/>
      <w:szCs w:val="18"/>
    </w:rPr>
  </w:style>
  <w:style w:type="character" w:customStyle="1" w:styleId="83">
    <w:name w:val="页脚 字符2"/>
    <w:link w:val="34"/>
    <w:qFormat/>
    <w:uiPriority w:val="99"/>
    <w:rPr>
      <w:kern w:val="2"/>
      <w:sz w:val="18"/>
      <w:szCs w:val="18"/>
    </w:rPr>
  </w:style>
  <w:style w:type="character" w:customStyle="1" w:styleId="84">
    <w:name w:val="正文文本首行缩进 2 字符2"/>
    <w:link w:val="22"/>
    <w:qFormat/>
    <w:uiPriority w:val="0"/>
    <w:rPr>
      <w:kern w:val="2"/>
      <w:sz w:val="21"/>
      <w:szCs w:val="24"/>
    </w:rPr>
  </w:style>
  <w:style w:type="character" w:customStyle="1" w:styleId="85">
    <w:name w:val="页眉 字符2"/>
    <w:link w:val="35"/>
    <w:qFormat/>
    <w:uiPriority w:val="99"/>
    <w:rPr>
      <w:kern w:val="2"/>
      <w:sz w:val="18"/>
      <w:szCs w:val="18"/>
    </w:rPr>
  </w:style>
  <w:style w:type="character" w:customStyle="1" w:styleId="86">
    <w:name w:val="正文文本缩进 3 字符2"/>
    <w:link w:val="42"/>
    <w:qFormat/>
    <w:uiPriority w:val="0"/>
    <w:rPr>
      <w:kern w:val="2"/>
      <w:sz w:val="16"/>
      <w:szCs w:val="16"/>
    </w:rPr>
  </w:style>
  <w:style w:type="character" w:customStyle="1" w:styleId="87">
    <w:name w:val="正文文本 2 字符2"/>
    <w:link w:val="45"/>
    <w:qFormat/>
    <w:uiPriority w:val="0"/>
    <w:rPr>
      <w:kern w:val="2"/>
      <w:sz w:val="21"/>
      <w:szCs w:val="24"/>
    </w:rPr>
  </w:style>
  <w:style w:type="character" w:customStyle="1" w:styleId="88">
    <w:name w:val="HTML 预设格式 字符2"/>
    <w:link w:val="48"/>
    <w:qFormat/>
    <w:uiPriority w:val="0"/>
    <w:rPr>
      <w:rFonts w:ascii="黑体" w:hAnsi="Courier New" w:eastAsia="黑体" w:cs="Courier New"/>
    </w:rPr>
  </w:style>
  <w:style w:type="character" w:customStyle="1" w:styleId="89">
    <w:name w:val="标题 字符3"/>
    <w:link w:val="51"/>
    <w:qFormat/>
    <w:uiPriority w:val="0"/>
    <w:rPr>
      <w:kern w:val="2"/>
      <w:sz w:val="30"/>
      <w:szCs w:val="24"/>
    </w:rPr>
  </w:style>
  <w:style w:type="character" w:customStyle="1" w:styleId="90">
    <w:name w:val="标题 4 字符"/>
    <w:qFormat/>
    <w:uiPriority w:val="0"/>
    <w:rPr>
      <w:rFonts w:ascii="等线 Light" w:hAnsi="等线 Light" w:eastAsia="等线 Light" w:cs="Times New Roman"/>
      <w:b/>
      <w:bCs/>
      <w:kern w:val="2"/>
      <w:sz w:val="28"/>
      <w:szCs w:val="28"/>
    </w:rPr>
  </w:style>
  <w:style w:type="character" w:customStyle="1" w:styleId="91">
    <w:name w:val="HTML 预设格式 字符"/>
    <w:semiHidden/>
    <w:qFormat/>
    <w:uiPriority w:val="99"/>
    <w:rPr>
      <w:rFonts w:ascii="Courier New" w:hAnsi="Courier New" w:cs="Courier New"/>
      <w:kern w:val="2"/>
    </w:rPr>
  </w:style>
  <w:style w:type="character" w:customStyle="1" w:styleId="92">
    <w:name w:val="graytext1"/>
    <w:qFormat/>
    <w:uiPriority w:val="0"/>
    <w:rPr>
      <w:color w:val="666666"/>
    </w:rPr>
  </w:style>
  <w:style w:type="character" w:customStyle="1" w:styleId="93">
    <w:name w:val="标题 6 字符"/>
    <w:semiHidden/>
    <w:qFormat/>
    <w:uiPriority w:val="9"/>
    <w:rPr>
      <w:rFonts w:ascii="等线 Light" w:hAnsi="等线 Light" w:eastAsia="等线 Light" w:cs="Times New Roman"/>
      <w:b/>
      <w:bCs/>
      <w:kern w:val="2"/>
      <w:sz w:val="24"/>
      <w:szCs w:val="24"/>
    </w:rPr>
  </w:style>
  <w:style w:type="character" w:customStyle="1" w:styleId="94">
    <w:name w:val="white"/>
    <w:basedOn w:val="56"/>
    <w:qFormat/>
    <w:uiPriority w:val="0"/>
  </w:style>
  <w:style w:type="character" w:customStyle="1" w:styleId="95">
    <w:name w:val="text11"/>
    <w:qFormat/>
    <w:uiPriority w:val="0"/>
    <w:rPr>
      <w:rFonts w:hint="default" w:ascii="Verdana" w:hAnsi="Verdana"/>
      <w:color w:val="4E4E4E"/>
      <w:sz w:val="18"/>
      <w:szCs w:val="18"/>
    </w:rPr>
  </w:style>
  <w:style w:type="character" w:customStyle="1" w:styleId="96">
    <w:name w:val="gray12"/>
    <w:basedOn w:val="56"/>
    <w:qFormat/>
    <w:uiPriority w:val="0"/>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mark8"/>
    <w:qFormat/>
    <w:uiPriority w:val="0"/>
    <w:rPr>
      <w:b/>
      <w:bCs/>
      <w:sz w:val="21"/>
      <w:szCs w:val="21"/>
    </w:rPr>
  </w:style>
  <w:style w:type="character" w:customStyle="1" w:styleId="99">
    <w:name w:val="纯文本 Char1"/>
    <w:link w:val="100"/>
    <w:qFormat/>
    <w:uiPriority w:val="0"/>
    <w:rPr>
      <w:rFonts w:ascii="宋体" w:hAnsi="Courier New" w:eastAsia="宋体" w:cs="Courier New"/>
      <w:kern w:val="2"/>
      <w:sz w:val="21"/>
      <w:szCs w:val="21"/>
      <w:lang w:val="en-US" w:eastAsia="zh-CN" w:bidi="ar-SA"/>
    </w:rPr>
  </w:style>
  <w:style w:type="paragraph" w:customStyle="1" w:styleId="100">
    <w:name w:val="纯文本1"/>
    <w:basedOn w:val="1"/>
    <w:link w:val="99"/>
    <w:qFormat/>
    <w:uiPriority w:val="0"/>
    <w:rPr>
      <w:rFonts w:ascii="宋体" w:hAnsi="Courier New" w:cs="Courier New"/>
      <w:szCs w:val="21"/>
    </w:rPr>
  </w:style>
  <w:style w:type="character" w:customStyle="1" w:styleId="101">
    <w:name w:val="short_text1"/>
    <w:qFormat/>
    <w:uiPriority w:val="0"/>
    <w:rPr>
      <w:sz w:val="26"/>
    </w:rPr>
  </w:style>
  <w:style w:type="character" w:customStyle="1" w:styleId="102">
    <w:name w:val="1ji Char"/>
    <w:link w:val="103"/>
    <w:qFormat/>
    <w:uiPriority w:val="0"/>
    <w:rPr>
      <w:rFonts w:ascii="宋体" w:hAnsi="宋体" w:eastAsia="宋体"/>
      <w:b/>
      <w:bCs/>
      <w:kern w:val="44"/>
      <w:sz w:val="36"/>
      <w:szCs w:val="44"/>
      <w:lang w:val="en-US" w:eastAsia="zh-CN" w:bidi="ar-SA"/>
    </w:rPr>
  </w:style>
  <w:style w:type="paragraph" w:customStyle="1" w:styleId="103">
    <w:name w:val="1ji"/>
    <w:basedOn w:val="2"/>
    <w:link w:val="102"/>
    <w:qFormat/>
    <w:uiPriority w:val="0"/>
    <w:pPr>
      <w:keepLines w:val="0"/>
      <w:widowControl/>
      <w:spacing w:before="0" w:after="0" w:line="240" w:lineRule="auto"/>
      <w:jc w:val="center"/>
    </w:pPr>
    <w:rPr>
      <w:rFonts w:ascii="宋体" w:hAnsi="宋体"/>
      <w:sz w:val="36"/>
    </w:rPr>
  </w:style>
  <w:style w:type="character" w:customStyle="1" w:styleId="104">
    <w:name w:val="标题 7 字符"/>
    <w:semiHidden/>
    <w:qFormat/>
    <w:uiPriority w:val="9"/>
    <w:rPr>
      <w:b/>
      <w:bCs/>
      <w:kern w:val="2"/>
      <w:sz w:val="24"/>
      <w:szCs w:val="24"/>
    </w:rPr>
  </w:style>
  <w:style w:type="character" w:customStyle="1" w:styleId="105">
    <w:name w:val="批注主题 字符"/>
    <w:qFormat/>
    <w:uiPriority w:val="99"/>
    <w:rPr>
      <w:b/>
      <w:bCs/>
      <w:kern w:val="2"/>
      <w:sz w:val="21"/>
      <w:szCs w:val="24"/>
    </w:rPr>
  </w:style>
  <w:style w:type="character" w:customStyle="1" w:styleId="106">
    <w:name w:val="正文文本首行缩进 字符"/>
    <w:semiHidden/>
    <w:qFormat/>
    <w:uiPriority w:val="99"/>
  </w:style>
  <w:style w:type="character" w:customStyle="1" w:styleId="107">
    <w:name w:val="f151"/>
    <w:qFormat/>
    <w:uiPriority w:val="0"/>
    <w:rPr>
      <w:sz w:val="23"/>
      <w:szCs w:val="23"/>
    </w:rPr>
  </w:style>
  <w:style w:type="character" w:customStyle="1" w:styleId="108">
    <w:name w:val="标题 5 字符"/>
    <w:qFormat/>
    <w:uiPriority w:val="9"/>
    <w:rPr>
      <w:b/>
      <w:bCs/>
      <w:kern w:val="2"/>
      <w:sz w:val="28"/>
      <w:szCs w:val="28"/>
    </w:rPr>
  </w:style>
  <w:style w:type="character" w:customStyle="1" w:styleId="109">
    <w:name w:val="content2"/>
    <w:basedOn w:val="56"/>
    <w:qFormat/>
    <w:uiPriority w:val="0"/>
  </w:style>
  <w:style w:type="character" w:customStyle="1" w:styleId="110">
    <w:name w:val="062"/>
    <w:qFormat/>
    <w:uiPriority w:val="0"/>
    <w:rPr>
      <w:rFonts w:ascii="宋体" w:hAnsi="宋体"/>
      <w:b/>
      <w:bCs/>
      <w:sz w:val="32"/>
    </w:rPr>
  </w:style>
  <w:style w:type="character" w:customStyle="1" w:styleId="111">
    <w:name w:val="正文文本缩进 字符"/>
    <w:qFormat/>
    <w:uiPriority w:val="0"/>
    <w:rPr>
      <w:kern w:val="2"/>
      <w:sz w:val="21"/>
      <w:szCs w:val="24"/>
    </w:rPr>
  </w:style>
  <w:style w:type="character" w:customStyle="1" w:styleId="112">
    <w:name w:val="small"/>
    <w:basedOn w:val="56"/>
    <w:qFormat/>
    <w:uiPriority w:val="0"/>
  </w:style>
  <w:style w:type="character" w:customStyle="1" w:styleId="113">
    <w:name w:val="页眉 字符"/>
    <w:qFormat/>
    <w:uiPriority w:val="99"/>
    <w:rPr>
      <w:kern w:val="2"/>
      <w:sz w:val="18"/>
      <w:szCs w:val="18"/>
    </w:rPr>
  </w:style>
  <w:style w:type="character" w:customStyle="1" w:styleId="114">
    <w:name w:val="标题 字符"/>
    <w:qFormat/>
    <w:uiPriority w:val="10"/>
    <w:rPr>
      <w:rFonts w:ascii="等线 Light" w:hAnsi="等线 Light" w:eastAsia="等线 Light" w:cs="Times New Roman"/>
      <w:b/>
      <w:bCs/>
      <w:kern w:val="2"/>
      <w:sz w:val="32"/>
      <w:szCs w:val="32"/>
    </w:rPr>
  </w:style>
  <w:style w:type="character" w:customStyle="1" w:styleId="115">
    <w:name w:val="批注文字 字符"/>
    <w:qFormat/>
    <w:uiPriority w:val="0"/>
    <w:rPr>
      <w:kern w:val="2"/>
      <w:sz w:val="21"/>
      <w:szCs w:val="24"/>
    </w:rPr>
  </w:style>
  <w:style w:type="character" w:customStyle="1" w:styleId="116">
    <w:name w:val="标题 2 字符"/>
    <w:qFormat/>
    <w:uiPriority w:val="0"/>
    <w:rPr>
      <w:rFonts w:ascii="等线 Light" w:hAnsi="等线 Light" w:eastAsia="等线 Light" w:cs="Times New Roman"/>
      <w:b/>
      <w:bCs/>
      <w:kern w:val="2"/>
      <w:sz w:val="32"/>
      <w:szCs w:val="32"/>
    </w:rPr>
  </w:style>
  <w:style w:type="character" w:customStyle="1" w:styleId="117">
    <w:name w:val="文档结构图 字符"/>
    <w:qFormat/>
    <w:uiPriority w:val="0"/>
    <w:rPr>
      <w:rFonts w:ascii="Microsoft YaHei UI" w:eastAsia="Microsoft YaHei UI"/>
      <w:kern w:val="2"/>
      <w:sz w:val="18"/>
      <w:szCs w:val="18"/>
    </w:rPr>
  </w:style>
  <w:style w:type="character" w:customStyle="1" w:styleId="118">
    <w:name w:val="z-窗体顶端 字符1"/>
    <w:link w:val="119"/>
    <w:qFormat/>
    <w:uiPriority w:val="99"/>
    <w:rPr>
      <w:rFonts w:ascii="Arial"/>
      <w:vanish/>
      <w:kern w:val="2"/>
      <w:sz w:val="16"/>
      <w:szCs w:val="24"/>
    </w:rPr>
  </w:style>
  <w:style w:type="paragraph" w:customStyle="1" w:styleId="119">
    <w:name w:val="z-窗体顶端1"/>
    <w:basedOn w:val="1"/>
    <w:next w:val="1"/>
    <w:link w:val="118"/>
    <w:qFormat/>
    <w:uiPriority w:val="0"/>
    <w:pPr>
      <w:pBdr>
        <w:bottom w:val="single" w:color="auto" w:sz="6" w:space="1"/>
      </w:pBdr>
      <w:jc w:val="center"/>
    </w:pPr>
    <w:rPr>
      <w:rFonts w:ascii="Arial"/>
      <w:vanish/>
      <w:sz w:val="16"/>
    </w:rPr>
  </w:style>
  <w:style w:type="character" w:customStyle="1" w:styleId="120">
    <w:name w:val="highlight"/>
    <w:qFormat/>
    <w:uiPriority w:val="0"/>
  </w:style>
  <w:style w:type="character" w:customStyle="1" w:styleId="121">
    <w:name w:val="1051"/>
    <w:qFormat/>
    <w:uiPriority w:val="0"/>
    <w:rPr>
      <w:sz w:val="21"/>
      <w:szCs w:val="21"/>
    </w:rPr>
  </w:style>
  <w:style w:type="character" w:customStyle="1" w:styleId="122">
    <w:name w:val="批注框文本 字符"/>
    <w:qFormat/>
    <w:uiPriority w:val="0"/>
    <w:rPr>
      <w:kern w:val="2"/>
      <w:sz w:val="18"/>
      <w:szCs w:val="18"/>
    </w:rPr>
  </w:style>
  <w:style w:type="character" w:customStyle="1" w:styleId="123">
    <w:name w:val="style21"/>
    <w:qFormat/>
    <w:uiPriority w:val="0"/>
    <w:rPr>
      <w:sz w:val="17"/>
      <w:szCs w:val="17"/>
    </w:rPr>
  </w:style>
  <w:style w:type="character" w:customStyle="1" w:styleId="124">
    <w:name w:val="正文文本 3 字符"/>
    <w:qFormat/>
    <w:uiPriority w:val="99"/>
    <w:rPr>
      <w:kern w:val="2"/>
      <w:sz w:val="16"/>
      <w:szCs w:val="16"/>
    </w:rPr>
  </w:style>
  <w:style w:type="character" w:customStyle="1" w:styleId="125">
    <w:name w:val="unnamed3"/>
    <w:basedOn w:val="56"/>
    <w:qFormat/>
    <w:uiPriority w:val="0"/>
  </w:style>
  <w:style w:type="character" w:customStyle="1" w:styleId="126">
    <w:name w:val="fd"/>
    <w:qFormat/>
    <w:uiPriority w:val="0"/>
  </w:style>
  <w:style w:type="character" w:customStyle="1" w:styleId="127">
    <w:name w:val="标题 9 字符"/>
    <w:semiHidden/>
    <w:qFormat/>
    <w:uiPriority w:val="9"/>
    <w:rPr>
      <w:rFonts w:ascii="等线 Light" w:hAnsi="等线 Light" w:eastAsia="等线 Light" w:cs="Times New Roman"/>
      <w:kern w:val="2"/>
      <w:sz w:val="21"/>
      <w:szCs w:val="21"/>
    </w:rPr>
  </w:style>
  <w:style w:type="character" w:customStyle="1" w:styleId="128">
    <w:name w:val="正文文本缩进 2 字符"/>
    <w:qFormat/>
    <w:uiPriority w:val="0"/>
    <w:rPr>
      <w:kern w:val="2"/>
      <w:sz w:val="21"/>
      <w:szCs w:val="24"/>
    </w:rPr>
  </w:style>
  <w:style w:type="character" w:customStyle="1" w:styleId="129">
    <w:name w:val="z-窗体顶端 字符"/>
    <w:semiHidden/>
    <w:qFormat/>
    <w:uiPriority w:val="99"/>
    <w:rPr>
      <w:rFonts w:ascii="Arial" w:hAnsi="Arial" w:cs="Arial"/>
      <w:vanish/>
      <w:kern w:val="2"/>
      <w:sz w:val="16"/>
      <w:szCs w:val="16"/>
    </w:rPr>
  </w:style>
  <w:style w:type="character" w:customStyle="1" w:styleId="130">
    <w:name w:val="case31"/>
    <w:qFormat/>
    <w:uiPriority w:val="0"/>
    <w:rPr>
      <w:rFonts w:hint="default"/>
      <w:sz w:val="21"/>
      <w:szCs w:val="21"/>
    </w:rPr>
  </w:style>
  <w:style w:type="character" w:customStyle="1" w:styleId="131">
    <w:name w:val="标题3 Char"/>
    <w:link w:val="132"/>
    <w:qFormat/>
    <w:uiPriority w:val="0"/>
    <w:rPr>
      <w:rFonts w:ascii="宋体" w:hAnsi="宋体"/>
      <w:b/>
      <w:bCs/>
      <w:kern w:val="44"/>
      <w:sz w:val="24"/>
      <w:szCs w:val="24"/>
    </w:rPr>
  </w:style>
  <w:style w:type="paragraph" w:customStyle="1" w:styleId="132">
    <w:name w:val="标题3"/>
    <w:basedOn w:val="2"/>
    <w:link w:val="131"/>
    <w:qFormat/>
    <w:uiPriority w:val="0"/>
    <w:pPr>
      <w:spacing w:before="0" w:beforeLines="50" w:after="0" w:afterLines="50" w:line="400" w:lineRule="exact"/>
    </w:pPr>
    <w:rPr>
      <w:rFonts w:ascii="宋体" w:hAnsi="宋体"/>
      <w:sz w:val="24"/>
      <w:szCs w:val="24"/>
    </w:rPr>
  </w:style>
  <w:style w:type="character" w:customStyle="1" w:styleId="133">
    <w:name w:val="标题 3 字符"/>
    <w:qFormat/>
    <w:uiPriority w:val="0"/>
    <w:rPr>
      <w:b/>
      <w:bCs/>
      <w:kern w:val="2"/>
      <w:sz w:val="32"/>
      <w:szCs w:val="32"/>
    </w:rPr>
  </w:style>
  <w:style w:type="character" w:customStyle="1" w:styleId="134">
    <w:name w:val="正文文本 2 字符"/>
    <w:semiHidden/>
    <w:qFormat/>
    <w:uiPriority w:val="99"/>
    <w:rPr>
      <w:kern w:val="2"/>
      <w:sz w:val="21"/>
      <w:szCs w:val="24"/>
    </w:rPr>
  </w:style>
  <w:style w:type="character" w:customStyle="1" w:styleId="135">
    <w:name w:val="标题 1 字符"/>
    <w:qFormat/>
    <w:uiPriority w:val="0"/>
    <w:rPr>
      <w:b/>
      <w:bCs/>
      <w:kern w:val="44"/>
      <w:sz w:val="44"/>
      <w:szCs w:val="44"/>
    </w:rPr>
  </w:style>
  <w:style w:type="character" w:customStyle="1" w:styleId="136">
    <w:name w:val="页脚 字符"/>
    <w:qFormat/>
    <w:uiPriority w:val="99"/>
    <w:rPr>
      <w:kern w:val="2"/>
      <w:sz w:val="18"/>
      <w:szCs w:val="18"/>
    </w:rPr>
  </w:style>
  <w:style w:type="character" w:customStyle="1" w:styleId="137">
    <w:name w:val="正文文本首行缩进 2 字符"/>
    <w:semiHidden/>
    <w:qFormat/>
    <w:uiPriority w:val="99"/>
  </w:style>
  <w:style w:type="character" w:customStyle="1" w:styleId="138">
    <w:name w:val="apple-converted-space"/>
    <w:qFormat/>
    <w:uiPriority w:val="0"/>
  </w:style>
  <w:style w:type="character" w:customStyle="1" w:styleId="139">
    <w:name w:val="日期 字符"/>
    <w:qFormat/>
    <w:uiPriority w:val="0"/>
    <w:rPr>
      <w:kern w:val="2"/>
      <w:sz w:val="21"/>
      <w:szCs w:val="24"/>
    </w:rPr>
  </w:style>
  <w:style w:type="character" w:customStyle="1" w:styleId="140">
    <w:name w:val="纯文本 字符"/>
    <w:qFormat/>
    <w:uiPriority w:val="99"/>
    <w:rPr>
      <w:rFonts w:ascii="等线" w:hAnsi="Courier New" w:eastAsia="等线" w:cs="Courier New"/>
      <w:kern w:val="2"/>
      <w:sz w:val="21"/>
      <w:szCs w:val="24"/>
    </w:rPr>
  </w:style>
  <w:style w:type="character" w:customStyle="1" w:styleId="141">
    <w:name w:val="style11"/>
    <w:qFormat/>
    <w:uiPriority w:val="0"/>
    <w:rPr>
      <w:rFonts w:hint="default" w:ascii="Arial" w:hAnsi="Arial" w:cs="Arial"/>
    </w:rPr>
  </w:style>
  <w:style w:type="character" w:customStyle="1" w:styleId="142">
    <w:name w:val="标题 8 字符"/>
    <w:semiHidden/>
    <w:qFormat/>
    <w:uiPriority w:val="9"/>
    <w:rPr>
      <w:rFonts w:ascii="等线 Light" w:hAnsi="等线 Light" w:eastAsia="等线 Light" w:cs="Times New Roman"/>
      <w:kern w:val="2"/>
      <w:sz w:val="24"/>
      <w:szCs w:val="24"/>
    </w:rPr>
  </w:style>
  <w:style w:type="character" w:customStyle="1" w:styleId="143">
    <w:name w:val="正文文本缩进 3 字符"/>
    <w:semiHidden/>
    <w:qFormat/>
    <w:uiPriority w:val="99"/>
    <w:rPr>
      <w:kern w:val="2"/>
      <w:sz w:val="16"/>
      <w:szCs w:val="16"/>
    </w:rPr>
  </w:style>
  <w:style w:type="character" w:customStyle="1" w:styleId="144">
    <w:name w:val="正文文本 字符"/>
    <w:qFormat/>
    <w:uiPriority w:val="99"/>
    <w:rPr>
      <w:kern w:val="2"/>
      <w:sz w:val="21"/>
      <w:szCs w:val="24"/>
    </w:rPr>
  </w:style>
  <w:style w:type="paragraph" w:customStyle="1" w:styleId="145">
    <w:name w:val="Char Char Char Char Char Char Char"/>
    <w:basedOn w:val="1"/>
    <w:qFormat/>
    <w:uiPriority w:val="0"/>
  </w:style>
  <w:style w:type="paragraph" w:customStyle="1" w:styleId="146">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8">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50">
    <w:name w:val="Char Char Char"/>
    <w:basedOn w:val="18"/>
    <w:qFormat/>
    <w:uiPriority w:val="0"/>
    <w:pPr>
      <w:adjustRightInd/>
      <w:spacing w:line="240" w:lineRule="auto"/>
      <w:textAlignment w:val="auto"/>
    </w:pPr>
    <w:rPr>
      <w:rFonts w:ascii="Tahoma" w:hAnsi="Tahoma"/>
      <w:kern w:val="2"/>
      <w:sz w:val="24"/>
      <w:szCs w:val="24"/>
    </w:rPr>
  </w:style>
  <w:style w:type="paragraph" w:customStyle="1" w:styleId="15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52">
    <w:name w:val="_Style 109"/>
    <w:basedOn w:val="1"/>
    <w:next w:val="153"/>
    <w:qFormat/>
    <w:uiPriority w:val="34"/>
    <w:pPr>
      <w:ind w:firstLine="420" w:firstLineChars="200"/>
    </w:pPr>
    <w:rPr>
      <w:rFonts w:ascii="Calibri" w:hAnsi="Calibri"/>
      <w:szCs w:val="22"/>
    </w:rPr>
  </w:style>
  <w:style w:type="paragraph" w:styleId="153">
    <w:name w:val="List Paragraph"/>
    <w:basedOn w:val="1"/>
    <w:qFormat/>
    <w:uiPriority w:val="34"/>
    <w:pPr>
      <w:ind w:firstLine="420" w:firstLineChars="200"/>
    </w:pPr>
    <w:rPr>
      <w:rFonts w:ascii="Calibri" w:hAnsi="Calibri"/>
      <w:szCs w:val="22"/>
    </w:rPr>
  </w:style>
  <w:style w:type="paragraph" w:customStyle="1" w:styleId="15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6">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7">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8">
    <w:name w:val="Char Char Char Char Char Char Char1"/>
    <w:basedOn w:val="1"/>
    <w:qFormat/>
    <w:uiPriority w:val="0"/>
  </w:style>
  <w:style w:type="paragraph" w:customStyle="1" w:styleId="15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0">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tgt1"/>
    <w:basedOn w:val="1"/>
    <w:qFormat/>
    <w:uiPriority w:val="0"/>
    <w:pPr>
      <w:widowControl/>
      <w:spacing w:after="150"/>
      <w:jc w:val="left"/>
    </w:pPr>
    <w:rPr>
      <w:rFonts w:ascii="宋体" w:hAnsi="宋体" w:cs="宋体"/>
      <w:kern w:val="0"/>
      <w:sz w:val="24"/>
    </w:rPr>
  </w:style>
  <w:style w:type="paragraph" w:customStyle="1" w:styleId="162">
    <w:name w:val="444"/>
    <w:basedOn w:val="1"/>
    <w:qFormat/>
    <w:uiPriority w:val="0"/>
    <w:pPr>
      <w:adjustRightInd w:val="0"/>
      <w:spacing w:line="312" w:lineRule="atLeast"/>
      <w:jc w:val="center"/>
      <w:textAlignment w:val="baseline"/>
    </w:pPr>
    <w:rPr>
      <w:b/>
      <w:kern w:val="0"/>
      <w:sz w:val="36"/>
      <w:szCs w:val="36"/>
    </w:rPr>
  </w:style>
  <w:style w:type="paragraph" w:customStyle="1" w:styleId="163">
    <w:name w:val="表格"/>
    <w:basedOn w:val="1"/>
    <w:qFormat/>
    <w:uiPriority w:val="0"/>
    <w:pPr>
      <w:spacing w:line="400" w:lineRule="exact"/>
    </w:pPr>
    <w:rPr>
      <w:sz w:val="24"/>
    </w:rPr>
  </w:style>
  <w:style w:type="paragraph" w:customStyle="1" w:styleId="164">
    <w:name w:val="F2"/>
    <w:basedOn w:val="1"/>
    <w:qFormat/>
    <w:uiPriority w:val="0"/>
    <w:pPr>
      <w:autoSpaceDE w:val="0"/>
      <w:autoSpaceDN w:val="0"/>
      <w:adjustRightInd w:val="0"/>
      <w:ind w:firstLine="601"/>
      <w:textAlignment w:val="baseline"/>
    </w:pPr>
    <w:rPr>
      <w:kern w:val="0"/>
      <w:sz w:val="24"/>
      <w:szCs w:val="20"/>
    </w:rPr>
  </w:style>
  <w:style w:type="paragraph" w:customStyle="1" w:styleId="165">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6">
    <w:name w:val="Char Char Char1"/>
    <w:basedOn w:val="18"/>
    <w:qFormat/>
    <w:uiPriority w:val="0"/>
    <w:pPr>
      <w:adjustRightInd/>
      <w:spacing w:line="240" w:lineRule="auto"/>
      <w:textAlignment w:val="auto"/>
    </w:pPr>
    <w:rPr>
      <w:rFonts w:ascii="Tahoma" w:hAnsi="Tahoma"/>
      <w:kern w:val="2"/>
      <w:sz w:val="24"/>
      <w:szCs w:val="24"/>
    </w:rPr>
  </w:style>
  <w:style w:type="paragraph" w:customStyle="1" w:styleId="167">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68">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9">
    <w:name w:val="次小点说明 Char"/>
    <w:basedOn w:val="9"/>
    <w:qFormat/>
    <w:uiPriority w:val="0"/>
    <w:pPr>
      <w:ind w:firstLine="0"/>
    </w:pPr>
    <w:rPr>
      <w:sz w:val="24"/>
      <w:szCs w:val="24"/>
    </w:rPr>
  </w:style>
  <w:style w:type="paragraph" w:customStyle="1" w:styleId="17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72">
    <w:name w:val="Char Char Char Char Char Char Char Char Char Char Char Char Char"/>
    <w:basedOn w:val="18"/>
    <w:qFormat/>
    <w:uiPriority w:val="0"/>
    <w:pPr>
      <w:adjustRightInd/>
      <w:spacing w:line="240" w:lineRule="auto"/>
      <w:textAlignment w:val="auto"/>
    </w:pPr>
    <w:rPr>
      <w:rFonts w:ascii="Tahoma" w:hAnsi="Tahoma"/>
      <w:kern w:val="2"/>
      <w:sz w:val="24"/>
      <w:szCs w:val="24"/>
    </w:rPr>
  </w:style>
  <w:style w:type="paragraph" w:customStyle="1" w:styleId="17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5">
    <w:name w:val="样式1"/>
    <w:basedOn w:val="1"/>
    <w:qFormat/>
    <w:uiPriority w:val="0"/>
    <w:pPr>
      <w:spacing w:before="120" w:after="120" w:line="300" w:lineRule="auto"/>
    </w:pPr>
    <w:rPr>
      <w:rFonts w:ascii="宋体" w:hAnsi="宋体"/>
      <w:b/>
      <w:sz w:val="24"/>
      <w:szCs w:val="20"/>
    </w:rPr>
  </w:style>
  <w:style w:type="paragraph" w:customStyle="1" w:styleId="176">
    <w:name w:val="Char Char Char Char Char Char Char Char Char Char Char Char Char1"/>
    <w:basedOn w:val="18"/>
    <w:qFormat/>
    <w:uiPriority w:val="0"/>
    <w:pPr>
      <w:adjustRightInd/>
      <w:spacing w:line="240" w:lineRule="auto"/>
      <w:textAlignment w:val="auto"/>
    </w:pPr>
    <w:rPr>
      <w:rFonts w:ascii="Tahoma" w:hAnsi="Tahoma"/>
      <w:kern w:val="2"/>
      <w:sz w:val="24"/>
      <w:szCs w:val="24"/>
    </w:rPr>
  </w:style>
  <w:style w:type="paragraph" w:customStyle="1" w:styleId="177">
    <w:name w:val="默认段落字体 Para Char"/>
    <w:basedOn w:val="1"/>
    <w:qFormat/>
    <w:uiPriority w:val="0"/>
    <w:pPr>
      <w:adjustRightInd w:val="0"/>
      <w:spacing w:line="360" w:lineRule="auto"/>
    </w:pPr>
    <w:rPr>
      <w:kern w:val="0"/>
      <w:sz w:val="24"/>
      <w:szCs w:val="20"/>
    </w:rPr>
  </w:style>
  <w:style w:type="paragraph" w:customStyle="1" w:styleId="178">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1">
    <w:name w:val="Char4"/>
    <w:basedOn w:val="1"/>
    <w:qFormat/>
    <w:uiPriority w:val="0"/>
    <w:pPr>
      <w:tabs>
        <w:tab w:val="left" w:pos="360"/>
      </w:tabs>
      <w:ind w:left="252" w:hanging="252" w:hangingChars="140"/>
    </w:pPr>
    <w:rPr>
      <w:rFonts w:ascii="宋体"/>
      <w:sz w:val="18"/>
      <w:szCs w:val="18"/>
    </w:rPr>
  </w:style>
  <w:style w:type="paragraph" w:customStyle="1" w:styleId="18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8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6">
    <w:name w:val="正文首行缩进两字符"/>
    <w:basedOn w:val="1"/>
    <w:qFormat/>
    <w:uiPriority w:val="0"/>
    <w:pPr>
      <w:spacing w:line="360" w:lineRule="auto"/>
      <w:ind w:firstLine="200" w:firstLineChars="200"/>
    </w:pPr>
  </w:style>
  <w:style w:type="paragraph" w:customStyle="1" w:styleId="187">
    <w:name w:val="正文段"/>
    <w:basedOn w:val="1"/>
    <w:qFormat/>
    <w:uiPriority w:val="0"/>
    <w:pPr>
      <w:widowControl/>
      <w:snapToGrid w:val="0"/>
      <w:spacing w:after="156" w:afterLines="50"/>
      <w:ind w:firstLine="200" w:firstLineChars="200"/>
    </w:pPr>
    <w:rPr>
      <w:kern w:val="0"/>
      <w:sz w:val="24"/>
      <w:szCs w:val="20"/>
    </w:rPr>
  </w:style>
  <w:style w:type="paragraph" w:customStyle="1" w:styleId="188">
    <w:name w:val="默认段落字体 Para Char Char Char Char Char Char Char Char Char1 Char Char Char Char"/>
    <w:basedOn w:val="1"/>
    <w:qFormat/>
    <w:uiPriority w:val="0"/>
    <w:rPr>
      <w:rFonts w:ascii="Tahoma" w:hAnsi="Tahoma"/>
      <w:sz w:val="24"/>
      <w:szCs w:val="20"/>
    </w:rPr>
  </w:style>
  <w:style w:type="paragraph" w:customStyle="1" w:styleId="1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90">
    <w:name w:val="1"/>
    <w:basedOn w:val="1"/>
    <w:next w:val="29"/>
    <w:qFormat/>
    <w:uiPriority w:val="0"/>
    <w:rPr>
      <w:rFonts w:ascii="宋体" w:hAnsi="Courier New"/>
      <w:szCs w:val="20"/>
    </w:rPr>
  </w:style>
  <w:style w:type="paragraph" w:customStyle="1" w:styleId="191">
    <w:name w:val="Char1"/>
    <w:basedOn w:val="1"/>
    <w:qFormat/>
    <w:uiPriority w:val="0"/>
    <w:rPr>
      <w:szCs w:val="21"/>
    </w:rPr>
  </w:style>
  <w:style w:type="paragraph" w:customStyle="1" w:styleId="192">
    <w:name w:val="五号正文（标准）"/>
    <w:basedOn w:val="1"/>
    <w:qFormat/>
    <w:uiPriority w:val="0"/>
    <w:pPr>
      <w:spacing w:line="360" w:lineRule="auto"/>
      <w:ind w:right="55" w:firstLine="560" w:firstLineChars="200"/>
    </w:pPr>
    <w:rPr>
      <w:rFonts w:eastAsia="仿宋_GB2312"/>
      <w:sz w:val="28"/>
      <w:szCs w:val="20"/>
    </w:rPr>
  </w:style>
  <w:style w:type="paragraph" w:customStyle="1" w:styleId="19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4">
    <w:name w:val="Char Char Char2"/>
    <w:basedOn w:val="1"/>
    <w:qFormat/>
    <w:uiPriority w:val="0"/>
    <w:rPr>
      <w:rFonts w:ascii="Tahoma" w:hAnsi="Tahoma"/>
      <w:sz w:val="24"/>
      <w:szCs w:val="20"/>
    </w:rPr>
  </w:style>
  <w:style w:type="paragraph" w:customStyle="1" w:styleId="19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6">
    <w:name w:val="List Paragraph1"/>
    <w:basedOn w:val="1"/>
    <w:qFormat/>
    <w:uiPriority w:val="0"/>
    <w:pPr>
      <w:ind w:firstLine="420" w:firstLineChars="200"/>
    </w:pPr>
    <w:rPr>
      <w:rFonts w:ascii="Calibri" w:hAnsi="Calibri"/>
      <w:szCs w:val="22"/>
    </w:rPr>
  </w:style>
  <w:style w:type="paragraph" w:customStyle="1" w:styleId="197">
    <w:name w:val="样式 首行缩进:  2 字符"/>
    <w:basedOn w:val="1"/>
    <w:qFormat/>
    <w:uiPriority w:val="0"/>
    <w:pPr>
      <w:spacing w:line="400" w:lineRule="exact"/>
      <w:ind w:firstLine="200" w:firstLineChars="200"/>
    </w:pPr>
    <w:rPr>
      <w:rFonts w:cs="宋体"/>
      <w:sz w:val="24"/>
    </w:rPr>
  </w:style>
  <w:style w:type="paragraph" w:customStyle="1" w:styleId="19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1">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02">
    <w:name w:val="未处理的提及1"/>
    <w:unhideWhenUsed/>
    <w:qFormat/>
    <w:uiPriority w:val="99"/>
    <w:rPr>
      <w:color w:val="605E5C"/>
      <w:shd w:val="clear" w:color="auto" w:fill="E1DFDD"/>
    </w:rPr>
  </w:style>
  <w:style w:type="character" w:customStyle="1" w:styleId="203">
    <w:name w:val="批注文字 Char"/>
    <w:qFormat/>
    <w:uiPriority w:val="0"/>
    <w:rPr>
      <w:kern w:val="2"/>
      <w:sz w:val="21"/>
      <w:szCs w:val="24"/>
    </w:rPr>
  </w:style>
  <w:style w:type="character" w:styleId="204">
    <w:name w:val="Placeholder Text"/>
    <w:basedOn w:val="56"/>
    <w:unhideWhenUsed/>
    <w:qFormat/>
    <w:uiPriority w:val="99"/>
    <w:rPr>
      <w:color w:val="808080"/>
    </w:rPr>
  </w:style>
  <w:style w:type="paragraph" w:customStyle="1" w:styleId="205">
    <w:name w:val="_Style 200"/>
    <w:basedOn w:val="1"/>
    <w:next w:val="153"/>
    <w:qFormat/>
    <w:uiPriority w:val="34"/>
    <w:pPr>
      <w:ind w:firstLine="420" w:firstLineChars="200"/>
    </w:pPr>
  </w:style>
  <w:style w:type="character" w:customStyle="1" w:styleId="206">
    <w:name w:val="bookmark-item"/>
    <w:basedOn w:val="56"/>
    <w:qFormat/>
    <w:uiPriority w:val="0"/>
  </w:style>
  <w:style w:type="paragraph" w:customStyle="1" w:styleId="207">
    <w:name w:val="_Style 3"/>
    <w:basedOn w:val="1"/>
    <w:qFormat/>
    <w:uiPriority w:val="0"/>
    <w:pPr>
      <w:spacing w:line="360" w:lineRule="auto"/>
      <w:ind w:firstLine="420" w:firstLineChars="200"/>
    </w:pPr>
    <w:rPr>
      <w:rFonts w:ascii="Calibri" w:hAnsi="Calibri" w:eastAsia="新宋体"/>
      <w:sz w:val="20"/>
    </w:rPr>
  </w:style>
  <w:style w:type="paragraph" w:customStyle="1" w:styleId="208">
    <w:name w:val="L正文"/>
    <w:basedOn w:val="1"/>
    <w:qFormat/>
    <w:uiPriority w:val="0"/>
    <w:pPr>
      <w:spacing w:line="360" w:lineRule="auto"/>
      <w:ind w:firstLine="482"/>
    </w:pPr>
    <w:rPr>
      <w:rFonts w:cs="宋体" w:asciiTheme="minorHAnsi" w:hAnsiTheme="minorHAnsi"/>
      <w:b/>
      <w:bCs/>
      <w:sz w:val="24"/>
      <w:szCs w:val="20"/>
    </w:rPr>
  </w:style>
  <w:style w:type="character" w:customStyle="1" w:styleId="209">
    <w:name w:val="标题 1 Char1"/>
    <w:qFormat/>
    <w:uiPriority w:val="0"/>
    <w:rPr>
      <w:b/>
      <w:bCs/>
      <w:kern w:val="44"/>
      <w:sz w:val="44"/>
      <w:szCs w:val="44"/>
    </w:rPr>
  </w:style>
  <w:style w:type="character" w:customStyle="1" w:styleId="210">
    <w:name w:val="标题 2 Char1"/>
    <w:qFormat/>
    <w:uiPriority w:val="0"/>
    <w:rPr>
      <w:rFonts w:ascii="Arial" w:hAnsi="Arial" w:eastAsia="黑体"/>
      <w:b/>
      <w:bCs/>
      <w:kern w:val="2"/>
      <w:sz w:val="32"/>
      <w:szCs w:val="32"/>
    </w:rPr>
  </w:style>
  <w:style w:type="character" w:customStyle="1" w:styleId="211">
    <w:name w:val="标题 3 Char1"/>
    <w:qFormat/>
    <w:uiPriority w:val="0"/>
    <w:rPr>
      <w:b/>
      <w:bCs/>
      <w:kern w:val="2"/>
      <w:sz w:val="32"/>
      <w:szCs w:val="32"/>
    </w:rPr>
  </w:style>
  <w:style w:type="character" w:customStyle="1" w:styleId="212">
    <w:name w:val="标题 4 Char1"/>
    <w:qFormat/>
    <w:uiPriority w:val="0"/>
    <w:rPr>
      <w:rFonts w:ascii="Arial" w:eastAsia="黑体"/>
      <w:sz w:val="28"/>
    </w:rPr>
  </w:style>
  <w:style w:type="character" w:customStyle="1" w:styleId="213">
    <w:name w:val="标题 5 Char1"/>
    <w:qFormat/>
    <w:uiPriority w:val="9"/>
    <w:rPr>
      <w:b/>
      <w:bCs/>
      <w:kern w:val="2"/>
      <w:sz w:val="28"/>
      <w:szCs w:val="28"/>
    </w:rPr>
  </w:style>
  <w:style w:type="character" w:customStyle="1" w:styleId="214">
    <w:name w:val="标题 6 Char1"/>
    <w:qFormat/>
    <w:uiPriority w:val="9"/>
    <w:rPr>
      <w:rFonts w:ascii="Times New Roman" w:hAnsi="Times New Roman" w:eastAsia="宋体" w:cs="Times New Roman"/>
      <w:b/>
      <w:bCs/>
      <w:sz w:val="22"/>
      <w:szCs w:val="22"/>
    </w:rPr>
  </w:style>
  <w:style w:type="character" w:customStyle="1" w:styleId="215">
    <w:name w:val="标题 7 Char1"/>
    <w:qFormat/>
    <w:uiPriority w:val="9"/>
    <w:rPr>
      <w:rFonts w:ascii="Times New Roman" w:hAnsi="Times New Roman" w:eastAsia="宋体" w:cs="Times New Roman"/>
    </w:rPr>
  </w:style>
  <w:style w:type="character" w:customStyle="1" w:styleId="216">
    <w:name w:val="标题 8 Char1"/>
    <w:qFormat/>
    <w:uiPriority w:val="9"/>
    <w:rPr>
      <w:rFonts w:ascii="Times New Roman" w:hAnsi="Times New Roman" w:eastAsia="宋体" w:cs="Times New Roman"/>
      <w:i/>
      <w:iCs/>
    </w:rPr>
  </w:style>
  <w:style w:type="character" w:customStyle="1" w:styleId="217">
    <w:name w:val="标题 9 Char1"/>
    <w:qFormat/>
    <w:uiPriority w:val="9"/>
    <w:rPr>
      <w:rFonts w:ascii="等线 Light" w:hAnsi="等线 Light" w:eastAsia="等线 Light" w:cs="Times New Roman"/>
      <w:sz w:val="22"/>
      <w:szCs w:val="22"/>
    </w:rPr>
  </w:style>
  <w:style w:type="character" w:customStyle="1" w:styleId="218">
    <w:name w:val="文档结构图 Char1"/>
    <w:qFormat/>
    <w:uiPriority w:val="0"/>
    <w:rPr>
      <w:rFonts w:ascii="宋体"/>
      <w:kern w:val="2"/>
      <w:sz w:val="18"/>
      <w:szCs w:val="18"/>
    </w:rPr>
  </w:style>
  <w:style w:type="character" w:customStyle="1" w:styleId="219">
    <w:name w:val="批注文字 Char3"/>
    <w:qFormat/>
    <w:uiPriority w:val="0"/>
    <w:rPr>
      <w:kern w:val="2"/>
      <w:sz w:val="21"/>
      <w:szCs w:val="24"/>
    </w:rPr>
  </w:style>
  <w:style w:type="character" w:customStyle="1" w:styleId="220">
    <w:name w:val="正文文本 3 Char1"/>
    <w:qFormat/>
    <w:uiPriority w:val="99"/>
    <w:rPr>
      <w:kern w:val="2"/>
      <w:sz w:val="16"/>
      <w:szCs w:val="16"/>
    </w:rPr>
  </w:style>
  <w:style w:type="character" w:customStyle="1" w:styleId="221">
    <w:name w:val="正文文本 Char1"/>
    <w:qFormat/>
    <w:uiPriority w:val="99"/>
    <w:rPr>
      <w:kern w:val="2"/>
      <w:sz w:val="21"/>
      <w:szCs w:val="24"/>
    </w:rPr>
  </w:style>
  <w:style w:type="character" w:customStyle="1" w:styleId="222">
    <w:name w:val="正文文本缩进 Char1"/>
    <w:qFormat/>
    <w:uiPriority w:val="0"/>
    <w:rPr>
      <w:rFonts w:ascii="宋体" w:hAnsi="Courier New" w:eastAsia="宋体"/>
      <w:spacing w:val="-4"/>
      <w:kern w:val="2"/>
      <w:sz w:val="18"/>
      <w:lang w:val="en-US" w:eastAsia="zh-CN" w:bidi="ar-SA"/>
    </w:rPr>
  </w:style>
  <w:style w:type="character" w:customStyle="1" w:styleId="223">
    <w:name w:val="纯文本 Char2"/>
    <w:qFormat/>
    <w:uiPriority w:val="0"/>
    <w:rPr>
      <w:rFonts w:ascii="宋体" w:hAnsi="Courier New" w:eastAsia="宋体"/>
      <w:kern w:val="2"/>
      <w:sz w:val="21"/>
      <w:lang w:val="en-US" w:eastAsia="zh-CN" w:bidi="ar-SA"/>
    </w:rPr>
  </w:style>
  <w:style w:type="character" w:customStyle="1" w:styleId="224">
    <w:name w:val="日期 Char1"/>
    <w:qFormat/>
    <w:uiPriority w:val="0"/>
    <w:rPr>
      <w:kern w:val="2"/>
      <w:sz w:val="21"/>
      <w:szCs w:val="24"/>
    </w:rPr>
  </w:style>
  <w:style w:type="character" w:customStyle="1" w:styleId="225">
    <w:name w:val="正文文本缩进 2 Char1"/>
    <w:qFormat/>
    <w:uiPriority w:val="0"/>
    <w:rPr>
      <w:kern w:val="2"/>
      <w:sz w:val="21"/>
      <w:szCs w:val="24"/>
    </w:rPr>
  </w:style>
  <w:style w:type="character" w:customStyle="1" w:styleId="226">
    <w:name w:val="批注框文本 Char1"/>
    <w:qFormat/>
    <w:uiPriority w:val="0"/>
    <w:rPr>
      <w:kern w:val="2"/>
      <w:sz w:val="18"/>
      <w:szCs w:val="18"/>
    </w:rPr>
  </w:style>
  <w:style w:type="character" w:customStyle="1" w:styleId="227">
    <w:name w:val="页脚 Char2"/>
    <w:qFormat/>
    <w:uiPriority w:val="99"/>
    <w:rPr>
      <w:kern w:val="2"/>
      <w:sz w:val="18"/>
      <w:szCs w:val="18"/>
    </w:rPr>
  </w:style>
  <w:style w:type="character" w:customStyle="1" w:styleId="228">
    <w:name w:val="页眉 Char1"/>
    <w:qFormat/>
    <w:uiPriority w:val="99"/>
    <w:rPr>
      <w:kern w:val="2"/>
      <w:sz w:val="18"/>
      <w:szCs w:val="18"/>
    </w:rPr>
  </w:style>
  <w:style w:type="character" w:customStyle="1" w:styleId="229">
    <w:name w:val="副标题 字符"/>
    <w:basedOn w:val="56"/>
    <w:link w:val="38"/>
    <w:qFormat/>
    <w:uiPriority w:val="11"/>
    <w:rPr>
      <w:rFonts w:ascii="等线 Light" w:hAnsi="等线 Light" w:eastAsia="等线 Light"/>
      <w:sz w:val="24"/>
      <w:szCs w:val="24"/>
    </w:rPr>
  </w:style>
  <w:style w:type="character" w:customStyle="1" w:styleId="230">
    <w:name w:val="正文文本缩进 3 Char1"/>
    <w:qFormat/>
    <w:uiPriority w:val="0"/>
    <w:rPr>
      <w:rFonts w:ascii="Times New Roman" w:hAnsi="Times New Roman" w:eastAsia="宋体" w:cs="Times New Roman"/>
      <w:sz w:val="16"/>
      <w:szCs w:val="16"/>
    </w:rPr>
  </w:style>
  <w:style w:type="character" w:customStyle="1" w:styleId="231">
    <w:name w:val="正文文本 2 Char1"/>
    <w:qFormat/>
    <w:uiPriority w:val="0"/>
    <w:rPr>
      <w:rFonts w:ascii="Times New Roman" w:hAnsi="Times New Roman" w:eastAsia="宋体" w:cs="Times New Roman"/>
    </w:rPr>
  </w:style>
  <w:style w:type="character" w:customStyle="1" w:styleId="232">
    <w:name w:val="HTML 预设格式 Char1"/>
    <w:qFormat/>
    <w:uiPriority w:val="0"/>
    <w:rPr>
      <w:rFonts w:ascii="黑体" w:hAnsi="Courier New" w:eastAsia="黑体" w:cs="Courier New"/>
    </w:rPr>
  </w:style>
  <w:style w:type="character" w:customStyle="1" w:styleId="233">
    <w:name w:val="标题 Char1"/>
    <w:qFormat/>
    <w:uiPriority w:val="10"/>
    <w:rPr>
      <w:rFonts w:ascii="等线 Light" w:hAnsi="等线 Light" w:eastAsia="等线 Light" w:cs="Times New Roman"/>
      <w:b/>
      <w:bCs/>
      <w:kern w:val="28"/>
      <w:sz w:val="32"/>
      <w:szCs w:val="32"/>
    </w:rPr>
  </w:style>
  <w:style w:type="character" w:customStyle="1" w:styleId="234">
    <w:name w:val="批注主题 Char1"/>
    <w:qFormat/>
    <w:uiPriority w:val="99"/>
    <w:rPr>
      <w:b/>
      <w:bCs/>
      <w:kern w:val="2"/>
      <w:sz w:val="21"/>
      <w:szCs w:val="24"/>
    </w:rPr>
  </w:style>
  <w:style w:type="character" w:customStyle="1" w:styleId="235">
    <w:name w:val="文档结构图 字符2"/>
    <w:qFormat/>
    <w:uiPriority w:val="0"/>
    <w:rPr>
      <w:rFonts w:ascii="Times New Roman" w:hAnsi="Times New Roman" w:eastAsia="宋体" w:cs="Times New Roman"/>
      <w:kern w:val="0"/>
      <w:sz w:val="24"/>
      <w:szCs w:val="24"/>
      <w:shd w:val="clear" w:color="auto" w:fill="000080"/>
    </w:rPr>
  </w:style>
  <w:style w:type="character" w:customStyle="1" w:styleId="236">
    <w:name w:val="正文文本 3 字符2"/>
    <w:qFormat/>
    <w:uiPriority w:val="0"/>
    <w:rPr>
      <w:rFonts w:ascii="Times New Roman" w:hAnsi="Times New Roman" w:eastAsia="宋体" w:cs="Times New Roman"/>
      <w:b/>
      <w:bCs/>
      <w:kern w:val="0"/>
      <w:sz w:val="24"/>
      <w:szCs w:val="24"/>
    </w:rPr>
  </w:style>
  <w:style w:type="character" w:customStyle="1" w:styleId="237">
    <w:name w:val="正文文本 字符2"/>
    <w:qFormat/>
    <w:uiPriority w:val="99"/>
    <w:rPr>
      <w:rFonts w:ascii="Times New Roman" w:hAnsi="Times New Roman" w:eastAsia="宋体" w:cs="Times New Roman"/>
      <w:kern w:val="0"/>
      <w:sz w:val="24"/>
      <w:szCs w:val="24"/>
    </w:rPr>
  </w:style>
  <w:style w:type="character" w:customStyle="1" w:styleId="238">
    <w:name w:val="正文文本缩进 字符2"/>
    <w:qFormat/>
    <w:uiPriority w:val="99"/>
    <w:rPr>
      <w:rFonts w:ascii="仿宋_GB2312" w:hAnsi="Times New Roman" w:eastAsia="仿宋_GB2312" w:cs="Times New Roman"/>
      <w:kern w:val="0"/>
      <w:sz w:val="32"/>
      <w:szCs w:val="24"/>
    </w:rPr>
  </w:style>
  <w:style w:type="character" w:customStyle="1" w:styleId="239">
    <w:name w:val="纯文本 字符2"/>
    <w:qFormat/>
    <w:uiPriority w:val="0"/>
    <w:rPr>
      <w:rFonts w:ascii="宋体" w:hAnsi="Courier New" w:eastAsia="宋体" w:cs="Courier New"/>
      <w:szCs w:val="21"/>
    </w:rPr>
  </w:style>
  <w:style w:type="character" w:customStyle="1" w:styleId="240">
    <w:name w:val="正文文本缩进 2 字符2"/>
    <w:qFormat/>
    <w:uiPriority w:val="0"/>
    <w:rPr>
      <w:rFonts w:ascii="Times New Roman" w:hAnsi="Times New Roman" w:eastAsia="宋体" w:cs="Times New Roman"/>
      <w:kern w:val="0"/>
      <w:sz w:val="32"/>
      <w:szCs w:val="24"/>
    </w:rPr>
  </w:style>
  <w:style w:type="character" w:customStyle="1" w:styleId="241">
    <w:name w:val="正文文本_"/>
    <w:link w:val="242"/>
    <w:qFormat/>
    <w:uiPriority w:val="0"/>
    <w:rPr>
      <w:rFonts w:ascii="MingLiU" w:hAnsi="MingLiU" w:eastAsia="MingLiU" w:cs="MingLiU"/>
      <w:spacing w:val="9"/>
      <w:sz w:val="19"/>
      <w:szCs w:val="19"/>
      <w:shd w:val="clear" w:color="auto" w:fill="FFFFFF"/>
    </w:rPr>
  </w:style>
  <w:style w:type="paragraph" w:customStyle="1" w:styleId="242">
    <w:name w:val="正文文本1"/>
    <w:basedOn w:val="1"/>
    <w:link w:val="241"/>
    <w:qFormat/>
    <w:uiPriority w:val="0"/>
    <w:pPr>
      <w:shd w:val="clear" w:color="auto" w:fill="FFFFFF"/>
      <w:spacing w:line="302" w:lineRule="exact"/>
      <w:ind w:firstLine="460"/>
      <w:jc w:val="left"/>
    </w:pPr>
    <w:rPr>
      <w:rFonts w:ascii="MingLiU" w:hAnsi="MingLiU" w:eastAsia="MingLiU" w:cs="MingLiU"/>
      <w:spacing w:val="9"/>
      <w:kern w:val="0"/>
      <w:sz w:val="19"/>
      <w:szCs w:val="19"/>
    </w:rPr>
  </w:style>
  <w:style w:type="character" w:customStyle="1" w:styleId="243">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244">
    <w:name w:val="Char Char1"/>
    <w:qFormat/>
    <w:uiPriority w:val="0"/>
    <w:rPr>
      <w:rFonts w:ascii="宋体" w:hAnsi="Courier New" w:eastAsia="宋体"/>
      <w:kern w:val="2"/>
      <w:sz w:val="21"/>
      <w:lang w:val="en-US" w:eastAsia="zh-CN" w:bidi="ar-SA"/>
    </w:rPr>
  </w:style>
  <w:style w:type="character" w:customStyle="1" w:styleId="24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246">
    <w:name w:val="批注文字 字符1"/>
    <w:qFormat/>
    <w:uiPriority w:val="0"/>
    <w:rPr>
      <w:rFonts w:ascii="Times New Roman" w:hAnsi="Times New Roman"/>
      <w:kern w:val="2"/>
      <w:sz w:val="21"/>
      <w:szCs w:val="24"/>
    </w:rPr>
  </w:style>
  <w:style w:type="paragraph" w:customStyle="1" w:styleId="247">
    <w:name w:val="Char51"/>
    <w:basedOn w:val="1"/>
    <w:qFormat/>
    <w:uiPriority w:val="0"/>
    <w:rPr>
      <w:szCs w:val="21"/>
    </w:rPr>
  </w:style>
  <w:style w:type="paragraph" w:customStyle="1" w:styleId="248">
    <w:name w:val="Char Char Char Char Char Char Char21"/>
    <w:basedOn w:val="1"/>
    <w:qFormat/>
    <w:uiPriority w:val="0"/>
  </w:style>
  <w:style w:type="paragraph" w:customStyle="1" w:styleId="249">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0">
    <w:name w:val="Char Char Char Char Char Char Char Char Char Char Char Char"/>
    <w:basedOn w:val="1"/>
    <w:qFormat/>
    <w:uiPriority w:val="0"/>
    <w:pPr>
      <w:widowControl/>
      <w:spacing w:after="160" w:line="240" w:lineRule="exact"/>
      <w:jc w:val="left"/>
    </w:pPr>
  </w:style>
  <w:style w:type="paragraph" w:customStyle="1" w:styleId="251">
    <w:name w:val="Char Char Char Char Char Char Char Char Char Char Char Char1"/>
    <w:basedOn w:val="1"/>
    <w:qFormat/>
    <w:uiPriority w:val="0"/>
    <w:pPr>
      <w:widowControl/>
      <w:spacing w:after="160" w:line="240" w:lineRule="exact"/>
      <w:jc w:val="left"/>
    </w:pPr>
  </w:style>
  <w:style w:type="paragraph" w:customStyle="1" w:styleId="252">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253">
    <w:name w:val="Table Paragraph"/>
    <w:basedOn w:val="1"/>
    <w:qFormat/>
    <w:uiPriority w:val="1"/>
    <w:pPr>
      <w:jc w:val="left"/>
    </w:pPr>
    <w:rPr>
      <w:rFonts w:ascii="Calibri" w:hAnsi="Calibri"/>
      <w:kern w:val="0"/>
      <w:sz w:val="22"/>
      <w:szCs w:val="22"/>
      <w:lang w:eastAsia="en-US"/>
    </w:rPr>
  </w:style>
  <w:style w:type="paragraph" w:customStyle="1" w:styleId="254">
    <w:name w:val="p0"/>
    <w:basedOn w:val="1"/>
    <w:qFormat/>
    <w:uiPriority w:val="0"/>
    <w:pPr>
      <w:widowControl/>
    </w:pPr>
    <w:rPr>
      <w:kern w:val="0"/>
      <w:szCs w:val="21"/>
    </w:rPr>
  </w:style>
  <w:style w:type="paragraph" w:customStyle="1" w:styleId="255">
    <w:name w:val="TOC 标题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6">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257">
    <w:name w:val="Char Char Char1 Char Char Char Char Char Char Char"/>
    <w:basedOn w:val="1"/>
    <w:qFormat/>
    <w:uiPriority w:val="0"/>
  </w:style>
  <w:style w:type="paragraph" w:customStyle="1" w:styleId="258">
    <w:name w:val="Char Char Char Char21"/>
    <w:basedOn w:val="1"/>
    <w:qFormat/>
    <w:uiPriority w:val="0"/>
    <w:pPr>
      <w:widowControl/>
      <w:spacing w:after="160" w:line="240" w:lineRule="exact"/>
      <w:jc w:val="left"/>
    </w:pPr>
  </w:style>
  <w:style w:type="paragraph" w:customStyle="1" w:styleId="259">
    <w:name w:val="列出段落1"/>
    <w:basedOn w:val="1"/>
    <w:qFormat/>
    <w:uiPriority w:val="34"/>
    <w:pPr>
      <w:spacing w:before="100" w:beforeAutospacing="1" w:after="100" w:afterAutospacing="1" w:line="360" w:lineRule="auto"/>
      <w:ind w:firstLine="420" w:firstLineChars="200"/>
    </w:pPr>
  </w:style>
  <w:style w:type="character" w:customStyle="1" w:styleId="260">
    <w:name w:val="正文2 Char Char"/>
    <w:link w:val="261"/>
    <w:qFormat/>
    <w:uiPriority w:val="0"/>
    <w:rPr>
      <w:kern w:val="2"/>
      <w:sz w:val="24"/>
    </w:rPr>
  </w:style>
  <w:style w:type="paragraph" w:customStyle="1" w:styleId="261">
    <w:name w:val="正文2"/>
    <w:basedOn w:val="1"/>
    <w:link w:val="260"/>
    <w:qFormat/>
    <w:uiPriority w:val="0"/>
    <w:pPr>
      <w:adjustRightInd w:val="0"/>
      <w:spacing w:before="156" w:line="360" w:lineRule="auto"/>
      <w:ind w:firstLine="510" w:firstLineChars="200"/>
    </w:pPr>
    <w:rPr>
      <w:sz w:val="24"/>
      <w:szCs w:val="20"/>
    </w:rPr>
  </w:style>
  <w:style w:type="paragraph" w:customStyle="1" w:styleId="262">
    <w:name w:val="表格文字"/>
    <w:basedOn w:val="1"/>
    <w:next w:val="21"/>
    <w:qFormat/>
    <w:uiPriority w:val="0"/>
    <w:pPr>
      <w:adjustRightInd w:val="0"/>
      <w:spacing w:line="420" w:lineRule="atLeast"/>
      <w:jc w:val="left"/>
      <w:textAlignment w:val="baseline"/>
    </w:pPr>
    <w:rPr>
      <w:kern w:val="0"/>
    </w:rPr>
  </w:style>
  <w:style w:type="character" w:customStyle="1" w:styleId="263">
    <w:name w:val="纯文本 Char_0"/>
    <w:link w:val="264"/>
    <w:qFormat/>
    <w:uiPriority w:val="0"/>
    <w:rPr>
      <w:rFonts w:ascii="宋体" w:hAnsi="Courier New"/>
      <w:kern w:val="2"/>
      <w:sz w:val="21"/>
      <w:szCs w:val="21"/>
      <w:lang w:val="en-US" w:eastAsia="zh-CN"/>
    </w:rPr>
  </w:style>
  <w:style w:type="paragraph" w:customStyle="1" w:styleId="264">
    <w:name w:val="纯文本_0_0"/>
    <w:basedOn w:val="1"/>
    <w:link w:val="263"/>
    <w:qFormat/>
    <w:uiPriority w:val="0"/>
    <w:rPr>
      <w:rFonts w:ascii="宋体" w:hAnsi="Courier New"/>
      <w:szCs w:val="21"/>
    </w:rPr>
  </w:style>
  <w:style w:type="paragraph" w:customStyle="1" w:styleId="26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66">
    <w:name w:val="正文缩进1"/>
    <w:basedOn w:val="1"/>
    <w:next w:val="23"/>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267">
    <w:name w:val="页脚 字符1"/>
    <w:qFormat/>
    <w:uiPriority w:val="99"/>
    <w:rPr>
      <w:kern w:val="2"/>
      <w:sz w:val="18"/>
      <w:szCs w:val="18"/>
    </w:rPr>
  </w:style>
  <w:style w:type="character" w:customStyle="1" w:styleId="268">
    <w:name w:val="页眉 字符1"/>
    <w:qFormat/>
    <w:uiPriority w:val="99"/>
    <w:rPr>
      <w:kern w:val="2"/>
      <w:sz w:val="18"/>
      <w:szCs w:val="18"/>
    </w:rPr>
  </w:style>
  <w:style w:type="paragraph" w:customStyle="1" w:styleId="269">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71">
    <w:name w:val="纯文本 字符1"/>
    <w:qFormat/>
    <w:locked/>
    <w:uiPriority w:val="0"/>
    <w:rPr>
      <w:rFonts w:ascii="宋体" w:hAnsi="Courier New"/>
      <w:kern w:val="2"/>
      <w:sz w:val="21"/>
    </w:rPr>
  </w:style>
  <w:style w:type="character" w:customStyle="1" w:styleId="272">
    <w:name w:val="标题 1 字符1"/>
    <w:qFormat/>
    <w:locked/>
    <w:uiPriority w:val="0"/>
    <w:rPr>
      <w:b/>
      <w:bCs/>
      <w:kern w:val="44"/>
      <w:sz w:val="44"/>
      <w:szCs w:val="44"/>
    </w:rPr>
  </w:style>
  <w:style w:type="character" w:customStyle="1" w:styleId="273">
    <w:name w:val="页脚 Char1"/>
    <w:qFormat/>
    <w:uiPriority w:val="0"/>
    <w:rPr>
      <w:rFonts w:ascii="Times New Roman" w:hAnsi="Times New Roman" w:eastAsia="宋体" w:cs="Times New Roman"/>
      <w:kern w:val="2"/>
      <w:sz w:val="18"/>
      <w:szCs w:val="18"/>
    </w:rPr>
  </w:style>
  <w:style w:type="character" w:customStyle="1" w:styleId="274">
    <w:name w:val="z-窗体顶端 字符2"/>
    <w:qFormat/>
    <w:uiPriority w:val="0"/>
    <w:rPr>
      <w:rFonts w:ascii="Arial" w:hAnsi="Times New Roman" w:eastAsia="宋体" w:cs="Times New Roman"/>
      <w:vanish/>
      <w:kern w:val="2"/>
      <w:sz w:val="16"/>
    </w:rPr>
  </w:style>
  <w:style w:type="character" w:customStyle="1" w:styleId="275">
    <w:name w:val="标题 字符1"/>
    <w:qFormat/>
    <w:uiPriority w:val="10"/>
    <w:rPr>
      <w:rFonts w:ascii="等线 Light" w:hAnsi="等线 Light" w:eastAsia="等线 Light" w:cs="Times New Roman"/>
      <w:b/>
      <w:bCs/>
      <w:sz w:val="32"/>
      <w:szCs w:val="32"/>
    </w:rPr>
  </w:style>
  <w:style w:type="character" w:customStyle="1" w:styleId="276">
    <w:name w:val="标题 7 字符1"/>
    <w:qFormat/>
    <w:uiPriority w:val="0"/>
    <w:rPr>
      <w:rFonts w:ascii="Times New Roman" w:hAnsi="Times New Roman" w:eastAsia="宋体" w:cs="Times New Roman"/>
      <w:b/>
      <w:sz w:val="24"/>
      <w:szCs w:val="24"/>
      <w:lang w:val="zh-CN" w:eastAsia="zh-CN"/>
    </w:rPr>
  </w:style>
  <w:style w:type="character" w:customStyle="1" w:styleId="277">
    <w:name w:val="标题 9 字符1"/>
    <w:qFormat/>
    <w:uiPriority w:val="0"/>
    <w:rPr>
      <w:rFonts w:ascii="Arial" w:hAnsi="Arial" w:eastAsia="黑体" w:cs="Times New Roman"/>
      <w:szCs w:val="24"/>
      <w:lang w:val="zh-CN" w:eastAsia="zh-CN"/>
    </w:rPr>
  </w:style>
  <w:style w:type="character" w:customStyle="1" w:styleId="278">
    <w:name w:val="标题 8 字符1"/>
    <w:qFormat/>
    <w:uiPriority w:val="0"/>
    <w:rPr>
      <w:rFonts w:ascii="Arial" w:hAnsi="Arial" w:eastAsia="黑体" w:cs="Times New Roman"/>
      <w:sz w:val="24"/>
      <w:szCs w:val="24"/>
      <w:lang w:val="zh-CN" w:eastAsia="zh-CN"/>
    </w:rPr>
  </w:style>
  <w:style w:type="character" w:customStyle="1" w:styleId="279">
    <w:name w:val="标题 6 字符1"/>
    <w:qFormat/>
    <w:uiPriority w:val="0"/>
    <w:rPr>
      <w:rFonts w:ascii="Arial" w:hAnsi="Arial" w:eastAsia="黑体" w:cs="Times New Roman"/>
      <w:b/>
      <w:sz w:val="24"/>
      <w:szCs w:val="24"/>
      <w:lang w:val="zh-CN" w:eastAsia="zh-CN"/>
    </w:rPr>
  </w:style>
  <w:style w:type="character" w:customStyle="1" w:styleId="280">
    <w:name w:val="标题 字符2"/>
    <w:qFormat/>
    <w:uiPriority w:val="0"/>
    <w:rPr>
      <w:rFonts w:ascii="Times New Roman" w:hAnsi="Times New Roman" w:eastAsia="宋体" w:cs="Times New Roman"/>
      <w:sz w:val="30"/>
      <w:szCs w:val="24"/>
    </w:rPr>
  </w:style>
  <w:style w:type="character" w:customStyle="1" w:styleId="281">
    <w:name w:val="ZK标题4 Char"/>
    <w:link w:val="282"/>
    <w:qFormat/>
    <w:uiPriority w:val="0"/>
    <w:rPr>
      <w:rFonts w:eastAsia="黑体"/>
    </w:rPr>
  </w:style>
  <w:style w:type="paragraph" w:customStyle="1" w:styleId="282">
    <w:name w:val="ZK标题4"/>
    <w:basedOn w:val="1"/>
    <w:next w:val="1"/>
    <w:link w:val="281"/>
    <w:qFormat/>
    <w:uiPriority w:val="0"/>
    <w:pPr>
      <w:widowControl/>
      <w:spacing w:line="360" w:lineRule="auto"/>
      <w:ind w:firstLine="200" w:firstLineChars="200"/>
      <w:jc w:val="left"/>
      <w:outlineLvl w:val="2"/>
    </w:pPr>
    <w:rPr>
      <w:rFonts w:eastAsia="黑体"/>
      <w:kern w:val="0"/>
      <w:sz w:val="20"/>
      <w:szCs w:val="20"/>
    </w:rPr>
  </w:style>
  <w:style w:type="character" w:customStyle="1" w:styleId="283">
    <w:name w:val="z-窗体顶端 字符4"/>
    <w:link w:val="284"/>
    <w:qFormat/>
    <w:uiPriority w:val="0"/>
    <w:rPr>
      <w:rFonts w:ascii="Arial"/>
      <w:vanish/>
      <w:kern w:val="2"/>
      <w:sz w:val="16"/>
    </w:rPr>
  </w:style>
  <w:style w:type="paragraph" w:customStyle="1" w:styleId="284">
    <w:name w:val="z-窗体顶端2"/>
    <w:basedOn w:val="1"/>
    <w:next w:val="1"/>
    <w:link w:val="283"/>
    <w:qFormat/>
    <w:uiPriority w:val="0"/>
    <w:pPr>
      <w:widowControl/>
      <w:pBdr>
        <w:bottom w:val="single" w:color="auto" w:sz="6" w:space="1"/>
      </w:pBdr>
      <w:jc w:val="center"/>
    </w:pPr>
    <w:rPr>
      <w:rFonts w:ascii="Arial"/>
      <w:vanish/>
      <w:sz w:val="16"/>
      <w:szCs w:val="20"/>
    </w:rPr>
  </w:style>
  <w:style w:type="paragraph" w:customStyle="1" w:styleId="285">
    <w:name w:val="_Style 225"/>
    <w:basedOn w:val="1"/>
    <w:next w:val="153"/>
    <w:qFormat/>
    <w:uiPriority w:val="0"/>
    <w:pPr>
      <w:widowControl/>
      <w:ind w:firstLine="420" w:firstLineChars="200"/>
      <w:jc w:val="left"/>
    </w:pPr>
  </w:style>
  <w:style w:type="character" w:customStyle="1" w:styleId="286">
    <w:name w:val="未处理的提及2"/>
    <w:unhideWhenUsed/>
    <w:qFormat/>
    <w:uiPriority w:val="99"/>
    <w:rPr>
      <w:rFonts w:ascii="Times New Roman" w:hAnsi="Times New Roman" w:eastAsia="宋体" w:cs="Times New Roman"/>
      <w:color w:val="605E5C"/>
      <w:shd w:val="clear" w:color="auto" w:fill="E1DFDD"/>
    </w:rPr>
  </w:style>
  <w:style w:type="character" w:customStyle="1" w:styleId="287">
    <w:name w:val="abstract_item-style-span"/>
    <w:qFormat/>
    <w:uiPriority w:val="0"/>
    <w:rPr>
      <w:rFonts w:ascii="Times New Roman" w:hAnsi="Times New Roman" w:eastAsia="宋体" w:cs="Times New Roman"/>
    </w:rPr>
  </w:style>
  <w:style w:type="character" w:customStyle="1" w:styleId="288">
    <w:name w:val="10"/>
    <w:qFormat/>
    <w:uiPriority w:val="0"/>
    <w:rPr>
      <w:rFonts w:hint="default" w:ascii="Times New Roman" w:hAnsi="Times New Roman" w:eastAsia="宋体" w:cs="Times New Roman"/>
    </w:rPr>
  </w:style>
  <w:style w:type="character" w:customStyle="1" w:styleId="289">
    <w:name w:val="15"/>
    <w:qFormat/>
    <w:uiPriority w:val="0"/>
    <w:rPr>
      <w:rFonts w:hint="default" w:ascii="Times New Roman" w:hAnsi="Times New Roman" w:eastAsia="宋体" w:cs="Times New Roman"/>
    </w:rPr>
  </w:style>
  <w:style w:type="character" w:customStyle="1" w:styleId="290">
    <w:name w:val="未处理的提及3"/>
    <w:unhideWhenUsed/>
    <w:qFormat/>
    <w:uiPriority w:val="99"/>
    <w:rPr>
      <w:rFonts w:ascii="Times New Roman" w:hAnsi="Times New Roman" w:eastAsia="宋体" w:cs="Times New Roman"/>
      <w:color w:val="605E5C"/>
      <w:shd w:val="clear" w:color="auto" w:fill="E1DFDD"/>
    </w:rPr>
  </w:style>
  <w:style w:type="character" w:customStyle="1" w:styleId="291">
    <w:name w:val="引用 字符"/>
    <w:link w:val="292"/>
    <w:qFormat/>
    <w:uiPriority w:val="29"/>
    <w:rPr>
      <w:i/>
    </w:rPr>
  </w:style>
  <w:style w:type="paragraph" w:styleId="292">
    <w:name w:val="Quote"/>
    <w:basedOn w:val="1"/>
    <w:next w:val="1"/>
    <w:link w:val="291"/>
    <w:qFormat/>
    <w:uiPriority w:val="29"/>
    <w:pPr>
      <w:widowControl/>
      <w:jc w:val="left"/>
    </w:pPr>
    <w:rPr>
      <w:i/>
      <w:kern w:val="0"/>
      <w:sz w:val="20"/>
      <w:szCs w:val="20"/>
    </w:rPr>
  </w:style>
  <w:style w:type="character" w:customStyle="1" w:styleId="293">
    <w:name w:val="引用 Char1"/>
    <w:basedOn w:val="56"/>
    <w:qFormat/>
    <w:uiPriority w:val="99"/>
    <w:rPr>
      <w:i/>
      <w:iCs/>
      <w:color w:val="000000" w:themeColor="text1"/>
      <w:kern w:val="2"/>
      <w:sz w:val="21"/>
      <w:szCs w:val="24"/>
      <w14:textFill>
        <w14:solidFill>
          <w14:schemeClr w14:val="tx1"/>
        </w14:solidFill>
      </w14:textFill>
    </w:rPr>
  </w:style>
  <w:style w:type="character" w:customStyle="1" w:styleId="294">
    <w:name w:val="明显引用 字符"/>
    <w:link w:val="295"/>
    <w:qFormat/>
    <w:uiPriority w:val="30"/>
    <w:rPr>
      <w:b/>
      <w:i/>
      <w:szCs w:val="22"/>
    </w:rPr>
  </w:style>
  <w:style w:type="paragraph" w:styleId="295">
    <w:name w:val="Intense Quote"/>
    <w:basedOn w:val="1"/>
    <w:next w:val="1"/>
    <w:link w:val="294"/>
    <w:qFormat/>
    <w:uiPriority w:val="30"/>
    <w:pPr>
      <w:widowControl/>
      <w:ind w:left="720" w:right="720"/>
      <w:jc w:val="left"/>
    </w:pPr>
    <w:rPr>
      <w:b/>
      <w:i/>
      <w:kern w:val="0"/>
      <w:sz w:val="20"/>
      <w:szCs w:val="22"/>
    </w:rPr>
  </w:style>
  <w:style w:type="character" w:customStyle="1" w:styleId="296">
    <w:name w:val="明显引用 Char1"/>
    <w:basedOn w:val="56"/>
    <w:qFormat/>
    <w:uiPriority w:val="99"/>
    <w:rPr>
      <w:b/>
      <w:bCs/>
      <w:i/>
      <w:iCs/>
      <w:color w:val="4472C4" w:themeColor="accent1"/>
      <w:kern w:val="2"/>
      <w:sz w:val="21"/>
      <w:szCs w:val="24"/>
      <w14:textFill>
        <w14:solidFill>
          <w14:schemeClr w14:val="accent1"/>
        </w14:solidFill>
      </w14:textFill>
    </w:rPr>
  </w:style>
  <w:style w:type="character" w:customStyle="1" w:styleId="297">
    <w:name w:val="不明显强调1"/>
    <w:qFormat/>
    <w:uiPriority w:val="19"/>
    <w:rPr>
      <w:rFonts w:ascii="Times New Roman" w:hAnsi="Times New Roman" w:eastAsia="宋体" w:cs="Times New Roman"/>
      <w:i/>
      <w:color w:val="5A5A5A"/>
    </w:rPr>
  </w:style>
  <w:style w:type="character" w:customStyle="1" w:styleId="298">
    <w:name w:val="明显强调1"/>
    <w:qFormat/>
    <w:uiPriority w:val="21"/>
    <w:rPr>
      <w:rFonts w:ascii="Times New Roman" w:hAnsi="Times New Roman" w:eastAsia="宋体" w:cs="Times New Roman"/>
      <w:b/>
      <w:i/>
      <w:sz w:val="24"/>
      <w:szCs w:val="24"/>
      <w:u w:val="single"/>
    </w:rPr>
  </w:style>
  <w:style w:type="character" w:customStyle="1" w:styleId="299">
    <w:name w:val="不明显参考1"/>
    <w:qFormat/>
    <w:uiPriority w:val="31"/>
    <w:rPr>
      <w:rFonts w:ascii="Times New Roman" w:hAnsi="Times New Roman" w:eastAsia="宋体" w:cs="Times New Roman"/>
      <w:sz w:val="24"/>
      <w:szCs w:val="24"/>
      <w:u w:val="single"/>
    </w:rPr>
  </w:style>
  <w:style w:type="character" w:customStyle="1" w:styleId="300">
    <w:name w:val="明显参考1"/>
    <w:qFormat/>
    <w:uiPriority w:val="32"/>
    <w:rPr>
      <w:rFonts w:ascii="Times New Roman" w:hAnsi="Times New Roman" w:eastAsia="宋体" w:cs="Times New Roman"/>
      <w:b/>
      <w:sz w:val="24"/>
      <w:u w:val="single"/>
    </w:rPr>
  </w:style>
  <w:style w:type="character" w:customStyle="1" w:styleId="301">
    <w:name w:val="书籍标题1"/>
    <w:qFormat/>
    <w:uiPriority w:val="33"/>
    <w:rPr>
      <w:rFonts w:ascii="等线 Light" w:hAnsi="等线 Light" w:eastAsia="等线 Light" w:cs="Times New Roman"/>
      <w:b/>
      <w:i/>
      <w:sz w:val="24"/>
      <w:szCs w:val="24"/>
    </w:rPr>
  </w:style>
  <w:style w:type="character" w:customStyle="1" w:styleId="302">
    <w:name w:val="未处理的提及4"/>
    <w:unhideWhenUsed/>
    <w:qFormat/>
    <w:uiPriority w:val="99"/>
    <w:rPr>
      <w:rFonts w:ascii="Times New Roman" w:hAnsi="Times New Roman" w:eastAsia="宋体" w:cs="Times New Roman"/>
      <w:color w:val="605E5C"/>
      <w:shd w:val="clear" w:color="auto" w:fill="E1DFDD"/>
    </w:rPr>
  </w:style>
  <w:style w:type="paragraph" w:styleId="303">
    <w:name w:val="No Spacing"/>
    <w:basedOn w:val="1"/>
    <w:qFormat/>
    <w:uiPriority w:val="1"/>
    <w:pPr>
      <w:widowControl/>
      <w:jc w:val="left"/>
    </w:pPr>
    <w:rPr>
      <w:kern w:val="0"/>
      <w:sz w:val="24"/>
      <w:szCs w:val="32"/>
    </w:rPr>
  </w:style>
  <w:style w:type="paragraph" w:customStyle="1" w:styleId="304">
    <w:name w:val="目录 11"/>
    <w:basedOn w:val="1"/>
    <w:next w:val="1"/>
    <w:qFormat/>
    <w:uiPriority w:val="0"/>
    <w:pPr>
      <w:spacing w:before="120" w:after="120"/>
      <w:jc w:val="left"/>
    </w:pPr>
    <w:rPr>
      <w:rFonts w:ascii="Calibri" w:hAnsi="Calibri"/>
      <w:b/>
      <w:bCs/>
      <w:caps/>
      <w:sz w:val="20"/>
      <w:szCs w:val="20"/>
    </w:rPr>
  </w:style>
  <w:style w:type="paragraph" w:customStyle="1" w:styleId="305">
    <w:name w:val="3"/>
    <w:basedOn w:val="1"/>
    <w:next w:val="153"/>
    <w:qFormat/>
    <w:uiPriority w:val="34"/>
    <w:pPr>
      <w:widowControl/>
      <w:ind w:firstLine="420" w:firstLineChars="200"/>
      <w:jc w:val="left"/>
    </w:pPr>
    <w:rPr>
      <w:rFonts w:ascii="Calibri" w:hAnsi="Calibri"/>
      <w:kern w:val="0"/>
      <w:sz w:val="24"/>
    </w:rPr>
  </w:style>
  <w:style w:type="paragraph" w:customStyle="1" w:styleId="306">
    <w:name w:val="Char22"/>
    <w:basedOn w:val="1"/>
    <w:qFormat/>
    <w:uiPriority w:val="0"/>
    <w:pPr>
      <w:widowControl/>
      <w:spacing w:after="160" w:line="240" w:lineRule="exact"/>
      <w:jc w:val="left"/>
    </w:pPr>
    <w:rPr>
      <w:rFonts w:ascii="Verdana" w:hAnsi="Verdana"/>
      <w:kern w:val="0"/>
      <w:sz w:val="24"/>
      <w:szCs w:val="20"/>
      <w:lang w:eastAsia="en-US"/>
    </w:rPr>
  </w:style>
  <w:style w:type="paragraph" w:customStyle="1" w:styleId="307">
    <w:name w:val="Char5"/>
    <w:basedOn w:val="1"/>
    <w:qFormat/>
    <w:uiPriority w:val="0"/>
    <w:pPr>
      <w:widowControl/>
      <w:tabs>
        <w:tab w:val="left" w:pos="360"/>
      </w:tabs>
      <w:ind w:left="252" w:hanging="252" w:hangingChars="140"/>
      <w:jc w:val="left"/>
    </w:pPr>
    <w:rPr>
      <w:rFonts w:ascii="宋体"/>
      <w:kern w:val="0"/>
      <w:sz w:val="18"/>
      <w:szCs w:val="18"/>
    </w:rPr>
  </w:style>
  <w:style w:type="paragraph" w:customStyle="1" w:styleId="30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修订21"/>
    <w:unhideWhenUsed/>
    <w:qFormat/>
    <w:uiPriority w:val="99"/>
    <w:rPr>
      <w:rFonts w:ascii="Times New Roman" w:hAnsi="Times New Roman" w:eastAsia="宋体" w:cs="Times New Roman"/>
      <w:kern w:val="2"/>
      <w:sz w:val="21"/>
      <w:szCs w:val="24"/>
      <w:lang w:val="en-US" w:eastAsia="zh-CN" w:bidi="ar-SA"/>
    </w:rPr>
  </w:style>
  <w:style w:type="paragraph" w:customStyle="1" w:styleId="310">
    <w:name w:val="TOC 标题21"/>
    <w:basedOn w:val="2"/>
    <w:next w:val="1"/>
    <w:qFormat/>
    <w:uiPriority w:val="39"/>
    <w:pPr>
      <w:keepLines w:val="0"/>
      <w:widowControl/>
      <w:spacing w:before="480" w:after="0" w:line="276" w:lineRule="auto"/>
      <w:jc w:val="left"/>
      <w:outlineLvl w:val="9"/>
    </w:pPr>
    <w:rPr>
      <w:rFonts w:ascii="Cambria" w:hAnsi="Cambria"/>
      <w:color w:val="365F91"/>
      <w:kern w:val="0"/>
      <w:sz w:val="28"/>
      <w:szCs w:val="28"/>
    </w:rPr>
  </w:style>
  <w:style w:type="paragraph" w:customStyle="1" w:styleId="311">
    <w:name w:val="Char Char Char Char Char Char Char Char Char Char Char Char Char Char Char Char2"/>
    <w:basedOn w:val="1"/>
    <w:qFormat/>
    <w:uiPriority w:val="0"/>
    <w:pPr>
      <w:widowControl/>
      <w:tabs>
        <w:tab w:val="left" w:pos="360"/>
      </w:tabs>
      <w:spacing w:line="360" w:lineRule="auto"/>
      <w:ind w:left="482" w:firstLine="200" w:firstLineChars="200"/>
      <w:jc w:val="left"/>
    </w:pPr>
    <w:rPr>
      <w:rFonts w:ascii="宋体"/>
      <w:kern w:val="0"/>
      <w:sz w:val="24"/>
    </w:rPr>
  </w:style>
  <w:style w:type="paragraph" w:customStyle="1" w:styleId="312">
    <w:name w:val="Char Char Char Char Char Char Char2"/>
    <w:basedOn w:val="1"/>
    <w:qFormat/>
    <w:uiPriority w:val="0"/>
    <w:pPr>
      <w:widowControl/>
      <w:jc w:val="left"/>
    </w:pPr>
    <w:rPr>
      <w:kern w:val="0"/>
      <w:sz w:val="24"/>
    </w:rPr>
  </w:style>
  <w:style w:type="paragraph" w:customStyle="1" w:styleId="313">
    <w:name w:val="Char Char Char3"/>
    <w:basedOn w:val="18"/>
    <w:qFormat/>
    <w:uiPriority w:val="0"/>
    <w:pPr>
      <w:widowControl/>
      <w:adjustRightInd/>
      <w:spacing w:line="240" w:lineRule="auto"/>
      <w:jc w:val="left"/>
      <w:textAlignment w:val="auto"/>
    </w:pPr>
    <w:rPr>
      <w:rFonts w:ascii="Tahoma" w:hAnsi="Tahoma"/>
      <w:sz w:val="24"/>
      <w:szCs w:val="24"/>
    </w:rPr>
  </w:style>
  <w:style w:type="paragraph" w:customStyle="1" w:styleId="314">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5">
    <w:name w:val="Char Char Char Char Char Char Char Char Char Char Char Char Char2"/>
    <w:basedOn w:val="18"/>
    <w:qFormat/>
    <w:uiPriority w:val="0"/>
    <w:pPr>
      <w:widowControl/>
      <w:adjustRightInd/>
      <w:spacing w:line="240" w:lineRule="auto"/>
      <w:jc w:val="left"/>
      <w:textAlignment w:val="auto"/>
    </w:pPr>
    <w:rPr>
      <w:rFonts w:ascii="Tahoma" w:hAnsi="Tahoma"/>
      <w:sz w:val="24"/>
      <w:szCs w:val="24"/>
    </w:rPr>
  </w:style>
  <w:style w:type="paragraph" w:customStyle="1" w:styleId="316">
    <w:name w:val="Char Char Char Char Char Char1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17">
    <w:name w:val="正文-2字符首行缩进"/>
    <w:basedOn w:val="1"/>
    <w:qFormat/>
    <w:uiPriority w:val="0"/>
    <w:pPr>
      <w:widowControl/>
      <w:spacing w:line="360" w:lineRule="auto"/>
      <w:ind w:firstLine="200" w:firstLineChars="200"/>
      <w:jc w:val="left"/>
    </w:pPr>
    <w:rPr>
      <w:rFonts w:ascii="仿宋_GB2312" w:hAnsi="Calibri" w:eastAsia="仿宋_GB2312"/>
      <w:kern w:val="0"/>
      <w:sz w:val="28"/>
    </w:rPr>
  </w:style>
  <w:style w:type="paragraph" w:customStyle="1" w:styleId="318">
    <w:name w:val="正文1"/>
    <w:qFormat/>
    <w:uiPriority w:val="0"/>
    <w:pPr>
      <w:jc w:val="both"/>
    </w:pPr>
    <w:rPr>
      <w:rFonts w:ascii="Times New Roman" w:hAnsi="Times New Roman" w:eastAsia="宋体" w:cs="宋体"/>
      <w:kern w:val="2"/>
      <w:sz w:val="21"/>
      <w:szCs w:val="21"/>
      <w:lang w:val="en-US" w:eastAsia="zh-CN" w:bidi="ar-SA"/>
    </w:rPr>
  </w:style>
  <w:style w:type="character" w:customStyle="1" w:styleId="319">
    <w:name w:val="font21"/>
    <w:qFormat/>
    <w:uiPriority w:val="0"/>
    <w:rPr>
      <w:rFonts w:hint="eastAsia" w:ascii="宋体" w:hAnsi="宋体" w:eastAsia="宋体" w:cs="宋体"/>
      <w:color w:val="000000"/>
      <w:sz w:val="21"/>
      <w:szCs w:val="21"/>
      <w:u w:val="none"/>
    </w:rPr>
  </w:style>
  <w:style w:type="paragraph" w:customStyle="1" w:styleId="320">
    <w:name w:val="WPSOffice手动目录 1"/>
    <w:qFormat/>
    <w:uiPriority w:val="0"/>
    <w:rPr>
      <w:rFonts w:ascii="Times New Roman" w:hAnsi="Times New Roman" w:eastAsia="宋体" w:cs="Times New Roman"/>
      <w:lang w:val="en-US" w:eastAsia="zh-CN" w:bidi="ar-SA"/>
    </w:rPr>
  </w:style>
  <w:style w:type="paragraph" w:customStyle="1" w:styleId="32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22">
    <w:name w:val="文字缩进 Char"/>
    <w:basedOn w:val="56"/>
    <w:qFormat/>
    <w:uiPriority w:val="0"/>
    <w:rPr>
      <w:rFonts w:hint="eastAsia" w:ascii="宋体" w:hAnsi="Courier New" w:eastAsia="宋体" w:cs="Courier New"/>
      <w:kern w:val="2"/>
      <w:sz w:val="21"/>
      <w:szCs w:val="21"/>
      <w:lang w:val="en-US" w:eastAsia="zh-CN" w:bidi="ar"/>
    </w:rPr>
  </w:style>
  <w:style w:type="character" w:customStyle="1" w:styleId="323">
    <w:name w:val="msoplaceholdertext"/>
    <w:basedOn w:val="56"/>
    <w:qFormat/>
    <w:uiPriority w:val="0"/>
    <w:rPr>
      <w:color w:val="808080"/>
    </w:rPr>
  </w:style>
  <w:style w:type="character" w:customStyle="1" w:styleId="324">
    <w:name w:val="批注文字 Char2"/>
    <w:basedOn w:val="56"/>
    <w:qFormat/>
    <w:uiPriority w:val="0"/>
    <w:rPr>
      <w:kern w:val="2"/>
      <w:sz w:val="21"/>
      <w:szCs w:val="24"/>
      <w:lang w:bidi="ar"/>
    </w:rPr>
  </w:style>
  <w:style w:type="character" w:customStyle="1" w:styleId="325">
    <w:name w:val="正文-2字符首行缩进 Char"/>
    <w:basedOn w:val="56"/>
    <w:qFormat/>
    <w:uiPriority w:val="0"/>
    <w:rPr>
      <w:rFonts w:hint="eastAsia" w:ascii="仿宋_GB2312" w:hAnsi="Calibri" w:eastAsia="仿宋_GB2312" w:cs="仿宋_GB2312"/>
      <w:sz w:val="28"/>
      <w:szCs w:val="22"/>
    </w:rPr>
  </w:style>
  <w:style w:type="character" w:customStyle="1" w:styleId="326">
    <w:name w:val="正文首行缩进 Char1"/>
    <w:semiHidden/>
    <w:qFormat/>
    <w:uiPriority w:val="0"/>
    <w:rPr>
      <w:rFonts w:ascii="Times New Roman" w:hAnsi="Times New Roman" w:eastAsia="宋体" w:cs="Times New Roman"/>
      <w:sz w:val="21"/>
    </w:rPr>
  </w:style>
  <w:style w:type="character" w:customStyle="1" w:styleId="327">
    <w:name w:val="正文首行缩进 2 Char1"/>
    <w:semiHidden/>
    <w:qFormat/>
    <w:uiPriority w:val="0"/>
    <w:rPr>
      <w:rFonts w:ascii="等线" w:hAnsi="Times New Roman" w:eastAsia="等线" w:cs="Times New Roman"/>
      <w:sz w:val="21"/>
    </w:rPr>
  </w:style>
  <w:style w:type="character" w:customStyle="1" w:styleId="328">
    <w:name w:val="标题 4 字符1"/>
    <w:semiHidden/>
    <w:qFormat/>
    <w:locked/>
    <w:uiPriority w:val="0"/>
    <w:rPr>
      <w:rFonts w:ascii="Arial" w:eastAsia="黑体"/>
      <w:sz w:val="28"/>
    </w:rPr>
  </w:style>
  <w:style w:type="character" w:customStyle="1" w:styleId="329">
    <w:name w:val="标题 2 字符1"/>
    <w:semiHidden/>
    <w:qFormat/>
    <w:locked/>
    <w:uiPriority w:val="0"/>
    <w:rPr>
      <w:rFonts w:ascii="Arial" w:hAnsi="Arial" w:eastAsia="黑体"/>
      <w:b/>
      <w:bCs/>
      <w:kern w:val="2"/>
      <w:sz w:val="32"/>
      <w:szCs w:val="32"/>
    </w:rPr>
  </w:style>
  <w:style w:type="character" w:customStyle="1" w:styleId="330">
    <w:name w:val="标题 3 字符1"/>
    <w:semiHidden/>
    <w:qFormat/>
    <w:locked/>
    <w:uiPriority w:val="0"/>
    <w:rPr>
      <w:b/>
      <w:bCs/>
      <w:kern w:val="2"/>
      <w:sz w:val="32"/>
      <w:szCs w:val="32"/>
    </w:rPr>
  </w:style>
  <w:style w:type="character" w:customStyle="1" w:styleId="331">
    <w:name w:val="标题 5 字符1"/>
    <w:semiHidden/>
    <w:qFormat/>
    <w:locked/>
    <w:uiPriority w:val="9"/>
    <w:rPr>
      <w:b/>
      <w:bCs/>
      <w:kern w:val="2"/>
      <w:sz w:val="28"/>
      <w:szCs w:val="28"/>
    </w:rPr>
  </w:style>
  <w:style w:type="character" w:customStyle="1" w:styleId="332">
    <w:name w:val="正文文本缩进 3 字符1"/>
    <w:semiHidden/>
    <w:qFormat/>
    <w:uiPriority w:val="99"/>
    <w:rPr>
      <w:rFonts w:ascii="Times New Roman" w:hAnsi="Times New Roman" w:eastAsia="宋体" w:cs="Times New Roman"/>
      <w:sz w:val="16"/>
      <w:szCs w:val="16"/>
    </w:rPr>
  </w:style>
  <w:style w:type="character" w:customStyle="1" w:styleId="333">
    <w:name w:val="HTML 预设格式 字符1"/>
    <w:semiHidden/>
    <w:qFormat/>
    <w:uiPriority w:val="99"/>
    <w:rPr>
      <w:rFonts w:ascii="Courier New" w:hAnsi="Courier New" w:eastAsia="宋体" w:cs="Courier New"/>
      <w:sz w:val="20"/>
      <w:szCs w:val="20"/>
    </w:rPr>
  </w:style>
  <w:style w:type="character" w:customStyle="1" w:styleId="334">
    <w:name w:val="正文文本 2 字符1"/>
    <w:semiHidden/>
    <w:qFormat/>
    <w:uiPriority w:val="99"/>
    <w:rPr>
      <w:rFonts w:ascii="Times New Roman" w:hAnsi="Times New Roman" w:eastAsia="宋体" w:cs="Times New Roman"/>
    </w:rPr>
  </w:style>
  <w:style w:type="character" w:customStyle="1" w:styleId="335">
    <w:name w:val="正文文本首行缩进 字符1"/>
    <w:semiHidden/>
    <w:qFormat/>
    <w:uiPriority w:val="99"/>
    <w:rPr>
      <w:rFonts w:ascii="Times New Roman" w:hAnsi="Times New Roman" w:eastAsia="宋体" w:cs="Times New Roman"/>
    </w:rPr>
  </w:style>
  <w:style w:type="character" w:customStyle="1" w:styleId="336">
    <w:name w:val="正文文本首行缩进 2 字符1"/>
    <w:semiHidden/>
    <w:qFormat/>
    <w:uiPriority w:val="99"/>
    <w:rPr>
      <w:rFonts w:ascii="Times New Roman" w:hAnsi="Times New Roman" w:eastAsia="宋体" w:cs="Times New Roman"/>
    </w:rPr>
  </w:style>
  <w:style w:type="character" w:customStyle="1" w:styleId="337">
    <w:name w:val="z-窗体顶端 字符3"/>
    <w:semiHidden/>
    <w:qFormat/>
    <w:uiPriority w:val="99"/>
    <w:rPr>
      <w:rFonts w:ascii="Arial" w:hAnsi="Arial" w:eastAsia="宋体" w:cs="Arial"/>
      <w:vanish/>
      <w:kern w:val="2"/>
      <w:sz w:val="16"/>
      <w:szCs w:val="16"/>
    </w:rPr>
  </w:style>
  <w:style w:type="table" w:customStyle="1" w:styleId="338">
    <w:name w:val="网格型1"/>
    <w:basedOn w:val="54"/>
    <w:qFormat/>
    <w:uiPriority w:val="0"/>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2"/>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40">
    <w:name w:val="*正文"/>
    <w:basedOn w:val="1"/>
    <w:qFormat/>
    <w:uiPriority w:val="0"/>
    <w:pPr>
      <w:widowControl/>
      <w:ind w:firstLine="200" w:firstLineChars="200"/>
    </w:pPr>
    <w:rPr>
      <w:rFonts w:ascii="仿宋_GB2312" w:hAnsi="仿宋_GB2312"/>
    </w:rPr>
  </w:style>
  <w:style w:type="paragraph" w:customStyle="1" w:styleId="341">
    <w:name w:val="列表段落1"/>
    <w:basedOn w:val="1"/>
    <w:qFormat/>
    <w:uiPriority w:val="34"/>
    <w:pPr>
      <w:ind w:firstLine="420" w:firstLineChars="200"/>
    </w:pPr>
    <w:rPr>
      <w:rFonts w:ascii="Calibri" w:hAnsi="Calibri" w:cs="黑体"/>
      <w:szCs w:val="22"/>
    </w:rPr>
  </w:style>
  <w:style w:type="character" w:customStyle="1" w:styleId="342">
    <w:name w:val="cf01"/>
    <w:basedOn w:val="56"/>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DCEB67-2911-44D2-9C0C-48E713AC672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99</Pages>
  <Words>31881</Words>
  <Characters>33476</Characters>
  <Lines>1859</Lines>
  <Paragraphs>1867</Paragraphs>
  <TotalTime>42</TotalTime>
  <ScaleCrop>false</ScaleCrop>
  <LinksUpToDate>false</LinksUpToDate>
  <CharactersWithSpaces>63490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2020-08-07T04:11:00Z</dcterms:created>
  <dc:creator>微软用户</dc:creator>
  <cp:lastModifiedBy>gczb</cp:lastModifiedBy>
  <cp:lastPrinted>2016-03-22T07:52:00Z</cp:lastPrinted>
  <dcterms:modified xsi:type="dcterms:W3CDTF">2025-10-11T02:11:41Z</dcterms:modified>
  <dc:title>桂财采〔2009〕 号</dc:title>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728C6E25C52A42F4A52439A61B9805A8_13</vt:lpwstr>
  </property>
  <property fmtid="{D5CDD505-2E9C-101B-9397-08002B2CF9AE}" pid="14" name="KSOTemplateDocerSaveRecord">
    <vt:lpwstr>eyJoZGlkIjoiYmUwNmViNzY4YTNlMWY3YzM3MDNkMThkMWFmZGNhYWUiLCJ1c2VySWQiOiIxMDU0NTQyMDMwIn0=</vt:lpwstr>
  </property>
</Properties>
</file>