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pPr>
        <w:spacing w:beforeLines="50" w:line="360" w:lineRule="auto"/>
        <w:jc w:val="center"/>
        <w:rPr>
          <w:rFonts w:ascii="宋体"/>
          <w:color w:val="auto"/>
          <w:sz w:val="36"/>
          <w:szCs w:val="36"/>
          <w:highlight w:val="none"/>
        </w:rPr>
      </w:pPr>
    </w:p>
    <w:p>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pPr>
        <w:spacing w:before="156" w:beforeLines="50" w:line="360" w:lineRule="auto"/>
        <w:jc w:val="center"/>
        <w:rPr>
          <w:rFonts w:hint="eastAsia" w:ascii="宋体" w:hAnsi="宋体" w:eastAsia="宋体" w:cs="宋体"/>
          <w:color w:val="auto"/>
          <w:sz w:val="36"/>
          <w:szCs w:val="36"/>
          <w:highlight w:val="none"/>
        </w:rPr>
      </w:pPr>
    </w:p>
    <w:p>
      <w:pPr>
        <w:spacing w:line="360" w:lineRule="auto"/>
        <w:jc w:val="both"/>
        <w:rPr>
          <w:rFonts w:hint="eastAsia" w:ascii="宋体" w:hAnsi="宋体" w:eastAsia="宋体" w:cs="宋体"/>
          <w:b/>
          <w:color w:val="auto"/>
          <w:sz w:val="32"/>
          <w:szCs w:val="32"/>
          <w:highlight w:val="none"/>
        </w:rPr>
      </w:pPr>
    </w:p>
    <w:p>
      <w:pPr>
        <w:pStyle w:val="23"/>
        <w:rPr>
          <w:rFonts w:hint="eastAsia"/>
          <w:color w:val="auto"/>
          <w:highlight w:val="none"/>
        </w:rPr>
      </w:pPr>
    </w:p>
    <w:p>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w:t>
      </w:r>
      <w:bookmarkStart w:id="232" w:name="_GoBack"/>
      <w:bookmarkStart w:id="0" w:name="OLE_LINK3"/>
      <w:r>
        <w:rPr>
          <w:rFonts w:hint="eastAsia" w:ascii="仿宋" w:hAnsi="仿宋" w:eastAsia="仿宋" w:cs="仿宋"/>
          <w:b/>
          <w:color w:val="auto"/>
          <w:sz w:val="32"/>
          <w:szCs w:val="32"/>
          <w:highlight w:val="none"/>
          <w:lang w:eastAsia="zh-CN"/>
        </w:rPr>
        <w:t>宾阳县2025年大中型水库移民后期扶持资金及中央水库移民扶持基金（提前批）项目基础设施项目</w:t>
      </w:r>
      <w:bookmarkEnd w:id="0"/>
      <w:bookmarkEnd w:id="232"/>
    </w:p>
    <w:p>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NNZC2025-C2-260140-XMZX</w:t>
      </w:r>
    </w:p>
    <w:p>
      <w:pPr>
        <w:spacing w:line="360" w:lineRule="auto"/>
        <w:ind w:firstLine="1285" w:firstLineChars="400"/>
        <w:rPr>
          <w:rFonts w:hint="eastAsia" w:ascii="仿宋" w:hAnsi="仿宋" w:eastAsia="仿宋" w:cs="仿宋"/>
          <w:b/>
          <w:color w:val="auto"/>
          <w:sz w:val="32"/>
          <w:szCs w:val="32"/>
          <w:highlight w:val="none"/>
          <w:u w:val="single"/>
          <w:lang w:val="en-US" w:eastAsia="zh-CN"/>
        </w:rPr>
      </w:pPr>
      <w:r>
        <w:rPr>
          <w:rFonts w:hint="eastAsia" w:ascii="仿宋" w:hAnsi="仿宋" w:eastAsia="仿宋" w:cs="仿宋"/>
          <w:b/>
          <w:color w:val="auto"/>
          <w:sz w:val="32"/>
          <w:szCs w:val="32"/>
          <w:highlight w:val="none"/>
        </w:rPr>
        <w:t>项目所属区划：</w:t>
      </w:r>
      <w:r>
        <w:rPr>
          <w:rFonts w:hint="eastAsia" w:ascii="仿宋" w:hAnsi="仿宋" w:eastAsia="仿宋" w:cs="仿宋"/>
          <w:b/>
          <w:color w:val="auto"/>
          <w:sz w:val="32"/>
          <w:szCs w:val="32"/>
          <w:highlight w:val="none"/>
          <w:u w:val="single"/>
          <w:lang w:val="en-US" w:eastAsia="zh-CN"/>
        </w:rPr>
        <w:t>宾阳县</w:t>
      </w:r>
    </w:p>
    <w:p>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采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 xml:space="preserve">购 </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人：</w:t>
      </w:r>
      <w:r>
        <w:rPr>
          <w:rFonts w:hint="eastAsia" w:ascii="仿宋" w:hAnsi="仿宋" w:eastAsia="仿宋" w:cs="仿宋"/>
          <w:b/>
          <w:color w:val="auto"/>
          <w:sz w:val="32"/>
          <w:szCs w:val="32"/>
          <w:highlight w:val="none"/>
          <w:lang w:eastAsia="zh-CN"/>
        </w:rPr>
        <w:t>宾阳县水库移民安置服务中心</w:t>
      </w:r>
    </w:p>
    <w:p>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广西星木工程咨询有限公司</w:t>
      </w:r>
    </w:p>
    <w:p>
      <w:pPr>
        <w:outlineLvl w:val="9"/>
        <w:rPr>
          <w:rFonts w:hint="eastAsia"/>
          <w:color w:val="auto"/>
          <w:highlight w:val="none"/>
          <w:lang w:val="en-US" w:eastAsia="zh-CN"/>
        </w:rPr>
      </w:pPr>
    </w:p>
    <w:p>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10</w:t>
      </w:r>
      <w:r>
        <w:rPr>
          <w:rFonts w:hint="eastAsia" w:ascii="仿宋" w:hAnsi="仿宋" w:eastAsia="仿宋" w:cs="仿宋"/>
          <w:b/>
          <w:color w:val="auto"/>
          <w:sz w:val="32"/>
          <w:szCs w:val="32"/>
          <w:highlight w:val="none"/>
          <w:lang w:eastAsia="zh-CN"/>
        </w:rPr>
        <w:t>月</w:t>
      </w:r>
      <w:r>
        <w:rPr>
          <w:rFonts w:hint="eastAsia" w:ascii="仿宋_GB2312" w:hAnsi="宋体" w:eastAsia="仿宋_GB2312"/>
          <w:b/>
          <w:color w:val="auto"/>
          <w:sz w:val="32"/>
          <w:szCs w:val="32"/>
          <w:highlight w:val="none"/>
          <w:lang w:val="en-US" w:eastAsia="zh-CN"/>
        </w:rPr>
        <w:t>10</w:t>
      </w:r>
      <w:r>
        <w:rPr>
          <w:rFonts w:hint="eastAsia" w:ascii="仿宋_GB2312" w:hAnsi="宋体" w:eastAsia="仿宋_GB2312"/>
          <w:b/>
          <w:color w:val="auto"/>
          <w:sz w:val="32"/>
          <w:szCs w:val="32"/>
          <w:highlight w:val="none"/>
        </w:rPr>
        <w:t>日</w:t>
      </w:r>
    </w:p>
    <w:p>
      <w:pPr>
        <w:pStyle w:val="23"/>
        <w:rPr>
          <w:rFonts w:hint="eastAsia" w:ascii="仿宋" w:hAnsi="仿宋" w:eastAsia="仿宋" w:cs="仿宋"/>
          <w:b/>
          <w:color w:val="auto"/>
          <w:sz w:val="32"/>
          <w:szCs w:val="32"/>
          <w:highlight w:val="none"/>
          <w:lang w:val="en-US" w:eastAsia="zh-CN"/>
        </w:rPr>
      </w:pPr>
    </w:p>
    <w:p>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pPr>
        <w:spacing w:line="360" w:lineRule="auto"/>
        <w:jc w:val="center"/>
        <w:outlineLvl w:val="9"/>
        <w:rPr>
          <w:rFonts w:hint="eastAsia" w:ascii="宋体" w:hAnsi="宋体" w:eastAsia="宋体" w:cs="宋体"/>
          <w:b w:val="0"/>
          <w:color w:val="auto"/>
          <w:sz w:val="48"/>
          <w:szCs w:val="48"/>
          <w:highlight w:val="none"/>
        </w:rPr>
      </w:pPr>
      <w:bookmarkStart w:id="1" w:name="_Toc22635"/>
      <w:bookmarkStart w:id="2" w:name="_Toc21342"/>
      <w:bookmarkStart w:id="3" w:name="_Toc15289"/>
      <w:r>
        <w:rPr>
          <w:rFonts w:hint="eastAsia" w:ascii="宋体" w:hAnsi="宋体" w:eastAsia="宋体" w:cs="宋体"/>
          <w:b/>
          <w:bCs/>
          <w:color w:val="auto"/>
          <w:sz w:val="48"/>
          <w:szCs w:val="48"/>
          <w:highlight w:val="none"/>
        </w:rPr>
        <w:t>目   录</w:t>
      </w:r>
      <w:bookmarkEnd w:id="1"/>
      <w:bookmarkEnd w:id="2"/>
      <w:bookmarkEnd w:id="3"/>
    </w:p>
    <w:p>
      <w:pPr>
        <w:pStyle w:val="20"/>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TOC \o "1-3" \h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_Toc16535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_Toc16535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 xml:space="preserve">第二章 </w:t>
      </w:r>
      <w:r>
        <w:rPr>
          <w:rFonts w:hint="eastAsia" w:ascii="宋体" w:hAnsi="宋体" w:eastAsia="宋体" w:cs="宋体"/>
          <w:bCs/>
          <w:color w:val="auto"/>
          <w:highlight w:val="none"/>
          <w:lang w:val="en-US" w:eastAsia="zh-CN"/>
        </w:rPr>
        <w:t>采购需求</w:t>
      </w:r>
      <w:r>
        <w:rPr>
          <w:color w:val="auto"/>
          <w:highlight w:val="none"/>
        </w:rPr>
        <w:tab/>
      </w:r>
      <w:r>
        <w:rPr>
          <w:color w:val="auto"/>
          <w:highlight w:val="none"/>
        </w:rPr>
        <w:fldChar w:fldCharType="begin"/>
      </w:r>
      <w:r>
        <w:rPr>
          <w:color w:val="auto"/>
          <w:highlight w:val="none"/>
        </w:rPr>
        <w:instrText xml:space="preserve"> PAGEREF _Toc10591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_Toc13594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第三章 供应商须知</w:t>
      </w:r>
      <w:r>
        <w:rPr>
          <w:color w:val="auto"/>
          <w:highlight w:val="none"/>
        </w:rPr>
        <w:tab/>
      </w:r>
      <w:r>
        <w:rPr>
          <w:color w:val="auto"/>
          <w:highlight w:val="none"/>
        </w:rPr>
        <w:fldChar w:fldCharType="begin"/>
      </w:r>
      <w:r>
        <w:rPr>
          <w:color w:val="auto"/>
          <w:highlight w:val="none"/>
        </w:rPr>
        <w:instrText xml:space="preserve"> PAGEREF _Toc13594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_Toc23393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eastAsia="zh-CN"/>
        </w:rPr>
        <w:t xml:space="preserve">第一节 </w:t>
      </w:r>
      <w:r>
        <w:rPr>
          <w:rFonts w:hint="eastAsia" w:ascii="宋体" w:hAnsi="宋体" w:eastAsia="宋体" w:cs="宋体"/>
          <w:color w:val="auto"/>
          <w:highlight w:val="none"/>
        </w:rPr>
        <w:t>供应商须知前附表</w:t>
      </w:r>
      <w:r>
        <w:rPr>
          <w:color w:val="auto"/>
          <w:highlight w:val="none"/>
        </w:rPr>
        <w:tab/>
      </w:r>
      <w:r>
        <w:rPr>
          <w:color w:val="auto"/>
          <w:highlight w:val="none"/>
        </w:rPr>
        <w:fldChar w:fldCharType="begin"/>
      </w:r>
      <w:r>
        <w:rPr>
          <w:color w:val="auto"/>
          <w:highlight w:val="none"/>
        </w:rPr>
        <w:instrText xml:space="preserve"> PAGEREF _Toc23393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_Toc31001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_Toc31001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_Toc26491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_Toc26491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_Toc6695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_Toc6695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_Toc19295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_Toc19295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_Toc21487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_Toc21487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_Toc15815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_Toc15815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_Toc11545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_Toc11545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pPr>
        <w:pStyle w:val="15"/>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_Toc29251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lang w:eastAsia="zh-CN"/>
        </w:rPr>
        <w:t>七</w:t>
      </w:r>
      <w:r>
        <w:rPr>
          <w:rFonts w:hint="eastAsia" w:ascii="宋体" w:hAnsi="宋体" w:eastAsia="宋体" w:cs="宋体"/>
          <w:bCs w:val="0"/>
          <w:color w:val="auto"/>
          <w:highlight w:val="none"/>
        </w:rPr>
        <w:t>、其他事项</w:t>
      </w:r>
      <w:r>
        <w:rPr>
          <w:color w:val="auto"/>
          <w:highlight w:val="none"/>
        </w:rPr>
        <w:tab/>
      </w:r>
      <w:r>
        <w:rPr>
          <w:color w:val="auto"/>
          <w:highlight w:val="none"/>
        </w:rPr>
        <w:fldChar w:fldCharType="begin"/>
      </w:r>
      <w:r>
        <w:rPr>
          <w:color w:val="auto"/>
          <w:highlight w:val="none"/>
        </w:rPr>
        <w:instrText xml:space="preserve"> PAGEREF _Toc29251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_Toc23637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第四章  评审程序、评审方法和评审标准</w:t>
      </w:r>
      <w:r>
        <w:rPr>
          <w:color w:val="auto"/>
          <w:highlight w:val="none"/>
        </w:rPr>
        <w:tab/>
      </w:r>
      <w:r>
        <w:rPr>
          <w:color w:val="auto"/>
          <w:highlight w:val="none"/>
        </w:rPr>
        <w:fldChar w:fldCharType="begin"/>
      </w:r>
      <w:r>
        <w:rPr>
          <w:color w:val="auto"/>
          <w:highlight w:val="none"/>
        </w:rPr>
        <w:instrText xml:space="preserve"> PAGEREF _Toc23637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_Toc22688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_Toc22688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_Toc16046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 xml:space="preserve">节 </w:t>
      </w:r>
      <w:r>
        <w:rPr>
          <w:rFonts w:hint="eastAsia" w:ascii="宋体" w:hAnsi="宋体" w:eastAsia="宋体" w:cs="宋体"/>
          <w:color w:val="auto"/>
          <w:highlight w:val="none"/>
          <w:lang w:eastAsia="zh-CN"/>
        </w:rPr>
        <w:t>评标报告</w:t>
      </w:r>
      <w:r>
        <w:rPr>
          <w:color w:val="auto"/>
          <w:highlight w:val="none"/>
        </w:rPr>
        <w:tab/>
      </w:r>
      <w:r>
        <w:rPr>
          <w:color w:val="auto"/>
          <w:highlight w:val="none"/>
        </w:rPr>
        <w:fldChar w:fldCharType="begin"/>
      </w:r>
      <w:r>
        <w:rPr>
          <w:color w:val="auto"/>
          <w:highlight w:val="none"/>
        </w:rPr>
        <w:instrText xml:space="preserve"> PAGEREF _Toc16046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_Toc7265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节 评审过程的保密与录像</w:t>
      </w:r>
      <w:r>
        <w:rPr>
          <w:color w:val="auto"/>
          <w:highlight w:val="none"/>
        </w:rPr>
        <w:tab/>
      </w:r>
      <w:r>
        <w:rPr>
          <w:color w:val="auto"/>
          <w:highlight w:val="none"/>
        </w:rPr>
        <w:fldChar w:fldCharType="begin"/>
      </w:r>
      <w:r>
        <w:rPr>
          <w:color w:val="auto"/>
          <w:highlight w:val="none"/>
        </w:rPr>
        <w:instrText xml:space="preserve"> PAGEREF _Toc7265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第五章 响应文件格式</w:t>
      </w:r>
      <w:r>
        <w:rPr>
          <w:color w:val="auto"/>
          <w:highlight w:val="none"/>
        </w:rPr>
        <w:tab/>
      </w:r>
      <w:r>
        <w:rPr>
          <w:color w:val="auto"/>
          <w:highlight w:val="none"/>
        </w:rPr>
        <w:fldChar w:fldCharType="begin"/>
      </w:r>
      <w:r>
        <w:rPr>
          <w:color w:val="auto"/>
          <w:highlight w:val="none"/>
        </w:rPr>
        <w:instrText xml:space="preserve"> PAGEREF _Toc12700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_Toc3361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第一节 封面格式</w:t>
      </w:r>
      <w:r>
        <w:rPr>
          <w:color w:val="auto"/>
          <w:highlight w:val="none"/>
        </w:rPr>
        <w:tab/>
      </w:r>
      <w:r>
        <w:rPr>
          <w:color w:val="auto"/>
          <w:highlight w:val="none"/>
        </w:rPr>
        <w:fldChar w:fldCharType="begin"/>
      </w:r>
      <w:r>
        <w:rPr>
          <w:color w:val="auto"/>
          <w:highlight w:val="none"/>
        </w:rPr>
        <w:instrText xml:space="preserve"> PAGEREF _Toc3361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_Toc30309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_Toc30309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_Toc7889 </w:instrText>
      </w:r>
      <w:r>
        <w:rPr>
          <w:rFonts w:hint="eastAsia" w:ascii="宋体" w:hAnsi="宋体" w:eastAsia="宋体" w:cs="宋体"/>
          <w:color w:val="auto"/>
          <w:szCs w:val="24"/>
          <w:highlight w:val="none"/>
        </w:rPr>
        <w:fldChar w:fldCharType="separate"/>
      </w:r>
      <w:r>
        <w:rPr>
          <w:rFonts w:hint="eastAsia" w:ascii="宋体" w:hAnsi="宋体" w:eastAsia="宋体" w:cs="宋体"/>
          <w:bCs w:val="0"/>
          <w:color w:val="auto"/>
          <w:highlight w:val="none"/>
        </w:rPr>
        <w:t>第</w:t>
      </w:r>
      <w:r>
        <w:rPr>
          <w:rFonts w:hint="eastAsia" w:ascii="宋体" w:hAnsi="宋体" w:eastAsia="宋体" w:cs="宋体"/>
          <w:bCs w:val="0"/>
          <w:color w:val="auto"/>
          <w:highlight w:val="none"/>
          <w:lang w:eastAsia="zh-CN"/>
        </w:rPr>
        <w:t>三</w:t>
      </w:r>
      <w:r>
        <w:rPr>
          <w:rFonts w:hint="eastAsia" w:ascii="宋体" w:hAnsi="宋体" w:eastAsia="宋体" w:cs="宋体"/>
          <w:bCs w:val="0"/>
          <w:color w:val="auto"/>
          <w:highlight w:val="none"/>
        </w:rPr>
        <w:t xml:space="preserve">节 </w:t>
      </w:r>
      <w:r>
        <w:rPr>
          <w:rFonts w:hint="eastAsia" w:ascii="宋体" w:hAnsi="宋体" w:eastAsia="宋体" w:cs="宋体"/>
          <w:color w:val="auto"/>
          <w:highlight w:val="none"/>
        </w:rPr>
        <w:t>商务技术文件格式</w:t>
      </w:r>
      <w:r>
        <w:rPr>
          <w:color w:val="auto"/>
          <w:highlight w:val="none"/>
        </w:rPr>
        <w:tab/>
      </w:r>
      <w:r>
        <w:rPr>
          <w:color w:val="auto"/>
          <w:highlight w:val="none"/>
        </w:rPr>
        <w:fldChar w:fldCharType="begin"/>
      </w:r>
      <w:r>
        <w:rPr>
          <w:color w:val="auto"/>
          <w:highlight w:val="none"/>
        </w:rPr>
        <w:instrText xml:space="preserve"> PAGEREF _Toc7889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_Toc12752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第四节 报价文件格式</w:t>
      </w:r>
      <w:r>
        <w:rPr>
          <w:color w:val="auto"/>
          <w:highlight w:val="none"/>
        </w:rPr>
        <w:tab/>
      </w:r>
      <w:r>
        <w:rPr>
          <w:color w:val="auto"/>
          <w:highlight w:val="none"/>
        </w:rPr>
        <w:fldChar w:fldCharType="begin"/>
      </w:r>
      <w:r>
        <w:rPr>
          <w:color w:val="auto"/>
          <w:highlight w:val="none"/>
        </w:rPr>
        <w:instrText xml:space="preserve"> PAGEREF _Toc12752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4"/>
          <w:highlight w:val="none"/>
        </w:rPr>
        <w:fldChar w:fldCharType="end"/>
      </w:r>
    </w:p>
    <w:p>
      <w:pPr>
        <w:pStyle w:val="23"/>
        <w:tabs>
          <w:tab w:val="right" w:leader="dot" w:pos="9746"/>
          <w:tab w:val="clear" w:pos="829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_Toc29246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lang w:val="en-US" w:eastAsia="zh-CN"/>
        </w:rPr>
        <w:t>第五节 其他文书、文件格式</w:t>
      </w:r>
      <w:r>
        <w:rPr>
          <w:color w:val="auto"/>
          <w:highlight w:val="none"/>
        </w:rPr>
        <w:tab/>
      </w:r>
      <w:r>
        <w:rPr>
          <w:color w:val="auto"/>
          <w:highlight w:val="none"/>
        </w:rPr>
        <w:fldChar w:fldCharType="begin"/>
      </w:r>
      <w:r>
        <w:rPr>
          <w:color w:val="auto"/>
          <w:highlight w:val="none"/>
        </w:rPr>
        <w:instrText xml:space="preserve"> PAGEREF _Toc29246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_Toc2080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_Toc28511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r>
        <w:rPr>
          <w:color w:val="auto"/>
          <w:highlight w:val="none"/>
        </w:rPr>
        <w:tab/>
      </w:r>
      <w:r>
        <w:rPr>
          <w:color w:val="auto"/>
          <w:highlight w:val="none"/>
        </w:rPr>
        <w:fldChar w:fldCharType="begin"/>
      </w:r>
      <w:r>
        <w:rPr>
          <w:color w:val="auto"/>
          <w:highlight w:val="none"/>
        </w:rPr>
        <w:instrText xml:space="preserve"> PAGEREF _Toc28511 \h </w:instrText>
      </w:r>
      <w:r>
        <w:rPr>
          <w:color w:val="auto"/>
          <w:highlight w:val="none"/>
        </w:rPr>
        <w:fldChar w:fldCharType="separate"/>
      </w:r>
      <w:r>
        <w:rPr>
          <w:color w:val="auto"/>
          <w:highlight w:val="none"/>
        </w:rPr>
        <w:t>112</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_Toc11341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r>
        <w:rPr>
          <w:color w:val="auto"/>
          <w:highlight w:val="none"/>
        </w:rPr>
        <w:tab/>
      </w:r>
      <w:r>
        <w:rPr>
          <w:color w:val="auto"/>
          <w:highlight w:val="none"/>
        </w:rPr>
        <w:fldChar w:fldCharType="begin"/>
      </w:r>
      <w:r>
        <w:rPr>
          <w:color w:val="auto"/>
          <w:highlight w:val="none"/>
        </w:rPr>
        <w:instrText xml:space="preserve"> PAGEREF _Toc11341 \h </w:instrText>
      </w:r>
      <w:r>
        <w:rPr>
          <w:color w:val="auto"/>
          <w:highlight w:val="none"/>
        </w:rPr>
        <w:fldChar w:fldCharType="separate"/>
      </w:r>
      <w:r>
        <w:rPr>
          <w:color w:val="auto"/>
          <w:highlight w:val="none"/>
        </w:rPr>
        <w:t>113</w:t>
      </w:r>
      <w:r>
        <w:rPr>
          <w:color w:val="auto"/>
          <w:highlight w:val="none"/>
        </w:rPr>
        <w:fldChar w:fldCharType="end"/>
      </w:r>
      <w:r>
        <w:rPr>
          <w:rFonts w:hint="eastAsia" w:ascii="宋体" w:hAnsi="宋体" w:eastAsia="宋体" w:cs="宋体"/>
          <w:color w:val="auto"/>
          <w:szCs w:val="24"/>
          <w:highlight w:val="none"/>
        </w:rPr>
        <w:fldChar w:fldCharType="end"/>
      </w:r>
    </w:p>
    <w:p>
      <w:pPr>
        <w:pStyle w:val="2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九</w:t>
      </w:r>
      <w:r>
        <w:rPr>
          <w:rFonts w:hint="eastAsia" w:ascii="宋体" w:hAnsi="宋体" w:eastAsia="宋体" w:cs="宋体"/>
          <w:bCs/>
          <w:color w:val="auto"/>
          <w:highlight w:val="none"/>
        </w:rPr>
        <w:t>章 质疑、投诉材料格式</w:t>
      </w:r>
      <w:r>
        <w:rPr>
          <w:color w:val="auto"/>
          <w:highlight w:val="none"/>
        </w:rPr>
        <w:tab/>
      </w:r>
      <w:r>
        <w:rPr>
          <w:color w:val="auto"/>
          <w:highlight w:val="none"/>
        </w:rPr>
        <w:fldChar w:fldCharType="begin"/>
      </w:r>
      <w:r>
        <w:rPr>
          <w:color w:val="auto"/>
          <w:highlight w:val="none"/>
        </w:rPr>
        <w:instrText xml:space="preserve"> PAGEREF _Toc7745 \h </w:instrText>
      </w:r>
      <w:r>
        <w:rPr>
          <w:color w:val="auto"/>
          <w:highlight w:val="none"/>
        </w:rPr>
        <w:fldChar w:fldCharType="separate"/>
      </w:r>
      <w:r>
        <w:rPr>
          <w:color w:val="auto"/>
          <w:highlight w:val="none"/>
        </w:rPr>
        <w:t>114</w:t>
      </w:r>
      <w:r>
        <w:rPr>
          <w:color w:val="auto"/>
          <w:highlight w:val="none"/>
        </w:rPr>
        <w:fldChar w:fldCharType="end"/>
      </w:r>
      <w:r>
        <w:rPr>
          <w:rFonts w:hint="eastAsia" w:ascii="宋体" w:hAnsi="宋体" w:eastAsia="宋体" w:cs="宋体"/>
          <w:color w:val="auto"/>
          <w:szCs w:val="24"/>
          <w:highlight w:val="none"/>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pPr>
        <w:spacing w:line="360" w:lineRule="auto"/>
        <w:rPr>
          <w:rFonts w:hint="eastAsia" w:ascii="宋体" w:hAnsi="宋体" w:eastAsia="宋体" w:cs="宋体"/>
          <w:b/>
          <w:color w:val="auto"/>
          <w:sz w:val="32"/>
          <w:szCs w:val="32"/>
          <w:highlight w:val="none"/>
          <w:lang w:val="en-US" w:eastAsia="zh-CN"/>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r>
        <w:rPr>
          <w:rFonts w:hint="eastAsia" w:ascii="宋体" w:hAnsi="宋体" w:cs="宋体"/>
          <w:b/>
          <w:color w:val="auto"/>
          <w:sz w:val="32"/>
          <w:szCs w:val="32"/>
          <w:highlight w:val="none"/>
          <w:lang w:val="en-US" w:eastAsia="zh-CN"/>
        </w:rPr>
        <w:t xml:space="preserve"> </w:t>
      </w:r>
    </w:p>
    <w:p>
      <w:pPr>
        <w:pStyle w:val="2"/>
        <w:spacing w:line="360" w:lineRule="auto"/>
        <w:jc w:val="center"/>
        <w:rPr>
          <w:rFonts w:hint="eastAsia" w:ascii="宋体" w:hAnsi="宋体" w:eastAsia="宋体" w:cs="宋体"/>
          <w:color w:val="auto"/>
          <w:highlight w:val="none"/>
          <w:lang w:eastAsia="zh-CN"/>
        </w:rPr>
      </w:pPr>
      <w:bookmarkStart w:id="4" w:name="_Toc16535"/>
      <w:bookmarkStart w:id="5" w:name="_Toc11033"/>
      <w:bookmarkStart w:id="6" w:name="_Toc23020"/>
      <w:bookmarkStart w:id="7" w:name="_Toc2884"/>
      <w:bookmarkStart w:id="8" w:name="_Toc1000"/>
      <w:bookmarkStart w:id="9" w:name="_Toc21181"/>
      <w:r>
        <w:rPr>
          <w:rFonts w:hint="eastAsia" w:ascii="宋体" w:hAnsi="宋体" w:eastAsia="宋体" w:cs="宋体"/>
          <w:color w:val="auto"/>
          <w:highlight w:val="none"/>
        </w:rPr>
        <w:t>第一章 竞争性磋商公告</w:t>
      </w:r>
      <w:bookmarkEnd w:id="4"/>
      <w:bookmarkEnd w:id="5"/>
      <w:bookmarkEnd w:id="6"/>
      <w:bookmarkEnd w:id="7"/>
      <w:bookmarkEnd w:id="8"/>
      <w:bookmarkEnd w:id="9"/>
      <w:bookmarkStart w:id="10" w:name="_Toc35393629"/>
      <w:bookmarkStart w:id="11" w:name="_Toc28359012"/>
      <w:bookmarkStart w:id="12" w:name="_Toc44229878"/>
      <w:bookmarkStart w:id="13" w:name="_Toc35393798"/>
      <w:bookmarkStart w:id="14" w:name="_Toc28359089"/>
      <w:bookmarkStart w:id="15" w:name="_Toc35393623"/>
      <w:bookmarkStart w:id="16" w:name="_Toc35393792"/>
      <w:bookmarkStart w:id="17" w:name="_Toc28359081"/>
      <w:bookmarkStart w:id="18" w:name="_Toc28359004"/>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宾阳县2025年大中型水库移民后期扶持资金及中央水库移民扶持基金（提前批）项目基础设施项目</w:t>
      </w:r>
      <w:r>
        <w:rPr>
          <w:rFonts w:hint="eastAsia" w:ascii="宋体" w:hAnsi="宋体" w:eastAsia="宋体" w:cs="宋体"/>
          <w:color w:val="auto"/>
          <w:szCs w:val="21"/>
          <w:highlight w:val="none"/>
        </w:rPr>
        <w:t>项目的潜在供应商应在</w:t>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bookmarkStart w:id="19" w:name="OLE_LINK4"/>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bookmarkEnd w:id="19"/>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10"/>
      <w:bookmarkEnd w:id="11"/>
      <w:bookmarkEnd w:id="12"/>
      <w:bookmarkEnd w:id="13"/>
      <w:bookmarkEnd w:id="14"/>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1.项目编号：</w:t>
      </w:r>
      <w:r>
        <w:rPr>
          <w:rFonts w:hint="eastAsia" w:ascii="宋体" w:hAnsi="宋体" w:cs="宋体"/>
          <w:color w:val="auto"/>
          <w:szCs w:val="21"/>
          <w:highlight w:val="none"/>
          <w:lang w:eastAsia="zh-CN"/>
        </w:rPr>
        <w:t>NNZC2025-C2-260140-XMZX</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cs="宋体"/>
          <w:color w:val="auto"/>
          <w:spacing w:val="-4"/>
          <w:szCs w:val="21"/>
          <w:highlight w:val="none"/>
          <w:lang w:eastAsia="zh-CN"/>
        </w:rPr>
        <w:t>宾阳县2025年大中型水库移民后期扶持资金及中央水库移民扶持基金（提前批）项目基础设施项目</w:t>
      </w:r>
    </w:p>
    <w:p>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r>
        <w:rPr>
          <w:rFonts w:hint="eastAsia" w:ascii="宋体" w:hAnsi="宋体" w:eastAsia="宋体" w:cs="宋体"/>
          <w:color w:val="auto"/>
          <w:szCs w:val="21"/>
          <w:highlight w:val="none"/>
          <w:lang w:eastAsia="zh-CN"/>
        </w:rPr>
        <w:tab/>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eastAsia="zh-CN"/>
        </w:rPr>
        <w:t>3400323.36</w:t>
      </w:r>
      <w:r>
        <w:rPr>
          <w:rFonts w:hint="eastAsia" w:ascii="宋体" w:hAnsi="宋体" w:eastAsia="宋体" w:cs="宋体"/>
          <w:b w:val="0"/>
          <w:bCs w:val="0"/>
          <w:color w:val="auto"/>
          <w:szCs w:val="21"/>
          <w:highlight w:val="none"/>
          <w:lang w:val="en-US" w:eastAsia="zh-CN"/>
        </w:rPr>
        <w:t>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3400323.36</w:t>
      </w:r>
      <w:r>
        <w:rPr>
          <w:rFonts w:hint="eastAsia" w:ascii="宋体" w:hAnsi="宋体" w:eastAsia="宋体" w:cs="宋体"/>
          <w:b w:val="0"/>
          <w:bCs w:val="0"/>
          <w:color w:val="auto"/>
          <w:szCs w:val="21"/>
          <w:highlight w:val="none"/>
          <w:lang w:val="en-US" w:eastAsia="zh-CN"/>
        </w:rPr>
        <w:t>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6.采购需求：</w:t>
      </w:r>
      <w:bookmarkStart w:id="20" w:name="OLE_LINK9"/>
      <w:r>
        <w:rPr>
          <w:rFonts w:hint="eastAsia" w:ascii="宋体" w:hAnsi="宋体" w:cs="宋体"/>
          <w:color w:val="auto"/>
          <w:szCs w:val="21"/>
          <w:highlight w:val="none"/>
          <w:lang w:eastAsia="zh-CN"/>
        </w:rPr>
        <w:t>宾阳县2025年大中型水库移民后期扶持资金及中央水库移民扶持基金（提前批）项目基础设施项目</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具体内容详见施工图纸及工程量清单所包含的内容</w:t>
      </w:r>
      <w:bookmarkEnd w:id="20"/>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bookmarkStart w:id="21" w:name="OLE_LINK8"/>
      <w:r>
        <w:rPr>
          <w:rFonts w:hint="eastAsia" w:ascii="宋体" w:hAnsi="宋体" w:cs="宋体"/>
          <w:color w:val="auto"/>
          <w:sz w:val="21"/>
          <w:szCs w:val="21"/>
          <w:highlight w:val="none"/>
          <w:lang w:val="en-US" w:eastAsia="zh-CN"/>
        </w:rPr>
        <w:t>90</w:t>
      </w:r>
      <w:r>
        <w:rPr>
          <w:rFonts w:hint="eastAsia" w:ascii="宋体" w:hAnsi="宋体" w:cs="宋体"/>
          <w:color w:val="auto"/>
          <w:sz w:val="21"/>
          <w:szCs w:val="21"/>
          <w:highlight w:val="none"/>
        </w:rPr>
        <w:t>日历天</w:t>
      </w:r>
      <w:bookmarkEnd w:id="21"/>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22" w:name="_Toc35393630"/>
      <w:bookmarkStart w:id="23" w:name="_Toc44229879"/>
      <w:bookmarkStart w:id="24" w:name="_Toc28359090"/>
      <w:bookmarkStart w:id="25" w:name="_Toc28359013"/>
      <w:bookmarkStart w:id="26" w:name="_Toc35393799"/>
      <w:r>
        <w:rPr>
          <w:rFonts w:hint="eastAsia" w:ascii="宋体" w:hAnsi="宋体" w:eastAsia="宋体" w:cs="宋体"/>
          <w:b/>
          <w:color w:val="auto"/>
          <w:kern w:val="44"/>
          <w:sz w:val="24"/>
          <w:highlight w:val="none"/>
        </w:rPr>
        <w:t>二、供应商的资格条件</w:t>
      </w:r>
      <w:bookmarkEnd w:id="22"/>
      <w:bookmarkEnd w:id="23"/>
      <w:bookmarkEnd w:id="24"/>
      <w:bookmarkEnd w:id="25"/>
      <w:bookmarkEnd w:id="26"/>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Times New Roman"/>
          <w:color w:val="auto"/>
          <w:szCs w:val="21"/>
          <w:highlight w:val="none"/>
          <w:lang w:eastAsia="zh-CN"/>
        </w:rPr>
        <w:t>☑</w:t>
      </w:r>
      <w:bookmarkStart w:id="27" w:name="OLE_LINK10"/>
      <w:r>
        <w:rPr>
          <w:rFonts w:hint="eastAsia" w:ascii="宋体" w:hAnsi="宋体" w:eastAsia="宋体" w:cs="Times New Roman"/>
          <w:color w:val="auto"/>
          <w:szCs w:val="21"/>
          <w:highlight w:val="none"/>
        </w:rPr>
        <w:t>专门面向</w:t>
      </w:r>
      <w:r>
        <w:rPr>
          <w:rFonts w:hint="eastAsia" w:ascii="宋体" w:hAnsi="宋体" w:cs="Times New Roman"/>
          <w:color w:val="auto"/>
          <w:szCs w:val="21"/>
          <w:highlight w:val="none"/>
          <w:lang w:val="en-US" w:eastAsia="zh-CN"/>
        </w:rPr>
        <w:t>中小微</w:t>
      </w:r>
      <w:r>
        <w:rPr>
          <w:rFonts w:hint="eastAsia" w:ascii="宋体" w:hAnsi="宋体" w:eastAsia="宋体" w:cs="Times New Roman"/>
          <w:color w:val="auto"/>
          <w:szCs w:val="21"/>
          <w:highlight w:val="none"/>
        </w:rPr>
        <w:t>企业采购的项目（供应商应为</w:t>
      </w:r>
      <w:r>
        <w:rPr>
          <w:rFonts w:hint="eastAsia" w:ascii="宋体" w:hAnsi="宋体" w:cs="Times New Roman"/>
          <w:color w:val="auto"/>
          <w:szCs w:val="21"/>
          <w:highlight w:val="none"/>
          <w:lang w:val="en-US" w:eastAsia="zh-CN"/>
        </w:rPr>
        <w:t>中型企业、</w:t>
      </w:r>
      <w:r>
        <w:rPr>
          <w:rFonts w:hint="eastAsia" w:ascii="宋体" w:hAnsi="宋体" w:eastAsia="宋体" w:cs="Times New Roman"/>
          <w:color w:val="auto"/>
          <w:szCs w:val="21"/>
          <w:highlight w:val="none"/>
        </w:rPr>
        <w:t>小微企业、监狱企业、残疾人福利性单位)</w:t>
      </w:r>
      <w:bookmarkEnd w:id="27"/>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bookmarkStart w:id="28" w:name="OLE_LINK11"/>
      <w:r>
        <w:rPr>
          <w:rFonts w:hint="eastAsia" w:ascii="宋体" w:hAnsi="宋体" w:eastAsia="宋体" w:cs="宋体"/>
          <w:color w:val="auto"/>
          <w:szCs w:val="21"/>
          <w:highlight w:val="none"/>
        </w:rPr>
        <w:t>具备</w:t>
      </w:r>
      <w:r>
        <w:rPr>
          <w:rFonts w:hint="eastAsia" w:ascii="宋体" w:hAnsi="宋体" w:cs="宋体"/>
          <w:color w:val="auto"/>
          <w:szCs w:val="21"/>
          <w:highlight w:val="none"/>
          <w:lang w:eastAsia="zh-CN"/>
        </w:rPr>
        <w:t>市政公用工程施工总承包以上（含叁级）或公路工程工程施工总承包叁级以上（含叁级）资质</w:t>
      </w:r>
      <w:r>
        <w:rPr>
          <w:rFonts w:hint="eastAsia" w:ascii="宋体" w:hAnsi="宋体" w:eastAsia="宋体" w:cs="宋体"/>
          <w:color w:val="auto"/>
          <w:szCs w:val="21"/>
          <w:highlight w:val="none"/>
        </w:rPr>
        <w:t>；具有省级及以上建设行政主管部门颁发的安全生产许可证,并在人员、设备、资金等方面具备相应的施工能力；拟派项目经理须具备</w:t>
      </w:r>
      <w:r>
        <w:rPr>
          <w:rFonts w:hint="eastAsia" w:ascii="宋体" w:hAnsi="宋体" w:cs="宋体"/>
          <w:color w:val="auto"/>
          <w:szCs w:val="21"/>
          <w:highlight w:val="none"/>
          <w:lang w:eastAsia="zh-CN"/>
        </w:rPr>
        <w:t>市政公用工程施工总承包以上（含贰级）或公路工程工程专业贰级以上（含贰级）</w:t>
      </w:r>
      <w:r>
        <w:rPr>
          <w:rFonts w:hint="eastAsia" w:ascii="宋体" w:hAnsi="宋体" w:eastAsia="宋体" w:cs="宋体"/>
          <w:color w:val="auto"/>
          <w:szCs w:val="21"/>
          <w:highlight w:val="none"/>
        </w:rPr>
        <w:t>注册建造师资格，具备有效的安全生产考核合格证书（B类）。</w:t>
      </w:r>
    </w:p>
    <w:bookmarkEnd w:id="28"/>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keepNext w:val="0"/>
        <w:keepLines w:val="0"/>
        <w:pageBreakBefore w:val="0"/>
        <w:kinsoku/>
        <w:wordWrap/>
        <w:overflowPunct/>
        <w:topLinePunct w:val="0"/>
        <w:autoSpaceDE/>
        <w:autoSpaceDN/>
        <w:bidi w:val="0"/>
        <w:adjustRightInd/>
        <w:spacing w:line="440" w:lineRule="exact"/>
        <w:ind w:left="210" w:leftChars="100"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5"/>
      <w:bookmarkEnd w:id="16"/>
      <w:bookmarkEnd w:id="17"/>
      <w:bookmarkEnd w:id="18"/>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9" w:name="_Toc35393793"/>
      <w:bookmarkStart w:id="30" w:name="_Toc28359005"/>
      <w:bookmarkStart w:id="31" w:name="_Toc35393624"/>
      <w:bookmarkStart w:id="32" w:name="_Toc28359082"/>
      <w:r>
        <w:rPr>
          <w:rFonts w:hint="eastAsia" w:ascii="宋体" w:hAnsi="宋体" w:eastAsia="宋体" w:cs="宋体"/>
          <w:color w:val="auto"/>
          <w:szCs w:val="21"/>
          <w:highlight w:val="none"/>
        </w:rPr>
        <w:t>时间：自公告发布之日起。</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网上下载。本项目不发放纸质采购文件，</w:t>
      </w:r>
      <w:r>
        <w:rPr>
          <w:rFonts w:hint="eastAsia" w:ascii="宋体" w:hAnsi="宋体" w:eastAsia="宋体" w:cs="宋体"/>
          <w:color w:val="auto"/>
          <w:szCs w:val="21"/>
          <w:highlight w:val="none"/>
        </w:rPr>
        <w:t>供应商可自行在</w:t>
      </w:r>
      <w:r>
        <w:rPr>
          <w:rFonts w:hint="eastAsia" w:ascii="宋体" w:hAnsi="宋体"/>
          <w:color w:val="auto"/>
          <w:szCs w:val="21"/>
          <w:highlight w:val="none"/>
        </w:rPr>
        <w:t>广西政府采购云平台（https://www.gcy.zfcg.gxzf.gov.cn/）下载采购文件</w:t>
      </w:r>
      <w:r>
        <w:rPr>
          <w:rFonts w:hint="eastAsia" w:ascii="宋体" w:hAnsi="宋体" w:eastAsia="宋体" w:cs="宋体"/>
          <w:color w:val="auto"/>
          <w:szCs w:val="21"/>
          <w:highlight w:val="none"/>
        </w:rPr>
        <w:t>（操作路径：登录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9"/>
      <w:bookmarkEnd w:id="30"/>
      <w:bookmarkEnd w:id="31"/>
      <w:bookmarkEnd w:id="32"/>
      <w:r>
        <w:rPr>
          <w:rFonts w:hint="eastAsia" w:ascii="宋体" w:hAnsi="宋体" w:eastAsia="宋体" w:cs="宋体"/>
          <w:b/>
          <w:bCs/>
          <w:color w:val="auto"/>
          <w:sz w:val="24"/>
          <w:highlight w:val="none"/>
        </w:rPr>
        <w:t>响应文件提交</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）实行在线电子响应，供应商应先安装“政采云电子交易客户端”（请自行前往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的要求编制、加密后在投标截止时间前通过网络上传至南宁市</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）及响应文件的提交。完成CA数字证书办理预计7日左右，供应商只需办理其中一家CA数字证书及签章。</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w:t>
      </w:r>
      <w:r>
        <w:rPr>
          <w:rFonts w:hint="eastAsia" w:ascii="宋体" w:hAnsi="宋体" w:cs="宋体"/>
          <w:b/>
          <w:bCs/>
          <w:color w:val="auto"/>
          <w:kern w:val="0"/>
          <w:szCs w:val="21"/>
          <w:highlight w:val="none"/>
          <w:lang w:val="en-US" w:eastAsia="zh-CN"/>
        </w:rPr>
        <w:t>须</w:t>
      </w:r>
      <w:r>
        <w:rPr>
          <w:rFonts w:hint="eastAsia" w:ascii="宋体" w:hAnsi="宋体" w:eastAsia="宋体" w:cs="宋体"/>
          <w:b/>
          <w:bCs/>
          <w:color w:val="auto"/>
          <w:kern w:val="0"/>
          <w:szCs w:val="21"/>
          <w:highlight w:val="none"/>
          <w:lang w:eastAsia="zh-CN"/>
        </w:rPr>
        <w:t>要</w:t>
      </w:r>
      <w:r>
        <w:rPr>
          <w:rFonts w:hint="eastAsia" w:ascii="宋体" w:hAnsi="宋体" w:eastAsia="宋体" w:cs="宋体"/>
          <w:b/>
          <w:bCs/>
          <w:color w:val="auto"/>
          <w:kern w:val="0"/>
          <w:szCs w:val="21"/>
          <w:highlight w:val="none"/>
        </w:rPr>
        <w:t>供应商携带制作响应文件时用来加密的有效数字证书（CA认证）登录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电子开标大厅现场按规定时间对加密的响应文件进行解密，未能按要求进行解密的，由此产生的后果由</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rPr>
        <w:t>自行承担。</w:t>
      </w:r>
    </w:p>
    <w:p>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11时00分</w:t>
      </w:r>
      <w:r>
        <w:rPr>
          <w:rFonts w:hint="eastAsia" w:ascii="宋体" w:hAnsi="宋体" w:eastAsia="宋体" w:cs="宋体"/>
          <w:color w:val="auto"/>
          <w:szCs w:val="21"/>
          <w:highlight w:val="none"/>
        </w:rPr>
        <w:t>后</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bookmarkStart w:id="33" w:name="OLE_LINK12"/>
      <w:r>
        <w:rPr>
          <w:rFonts w:hint="eastAsia" w:ascii="宋体" w:hAnsi="宋体"/>
          <w:color w:val="auto"/>
          <w:szCs w:val="21"/>
          <w:highlight w:val="none"/>
          <w:u w:val="single"/>
        </w:rPr>
        <w:t>广西政府采购云平台远程开标大厅</w:t>
      </w:r>
      <w:bookmarkEnd w:id="33"/>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4" w:name="_Toc35393794"/>
      <w:bookmarkStart w:id="35" w:name="_Toc28359007"/>
      <w:bookmarkStart w:id="36" w:name="_Toc35393625"/>
      <w:bookmarkStart w:id="37" w:name="_Toc28359084"/>
      <w:r>
        <w:rPr>
          <w:rFonts w:hint="eastAsia" w:ascii="宋体" w:hAnsi="宋体" w:eastAsia="宋体" w:cs="宋体"/>
          <w:b/>
          <w:bCs/>
          <w:color w:val="auto"/>
          <w:sz w:val="24"/>
          <w:highlight w:val="none"/>
        </w:rPr>
        <w:t>六、公告期限</w:t>
      </w:r>
      <w:bookmarkEnd w:id="34"/>
      <w:bookmarkEnd w:id="35"/>
      <w:bookmarkEnd w:id="36"/>
      <w:bookmarkEnd w:id="37"/>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个工作日。</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8" w:name="_Toc35393795"/>
      <w:bookmarkStart w:id="39" w:name="_Toc35393626"/>
      <w:r>
        <w:rPr>
          <w:rFonts w:hint="eastAsia" w:ascii="宋体" w:hAnsi="宋体" w:eastAsia="宋体" w:cs="宋体"/>
          <w:b/>
          <w:bCs/>
          <w:color w:val="auto"/>
          <w:sz w:val="24"/>
          <w:highlight w:val="none"/>
        </w:rPr>
        <w:t>七、其他补充事宜</w:t>
      </w:r>
      <w:bookmarkEnd w:id="38"/>
      <w:bookmarkEnd w:id="39"/>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2.采购意向公开链接：</w:t>
      </w:r>
    </w:p>
    <w:tbl>
      <w:tblPr>
        <w:tblStyle w:val="26"/>
        <w:tblW w:w="9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6" w:type="dxa"/>
          </w:tcPr>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https://zfcg.gxzf.gov.cn/site/detail?categoryCode=ZcyAnnouncement&amp;parentId=66485&amp;articleId=10ZsVscTqwfZLfCiGs61sQ==</w:t>
            </w:r>
          </w:p>
        </w:tc>
      </w:tr>
    </w:tbl>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40" w:name="_Hlk37429585"/>
      <w:r>
        <w:rPr>
          <w:rFonts w:hint="eastAsia" w:ascii="宋体" w:hAnsi="宋体" w:eastAsia="宋体" w:cs="宋体"/>
          <w:color w:val="auto"/>
          <w:kern w:val="0"/>
          <w:szCs w:val="21"/>
          <w:highlight w:val="none"/>
        </w:rPr>
        <w:t>3.</w:t>
      </w:r>
      <w:bookmarkStart w:id="41" w:name="_Hlk37429595"/>
      <w:r>
        <w:rPr>
          <w:rFonts w:hint="eastAsia" w:ascii="宋体" w:hAnsi="宋体" w:eastAsia="宋体" w:cs="宋体"/>
          <w:color w:val="auto"/>
          <w:kern w:val="0"/>
          <w:szCs w:val="21"/>
          <w:highlight w:val="none"/>
        </w:rPr>
        <w:t>网上查询地址</w:t>
      </w:r>
    </w:p>
    <w:bookmarkEnd w:id="40"/>
    <w:bookmarkEnd w:id="41"/>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4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s="宋体"/>
          <w:color w:val="auto"/>
          <w:kern w:val="0"/>
          <w:szCs w:val="21"/>
          <w:highlight w:val="none"/>
          <w:lang w:val="en-US" w:eastAsia="zh-CN"/>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42"/>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43" w:name="_Toc15775"/>
      <w:bookmarkStart w:id="44" w:name="_Toc20817"/>
      <w:bookmarkStart w:id="45" w:name="_Toc24059"/>
      <w:r>
        <w:rPr>
          <w:rFonts w:hint="eastAsia" w:ascii="宋体" w:hAnsi="宋体" w:eastAsia="宋体" w:cs="宋体"/>
          <w:color w:val="auto"/>
          <w:szCs w:val="21"/>
          <w:highlight w:val="none"/>
        </w:rPr>
        <w:t>1.采购人信息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bookmarkStart w:id="46" w:name="OLE_LINK1"/>
      <w:r>
        <w:rPr>
          <w:rFonts w:hint="eastAsia" w:ascii="宋体" w:hAnsi="宋体" w:cs="宋体"/>
          <w:color w:val="auto"/>
          <w:szCs w:val="21"/>
          <w:highlight w:val="none"/>
          <w:lang w:eastAsia="zh-CN"/>
        </w:rPr>
        <w:t>宾阳县水库移民安置服务中心</w:t>
      </w:r>
      <w:bookmarkEnd w:id="46"/>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广西南宁市宾阳县宾州镇枫江路240号</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bookmarkStart w:id="47" w:name="OLE_LINK14"/>
      <w:r>
        <w:rPr>
          <w:rFonts w:hint="eastAsia" w:ascii="宋体" w:hAnsi="宋体" w:cs="宋体"/>
          <w:color w:val="auto"/>
          <w:highlight w:val="none"/>
          <w:lang w:val="en-US" w:eastAsia="zh-CN"/>
        </w:rPr>
        <w:t>莫工</w:t>
      </w:r>
      <w:bookmarkEnd w:id="47"/>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广西星木工程咨询有限公司</w:t>
      </w:r>
    </w:p>
    <w:p>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地址：南宁市青秀区佛子岭路18号德利国际·东盟文化广场B1栋十五层1508、1509号办公室</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韦工</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0771-3132669</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韦工</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0771-3132669</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color w:val="auto"/>
          <w:szCs w:val="21"/>
          <w:highlight w:val="none"/>
        </w:rPr>
        <w:t>CA证书申请方式及操作指南下载地址（</w:t>
      </w:r>
      <w:r>
        <w:rPr>
          <w:rFonts w:hint="eastAsia" w:ascii="宋体" w:hAnsi="宋体"/>
          <w:color w:val="auto"/>
          <w:szCs w:val="21"/>
          <w:highlight w:val="none"/>
          <w:lang w:eastAsia="zh-CN"/>
        </w:rPr>
        <w:t>登录http</w:t>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w:t>
      </w:r>
    </w:p>
    <w:p>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color w:val="auto"/>
          <w:szCs w:val="21"/>
          <w:highlight w:val="none"/>
        </w:rPr>
        <w:t>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29"/>
          <w:color w:val="auto"/>
          <w:highlight w:val="none"/>
        </w:rPr>
        <w:t>http://nncz.nanning.gov.cn/</w:t>
      </w:r>
      <w:r>
        <w:rPr>
          <w:color w:val="auto"/>
          <w:highlight w:val="none"/>
        </w:rPr>
        <w:fldChar w:fldCharType="end"/>
      </w:r>
      <w:r>
        <w:rPr>
          <w:rFonts w:hint="eastAsia"/>
          <w:color w:val="auto"/>
          <w:highlight w:val="none"/>
        </w:rPr>
        <w:t>（南宁市财政局官网）</w:t>
      </w:r>
      <w:r>
        <w:rPr>
          <w:rFonts w:hint="eastAsia"/>
          <w:color w:val="auto"/>
          <w:highlight w:val="none"/>
          <w:lang w:eastAsia="zh-CN"/>
        </w:rPr>
        <w:t>－</w:t>
      </w:r>
      <w:r>
        <w:rPr>
          <w:rFonts w:hint="eastAsia"/>
          <w:color w:val="auto"/>
          <w:highlight w:val="none"/>
        </w:rPr>
        <w:t>业务专题</w:t>
      </w:r>
      <w:r>
        <w:rPr>
          <w:rFonts w:hint="eastAsia"/>
          <w:color w:val="auto"/>
          <w:highlight w:val="none"/>
          <w:lang w:eastAsia="zh-CN"/>
        </w:rPr>
        <w:t>－</w:t>
      </w:r>
      <w:r>
        <w:rPr>
          <w:rFonts w:hint="eastAsia"/>
          <w:color w:val="auto"/>
          <w:highlight w:val="none"/>
        </w:rPr>
        <w:t>政府采购监督管理</w:t>
      </w:r>
      <w:r>
        <w:rPr>
          <w:rFonts w:hint="eastAsia"/>
          <w:color w:val="auto"/>
          <w:highlight w:val="none"/>
          <w:lang w:eastAsia="zh-CN"/>
        </w:rPr>
        <w:t>－</w:t>
      </w:r>
      <w:r>
        <w:rPr>
          <w:rFonts w:hint="eastAsia"/>
          <w:color w:val="auto"/>
          <w:highlight w:val="none"/>
        </w:rPr>
        <w:t>资料下载</w:t>
      </w:r>
      <w:r>
        <w:rPr>
          <w:rFonts w:hint="eastAsia"/>
          <w:color w:val="auto"/>
          <w:highlight w:val="none"/>
          <w:lang w:eastAsia="zh-CN"/>
        </w:rPr>
        <w:t>－</w:t>
      </w:r>
      <w:r>
        <w:rPr>
          <w:rFonts w:hint="eastAsia"/>
          <w:color w:val="auto"/>
          <w:highlight w:val="none"/>
        </w:rPr>
        <w:t>南宁市政府采购项目全流程电子化交易操作指南</w:t>
      </w:r>
      <w:r>
        <w:rPr>
          <w:rFonts w:hint="eastAsia" w:ascii="宋体" w:hAnsi="宋体"/>
          <w:color w:val="auto"/>
          <w:szCs w:val="21"/>
          <w:highlight w:val="none"/>
        </w:rPr>
        <w:t>）</w:t>
      </w: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广西星木工程咨询有限公司</w:t>
      </w:r>
    </w:p>
    <w:p>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eastAsia="zh-CN"/>
        </w:rPr>
        <w:t>日</w:t>
      </w:r>
    </w:p>
    <w:p>
      <w:pPr>
        <w:pStyle w:val="2"/>
        <w:spacing w:line="360" w:lineRule="auto"/>
        <w:jc w:val="center"/>
        <w:rPr>
          <w:rFonts w:hint="eastAsia" w:ascii="宋体" w:hAnsi="宋体" w:eastAsia="宋体" w:cs="宋体"/>
          <w:b/>
          <w:bCs/>
          <w:color w:val="auto"/>
          <w:highlight w:val="none"/>
          <w:lang w:val="en-US" w:eastAsia="zh-CN"/>
        </w:rPr>
      </w:pPr>
      <w:bookmarkStart w:id="48" w:name="_Toc7539"/>
      <w:bookmarkStart w:id="49" w:name="_Toc5115"/>
      <w:bookmarkStart w:id="50" w:name="_Toc10591"/>
      <w:bookmarkStart w:id="51" w:name="OLE_LINK2"/>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43"/>
      <w:bookmarkEnd w:id="44"/>
      <w:bookmarkEnd w:id="45"/>
      <w:bookmarkEnd w:id="48"/>
      <w:bookmarkEnd w:id="49"/>
      <w:bookmarkEnd w:id="50"/>
    </w:p>
    <w:p>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pStyle w:val="32"/>
        <w:rPr>
          <w:rFonts w:hint="eastAsia" w:ascii="宋体" w:hAnsi="宋体"/>
          <w:color w:val="auto"/>
          <w:highlight w:val="none"/>
        </w:rPr>
      </w:pPr>
    </w:p>
    <w:p>
      <w:pPr>
        <w:pStyle w:val="32"/>
        <w:rPr>
          <w:rFonts w:hint="eastAsia" w:ascii="宋体" w:hAnsi="宋体"/>
          <w:color w:val="auto"/>
          <w:highlight w:val="none"/>
        </w:rPr>
      </w:pPr>
    </w:p>
    <w:p>
      <w:pPr>
        <w:pStyle w:val="32"/>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tbl>
      <w:tblPr>
        <w:tblStyle w:val="25"/>
        <w:tblW w:w="100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990"/>
        <w:gridCol w:w="525"/>
        <w:gridCol w:w="375"/>
        <w:gridCol w:w="4500"/>
        <w:gridCol w:w="1380"/>
        <w:gridCol w:w="1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10023" w:type="dxa"/>
            <w:gridSpan w:val="8"/>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3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color w:val="auto"/>
                <w:szCs w:val="21"/>
                <w:highlight w:val="none"/>
              </w:rPr>
            </w:pPr>
            <w:r>
              <w:rPr>
                <w:rFonts w:hint="eastAsia" w:ascii="宋体" w:hAnsi="宋体"/>
                <w:b w:val="0"/>
                <w:bCs/>
                <w:color w:val="auto"/>
                <w:szCs w:val="21"/>
                <w:highlight w:val="none"/>
              </w:rPr>
              <w:t>分项最高限价（元）</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val="0"/>
                <w:bCs/>
                <w:color w:val="auto"/>
                <w:szCs w:val="21"/>
                <w:highlight w:val="none"/>
              </w:rPr>
            </w:pPr>
            <w:r>
              <w:rPr>
                <w:rFonts w:hint="eastAsia" w:ascii="宋体" w:hAnsi="宋体"/>
                <w:b w:val="0"/>
                <w:bCs/>
                <w:color w:val="auto"/>
                <w:sz w:val="21"/>
                <w:szCs w:val="21"/>
                <w:highlight w:val="none"/>
              </w:rPr>
              <w:t>中小企业划分标准所属行业名称（行业名称及划分见本章附件2）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bookmarkStart w:id="52" w:name="OLE_LINK17"/>
            <w:r>
              <w:rPr>
                <w:rFonts w:hint="eastAsia" w:ascii="宋体" w:hAnsi="宋体"/>
                <w:color w:val="auto"/>
                <w:szCs w:val="21"/>
                <w:highlight w:val="none"/>
                <w:lang w:eastAsia="zh-CN"/>
              </w:rPr>
              <w:t>宾阳县2025年大中型水库移民后期扶持资金及中央水库移民扶持基金（提前批）项目基础设施项目</w:t>
            </w:r>
            <w:bookmarkEnd w:id="52"/>
            <w:r>
              <w:rPr>
                <w:rFonts w:hint="eastAsia" w:ascii="宋体" w:hAnsi="宋体"/>
                <w:color w:val="auto"/>
                <w:szCs w:val="21"/>
                <w:highlight w:val="none"/>
                <w:lang w:eastAsia="zh-CN"/>
              </w:rPr>
              <w:t xml:space="preserve"> </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val="0"/>
                <w:color w:val="auto"/>
                <w:szCs w:val="21"/>
                <w:highlight w:val="none"/>
              </w:rPr>
            </w:pPr>
            <w:r>
              <w:rPr>
                <w:rFonts w:hint="eastAsia" w:ascii="宋体" w:hAnsi="宋体"/>
                <w:b w:val="0"/>
                <w:bCs w:val="0"/>
                <w:color w:val="auto"/>
                <w:szCs w:val="21"/>
                <w:highlight w:val="none"/>
              </w:rPr>
              <w:t>项</w:t>
            </w:r>
          </w:p>
        </w:tc>
        <w:tc>
          <w:tcPr>
            <w:tcW w:w="37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bCs/>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b/>
                <w:bCs/>
                <w:color w:val="auto"/>
                <w:highlight w:val="none"/>
                <w:lang w:val="en-US" w:eastAsia="zh-CN"/>
              </w:rPr>
              <w:t>及</w:t>
            </w:r>
            <w:r>
              <w:rPr>
                <w:rFonts w:hint="eastAsia" w:ascii="宋体" w:hAnsi="宋体" w:cs="宋体"/>
                <w:b/>
                <w:bCs/>
                <w:color w:val="auto"/>
                <w:szCs w:val="21"/>
                <w:highlight w:val="none"/>
                <w:lang w:val="en-US" w:eastAsia="zh-CN"/>
              </w:rPr>
              <w:t>工程内容</w:t>
            </w:r>
            <w:r>
              <w:rPr>
                <w:rFonts w:hint="eastAsia"/>
                <w:b/>
                <w:bCs/>
                <w:color w:val="auto"/>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color w:val="auto"/>
                <w:highlight w:val="none"/>
                <w:lang w:eastAsia="zh-CN"/>
              </w:rPr>
              <w:t>硬化道路5条6.763km，路基宽度4.5m、路面宽度3.5M、路面结构为18cm厚水泥混凝土面道路，级配碎石层10cm。</w:t>
            </w:r>
            <w:r>
              <w:rPr>
                <w:rFonts w:hint="eastAsia"/>
                <w:color w:val="auto"/>
                <w:highlight w:val="none"/>
              </w:rPr>
              <w:t>（具体详见施工图纸及工程量清单所包含的所有内容）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lang w:eastAsia="zh-CN"/>
              </w:rPr>
              <w:t>.工程建设地点的现场条件：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▲3.人员最低配备要求</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拟投入本工程的人员必须是竞标单位的在岗人员，并持有有效的相应执业资格证书，对相关人员的具体条件要求如下：</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1）项目经理：拟投入本项目的项目经理必须在本单位注册，并持有具备市政公用工程施工总承包以上（含贰级）或公路工程工程专业贰级以上（含贰级）注册建造师资格，具备有效的安全生产考核合格证书（B类）。</w:t>
            </w:r>
          </w:p>
          <w:p>
            <w:pPr>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（2）安全管理员：持有有效的C类安全生产考核合格证书。</w:t>
            </w:r>
          </w:p>
          <w:p>
            <w:pPr>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上述</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项人员应附相关证书的复印件，并提供上述人员[</w:t>
            </w:r>
            <w:r>
              <w:rPr>
                <w:rFonts w:hint="eastAsia" w:ascii="宋体" w:hAnsi="宋体"/>
                <w:color w:val="auto"/>
                <w:sz w:val="21"/>
                <w:szCs w:val="21"/>
                <w:highlight w:val="none"/>
                <w:lang w:eastAsia="zh-CN"/>
              </w:rPr>
              <w:t>2025年4月至2025年9月</w:t>
            </w:r>
            <w:r>
              <w:rPr>
                <w:rFonts w:hint="eastAsia" w:ascii="宋体" w:hAnsi="宋体"/>
                <w:color w:val="auto"/>
                <w:sz w:val="21"/>
                <w:szCs w:val="21"/>
                <w:highlight w:val="none"/>
              </w:rPr>
              <w:t>]</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s="宋体"/>
                <w:b w:val="0"/>
                <w:bCs w:val="0"/>
                <w:color w:val="auto"/>
                <w:szCs w:val="21"/>
                <w:highlight w:val="none"/>
                <w:lang w:eastAsia="zh-CN"/>
              </w:rPr>
            </w:pPr>
            <w:r>
              <w:rPr>
                <w:rFonts w:hint="eastAsia" w:ascii="宋体" w:hAnsi="宋体"/>
                <w:color w:val="auto"/>
                <w:sz w:val="21"/>
                <w:szCs w:val="21"/>
                <w:highlight w:val="none"/>
              </w:rPr>
              <w:t>任意三个月的依法缴纳社会保障资金的缴费凭证复印件（从取得营业执照时间起到投标截止时间为止不足要求月数的只需提供从取得营业执照起的证明材料）。</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3400323.36</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 25 日内</w:t>
            </w:r>
            <w:r>
              <w:rPr>
                <w:rFonts w:hint="eastAsia" w:ascii="宋体" w:hAnsi="宋体" w:cs="Times New Roman"/>
                <w:color w:val="auto"/>
                <w:szCs w:val="21"/>
                <w:highlight w:val="none"/>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90</w:t>
            </w:r>
            <w:r>
              <w:rPr>
                <w:rFonts w:hint="eastAsia" w:ascii="宋体" w:hAnsi="宋体" w:eastAsia="宋体" w:cs="宋体"/>
                <w:color w:val="auto"/>
                <w:kern w:val="0"/>
                <w:szCs w:val="21"/>
                <w:highlight w:val="none"/>
                <w:lang w:val="en-US" w:eastAsia="zh-CN"/>
              </w:rPr>
              <w:t>日历天</w:t>
            </w:r>
            <w:r>
              <w:rPr>
                <w:rFonts w:hint="eastAsia" w:ascii="宋体" w:hAnsi="宋体" w:eastAsia="宋体" w:cs="宋体"/>
                <w:color w:val="auto"/>
                <w:szCs w:val="21"/>
                <w:highlight w:val="none"/>
              </w:rPr>
              <w:t>。</w:t>
            </w:r>
          </w:p>
          <w:p>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四</w:t>
            </w:r>
            <w:r>
              <w:rPr>
                <w:rFonts w:hint="eastAsia" w:ascii="宋体" w:hAnsi="宋体"/>
                <w:color w:val="auto"/>
                <w:szCs w:val="21"/>
                <w:highlight w:val="none"/>
              </w:rPr>
              <w:t>、工程质量要求：达到国家施工验收规范合格标准。</w:t>
            </w:r>
          </w:p>
          <w:p>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本项目采用工程量清单报价方式。磋商报价不得高于最高限价，否则竞标无效；最后报价与首次报价相比有调整的，供应商提交的最后报价必须包含已标价的工程量清单（上传格式必须为PDF格式），供应商须提前做好相关准备并按时递交最终报价文件，否则报价无效</w:t>
            </w:r>
            <w:r>
              <w:rPr>
                <w:rFonts w:hint="eastAsia" w:ascii="宋体" w:hAnsi="宋体" w:eastAsia="宋体" w:cs="宋体"/>
                <w:b/>
                <w:bCs/>
                <w:color w:val="auto"/>
                <w:szCs w:val="21"/>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pPr>
              <w:tabs>
                <w:tab w:val="left" w:pos="180"/>
                <w:tab w:val="left" w:pos="1620"/>
              </w:tabs>
              <w:spacing w:line="400" w:lineRule="exact"/>
              <w:rPr>
                <w:rFonts w:hint="eastAsia"/>
                <w:color w:val="auto"/>
                <w:szCs w:val="21"/>
                <w:highlight w:val="none"/>
              </w:rPr>
            </w:pPr>
            <w:r>
              <w:rPr>
                <w:rFonts w:hint="eastAsia"/>
                <w:color w:val="auto"/>
                <w:szCs w:val="21"/>
                <w:highlight w:val="none"/>
              </w:rPr>
              <w:t>一、与本项目有关的设计图纸、技术规范、文件等附件资料及其获取方式（如有）</w:t>
            </w:r>
          </w:p>
          <w:p>
            <w:pPr>
              <w:tabs>
                <w:tab w:val="left" w:pos="180"/>
                <w:tab w:val="left" w:pos="1620"/>
              </w:tabs>
              <w:spacing w:line="400" w:lineRule="exact"/>
              <w:rPr>
                <w:rFonts w:hint="eastAsia"/>
                <w:color w:val="auto"/>
                <w:szCs w:val="21"/>
                <w:highlight w:val="none"/>
              </w:rPr>
            </w:pPr>
            <w:r>
              <w:rPr>
                <w:rFonts w:hint="eastAsia"/>
                <w:color w:val="auto"/>
                <w:szCs w:val="21"/>
                <w:highlight w:val="none"/>
              </w:rPr>
              <w:t xml:space="preserve">文件或者资料名称：工程量清单、图纸           </w:t>
            </w:r>
          </w:p>
          <w:p>
            <w:pPr>
              <w:tabs>
                <w:tab w:val="left" w:pos="180"/>
                <w:tab w:val="left" w:pos="1620"/>
              </w:tabs>
              <w:spacing w:line="400" w:lineRule="exact"/>
              <w:rPr>
                <w:rFonts w:hint="eastAsia"/>
                <w:color w:val="auto"/>
                <w:szCs w:val="21"/>
                <w:highlight w:val="none"/>
              </w:rPr>
            </w:pPr>
            <w:r>
              <w:rPr>
                <w:rFonts w:hint="eastAsia"/>
                <w:color w:val="auto"/>
                <w:szCs w:val="21"/>
                <w:highlight w:val="none"/>
              </w:rPr>
              <w:t>公布渠道或者获取方式：</w:t>
            </w:r>
            <w:r>
              <w:rPr>
                <w:rFonts w:hint="eastAsia"/>
                <w:color w:val="auto"/>
                <w:szCs w:val="21"/>
                <w:highlight w:val="none"/>
                <w:lang w:eastAsia="zh-CN"/>
              </w:rPr>
              <w:t>“广西政府采购云平台”</w:t>
            </w:r>
            <w:r>
              <w:rPr>
                <w:rFonts w:hint="eastAsia"/>
                <w:color w:val="auto"/>
                <w:szCs w:val="21"/>
                <w:highlight w:val="none"/>
              </w:rPr>
              <w:t xml:space="preserve">下载      </w:t>
            </w:r>
          </w:p>
          <w:p>
            <w:pPr>
              <w:widowControl/>
              <w:shd w:val="clear" w:color="auto" w:fill="FFFFFF"/>
              <w:spacing w:line="400" w:lineRule="exact"/>
              <w:rPr>
                <w:rFonts w:hint="eastAsia"/>
                <w:color w:val="auto"/>
                <w:szCs w:val="21"/>
                <w:highlight w:val="none"/>
              </w:rPr>
            </w:pPr>
            <w:r>
              <w:rPr>
                <w:rFonts w:hint="eastAsia"/>
                <w:color w:val="auto"/>
                <w:szCs w:val="21"/>
                <w:highlight w:val="none"/>
                <w:lang w:eastAsia="zh-CN"/>
              </w:rPr>
              <w:t>二</w:t>
            </w:r>
            <w:r>
              <w:rPr>
                <w:rFonts w:hint="eastAsia"/>
                <w:color w:val="auto"/>
                <w:szCs w:val="21"/>
                <w:highlight w:val="none"/>
              </w:rPr>
              <w:t>、其他</w:t>
            </w:r>
          </w:p>
          <w:p>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1、是否进行演示：否</w:t>
            </w:r>
          </w:p>
          <w:p>
            <w:pPr>
              <w:widowControl/>
              <w:shd w:val="clear" w:color="auto" w:fill="FFFFFF"/>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2、是否要求提供样品：否</w:t>
            </w:r>
          </w:p>
          <w:p>
            <w:pPr>
              <w:pStyle w:val="50"/>
              <w:numPr>
                <w:ilvl w:val="0"/>
                <w:numId w:val="0"/>
              </w:numPr>
              <w:ind w:left="0" w:leftChars="0" w:firstLine="0" w:firstLineChars="0"/>
              <w:rPr>
                <w:rFonts w:ascii="宋体" w:hAnsi="宋体"/>
                <w:color w:val="auto"/>
                <w:szCs w:val="21"/>
                <w:highlight w:val="none"/>
              </w:rPr>
            </w:pPr>
            <w:r>
              <w:rPr>
                <w:rFonts w:hint="eastAsia" w:ascii="宋体" w:hAnsi="宋体" w:cs="宋体"/>
                <w:color w:val="auto"/>
                <w:sz w:val="21"/>
                <w:szCs w:val="21"/>
                <w:highlight w:val="none"/>
              </w:rPr>
              <w:t>3、是否现场踏勘：否</w:t>
            </w:r>
          </w:p>
        </w:tc>
      </w:tr>
      <w:bookmarkEnd w:id="51"/>
    </w:tbl>
    <w:p>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pPr>
        <w:spacing w:line="428" w:lineRule="exact"/>
        <w:rPr>
          <w:rFonts w:ascii="Arial Unicode MS" w:hAnsi="Arial Unicode MS" w:eastAsia="Times New Roman" w:cs="Arial Unicode MS"/>
          <w:color w:val="auto"/>
          <w:sz w:val="17"/>
          <w:szCs w:val="17"/>
          <w:highlight w:val="none"/>
        </w:rPr>
      </w:pPr>
      <w:bookmarkStart w:id="53" w:name="_Toc23956"/>
      <w:bookmarkStart w:id="54" w:name="_Toc30087"/>
      <w:bookmarkStart w:id="55" w:name="_Toc17962"/>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5"/>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tblPrEx>
          <w:tblLayout w:type="fixed"/>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tblPrEx>
          <w:tblLayout w:type="fixed"/>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tblPrEx>
          <w:tblLayout w:type="fixed"/>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tblPrEx>
          <w:tblLayout w:type="fixed"/>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pPr>
        <w:pStyle w:val="12"/>
        <w:spacing w:line="360" w:lineRule="auto"/>
        <w:rPr>
          <w:rFonts w:asci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pPr>
        <w:pStyle w:val="16"/>
        <w:jc w:val="left"/>
        <w:rPr>
          <w:rFonts w:ascii="Arial Unicode MS" w:hAnsi="Arial Unicode MS" w:eastAsia="Times New Roman" w:cs="Arial Unicode MS"/>
          <w:color w:val="auto"/>
          <w:sz w:val="32"/>
          <w:szCs w:val="32"/>
          <w:highlight w:val="none"/>
        </w:rPr>
      </w:pPr>
      <w:r>
        <w:rPr>
          <w:rFonts w:hAnsi="宋体"/>
          <w:color w:val="auto"/>
          <w:highlight w:val="none"/>
        </w:rPr>
        <w:t xml:space="preserve">    </w:t>
      </w:r>
      <w:r>
        <w:rPr>
          <w:color w:val="auto"/>
          <w:highlight w:val="none"/>
        </w:rPr>
        <w:t>2.</w:t>
      </w:r>
      <w:r>
        <w:rPr>
          <w:rFonts w:hint="eastAsia"/>
          <w:color w:val="auto"/>
          <w:highlight w:val="none"/>
        </w:rPr>
        <w:t>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5"/>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tblPrEx>
          <w:tblLayout w:type="fixed"/>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6000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6000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8000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120000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bl>
    <w:p>
      <w:pPr>
        <w:spacing w:line="560" w:lineRule="exact"/>
        <w:ind w:firstLine="525" w:firstLineChars="250"/>
        <w:rPr>
          <w:rFonts w:ascii="宋体"/>
          <w:color w:val="auto"/>
          <w:kern w:val="0"/>
          <w:sz w:val="20"/>
          <w:szCs w:val="21"/>
          <w:highlight w:val="none"/>
        </w:rPr>
        <w:sectPr>
          <w:footerReference r:id="rId11" w:type="default"/>
          <w:pgSz w:w="11906" w:h="16838"/>
          <w:pgMar w:top="1134" w:right="1134" w:bottom="1134" w:left="1134" w:header="720" w:footer="720" w:gutter="0"/>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w:t>
      </w:r>
      <w:r>
        <w:rPr>
          <w:rFonts w:ascii="仿宋_GB2312" w:hAnsi="仿宋" w:eastAsia="仿宋_GB2312"/>
          <w:color w:val="auto"/>
          <w:szCs w:val="21"/>
          <w:highlight w:val="none"/>
        </w:rPr>
        <w:t>[2011]300</w:t>
      </w:r>
      <w:r>
        <w:rPr>
          <w:rFonts w:hint="eastAsia" w:ascii="仿宋_GB2312" w:hAnsi="仿宋" w:eastAsia="仿宋_GB2312"/>
          <w:color w:val="auto"/>
          <w:szCs w:val="21"/>
          <w:highlight w:val="none"/>
        </w:rPr>
        <w:t>号），大型、中型和小型企业须同时满足所列指标的下限，否则下划一档；微型企业只须满足所列指标中的一项即可。</w:t>
      </w:r>
    </w:p>
    <w:p>
      <w:pPr>
        <w:pStyle w:val="2"/>
        <w:spacing w:line="360" w:lineRule="auto"/>
        <w:jc w:val="center"/>
        <w:rPr>
          <w:rFonts w:hint="eastAsia" w:ascii="宋体" w:hAnsi="宋体" w:eastAsia="宋体" w:cs="宋体"/>
          <w:b/>
          <w:bCs/>
          <w:color w:val="auto"/>
          <w:highlight w:val="none"/>
        </w:rPr>
      </w:pPr>
      <w:bookmarkStart w:id="56" w:name="_Toc13594"/>
      <w:bookmarkStart w:id="57" w:name="_Toc680"/>
      <w:bookmarkStart w:id="58" w:name="_Toc14404"/>
      <w:r>
        <w:rPr>
          <w:rFonts w:hint="eastAsia" w:ascii="宋体" w:hAnsi="宋体" w:eastAsia="宋体" w:cs="宋体"/>
          <w:b/>
          <w:bCs/>
          <w:color w:val="auto"/>
          <w:highlight w:val="none"/>
        </w:rPr>
        <w:t>第三章 供应商须知</w:t>
      </w:r>
      <w:bookmarkEnd w:id="53"/>
      <w:bookmarkEnd w:id="54"/>
      <w:bookmarkEnd w:id="55"/>
      <w:bookmarkEnd w:id="56"/>
      <w:bookmarkEnd w:id="57"/>
      <w:bookmarkEnd w:id="58"/>
    </w:p>
    <w:p>
      <w:pPr>
        <w:pStyle w:val="3"/>
        <w:spacing w:line="360" w:lineRule="auto"/>
        <w:jc w:val="center"/>
        <w:rPr>
          <w:rFonts w:hint="eastAsia" w:ascii="宋体" w:hAnsi="宋体" w:eastAsia="宋体" w:cs="宋体"/>
          <w:b w:val="0"/>
          <w:color w:val="auto"/>
          <w:highlight w:val="none"/>
        </w:rPr>
      </w:pPr>
      <w:bookmarkStart w:id="59" w:name="_Toc2403"/>
      <w:bookmarkStart w:id="60" w:name="_Toc23393"/>
      <w:bookmarkStart w:id="61" w:name="_Toc1315"/>
      <w:bookmarkStart w:id="62" w:name="_Toc28335"/>
      <w:bookmarkStart w:id="63" w:name="_Toc23940"/>
      <w:bookmarkStart w:id="64" w:name="_Toc24946"/>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59"/>
      <w:bookmarkEnd w:id="60"/>
      <w:bookmarkEnd w:id="61"/>
      <w:bookmarkEnd w:id="62"/>
      <w:bookmarkEnd w:id="63"/>
      <w:bookmarkEnd w:id="64"/>
    </w:p>
    <w:tbl>
      <w:tblPr>
        <w:tblStyle w:val="25"/>
        <w:tblW w:w="99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903"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2025年4月至2025年9月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w:t>
            </w:r>
            <w:r>
              <w:rPr>
                <w:rFonts w:hint="eastAsia" w:ascii="宋体" w:hAnsi="宋体" w:eastAsia="宋体" w:cs="宋体"/>
                <w:color w:val="auto"/>
                <w:szCs w:val="21"/>
                <w:highlight w:val="none"/>
              </w:rPr>
              <w:t>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2025年4月至2025年9月</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期间</w:t>
            </w:r>
            <w:r>
              <w:rPr>
                <w:rFonts w:hint="eastAsia" w:ascii="宋体" w:hAnsi="宋体" w:cs="宋体"/>
                <w:color w:val="auto"/>
                <w:szCs w:val="21"/>
                <w:highlight w:val="none"/>
                <w:lang w:val="en-US" w:eastAsia="zh-CN"/>
              </w:rPr>
              <w:t>连续</w:t>
            </w:r>
            <w:r>
              <w:rPr>
                <w:rFonts w:hint="eastAsia" w:ascii="宋体" w:hAnsi="宋体" w:cs="宋体"/>
                <w:color w:val="auto"/>
                <w:szCs w:val="21"/>
                <w:highlight w:val="none"/>
                <w:u w:val="single"/>
                <w:lang w:val="en-US" w:eastAsia="zh-CN"/>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w:t>
            </w:r>
            <w:r>
              <w:rPr>
                <w:rFonts w:hint="eastAsia" w:ascii="宋体" w:hAnsi="宋体" w:eastAsia="宋体" w:cs="宋体"/>
                <w:color w:val="auto"/>
                <w:szCs w:val="21"/>
                <w:highlight w:val="none"/>
              </w:rPr>
              <w:t>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宋体" w:hAnsi="宋体" w:cs="宋体"/>
                <w:color w:val="auto"/>
                <w:szCs w:val="21"/>
                <w:highlight w:val="none"/>
                <w:u w:val="single"/>
                <w:lang w:val="en-US" w:eastAsia="zh-CN"/>
              </w:rPr>
              <w:t>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olor w:val="auto"/>
                <w:szCs w:val="21"/>
                <w:highlight w:val="none"/>
                <w:lang w:val="en-US" w:eastAsia="zh-CN"/>
              </w:rPr>
              <w:t>中小企业声明函</w:t>
            </w:r>
            <w:r>
              <w:rPr>
                <w:rFonts w:hint="eastAsia" w:ascii="宋体" w:hAnsi="宋体"/>
                <w:color w:val="auto"/>
                <w:szCs w:val="21"/>
                <w:highlight w:val="none"/>
              </w:rPr>
              <w:t>或残疾人福利性单位声明函或供应商属于监狱企业的证明材料</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cs="宋体"/>
                <w:color w:val="auto"/>
                <w:szCs w:val="21"/>
                <w:highlight w:val="none"/>
                <w:lang w:eastAsia="zh-CN"/>
              </w:rPr>
              <w:t>：具备市政公用工程施工总承包以上（含叁级）或公路工程工程施工总承包叁级以上（含叁级）资质；具有省级及以上建设行政主管部门颁发的安全生产许可证,并在人员、设备、资金等方面具备相应的施工能力；拟派项目经理须具备市政公用工程施工总承包以上（含贰级）或公路工程工程专业贰级以上（含贰级）注册建造师资格，具备有效的安全生产考核合格证书（B类）</w:t>
            </w:r>
            <w:r>
              <w:rPr>
                <w:rFonts w:hint="eastAsia" w:ascii="宋体" w:hAnsi="宋体" w:eastAsia="宋体" w:cs="宋体"/>
                <w:color w:val="auto"/>
                <w:szCs w:val="21"/>
                <w:highlight w:val="none"/>
              </w:rPr>
              <w:t>；</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.建设工程项目管理承诺书；</w:t>
            </w:r>
            <w:r>
              <w:rPr>
                <w:rFonts w:hint="eastAsia" w:ascii="宋体" w:hAnsi="宋体" w:eastAsia="宋体" w:cs="宋体"/>
                <w:b/>
                <w:color w:val="auto"/>
                <w:szCs w:val="21"/>
                <w:highlight w:val="none"/>
              </w:rPr>
              <w:t>（必须提供，否则响应文件按无效响应处理）</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供应商类似业绩的证明文件；</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0" w:type="dxa"/>
            <w:noWrap w:val="0"/>
            <w:vAlign w:val="center"/>
          </w:tcPr>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1.技术需求偏离表；（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0" w:type="dxa"/>
            <w:noWrap w:val="0"/>
            <w:vAlign w:val="center"/>
          </w:tcPr>
          <w:p>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9</w:t>
            </w:r>
            <w:r>
              <w:rPr>
                <w:rFonts w:hint="eastAsia" w:ascii="宋体" w:hAnsi="宋体" w:eastAsia="宋体" w:cs="宋体"/>
                <w:color w:val="auto"/>
                <w:kern w:val="2"/>
                <w:sz w:val="21"/>
                <w:szCs w:val="21"/>
                <w:highlight w:val="none"/>
                <w:u w:val="single"/>
              </w:rPr>
              <w:t xml:space="preserve">0 </w:t>
            </w:r>
            <w:r>
              <w:rPr>
                <w:rFonts w:hint="eastAsia" w:ascii="宋体" w:hAnsi="宋体" w:eastAsia="宋体" w:cs="宋体"/>
                <w:color w:val="auto"/>
                <w:kern w:val="2"/>
                <w:sz w:val="21"/>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6"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☑提交履约担保</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履约担保的形式：☑履约保证金；☑履约保函。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rPr>
            </w:pPr>
            <w:r>
              <w:rPr>
                <w:rFonts w:ascii="宋体" w:hAnsi="宋体"/>
                <w:color w:val="auto"/>
                <w:kern w:val="0"/>
                <w:sz w:val="21"/>
                <w:szCs w:val="21"/>
                <w:highlight w:val="none"/>
              </w:rPr>
              <w:t>本项目的履约担保额为中标合同金额的</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w:t>
            </w:r>
            <w:r>
              <w:rPr>
                <w:rFonts w:ascii="宋体" w:hAnsi="宋体"/>
                <w:color w:val="auto"/>
                <w:kern w:val="0"/>
                <w:sz w:val="21"/>
                <w:szCs w:val="21"/>
                <w:highlight w:val="none"/>
              </w:rPr>
              <w:t>,保证金应从投标人银行基本账户转出，履约保函应由投标人基本账户所在银行开具。履约担保在合同工程完工证书颁发后无息退还给承包人。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广西星木工程咨询有限公司</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0771-3132669</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通讯地址：南宁市青秀区佛子岭路18号德利国际·东盟文化广场B1栋十五层1508、1509号办公室</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宾阳县水库移民安置服务中心</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0771-8256296</w:t>
            </w:r>
            <w:r>
              <w:rPr>
                <w:rFonts w:hint="eastAsia" w:ascii="宋体" w:hAnsi="宋体" w:cs="宋体"/>
                <w:color w:val="auto"/>
                <w:szCs w:val="21"/>
                <w:highlight w:val="none"/>
                <w:lang w:val="en-US" w:eastAsia="zh-CN"/>
              </w:rPr>
              <w:t xml:space="preserve"> </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eastAsia="zh-CN"/>
              </w:rPr>
              <w:t>广西南宁市宾阳县宾州镇枫江路240号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w:t>
            </w:r>
            <w:bookmarkStart w:id="65" w:name="OLE_LINK15"/>
            <w:r>
              <w:rPr>
                <w:rFonts w:hint="eastAsia" w:ascii="宋体" w:hAnsi="宋体" w:eastAsia="宋体" w:cs="宋体"/>
                <w:color w:val="auto"/>
                <w:sz w:val="21"/>
                <w:szCs w:val="21"/>
                <w:highlight w:val="none"/>
                <w:lang w:eastAsia="zh-CN"/>
              </w:rPr>
              <w:t>宾阳县财政局政府采购监督管理股</w:t>
            </w:r>
            <w:bookmarkEnd w:id="65"/>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地址：宾阳县宾州镇财政路133号</w:t>
            </w:r>
          </w:p>
          <w:p>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szCs w:val="21"/>
                <w:highlight w:val="none"/>
                <w:lang w:eastAsia="zh-CN"/>
              </w:rPr>
              <w:t>联系电话：</w:t>
            </w:r>
            <w:bookmarkStart w:id="66" w:name="OLE_LINK16"/>
            <w:r>
              <w:rPr>
                <w:rFonts w:hint="eastAsia" w:ascii="宋体" w:hAnsi="宋体" w:eastAsia="宋体" w:cs="宋体"/>
                <w:color w:val="auto"/>
                <w:sz w:val="21"/>
                <w:szCs w:val="21"/>
                <w:highlight w:val="none"/>
                <w:lang w:eastAsia="zh-CN"/>
              </w:rPr>
              <w:t>0771-8231525</w:t>
            </w:r>
            <w:bookmarkEnd w:id="6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int="eastAsia" w:hAnsi="宋体" w:eastAsia="宋体" w:cs="宋体"/>
                <w:color w:val="auto"/>
                <w:sz w:val="21"/>
                <w:szCs w:val="21"/>
                <w:highlight w:val="none"/>
                <w:lang w:val="en-US" w:eastAsia="zh-CN"/>
              </w:rPr>
              <w:t>中标供应商</w:t>
            </w:r>
            <w:r>
              <w:rPr>
                <w:rFonts w:hAnsi="宋体" w:eastAsia="Times New Roman" w:cs="宋体"/>
                <w:color w:val="auto"/>
                <w:sz w:val="21"/>
                <w:szCs w:val="21"/>
                <w:highlight w:val="none"/>
              </w:rPr>
              <w:t>支付。</w:t>
            </w:r>
          </w:p>
          <w:p>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采购代理费收取标准：</w:t>
            </w:r>
            <w:bookmarkStart w:id="67" w:name="OLE_LINK13"/>
            <w:r>
              <w:rPr>
                <w:rFonts w:hint="eastAsia" w:ascii="宋体" w:hAnsi="宋体" w:eastAsia="宋体" w:cs="宋体"/>
                <w:color w:val="auto"/>
                <w:sz w:val="21"/>
                <w:szCs w:val="21"/>
                <w:highlight w:val="none"/>
              </w:rPr>
              <w:t>以项目中标金额为计费基数，依据国家发展计划委员会计价格[2002]1980号《招标代理服务费管理暂行办法》工程类收费标准及发改价格[2011]534号文的工程类规定</w:t>
            </w:r>
            <w:r>
              <w:rPr>
                <w:rFonts w:hint="eastAsia" w:hAnsi="宋体" w:cs="宋体"/>
                <w:color w:val="auto"/>
                <w:sz w:val="21"/>
                <w:szCs w:val="21"/>
                <w:highlight w:val="none"/>
                <w:lang w:val="en-US" w:eastAsia="zh-CN"/>
              </w:rPr>
              <w:t>下浮3%</w:t>
            </w:r>
            <w:r>
              <w:rPr>
                <w:rFonts w:hint="eastAsia" w:ascii="宋体" w:hAnsi="宋体" w:eastAsia="宋体" w:cs="宋体"/>
                <w:color w:val="auto"/>
                <w:sz w:val="21"/>
                <w:szCs w:val="21"/>
                <w:highlight w:val="none"/>
              </w:rPr>
              <w:t>计取</w:t>
            </w:r>
            <w:bookmarkEnd w:id="67"/>
            <w:r>
              <w:rPr>
                <w:rFonts w:hint="eastAsia" w:ascii="宋体" w:hAnsi="宋体" w:eastAsia="宋体" w:cs="宋体"/>
                <w:color w:val="auto"/>
                <w:sz w:val="21"/>
                <w:szCs w:val="21"/>
                <w:highlight w:val="none"/>
              </w:rPr>
              <w:t>。</w:t>
            </w:r>
          </w:p>
          <w:p>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w:t>
            </w:r>
            <w:r>
              <w:rPr>
                <w:rFonts w:hint="eastAsia" w:hAnsi="宋体" w:eastAsia="Times New Roman" w:cs="宋体"/>
                <w:color w:val="auto"/>
                <w:sz w:val="21"/>
                <w:szCs w:val="21"/>
                <w:highlight w:val="none"/>
                <w:lang w:val="en-US" w:eastAsia="zh-CN"/>
              </w:rPr>
              <w:t>广西星木工程咨询有限公司</w:t>
            </w:r>
            <w:r>
              <w:rPr>
                <w:rFonts w:hint="eastAsia" w:ascii="宋体" w:hAnsi="宋体" w:eastAsia="Times New Roman" w:cs="宋体"/>
                <w:color w:val="auto"/>
                <w:sz w:val="21"/>
                <w:szCs w:val="21"/>
                <w:highlight w:val="none"/>
                <w:lang w:val="en-US" w:eastAsia="zh-CN"/>
              </w:rPr>
              <w:t xml:space="preserve">      </w:t>
            </w:r>
          </w:p>
          <w:p>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开户银行：桂林银行股份有限公司南宁桃源支行 </w:t>
            </w:r>
          </w:p>
          <w:p>
            <w:pPr>
              <w:pStyle w:val="16"/>
              <w:snapToGrid w:val="0"/>
              <w:spacing w:line="360" w:lineRule="auto"/>
              <w:rPr>
                <w:rFonts w:hint="default" w:ascii="宋体" w:hAnsi="宋体" w:eastAsia="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w:t>
            </w:r>
            <w:r>
              <w:rPr>
                <w:rFonts w:hint="eastAsia" w:hAnsi="宋体" w:eastAsia="Times New Roman" w:cs="宋体"/>
                <w:color w:val="auto"/>
                <w:sz w:val="21"/>
                <w:szCs w:val="21"/>
                <w:highlight w:val="none"/>
                <w:lang w:val="en-US" w:eastAsia="zh-CN"/>
              </w:rPr>
              <w:t>660000019017100018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pPr>
              <w:pStyle w:val="16"/>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pStyle w:val="16"/>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项目采购全流程电子化电子开评标规程执行项目采购活动，代理机构在</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68" w:name="_Toc11716"/>
      <w:bookmarkStart w:id="69" w:name="_Toc28698"/>
      <w:bookmarkStart w:id="70" w:name="_Toc18606"/>
      <w:bookmarkStart w:id="71" w:name="_Toc11935"/>
      <w:bookmarkStart w:id="72" w:name="_Toc3460"/>
      <w:bookmarkStart w:id="73" w:name="_Toc31001"/>
      <w:r>
        <w:rPr>
          <w:rFonts w:hint="eastAsia" w:ascii="宋体" w:hAnsi="宋体" w:eastAsia="宋体" w:cs="宋体"/>
          <w:b w:val="0"/>
          <w:color w:val="auto"/>
          <w:highlight w:val="none"/>
        </w:rPr>
        <w:t>第二节 供应商须知正文</w:t>
      </w:r>
      <w:bookmarkEnd w:id="68"/>
      <w:bookmarkEnd w:id="69"/>
      <w:bookmarkEnd w:id="70"/>
      <w:bookmarkEnd w:id="71"/>
      <w:bookmarkEnd w:id="72"/>
      <w:bookmarkEnd w:id="73"/>
    </w:p>
    <w:p>
      <w:pPr>
        <w:pStyle w:val="4"/>
        <w:spacing w:before="0" w:after="0" w:line="360" w:lineRule="auto"/>
        <w:rPr>
          <w:rFonts w:hint="eastAsia" w:ascii="宋体" w:hAnsi="宋体" w:eastAsia="宋体" w:cs="宋体"/>
          <w:b/>
          <w:bCs w:val="0"/>
          <w:color w:val="auto"/>
          <w:highlight w:val="none"/>
        </w:rPr>
      </w:pPr>
      <w:bookmarkStart w:id="74" w:name="_Toc4039"/>
      <w:bookmarkStart w:id="75" w:name="_Toc26491"/>
      <w:bookmarkStart w:id="76" w:name="_Toc6602"/>
      <w:bookmarkStart w:id="77" w:name="_Toc5632"/>
      <w:bookmarkStart w:id="78" w:name="_Toc4242"/>
      <w:r>
        <w:rPr>
          <w:rFonts w:hint="eastAsia" w:ascii="宋体" w:hAnsi="宋体" w:eastAsia="宋体" w:cs="宋体"/>
          <w:b/>
          <w:bCs w:val="0"/>
          <w:color w:val="auto"/>
          <w:highlight w:val="none"/>
        </w:rPr>
        <w:t>一、总则</w:t>
      </w:r>
      <w:bookmarkEnd w:id="74"/>
      <w:bookmarkEnd w:id="75"/>
      <w:bookmarkEnd w:id="76"/>
      <w:bookmarkEnd w:id="77"/>
      <w:bookmarkEnd w:id="78"/>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pPr>
        <w:spacing w:line="360" w:lineRule="auto"/>
        <w:ind w:firstLine="482" w:firstLineChars="200"/>
        <w:rPr>
          <w:rFonts w:hint="eastAsia" w:ascii="宋体" w:hAnsi="宋体" w:eastAsia="宋体" w:cs="宋体"/>
          <w:b/>
          <w:bCs/>
          <w:color w:val="auto"/>
          <w:sz w:val="24"/>
          <w:highlight w:val="none"/>
        </w:rPr>
      </w:pPr>
      <w:bookmarkStart w:id="79" w:name="_Toc254970673"/>
      <w:bookmarkStart w:id="80" w:name="_Toc254970532"/>
      <w:r>
        <w:rPr>
          <w:rFonts w:hint="eastAsia" w:ascii="宋体" w:hAnsi="宋体" w:eastAsia="宋体" w:cs="宋体"/>
          <w:b/>
          <w:bCs/>
          <w:color w:val="auto"/>
          <w:sz w:val="24"/>
          <w:highlight w:val="none"/>
        </w:rPr>
        <w:t>7.特别说明</w:t>
      </w:r>
      <w:bookmarkEnd w:id="79"/>
      <w:bookmarkEnd w:id="80"/>
    </w:p>
    <w:p>
      <w:pPr>
        <w:spacing w:line="360" w:lineRule="auto"/>
        <w:ind w:firstLine="420" w:firstLineChars="200"/>
        <w:rPr>
          <w:rFonts w:hint="eastAsia" w:ascii="宋体" w:hAnsi="宋体" w:eastAsia="宋体" w:cs="宋体"/>
          <w:color w:val="auto"/>
          <w:szCs w:val="21"/>
          <w:highlight w:val="none"/>
        </w:rPr>
      </w:pPr>
      <w:bookmarkStart w:id="81" w:name="_8.1提供相同品牌产品且通过资格审查、符合性审查的不同投标人参加同一合"/>
      <w:bookmarkEnd w:id="81"/>
      <w:r>
        <w:rPr>
          <w:rFonts w:hint="eastAsia" w:ascii="宋体" w:hAnsi="宋体" w:eastAsia="宋体" w:cs="宋体"/>
          <w:color w:val="auto"/>
          <w:szCs w:val="21"/>
          <w:highlight w:val="none"/>
        </w:rPr>
        <w:t>7.1</w:t>
      </w:r>
      <w:bookmarkStart w:id="8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82"/>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pPr>
        <w:bidi w:val="0"/>
        <w:spacing w:line="360" w:lineRule="auto"/>
        <w:rPr>
          <w:rFonts w:hint="eastAsia" w:ascii="宋体" w:hAnsi="宋体" w:eastAsia="宋体" w:cs="宋体"/>
          <w:color w:val="auto"/>
          <w:highlight w:val="none"/>
        </w:rPr>
      </w:pPr>
      <w:bookmarkStart w:id="83" w:name="_Toc254970534"/>
      <w:bookmarkStart w:id="84" w:name="_Toc254970675"/>
    </w:p>
    <w:p>
      <w:pPr>
        <w:pStyle w:val="4"/>
        <w:spacing w:before="0" w:after="0" w:line="360" w:lineRule="auto"/>
        <w:rPr>
          <w:rFonts w:hint="eastAsia" w:ascii="宋体" w:hAnsi="宋体" w:eastAsia="宋体" w:cs="宋体"/>
          <w:b/>
          <w:bCs w:val="0"/>
          <w:color w:val="auto"/>
          <w:highlight w:val="none"/>
        </w:rPr>
      </w:pPr>
      <w:bookmarkStart w:id="85" w:name="_Toc6695"/>
      <w:bookmarkStart w:id="86" w:name="_Toc25818"/>
      <w:bookmarkStart w:id="87" w:name="_Toc29382"/>
      <w:bookmarkStart w:id="88" w:name="_Toc22797"/>
      <w:bookmarkStart w:id="89" w:name="_Toc16003"/>
      <w:r>
        <w:rPr>
          <w:rFonts w:hint="eastAsia" w:ascii="宋体" w:hAnsi="宋体" w:eastAsia="宋体" w:cs="宋体"/>
          <w:b/>
          <w:bCs w:val="0"/>
          <w:color w:val="auto"/>
          <w:highlight w:val="none"/>
        </w:rPr>
        <w:t>二、磋商文件</w:t>
      </w:r>
      <w:bookmarkEnd w:id="83"/>
      <w:bookmarkEnd w:id="84"/>
      <w:bookmarkEnd w:id="85"/>
      <w:bookmarkEnd w:id="86"/>
      <w:bookmarkEnd w:id="87"/>
      <w:bookmarkEnd w:id="88"/>
      <w:bookmarkEnd w:id="89"/>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90" w:name="_Toc19295"/>
      <w:bookmarkStart w:id="91" w:name="_Toc2622"/>
      <w:bookmarkStart w:id="92" w:name="_Toc30069"/>
      <w:bookmarkStart w:id="93" w:name="_Toc18572"/>
      <w:bookmarkStart w:id="94" w:name="_Toc30454"/>
      <w:r>
        <w:rPr>
          <w:rFonts w:hint="eastAsia" w:ascii="宋体" w:hAnsi="宋体" w:eastAsia="宋体" w:cs="宋体"/>
          <w:b/>
          <w:bCs w:val="0"/>
          <w:color w:val="auto"/>
          <w:highlight w:val="none"/>
        </w:rPr>
        <w:t>三、响应文件的编制</w:t>
      </w:r>
      <w:bookmarkEnd w:id="90"/>
      <w:bookmarkEnd w:id="91"/>
      <w:bookmarkEnd w:id="92"/>
      <w:bookmarkEnd w:id="93"/>
      <w:bookmarkEnd w:id="94"/>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95"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95"/>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96"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96"/>
      <w:r>
        <w:rPr>
          <w:rFonts w:hint="eastAsia" w:ascii="宋体" w:hAnsi="宋体" w:eastAsia="宋体" w:cs="宋体"/>
          <w:color w:val="auto"/>
          <w:szCs w:val="21"/>
          <w:highlight w:val="none"/>
        </w:rPr>
        <w:t>，否则其响应文件按无效响应处理。骑缝盖公章不视为在规定位置盖章。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bookmarkStart w:id="97" w:name="_Hlk45702405"/>
      <w:r>
        <w:rPr>
          <w:rFonts w:hint="eastAsia" w:ascii="宋体" w:hAnsi="宋体" w:eastAsia="宋体" w:cs="宋体"/>
          <w:b/>
          <w:bCs/>
          <w:color w:val="auto"/>
          <w:sz w:val="24"/>
          <w:highlight w:val="none"/>
        </w:rPr>
        <w:t>22. 首次响应文件的退回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97"/>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98" w:name="_Toc25351"/>
      <w:bookmarkStart w:id="99" w:name="_Toc12235"/>
      <w:bookmarkStart w:id="100" w:name="_Toc27120"/>
      <w:bookmarkStart w:id="101" w:name="_Toc30168"/>
      <w:bookmarkStart w:id="102" w:name="_Toc21487"/>
      <w:r>
        <w:rPr>
          <w:rFonts w:hint="eastAsia" w:ascii="宋体" w:hAnsi="宋体" w:eastAsia="宋体" w:cs="宋体"/>
          <w:b/>
          <w:bCs w:val="0"/>
          <w:color w:val="auto"/>
          <w:highlight w:val="none"/>
        </w:rPr>
        <w:t>四、评审及磋商</w:t>
      </w:r>
      <w:bookmarkEnd w:id="98"/>
      <w:bookmarkEnd w:id="99"/>
      <w:bookmarkEnd w:id="100"/>
      <w:bookmarkEnd w:id="101"/>
      <w:bookmarkEnd w:id="102"/>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hAnsi="宋体" w:cs="宋体"/>
          <w:b/>
          <w:color w:val="auto"/>
          <w:sz w:val="21"/>
          <w:highlight w:val="none"/>
          <w:lang w:eastAsia="zh-CN"/>
        </w:rPr>
        <w:t>“广西政府采购云平台”</w:t>
      </w:r>
      <w:r>
        <w:rPr>
          <w:rFonts w:hint="eastAsia" w:ascii="宋体" w:hAnsi="宋体" w:eastAsia="宋体" w:cs="宋体"/>
          <w:b/>
          <w:color w:val="auto"/>
          <w:sz w:val="21"/>
          <w:highlight w:val="none"/>
        </w:rPr>
        <w:t>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03" w:name="_Toc26245"/>
      <w:bookmarkStart w:id="104" w:name="_Toc18614"/>
      <w:bookmarkStart w:id="105" w:name="_Toc24055"/>
      <w:bookmarkStart w:id="106" w:name="_Toc24541"/>
      <w:bookmarkStart w:id="107" w:name="_Toc15815"/>
      <w:r>
        <w:rPr>
          <w:rFonts w:hint="eastAsia" w:ascii="宋体" w:hAnsi="宋体" w:eastAsia="宋体" w:cs="宋体"/>
          <w:b/>
          <w:bCs w:val="0"/>
          <w:color w:val="auto"/>
          <w:highlight w:val="none"/>
        </w:rPr>
        <w:t>五、成交及合同</w:t>
      </w:r>
      <w:bookmarkEnd w:id="103"/>
      <w:bookmarkEnd w:id="104"/>
      <w:bookmarkEnd w:id="105"/>
      <w:bookmarkEnd w:id="106"/>
      <w:bookmarkEnd w:id="107"/>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pPr>
        <w:pStyle w:val="33"/>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pPr>
        <w:pStyle w:val="33"/>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108" w:name="_Toc80205930"/>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09" w:name="_Toc7926"/>
      <w:bookmarkStart w:id="110" w:name="_Toc12020"/>
      <w:bookmarkStart w:id="111" w:name="_Toc15338"/>
      <w:bookmarkStart w:id="112" w:name="_Toc11545"/>
      <w:bookmarkStart w:id="113" w:name="_Toc14574"/>
      <w:r>
        <w:rPr>
          <w:rFonts w:hint="eastAsia" w:ascii="宋体" w:hAnsi="宋体" w:eastAsia="宋体" w:cs="宋体"/>
          <w:b/>
          <w:bCs w:val="0"/>
          <w:color w:val="auto"/>
          <w:highlight w:val="none"/>
        </w:rPr>
        <w:t>六、验收</w:t>
      </w:r>
      <w:bookmarkEnd w:id="108"/>
      <w:bookmarkEnd w:id="109"/>
      <w:bookmarkEnd w:id="110"/>
      <w:bookmarkEnd w:id="111"/>
      <w:bookmarkEnd w:id="112"/>
      <w:bookmarkEnd w:id="113"/>
    </w:p>
    <w:p>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114" w:name="_Toc28745"/>
      <w:bookmarkStart w:id="115" w:name="_Toc3779"/>
      <w:bookmarkStart w:id="116" w:name="_Toc29251"/>
      <w:bookmarkStart w:id="117" w:name="_Toc14544"/>
      <w:bookmarkStart w:id="118" w:name="_Toc12694"/>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114"/>
      <w:bookmarkEnd w:id="115"/>
      <w:bookmarkEnd w:id="116"/>
      <w:bookmarkEnd w:id="117"/>
      <w:bookmarkEnd w:id="118"/>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pPr>
        <w:tabs>
          <w:tab w:val="left" w:pos="2835"/>
        </w:tabs>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w:t>
      </w:r>
      <w:r>
        <w:rPr>
          <w:rFonts w:hint="eastAsia" w:hAnsi="宋体" w:cs="宋体"/>
          <w:color w:val="auto"/>
          <w:sz w:val="21"/>
          <w:highlight w:val="none"/>
          <w:lang w:eastAsia="zh-CN"/>
        </w:rPr>
        <w:t>民法典</w:t>
      </w:r>
      <w:r>
        <w:rPr>
          <w:rFonts w:hint="eastAsia" w:ascii="宋体" w:hAnsi="宋体" w:eastAsia="宋体" w:cs="宋体"/>
          <w:color w:val="auto"/>
          <w:sz w:val="21"/>
          <w:highlight w:val="none"/>
        </w:rPr>
        <w:t>》订立劳动合同的从业人员，不对其中涉及的货物的制造商和工程承建商作出要求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pPr>
        <w:pStyle w:val="16"/>
        <w:spacing w:line="360" w:lineRule="auto"/>
        <w:ind w:firstLine="420" w:firstLineChars="200"/>
        <w:rPr>
          <w:rFonts w:hAnsi="宋体"/>
          <w:color w:val="auto"/>
          <w:sz w:val="21"/>
          <w:highlight w:val="none"/>
        </w:rPr>
      </w:pPr>
      <w:r>
        <w:rPr>
          <w:rFonts w:hint="eastAsia" w:hAnsi="宋体"/>
          <w:color w:val="auto"/>
          <w:sz w:val="21"/>
          <w:highlight w:val="none"/>
        </w:rPr>
        <w:t>为优化政府采购营商环境，缓解供应商资金难题，南宁市政府采购试行政府采购信用融资制度，中标供应商如有融资需求，可凭政府采购合同通过以下方式申请政府采购信用融资贷款：</w:t>
      </w:r>
    </w:p>
    <w:p>
      <w:pPr>
        <w:pStyle w:val="16"/>
        <w:numPr>
          <w:ilvl w:val="0"/>
          <w:numId w:val="0"/>
        </w:numPr>
        <w:spacing w:line="360" w:lineRule="auto"/>
        <w:ind w:firstLine="420" w:firstLineChars="200"/>
        <w:rPr>
          <w:rFonts w:hAnsi="宋体"/>
          <w:color w:val="auto"/>
          <w:sz w:val="21"/>
          <w:highlight w:val="none"/>
        </w:rPr>
      </w:pPr>
      <w:r>
        <w:rPr>
          <w:rFonts w:hint="eastAsia" w:hAnsi="宋体"/>
          <w:color w:val="auto"/>
          <w:sz w:val="21"/>
          <w:highlight w:val="none"/>
          <w:lang w:eastAsia="zh-CN"/>
        </w:rPr>
        <w:t>（</w:t>
      </w:r>
      <w:r>
        <w:rPr>
          <w:rFonts w:hint="eastAsia" w:hAnsi="宋体"/>
          <w:color w:val="auto"/>
          <w:sz w:val="21"/>
          <w:highlight w:val="none"/>
          <w:lang w:val="en-US" w:eastAsia="zh-CN"/>
        </w:rPr>
        <w:t>1</w:t>
      </w:r>
      <w:r>
        <w:rPr>
          <w:rFonts w:hint="eastAsia" w:hAnsi="宋体"/>
          <w:color w:val="auto"/>
          <w:sz w:val="21"/>
          <w:highlight w:val="none"/>
          <w:lang w:eastAsia="zh-CN"/>
        </w:rPr>
        <w:t>）</w:t>
      </w:r>
      <w:r>
        <w:rPr>
          <w:rFonts w:hint="eastAsia" w:hAnsi="宋体"/>
          <w:color w:val="auto"/>
          <w:sz w:val="21"/>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9"/>
          <w:rFonts w:hint="eastAsia" w:hAnsi="宋体"/>
          <w:color w:val="auto"/>
          <w:sz w:val="21"/>
          <w:highlight w:val="none"/>
        </w:rPr>
        <w:t>http://www.nnggzy.org.cn）“交易信息-政府采购-政府采购信用融资”中融资银行和南宁市企业融资货物中心专栏信息申请政府采购信用融资。</w:t>
      </w:r>
      <w:r>
        <w:rPr>
          <w:rStyle w:val="29"/>
          <w:rFonts w:hint="eastAsia" w:hAnsi="宋体"/>
          <w:color w:val="auto"/>
          <w:sz w:val="21"/>
          <w:highlight w:val="none"/>
        </w:rPr>
        <w:fldChar w:fldCharType="end"/>
      </w:r>
    </w:p>
    <w:p>
      <w:pPr>
        <w:pStyle w:val="16"/>
        <w:numPr>
          <w:ilvl w:val="0"/>
          <w:numId w:val="0"/>
        </w:numPr>
        <w:spacing w:line="360" w:lineRule="auto"/>
        <w:ind w:firstLine="402" w:firstLineChars="200"/>
        <w:rPr>
          <w:rFonts w:hint="eastAsia" w:ascii="宋体" w:hAnsi="宋体" w:eastAsia="宋体" w:cs="宋体"/>
          <w:color w:val="auto"/>
          <w:highlight w:val="none"/>
        </w:rPr>
      </w:pPr>
      <w:r>
        <w:rPr>
          <w:rFonts w:hint="eastAsia" w:hAnsi="宋体"/>
          <w:b/>
          <w:color w:val="auto"/>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0"/>
          <w:szCs w:val="21"/>
          <w:highlight w:val="none"/>
          <w:lang w:val="en-US" w:eastAsia="zh-CN" w:bidi="ar-SA"/>
        </w:rPr>
        <w:t>。</w:t>
      </w: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rPr>
      </w:pPr>
      <w:bookmarkStart w:id="119" w:name="_Toc15760"/>
      <w:bookmarkStart w:id="120" w:name="_Toc22508"/>
      <w:bookmarkStart w:id="121" w:name="_Toc18270"/>
      <w:bookmarkStart w:id="122" w:name="_Toc23637"/>
      <w:bookmarkStart w:id="123" w:name="_Toc16334"/>
      <w:bookmarkStart w:id="124" w:name="_Toc14829"/>
      <w:r>
        <w:rPr>
          <w:rFonts w:hint="eastAsia" w:ascii="宋体" w:hAnsi="宋体" w:eastAsia="宋体" w:cs="宋体"/>
          <w:b/>
          <w:bCs/>
          <w:color w:val="auto"/>
          <w:highlight w:val="none"/>
        </w:rPr>
        <w:t>第四章  评审程序、评审方法和评审标准</w:t>
      </w:r>
      <w:bookmarkEnd w:id="119"/>
      <w:bookmarkEnd w:id="120"/>
      <w:bookmarkEnd w:id="121"/>
      <w:bookmarkEnd w:id="122"/>
      <w:bookmarkEnd w:id="123"/>
      <w:bookmarkEnd w:id="124"/>
    </w:p>
    <w:p>
      <w:pPr>
        <w:pStyle w:val="3"/>
        <w:spacing w:line="360" w:lineRule="auto"/>
        <w:jc w:val="center"/>
        <w:rPr>
          <w:rFonts w:hint="eastAsia" w:ascii="宋体" w:hAnsi="宋体" w:eastAsia="宋体" w:cs="宋体"/>
          <w:b w:val="0"/>
          <w:color w:val="auto"/>
          <w:highlight w:val="none"/>
        </w:rPr>
      </w:pPr>
      <w:bookmarkStart w:id="125" w:name="_Toc21500"/>
      <w:bookmarkStart w:id="126" w:name="_Toc23306"/>
      <w:bookmarkStart w:id="127" w:name="_Toc22688"/>
      <w:bookmarkStart w:id="128" w:name="_Toc2012"/>
      <w:bookmarkStart w:id="129" w:name="_Toc19232"/>
      <w:bookmarkStart w:id="130" w:name="_Toc8295"/>
      <w:r>
        <w:rPr>
          <w:rFonts w:hint="eastAsia" w:ascii="宋体" w:hAnsi="宋体" w:eastAsia="宋体" w:cs="宋体"/>
          <w:b w:val="0"/>
          <w:color w:val="auto"/>
          <w:highlight w:val="none"/>
        </w:rPr>
        <w:t>第一节 评审程序和评审方法</w:t>
      </w:r>
      <w:bookmarkEnd w:id="125"/>
      <w:bookmarkEnd w:id="126"/>
      <w:bookmarkEnd w:id="127"/>
      <w:bookmarkEnd w:id="128"/>
      <w:bookmarkEnd w:id="129"/>
      <w:bookmarkEnd w:id="130"/>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bookmarkStart w:id="131"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31"/>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pPr>
        <w:pStyle w:val="33"/>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tbl>
      <w:tblPr>
        <w:tblStyle w:val="25"/>
        <w:tblW w:w="9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58"/>
        <w:gridCol w:w="640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640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评审因素具体内容</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价格分</w:t>
            </w:r>
          </w:p>
        </w:tc>
        <w:tc>
          <w:tcPr>
            <w:tcW w:w="6403" w:type="dxa"/>
            <w:noWrap w:val="0"/>
            <w:vAlign w:val="top"/>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评审报价为供应商的最后报价进行政策性扣除后的价格，评审报价只是作为评审时使用。最终成交供应商的成交金额等于最后报价（如有修正，以确认修正后的最后报价为准）。</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2.政府采购政策性扣除计算方法</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政府采购促进中小企业发展管理办法》（财库[2020]46号）及《广西壮族自治区财政厅关于进一步发挥政府采购政策功能促进企业发展的通知》（桂财采〔2022〕30号），本项目专门面向小微企业采购，不再执行价格评审优惠的扶持政策；监狱企业或残疾人福利性单位视同小型、微型企业。</w:t>
            </w:r>
          </w:p>
          <w:p>
            <w:pPr>
              <w:keepNext w:val="0"/>
              <w:keepLines w:val="0"/>
              <w:pageBreakBefore w:val="0"/>
              <w:kinsoku/>
              <w:wordWrap/>
              <w:overflowPunct/>
              <w:topLinePunct w:val="0"/>
              <w:autoSpaceDE/>
              <w:autoSpaceDN/>
              <w:bidi w:val="0"/>
              <w:adjustRightInd/>
              <w:snapToGrid w:val="0"/>
              <w:spacing w:line="480" w:lineRule="exact"/>
              <w:ind w:right="0" w:righ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评审报价＝最后报价</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3.以进入比较与评价环节的最低的评审报价为基准价，基准价得分为</w:t>
            </w:r>
            <w:r>
              <w:rPr>
                <w:rFonts w:hint="eastAsia" w:hAnsi="宋体" w:eastAsia="宋体" w:cs="宋体"/>
                <w:bCs/>
                <w:color w:val="auto"/>
                <w:kern w:val="2"/>
                <w:sz w:val="21"/>
                <w:szCs w:val="21"/>
                <w:highlight w:val="none"/>
                <w:u w:val="single"/>
                <w:lang w:val="en-US" w:eastAsia="zh-CN"/>
              </w:rPr>
              <w:t>3</w:t>
            </w:r>
            <w:r>
              <w:rPr>
                <w:rFonts w:hint="eastAsia" w:ascii="宋体" w:hAnsi="宋体" w:eastAsia="宋体" w:cs="宋体"/>
                <w:bCs/>
                <w:color w:val="auto"/>
                <w:kern w:val="2"/>
                <w:sz w:val="21"/>
                <w:szCs w:val="21"/>
                <w:highlight w:val="none"/>
                <w:u w:val="single"/>
                <w:lang w:val="en-US" w:eastAsia="zh-CN"/>
              </w:rPr>
              <w:t>0分</w:t>
            </w:r>
            <w:r>
              <w:rPr>
                <w:rFonts w:hint="eastAsia" w:ascii="宋体" w:hAnsi="宋体" w:eastAsia="宋体" w:cs="宋体"/>
                <w:bCs/>
                <w:color w:val="auto"/>
                <w:kern w:val="2"/>
                <w:sz w:val="21"/>
                <w:szCs w:val="21"/>
                <w:highlight w:val="none"/>
                <w:lang w:val="en-US" w:eastAsia="zh-CN"/>
              </w:rPr>
              <w:t>。</w:t>
            </w:r>
          </w:p>
          <w:p>
            <w:pPr>
              <w:pStyle w:val="16"/>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4.价格分计算公式：</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报价得分=（基准价/最后报价）×</w:t>
            </w:r>
            <w:r>
              <w:rPr>
                <w:rFonts w:hint="eastAsia" w:ascii="宋体" w:hAnsi="宋体" w:eastAsia="宋体" w:cs="宋体"/>
                <w:bCs/>
                <w:color w:val="auto"/>
                <w:sz w:val="21"/>
                <w:szCs w:val="21"/>
                <w:highlight w:val="none"/>
                <w:u w:val="single"/>
                <w:lang w:val="en-US" w:eastAsia="zh-CN"/>
              </w:rPr>
              <w:t>3</w:t>
            </w:r>
            <w:r>
              <w:rPr>
                <w:rFonts w:hint="eastAsia" w:ascii="宋体" w:hAnsi="宋体" w:eastAsia="宋体" w:cs="宋体"/>
                <w:bCs/>
                <w:color w:val="auto"/>
                <w:sz w:val="21"/>
                <w:szCs w:val="21"/>
                <w:highlight w:val="none"/>
                <w:u w:val="single"/>
              </w:rPr>
              <w:t>0分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w:t>
            </w:r>
          </w:p>
        </w:tc>
        <w:tc>
          <w:tcPr>
            <w:tcW w:w="7661" w:type="dxa"/>
            <w:gridSpan w:val="2"/>
            <w:noWrap w:val="0"/>
            <w:vAlign w:val="center"/>
          </w:tcPr>
          <w:p>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技术分</w:t>
            </w:r>
          </w:p>
        </w:tc>
        <w:tc>
          <w:tcPr>
            <w:tcW w:w="851"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60</w:t>
            </w:r>
            <w:r>
              <w:rPr>
                <w:rFonts w:hint="eastAsia" w:ascii="宋体" w:hAnsi="宋体" w:eastAsia="宋体" w:cs="宋体"/>
                <w:b/>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施工组织设计</w:t>
            </w:r>
          </w:p>
        </w:tc>
        <w:tc>
          <w:tcPr>
            <w:tcW w:w="6403"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（1）总体概述（施工程序总体设想及施工段划分）…</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一档（0分）：无项目总体概述或不可行。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二档（2分）：对项目总体有认识，有一定的措施但部分不具体；施工段划分较合理，符合规范要求。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分）：对项目总体有一定认识，表述清晰、完整，措施具体有效；施工段划分呼应总体表述，划分清晰，符合规范要求。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分）：对项目总体有深刻认识，表述清晰、完整、严谨、合理，措施先进、具体、有效、成熟，采用了己论证的新技术、新工艺、新材料、新设备；施工段划分呼应总体表述，划分清晰、合理，符合规范要求。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（2）主要施工方法…</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一档（0）：</w:t>
            </w:r>
            <w:r>
              <w:rPr>
                <w:rFonts w:hint="eastAsia" w:ascii="宋体" w:hAnsi="宋体" w:eastAsia="宋体" w:cs="宋体"/>
                <w:color w:val="auto"/>
                <w:sz w:val="21"/>
                <w:szCs w:val="21"/>
                <w:highlight w:val="none"/>
                <w:shd w:val="clear" w:color="auto" w:fill="auto"/>
              </w:rPr>
              <w:t>无</w:t>
            </w:r>
            <w:r>
              <w:rPr>
                <w:rFonts w:hint="eastAsia" w:ascii="宋体" w:hAnsi="宋体" w:eastAsia="宋体" w:cs="宋体"/>
                <w:color w:val="auto"/>
                <w:sz w:val="21"/>
                <w:szCs w:val="21"/>
                <w:highlight w:val="none"/>
                <w:shd w:val="clear" w:color="auto" w:fill="auto"/>
                <w:lang w:eastAsia="zh-CN"/>
              </w:rPr>
              <w:t>施工</w:t>
            </w:r>
            <w:r>
              <w:rPr>
                <w:rFonts w:hint="eastAsia" w:ascii="宋体" w:hAnsi="宋体" w:eastAsia="宋体" w:cs="宋体"/>
                <w:color w:val="auto"/>
                <w:sz w:val="21"/>
                <w:szCs w:val="21"/>
                <w:highlight w:val="none"/>
                <w:shd w:val="clear" w:color="auto" w:fill="auto"/>
              </w:rPr>
              <w:t>方法或不可行。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分）：各主要分部施工方法不能满足项目需求，没有施工技术方案，不能指导具体施工并确保安全；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w:t>
            </w:r>
            <w:r>
              <w:rPr>
                <w:rFonts w:hint="eastAsia" w:ascii="宋体" w:hAnsi="宋体" w:eastAsia="宋体" w:cs="宋体"/>
                <w:color w:val="auto"/>
                <w:sz w:val="21"/>
                <w:szCs w:val="21"/>
                <w:highlight w:val="none"/>
                <w:shd w:val="clear" w:color="auto" w:fill="auto"/>
              </w:rPr>
              <w:t>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分）：各主要分部施工方法符合项目实际，有较详尽的施工技术方案，工艺一般、方法可行，能指导具体施工并确保安全；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分）：各主要分部施工方法符合项目实际，有详尽的施工技术方案，工艺先进、方法科学合理、可行，能指导具体施工并确保安全。</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r>
              <w:rPr>
                <w:rFonts w:hint="eastAsia" w:ascii="宋体" w:hAnsi="宋体" w:eastAsia="宋体" w:cs="宋体"/>
                <w:color w:val="auto"/>
                <w:sz w:val="21"/>
                <w:szCs w:val="21"/>
                <w:highlight w:val="none"/>
                <w:shd w:val="clear" w:color="auto" w:fill="auto"/>
                <w:lang w:eastAsia="zh-CN"/>
              </w:rPr>
              <w:t>拟投入的主要物资计划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分）：投入的施工材料无详细的组织计划，数量、选型配置、进场时间安排不合理，不能满足施工需要。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基本满足要求</w:t>
            </w:r>
            <w:r>
              <w:rPr>
                <w:rFonts w:hint="eastAsia" w:ascii="宋体" w:hAnsi="宋体" w:eastAsia="宋体" w:cs="宋体"/>
                <w:color w:val="auto"/>
                <w:sz w:val="21"/>
                <w:szCs w:val="21"/>
                <w:highlight w:val="none"/>
                <w:shd w:val="clear" w:color="auto" w:fill="auto"/>
              </w:rPr>
              <w:t>，数量、选型配置、进场时间安排基本满足施工需要。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分）：投入的施工材料有组织计划且计划</w:t>
            </w:r>
            <w:r>
              <w:rPr>
                <w:rFonts w:hint="eastAsia" w:ascii="宋体" w:hAnsi="宋体" w:eastAsia="宋体" w:cs="宋体"/>
                <w:color w:val="auto"/>
                <w:sz w:val="21"/>
                <w:szCs w:val="21"/>
                <w:highlight w:val="none"/>
                <w:shd w:val="clear" w:color="auto" w:fill="auto"/>
                <w:lang w:val="en-US" w:eastAsia="zh-CN"/>
              </w:rPr>
              <w:t>符合要求</w:t>
            </w:r>
            <w:r>
              <w:rPr>
                <w:rFonts w:hint="eastAsia" w:ascii="宋体" w:hAnsi="宋体" w:eastAsia="宋体" w:cs="宋体"/>
                <w:color w:val="auto"/>
                <w:sz w:val="21"/>
                <w:szCs w:val="21"/>
                <w:highlight w:val="none"/>
                <w:shd w:val="clear" w:color="auto" w:fill="auto"/>
              </w:rPr>
              <w:t>，数量、选型配置、进场时间安排基本合理，基本满足施工需要。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分）：投入的施工材料有详细的组织</w:t>
            </w:r>
            <w:r>
              <w:rPr>
                <w:rFonts w:hint="eastAsia" w:ascii="宋体" w:hAnsi="宋体" w:eastAsia="宋体" w:cs="宋体"/>
                <w:color w:val="auto"/>
                <w:sz w:val="21"/>
                <w:szCs w:val="21"/>
                <w:highlight w:val="none"/>
                <w:shd w:val="clear" w:color="auto" w:fill="auto"/>
                <w:lang w:eastAsia="zh-CN"/>
              </w:rPr>
              <w:t>计划</w:t>
            </w:r>
            <w:r>
              <w:rPr>
                <w:rFonts w:hint="eastAsia" w:ascii="宋体" w:hAnsi="宋体" w:eastAsia="宋体" w:cs="宋体"/>
                <w:color w:val="auto"/>
                <w:sz w:val="21"/>
                <w:szCs w:val="21"/>
                <w:highlight w:val="none"/>
                <w:shd w:val="clear" w:color="auto" w:fill="auto"/>
              </w:rPr>
              <w:t>且计划周密，数量、选型配置、进场时间安排合理，满足施工需要。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r>
              <w:rPr>
                <w:rFonts w:hint="eastAsia" w:ascii="宋体" w:hAnsi="宋体" w:eastAsia="宋体" w:cs="宋体"/>
                <w:color w:val="auto"/>
                <w:sz w:val="21"/>
                <w:szCs w:val="21"/>
                <w:highlight w:val="none"/>
                <w:shd w:val="clear" w:color="auto" w:fill="auto"/>
                <w:lang w:eastAsia="zh-CN"/>
              </w:rPr>
              <w:t>劳动力安排计划</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w:t>
            </w: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分）：各主要施工工序无劳动力安排计划，无各工种劳动力安排计划，劳动力投入不合理，不能满足施工需要。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分）：各主要施工工序有劳动力安排计划，有各工种劳动力安排计划，劳动力投入</w:t>
            </w:r>
            <w:r>
              <w:rPr>
                <w:rFonts w:hint="eastAsia" w:ascii="宋体" w:hAnsi="宋体" w:eastAsia="宋体" w:cs="宋体"/>
                <w:color w:val="auto"/>
                <w:sz w:val="21"/>
                <w:szCs w:val="21"/>
                <w:highlight w:val="none"/>
                <w:shd w:val="clear" w:color="auto" w:fill="auto"/>
                <w:lang w:val="en-US" w:eastAsia="zh-CN"/>
              </w:rPr>
              <w:t>合理</w:t>
            </w:r>
            <w:r>
              <w:rPr>
                <w:rFonts w:hint="eastAsia" w:ascii="宋体" w:hAnsi="宋体" w:eastAsia="宋体" w:cs="宋体"/>
                <w:color w:val="auto"/>
                <w:sz w:val="21"/>
                <w:szCs w:val="21"/>
                <w:highlight w:val="none"/>
                <w:shd w:val="clear" w:color="auto" w:fill="auto"/>
              </w:rPr>
              <w:t>，基本满足施工需要。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 xml:space="preserve">分）：各主要施工工序有劳动力安排计划，有各工种劳动力安排计划，劳动力投入较合理，满足施工需要。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分）：各主要施工工序有详细周密的劳动力安排计划， 有各工种劳动力安排计划，劳动力投入合理，满足施工需要。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5</w:t>
            </w:r>
            <w:r>
              <w:rPr>
                <w:rFonts w:hint="eastAsia" w:ascii="宋体" w:hAnsi="宋体" w:eastAsia="宋体" w:cs="宋体"/>
                <w:color w:val="auto"/>
                <w:sz w:val="21"/>
                <w:szCs w:val="21"/>
                <w:highlight w:val="none"/>
                <w:shd w:val="clear" w:color="auto" w:fill="auto"/>
              </w:rPr>
              <w:t>）确保安全生产施工措施…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一档（0分）：无安全生产措施或不可行。</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二档(2分)：有专门的安全管理人员和制度，人员配备不合理，制度不健全，各道工序安全技术措施针无对性，不满足有关安全技术标准要求。现场防火、应急救援、社会治安安全措施不得力。</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一般，确保工程质量的技术组织措施符合实际且基本满足有关安全技术标准要求。现场防火、应急救援、社会治安安全措施一般。</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四档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（6）</w:t>
            </w:r>
            <w:r>
              <w:rPr>
                <w:rFonts w:hint="eastAsia" w:ascii="宋体" w:hAnsi="宋体" w:eastAsia="宋体" w:cs="宋体"/>
                <w:color w:val="auto"/>
                <w:sz w:val="21"/>
                <w:szCs w:val="21"/>
                <w:highlight w:val="none"/>
                <w:shd w:val="clear" w:color="auto" w:fill="auto"/>
                <w:lang w:eastAsia="zh-CN"/>
              </w:rPr>
              <w:t>确保工程质量的技术组织措施</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一档（0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分）：有专门的质量技术管理班子和制度，人员配备不合理，制度不健全。主要工序无质量技术保证措施和手段，自控体系不完整，不能有效保证技术质量，达不到承诺的质量标准。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二档（2分）：有专门的质量技术管理班子和制度，人员配备</w:t>
            </w:r>
            <w:r>
              <w:rPr>
                <w:rFonts w:hint="eastAsia" w:ascii="宋体" w:hAnsi="宋体" w:eastAsia="宋体" w:cs="宋体"/>
                <w:color w:val="auto"/>
                <w:sz w:val="21"/>
                <w:szCs w:val="21"/>
                <w:highlight w:val="none"/>
                <w:shd w:val="clear" w:color="auto" w:fill="auto"/>
                <w:lang w:eastAsia="zh-CN"/>
              </w:rPr>
              <w:t>基本</w:t>
            </w:r>
            <w:r>
              <w:rPr>
                <w:rFonts w:hint="eastAsia" w:ascii="宋体" w:hAnsi="宋体" w:eastAsia="宋体" w:cs="宋体"/>
                <w:color w:val="auto"/>
                <w:sz w:val="21"/>
                <w:szCs w:val="21"/>
                <w:highlight w:val="none"/>
                <w:shd w:val="clear" w:color="auto" w:fill="auto"/>
              </w:rPr>
              <w:t>合理，制度健全。主要工序的质量技术保证措施和手段</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满足要求</w:t>
            </w:r>
            <w:r>
              <w:rPr>
                <w:rFonts w:hint="eastAsia" w:ascii="宋体" w:hAnsi="宋体" w:eastAsia="宋体" w:cs="宋体"/>
                <w:color w:val="auto"/>
                <w:sz w:val="21"/>
                <w:szCs w:val="21"/>
                <w:highlight w:val="none"/>
                <w:shd w:val="clear" w:color="auto" w:fill="auto"/>
              </w:rPr>
              <w:t xml:space="preserve">，基本保证技术质量， 达到承诺的质量标准有难度。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三档（</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分）：有专门的质量技术管理班子和制度，且人员配备合理，制度健全。主要工序的质量技术保证措施和手段</w:t>
            </w:r>
            <w:r>
              <w:rPr>
                <w:rFonts w:hint="eastAsia" w:ascii="宋体" w:hAnsi="宋体" w:eastAsia="宋体" w:cs="宋体"/>
                <w:color w:val="auto"/>
                <w:sz w:val="21"/>
                <w:szCs w:val="21"/>
                <w:highlight w:val="none"/>
                <w:shd w:val="clear" w:color="auto" w:fill="auto"/>
                <w:lang w:val="en-US" w:eastAsia="zh-CN"/>
              </w:rPr>
              <w:t>完善</w:t>
            </w:r>
            <w:r>
              <w:rPr>
                <w:rFonts w:hint="eastAsia" w:ascii="宋体" w:hAnsi="宋体" w:eastAsia="宋体" w:cs="宋体"/>
                <w:color w:val="auto"/>
                <w:sz w:val="21"/>
                <w:szCs w:val="21"/>
                <w:highlight w:val="none"/>
                <w:shd w:val="clear" w:color="auto" w:fill="auto"/>
              </w:rPr>
              <w:t>，自控体系</w:t>
            </w:r>
            <w:r>
              <w:rPr>
                <w:rFonts w:hint="eastAsia" w:ascii="宋体" w:hAnsi="宋体" w:eastAsia="宋体" w:cs="宋体"/>
                <w:color w:val="auto"/>
                <w:sz w:val="21"/>
                <w:szCs w:val="21"/>
                <w:highlight w:val="none"/>
                <w:shd w:val="clear" w:color="auto" w:fill="auto"/>
                <w:lang w:val="en-US" w:eastAsia="zh-CN"/>
              </w:rPr>
              <w:t>完整</w:t>
            </w:r>
            <w:r>
              <w:rPr>
                <w:rFonts w:hint="eastAsia" w:ascii="宋体" w:hAnsi="宋体" w:eastAsia="宋体" w:cs="宋体"/>
                <w:color w:val="auto"/>
                <w:sz w:val="21"/>
                <w:szCs w:val="21"/>
                <w:highlight w:val="none"/>
                <w:shd w:val="clear" w:color="auto" w:fill="auto"/>
              </w:rPr>
              <w:t xml:space="preserve">，基本保证技术质量，达到承诺的质量标准。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四档（</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分）：有专门的质量技术管理班子和制度，且人员配备合理，制度健全。主要工序质量技术保证措施和手段科学合理，自控体系完整</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细致</w:t>
            </w:r>
            <w:r>
              <w:rPr>
                <w:rFonts w:hint="eastAsia" w:ascii="宋体" w:hAnsi="宋体" w:eastAsia="宋体" w:cs="宋体"/>
                <w:color w:val="auto"/>
                <w:sz w:val="21"/>
                <w:szCs w:val="21"/>
                <w:highlight w:val="none"/>
                <w:shd w:val="clear" w:color="auto" w:fill="auto"/>
              </w:rPr>
              <w:t xml:space="preserve">，能有效保证技术质量，达到承诺的质量标准。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 xml:space="preserve">   （</w:t>
            </w:r>
            <w:r>
              <w:rPr>
                <w:rFonts w:hint="eastAsia" w:ascii="宋体" w:hAnsi="宋体" w:eastAsia="宋体" w:cs="宋体"/>
                <w:color w:val="auto"/>
                <w:sz w:val="21"/>
                <w:szCs w:val="21"/>
                <w:highlight w:val="none"/>
                <w:shd w:val="clear" w:color="auto" w:fill="auto"/>
                <w:lang w:val="en-US" w:eastAsia="zh-CN"/>
              </w:rPr>
              <w:t>7</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确保文明施工的技术组织措施…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一档</w:t>
            </w:r>
            <w:r>
              <w:rPr>
                <w:rFonts w:hint="eastAsia" w:ascii="宋体" w:hAnsi="宋体" w:eastAsia="宋体" w:cs="宋体"/>
                <w:color w:val="auto"/>
                <w:sz w:val="21"/>
                <w:szCs w:val="21"/>
                <w:highlight w:val="none"/>
                <w:shd w:val="clear" w:color="auto" w:fill="auto"/>
              </w:rPr>
              <w:t>（0.</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针对本工程项目特点，应有现场文明施工、环境保护措施，且措施内容应达到《建筑施工安全生产检查标准》（JGJ59-2011）合格标准并符合《广西壮族自治区建筑工程文明施工导则》要求。各项措施不合理。无具体实现现场文明施工目标的承诺。</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。实现现场文明施工目标的承诺</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分）：针对本工程项目特点，有现场文明施工、环境保护措施，且措施内容达到《建筑施工安全生产检查标准》 （JGJ59-2011）合格标准并符合《广西壮族自治区建筑工程文明施工导则》要求。各项措施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。有实现现场文明施工目标的承诺。</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8</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确保工期的技术组织措施…</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档（0.5分）：在施工工艺、施工方法、材料选用、劳动力安排、技术等方面有保证工期的措施但措施差。无控制工期的施工进度计划。无施工总进度表或施工网络图，不符合本项目施工实际要求。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，安排合理，基本符合本项目施工实际要求。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3.5</w:t>
            </w:r>
            <w:r>
              <w:rPr>
                <w:rFonts w:hint="eastAsia" w:ascii="宋体" w:hAnsi="宋体" w:eastAsia="宋体" w:cs="宋体"/>
                <w:color w:val="auto"/>
                <w:sz w:val="21"/>
                <w:szCs w:val="21"/>
                <w:highlight w:val="none"/>
                <w:shd w:val="clear" w:color="auto" w:fill="auto"/>
              </w:rPr>
              <w:t>分）：在施工工艺、施工方法、材料选用、劳动力安排、技术等方面有保证工期的措施但措施</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。有控制工期的施工进度计划。有施工总进度表或施工网络图，各项计划图表编制</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，安排合理，基本符合本项目施工实际要求。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0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9</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拟投入的主要施工机械、设备计划…</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档（0.5分）：投入的施工机械、设备无详细的组织计划，设备数量、选型配置、进场时间安排不合理，不能满足施工需要。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简单</w:t>
            </w:r>
            <w:r>
              <w:rPr>
                <w:rFonts w:hint="eastAsia" w:ascii="宋体" w:hAnsi="宋体" w:eastAsia="宋体" w:cs="宋体"/>
                <w:color w:val="auto"/>
                <w:sz w:val="21"/>
                <w:szCs w:val="21"/>
                <w:highlight w:val="none"/>
                <w:shd w:val="clear" w:color="auto" w:fill="auto"/>
              </w:rPr>
              <w:t>，设备数量、选型配置、进场时间安排不够详细，基本满足施工需要。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分）：投入的施工机械、设备有组织计划且计划</w:t>
            </w:r>
            <w:r>
              <w:rPr>
                <w:rFonts w:hint="eastAsia" w:ascii="宋体" w:hAnsi="宋体" w:eastAsia="宋体" w:cs="宋体"/>
                <w:color w:val="auto"/>
                <w:sz w:val="21"/>
                <w:szCs w:val="21"/>
                <w:highlight w:val="none"/>
                <w:shd w:val="clear" w:color="auto" w:fill="auto"/>
                <w:lang w:val="en-US" w:eastAsia="zh-CN"/>
              </w:rPr>
              <w:t>详细</w:t>
            </w:r>
            <w:r>
              <w:rPr>
                <w:rFonts w:hint="eastAsia" w:ascii="宋体" w:hAnsi="宋体" w:eastAsia="宋体" w:cs="宋体"/>
                <w:color w:val="auto"/>
                <w:sz w:val="21"/>
                <w:szCs w:val="21"/>
                <w:highlight w:val="none"/>
                <w:shd w:val="clear" w:color="auto" w:fill="auto"/>
              </w:rPr>
              <w:t>，设备数量、选型  配置、进场时间安排较合理，满足施工需要。</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 xml:space="preserve">.0分）：投入的施工机械、设备有详细的组织计划且计划周密，设备数量、选型配置、进场时间安排详细合理，满足施工需要。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10</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施工总平面布置图…</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 xml:space="preserve">分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档（0.5分）：</w:t>
            </w:r>
            <w:r>
              <w:rPr>
                <w:rFonts w:hint="eastAsia" w:ascii="宋体" w:hAnsi="宋体" w:eastAsia="宋体" w:cs="宋体"/>
                <w:color w:val="auto"/>
                <w:sz w:val="21"/>
                <w:szCs w:val="21"/>
                <w:highlight w:val="none"/>
                <w:shd w:val="clear" w:color="auto" w:fill="auto"/>
                <w:lang w:val="en-US" w:eastAsia="zh-CN"/>
              </w:rPr>
              <w:t>有</w:t>
            </w:r>
            <w:r>
              <w:rPr>
                <w:rFonts w:hint="eastAsia" w:ascii="宋体" w:hAnsi="宋体" w:eastAsia="宋体" w:cs="宋体"/>
                <w:color w:val="auto"/>
                <w:sz w:val="21"/>
                <w:szCs w:val="21"/>
                <w:highlight w:val="none"/>
                <w:shd w:val="clear" w:color="auto" w:fill="auto"/>
              </w:rPr>
              <w:t>施工总平面布置图，安排不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合理，不</w:t>
            </w:r>
            <w:r>
              <w:rPr>
                <w:rFonts w:hint="eastAsia" w:ascii="宋体" w:hAnsi="宋体" w:eastAsia="宋体" w:cs="宋体"/>
                <w:color w:val="auto"/>
                <w:sz w:val="21"/>
                <w:szCs w:val="21"/>
                <w:highlight w:val="none"/>
                <w:shd w:val="clear" w:color="auto" w:fill="auto"/>
                <w:lang w:val="en-US" w:eastAsia="zh-CN"/>
              </w:rPr>
              <w:t>够</w:t>
            </w:r>
            <w:r>
              <w:rPr>
                <w:rFonts w:hint="eastAsia" w:ascii="宋体" w:hAnsi="宋体" w:eastAsia="宋体" w:cs="宋体"/>
                <w:color w:val="auto"/>
                <w:sz w:val="21"/>
                <w:szCs w:val="21"/>
                <w:highlight w:val="none"/>
                <w:shd w:val="clear" w:color="auto" w:fill="auto"/>
              </w:rPr>
              <w:t>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未提供的不得分。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二档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分）：有施工总平面布置图，安排基本合理，基本符合本项目施工实际要求。</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三档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 xml:space="preserve">分）：有施工总平面布置图，安排基本合理，符合本项目施工实际要求。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四</w:t>
            </w:r>
            <w:r>
              <w:rPr>
                <w:rFonts w:hint="eastAsia" w:ascii="宋体" w:hAnsi="宋体" w:eastAsia="宋体" w:cs="宋体"/>
                <w:color w:val="auto"/>
                <w:sz w:val="21"/>
                <w:szCs w:val="21"/>
                <w:highlight w:val="none"/>
                <w:shd w:val="clear" w:color="auto" w:fill="auto"/>
                <w:lang w:eastAsia="zh-CN"/>
              </w:rPr>
              <w:t>档</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.0分）：有施工总平面布置图，安排科学合理，</w:t>
            </w:r>
            <w:r>
              <w:rPr>
                <w:rFonts w:hint="eastAsia" w:ascii="宋体" w:hAnsi="宋体" w:eastAsia="宋体" w:cs="宋体"/>
                <w:color w:val="auto"/>
                <w:sz w:val="21"/>
                <w:szCs w:val="21"/>
                <w:highlight w:val="none"/>
                <w:shd w:val="clear" w:color="auto" w:fill="auto"/>
                <w:lang w:val="en-US" w:eastAsia="zh-CN"/>
              </w:rPr>
              <w:t>优于</w:t>
            </w:r>
            <w:r>
              <w:rPr>
                <w:rFonts w:hint="eastAsia" w:ascii="宋体" w:hAnsi="宋体" w:eastAsia="宋体" w:cs="宋体"/>
                <w:color w:val="auto"/>
                <w:sz w:val="21"/>
                <w:szCs w:val="21"/>
                <w:highlight w:val="none"/>
                <w:shd w:val="clear" w:color="auto" w:fill="auto"/>
              </w:rPr>
              <w:t xml:space="preserve">本项目施工实际要求。  </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11</w:t>
            </w:r>
            <w:r>
              <w:rPr>
                <w:rFonts w:hint="eastAsia" w:ascii="宋体" w:hAnsi="宋体" w:eastAsia="宋体" w:cs="宋体"/>
                <w:color w:val="auto"/>
                <w:sz w:val="21"/>
                <w:szCs w:val="21"/>
                <w:highlight w:val="none"/>
                <w:shd w:val="clear" w:color="auto" w:fill="auto"/>
              </w:rPr>
              <w:t>）项目班子得分规则┉</w:t>
            </w:r>
            <w:r>
              <w:rPr>
                <w:rFonts w:hint="eastAsia" w:ascii="宋体" w:hAnsi="宋体" w:eastAsia="宋体" w:cs="宋体"/>
                <w:color w:val="auto"/>
                <w:sz w:val="21"/>
                <w:szCs w:val="21"/>
                <w:highlight w:val="none"/>
                <w:shd w:val="clear" w:color="auto" w:fill="auto"/>
                <w:lang w:eastAsia="zh-CN"/>
              </w:rPr>
              <w:t>6</w:t>
            </w:r>
            <w:r>
              <w:rPr>
                <w:rFonts w:hint="eastAsia" w:ascii="宋体" w:hAnsi="宋体" w:eastAsia="宋体" w:cs="宋体"/>
                <w:color w:val="auto"/>
                <w:sz w:val="21"/>
                <w:szCs w:val="21"/>
                <w:highlight w:val="none"/>
                <w:shd w:val="clear" w:color="auto" w:fill="auto"/>
              </w:rPr>
              <w:t>分</w:t>
            </w:r>
          </w:p>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①项目经理：拟投入本项目的</w:t>
            </w:r>
            <w:r>
              <w:rPr>
                <w:rFonts w:hint="eastAsia" w:ascii="宋体" w:hAnsi="宋体" w:eastAsia="宋体" w:cs="宋体"/>
                <w:color w:val="auto"/>
                <w:sz w:val="21"/>
                <w:szCs w:val="21"/>
                <w:highlight w:val="none"/>
                <w:shd w:val="clear" w:color="auto" w:fill="auto"/>
                <w:lang w:eastAsia="zh-CN"/>
              </w:rPr>
              <w:t>项目</w:t>
            </w:r>
            <w:r>
              <w:rPr>
                <w:rFonts w:hint="eastAsia" w:ascii="宋体" w:hAnsi="宋体" w:eastAsia="宋体" w:cs="宋体"/>
                <w:color w:val="auto"/>
                <w:sz w:val="21"/>
                <w:szCs w:val="21"/>
                <w:highlight w:val="none"/>
                <w:shd w:val="clear" w:color="auto" w:fill="auto"/>
              </w:rPr>
              <w:t>经理</w:t>
            </w:r>
            <w:r>
              <w:rPr>
                <w:rFonts w:hint="eastAsia" w:ascii="宋体" w:hAnsi="宋体" w:eastAsia="宋体" w:cs="宋体"/>
                <w:color w:val="auto"/>
                <w:sz w:val="21"/>
                <w:szCs w:val="21"/>
                <w:highlight w:val="none"/>
                <w:shd w:val="clear" w:color="auto" w:fill="auto"/>
                <w:lang w:val="en-US" w:eastAsia="zh-CN"/>
              </w:rPr>
              <w:t>与项目要求的项目经理在名称、专业、资格等级等方面一致的</w:t>
            </w:r>
            <w:r>
              <w:rPr>
                <w:rFonts w:hint="eastAsia" w:ascii="宋体" w:hAnsi="宋体" w:eastAsia="宋体" w:cs="宋体"/>
                <w:color w:val="auto"/>
                <w:sz w:val="21"/>
                <w:szCs w:val="21"/>
                <w:highlight w:val="none"/>
                <w:shd w:val="clear" w:color="auto" w:fill="auto"/>
              </w:rPr>
              <w:t>得</w:t>
            </w:r>
            <w:r>
              <w:rPr>
                <w:rFonts w:hint="eastAsia" w:ascii="宋体" w:hAnsi="宋体" w:eastAsia="宋体" w:cs="宋体"/>
                <w:color w:val="auto"/>
                <w:sz w:val="21"/>
                <w:szCs w:val="21"/>
                <w:highlight w:val="none"/>
                <w:shd w:val="clear" w:color="auto" w:fill="auto"/>
                <w:lang w:eastAsia="zh-CN"/>
              </w:rPr>
              <w:t>2</w:t>
            </w:r>
            <w:r>
              <w:rPr>
                <w:rFonts w:hint="eastAsia" w:ascii="宋体" w:hAnsi="宋体" w:eastAsia="宋体" w:cs="宋体"/>
                <w:color w:val="auto"/>
                <w:sz w:val="21"/>
                <w:szCs w:val="21"/>
                <w:highlight w:val="none"/>
                <w:shd w:val="clear" w:color="auto" w:fill="auto"/>
              </w:rPr>
              <w:t>分。</w:t>
            </w:r>
          </w:p>
          <w:p>
            <w:pPr>
              <w:pStyle w:val="16"/>
              <w:spacing w:line="360" w:lineRule="auto"/>
              <w:ind w:firstLine="420" w:firstLineChars="200"/>
              <w:rPr>
                <w:rFonts w:hint="eastAsia" w:ascii="宋体" w:hAnsi="宋体" w:eastAsia="宋体" w:cs="宋体"/>
                <w:b w:val="0"/>
                <w:bCs/>
                <w:color w:val="auto"/>
                <w:kern w:val="0"/>
                <w:sz w:val="21"/>
                <w:szCs w:val="21"/>
                <w:highlight w:val="none"/>
              </w:rPr>
            </w:pPr>
            <w:r>
              <w:rPr>
                <w:rFonts w:hint="eastAsia" w:ascii="宋体" w:hAnsi="宋体" w:eastAsia="宋体" w:cs="宋体"/>
                <w:bCs/>
                <w:color w:val="auto"/>
                <w:sz w:val="21"/>
                <w:szCs w:val="21"/>
                <w:highlight w:val="none"/>
                <w:shd w:val="clear" w:color="auto" w:fill="auto"/>
              </w:rPr>
              <w:t>②其他主要人员（</w:t>
            </w:r>
            <w:r>
              <w:rPr>
                <w:rFonts w:hint="eastAsia" w:ascii="宋体" w:hAnsi="宋体" w:eastAsia="宋体" w:cs="宋体"/>
                <w:bCs/>
                <w:color w:val="auto"/>
                <w:sz w:val="21"/>
                <w:szCs w:val="21"/>
                <w:highlight w:val="none"/>
                <w:shd w:val="clear" w:color="auto" w:fill="auto"/>
                <w:lang w:eastAsia="zh-CN"/>
              </w:rPr>
              <w:t>4</w:t>
            </w:r>
            <w:r>
              <w:rPr>
                <w:rFonts w:hint="eastAsia" w:ascii="宋体" w:hAnsi="宋体" w:eastAsia="宋体" w:cs="宋体"/>
                <w:bCs/>
                <w:color w:val="auto"/>
                <w:sz w:val="21"/>
                <w:szCs w:val="21"/>
                <w:highlight w:val="none"/>
                <w:shd w:val="clear" w:color="auto" w:fill="auto"/>
              </w:rPr>
              <w:t>分）：拟投入本项目的人员齐备、专业配套，具备相关岗位证书：拟</w:t>
            </w:r>
            <w:r>
              <w:rPr>
                <w:rFonts w:hint="eastAsia" w:ascii="宋体" w:hAnsi="宋体" w:eastAsia="宋体" w:cs="宋体"/>
                <w:bCs/>
                <w:color w:val="auto"/>
                <w:sz w:val="21"/>
                <w:szCs w:val="21"/>
                <w:highlight w:val="none"/>
                <w:shd w:val="clear" w:color="auto" w:fill="auto"/>
                <w:lang w:eastAsia="zh-CN"/>
              </w:rPr>
              <w:t>投入</w:t>
            </w:r>
            <w:r>
              <w:rPr>
                <w:rFonts w:hint="eastAsia" w:ascii="宋体" w:hAnsi="宋体" w:eastAsia="宋体" w:cs="宋体"/>
                <w:bCs/>
                <w:color w:val="auto"/>
                <w:sz w:val="21"/>
                <w:szCs w:val="21"/>
                <w:highlight w:val="none"/>
                <w:shd w:val="clear" w:color="auto" w:fill="auto"/>
              </w:rPr>
              <w:t>本项目的技术负责人具有工程类</w:t>
            </w:r>
            <w:r>
              <w:rPr>
                <w:rFonts w:hint="eastAsia" w:ascii="宋体" w:hAnsi="宋体" w:eastAsia="宋体" w:cs="宋体"/>
                <w:bCs/>
                <w:color w:val="auto"/>
                <w:sz w:val="21"/>
                <w:szCs w:val="21"/>
                <w:highlight w:val="none"/>
                <w:shd w:val="clear" w:color="auto" w:fill="auto"/>
                <w:lang w:val="en-US" w:eastAsia="zh-CN"/>
              </w:rPr>
              <w:t>中</w:t>
            </w:r>
            <w:r>
              <w:rPr>
                <w:rFonts w:hint="eastAsia" w:ascii="宋体" w:hAnsi="宋体" w:eastAsia="宋体" w:cs="宋体"/>
                <w:bCs/>
                <w:color w:val="auto"/>
                <w:sz w:val="21"/>
                <w:szCs w:val="21"/>
                <w:highlight w:val="none"/>
                <w:shd w:val="clear" w:color="auto" w:fill="auto"/>
              </w:rPr>
              <w:t>级及以上技术职称的得</w:t>
            </w:r>
            <w:r>
              <w:rPr>
                <w:rFonts w:hint="eastAsia" w:ascii="宋体" w:hAnsi="宋体" w:eastAsia="宋体" w:cs="宋体"/>
                <w:bCs/>
                <w:color w:val="auto"/>
                <w:sz w:val="21"/>
                <w:szCs w:val="21"/>
                <w:highlight w:val="none"/>
                <w:shd w:val="clear" w:color="auto" w:fill="auto"/>
                <w:lang w:eastAsia="zh-CN"/>
              </w:rPr>
              <w:t>2</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rPr>
              <w:t>施工员、质量员、材料员</w:t>
            </w:r>
            <w:r>
              <w:rPr>
                <w:rFonts w:hint="eastAsia" w:ascii="宋体" w:hAnsi="宋体" w:eastAsia="宋体" w:cs="宋体"/>
                <w:bCs/>
                <w:color w:val="auto"/>
                <w:sz w:val="21"/>
                <w:szCs w:val="21"/>
                <w:highlight w:val="none"/>
                <w:shd w:val="clear" w:color="auto" w:fill="auto"/>
                <w:lang w:eastAsia="zh-CN"/>
              </w:rPr>
              <w:t>、</w:t>
            </w:r>
            <w:r>
              <w:rPr>
                <w:rFonts w:hint="eastAsia" w:ascii="宋体" w:hAnsi="宋体" w:eastAsia="宋体" w:cs="宋体"/>
                <w:bCs/>
                <w:color w:val="auto"/>
                <w:sz w:val="21"/>
                <w:szCs w:val="21"/>
                <w:highlight w:val="none"/>
                <w:shd w:val="clear" w:color="auto" w:fill="auto"/>
                <w:lang w:val="en-US" w:eastAsia="zh-CN"/>
              </w:rPr>
              <w:t>安全员</w:t>
            </w:r>
            <w:r>
              <w:rPr>
                <w:rFonts w:hint="eastAsia" w:ascii="宋体" w:hAnsi="宋体" w:eastAsia="宋体" w:cs="宋体"/>
                <w:bCs/>
                <w:color w:val="auto"/>
                <w:sz w:val="21"/>
                <w:szCs w:val="21"/>
                <w:highlight w:val="none"/>
                <w:shd w:val="clear" w:color="auto" w:fill="auto"/>
              </w:rPr>
              <w:t>具有相应岗位资格证书的</w:t>
            </w:r>
            <w:r>
              <w:rPr>
                <w:rFonts w:hint="eastAsia" w:ascii="宋体" w:hAnsi="宋体" w:eastAsia="宋体" w:cs="宋体"/>
                <w:bCs/>
                <w:color w:val="auto"/>
                <w:sz w:val="21"/>
                <w:szCs w:val="21"/>
                <w:highlight w:val="none"/>
                <w:shd w:val="clear" w:color="auto" w:fill="auto"/>
                <w:lang w:eastAsia="zh-CN"/>
              </w:rPr>
              <w:t>，每提供一个</w:t>
            </w:r>
            <w:r>
              <w:rPr>
                <w:rFonts w:hint="eastAsia" w:ascii="宋体" w:hAnsi="宋体" w:eastAsia="宋体" w:cs="宋体"/>
                <w:bCs/>
                <w:color w:val="auto"/>
                <w:sz w:val="21"/>
                <w:szCs w:val="21"/>
                <w:highlight w:val="none"/>
                <w:shd w:val="clear" w:color="auto" w:fill="auto"/>
              </w:rPr>
              <w:t>得</w:t>
            </w:r>
            <w:r>
              <w:rPr>
                <w:rFonts w:hint="eastAsia" w:ascii="宋体" w:hAnsi="宋体" w:eastAsia="宋体" w:cs="宋体"/>
                <w:bCs/>
                <w:color w:val="auto"/>
                <w:sz w:val="21"/>
                <w:szCs w:val="21"/>
                <w:highlight w:val="none"/>
                <w:shd w:val="clear" w:color="auto" w:fill="auto"/>
                <w:lang w:val="en-US" w:eastAsia="zh-CN"/>
              </w:rPr>
              <w:t>0.5</w:t>
            </w:r>
            <w:r>
              <w:rPr>
                <w:rFonts w:hint="eastAsia" w:ascii="宋体" w:hAnsi="宋体" w:eastAsia="宋体" w:cs="宋体"/>
                <w:bCs/>
                <w:color w:val="auto"/>
                <w:sz w:val="21"/>
                <w:szCs w:val="21"/>
                <w:highlight w:val="none"/>
                <w:shd w:val="clear" w:color="auto" w:fill="auto"/>
              </w:rPr>
              <w:t>分。</w:t>
            </w:r>
            <w:r>
              <w:rPr>
                <w:rFonts w:hint="eastAsia" w:ascii="宋体" w:hAnsi="宋体" w:eastAsia="宋体" w:cs="宋体"/>
                <w:bCs/>
                <w:color w:val="auto"/>
                <w:sz w:val="21"/>
                <w:szCs w:val="21"/>
                <w:highlight w:val="none"/>
                <w:shd w:val="clear" w:color="auto" w:fill="auto"/>
                <w:lang w:eastAsia="zh-CN"/>
              </w:rPr>
              <w:t>此项满分</w:t>
            </w:r>
            <w:r>
              <w:rPr>
                <w:rFonts w:hint="eastAsia" w:ascii="宋体" w:hAnsi="宋体" w:eastAsia="宋体" w:cs="宋体"/>
                <w:bCs/>
                <w:color w:val="auto"/>
                <w:sz w:val="21"/>
                <w:szCs w:val="21"/>
                <w:highlight w:val="none"/>
                <w:shd w:val="clear" w:color="auto" w:fill="auto"/>
                <w:lang w:val="en-US" w:eastAsia="zh-CN"/>
              </w:rPr>
              <w:t>4分。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93"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p>
        </w:tc>
        <w:tc>
          <w:tcPr>
            <w:tcW w:w="7661" w:type="dxa"/>
            <w:gridSpan w:val="2"/>
            <w:noWrap w:val="0"/>
            <w:vAlign w:val="center"/>
          </w:tcPr>
          <w:p>
            <w:pPr>
              <w:keepNext w:val="0"/>
              <w:keepLines w:val="0"/>
              <w:pageBreakBefore w:val="0"/>
              <w:widowControl/>
              <w:kinsoku/>
              <w:wordWrap/>
              <w:overflowPunct/>
              <w:topLinePunct w:val="0"/>
              <w:autoSpaceDE/>
              <w:autoSpaceDN/>
              <w:bidi w:val="0"/>
              <w:adjustRightInd/>
              <w:spacing w:line="480" w:lineRule="exact"/>
              <w:ind w:right="0" w:rightChars="0" w:firstLine="422" w:firstLineChars="20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sz w:val="21"/>
                <w:szCs w:val="21"/>
                <w:highlight w:val="none"/>
              </w:rPr>
              <w:t>商务分</w:t>
            </w:r>
          </w:p>
        </w:tc>
        <w:tc>
          <w:tcPr>
            <w:tcW w:w="851"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10</w:t>
            </w:r>
            <w:r>
              <w:rPr>
                <w:rFonts w:hint="eastAsia" w:ascii="宋体" w:hAnsi="宋体" w:eastAsia="宋体" w:cs="宋体"/>
                <w:b/>
                <w:bCs/>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3" w:type="dxa"/>
            <w:noWrap w:val="0"/>
            <w:vAlign w:val="center"/>
          </w:tcPr>
          <w:p>
            <w:pPr>
              <w:keepNext w:val="0"/>
              <w:keepLines w:val="0"/>
              <w:pageBreakBefore w:val="0"/>
              <w:kinsoku/>
              <w:wordWrap/>
              <w:overflowPunct/>
              <w:topLinePunct w:val="0"/>
              <w:autoSpaceDE/>
              <w:autoSpaceDN/>
              <w:bidi w:val="0"/>
              <w:spacing w:line="480" w:lineRule="exact"/>
              <w:ind w:right="0" w:rightChars="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tc>
        <w:tc>
          <w:tcPr>
            <w:tcW w:w="1258" w:type="dxa"/>
            <w:noWrap w:val="0"/>
            <w:vAlign w:val="center"/>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项目业绩分</w:t>
            </w:r>
          </w:p>
        </w:tc>
        <w:tc>
          <w:tcPr>
            <w:tcW w:w="6403"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年以来至响应文件递交截止日期止，供应商具有</w:t>
            </w:r>
            <w:r>
              <w:rPr>
                <w:rFonts w:hint="eastAsia" w:ascii="宋体" w:hAnsi="宋体" w:cs="宋体"/>
                <w:color w:val="auto"/>
                <w:sz w:val="21"/>
                <w:szCs w:val="21"/>
                <w:highlight w:val="none"/>
                <w:lang w:val="en-US" w:eastAsia="zh-CN"/>
              </w:rPr>
              <w:t>工程类</w:t>
            </w:r>
            <w:r>
              <w:rPr>
                <w:rFonts w:hint="eastAsia" w:ascii="宋体" w:hAnsi="宋体" w:eastAsia="宋体" w:cs="宋体"/>
                <w:color w:val="auto"/>
                <w:sz w:val="21"/>
                <w:szCs w:val="21"/>
                <w:highlight w:val="none"/>
              </w:rPr>
              <w:t>项目业绩的，每项得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分，满分</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以合同或者中标（成交）通知书复印件为准，并加盖</w:t>
            </w:r>
            <w:r>
              <w:rPr>
                <w:rFonts w:hint="eastAsia" w:ascii="宋体" w:hAnsi="宋体" w:eastAsia="宋体" w:cs="宋体"/>
                <w:color w:val="auto"/>
                <w:sz w:val="21"/>
                <w:szCs w:val="21"/>
                <w:highlight w:val="none"/>
              </w:rPr>
              <w:t>供应商</w:t>
            </w:r>
            <w:r>
              <w:rPr>
                <w:rFonts w:hint="eastAsia" w:ascii="宋体" w:hAnsi="宋体" w:eastAsia="宋体" w:cs="宋体"/>
                <w:bCs/>
                <w:color w:val="auto"/>
                <w:sz w:val="21"/>
                <w:szCs w:val="21"/>
                <w:highlight w:val="none"/>
              </w:rPr>
              <w:t>公章]。</w:t>
            </w:r>
          </w:p>
        </w:tc>
        <w:tc>
          <w:tcPr>
            <w:tcW w:w="851" w:type="dxa"/>
            <w:noWrap w:val="0"/>
            <w:vAlign w:val="center"/>
          </w:tcPr>
          <w:p>
            <w:pPr>
              <w:keepNext w:val="0"/>
              <w:keepLines w:val="0"/>
              <w:pageBreakBefore w:val="0"/>
              <w:kinsoku/>
              <w:wordWrap/>
              <w:overflowPunct/>
              <w:topLinePunct w:val="0"/>
              <w:autoSpaceDE/>
              <w:autoSpaceDN/>
              <w:bidi w:val="0"/>
              <w:spacing w:line="480" w:lineRule="exact"/>
              <w:ind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3"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pPr>
              <w:keepNext w:val="0"/>
              <w:keepLines w:val="0"/>
              <w:pageBreakBefore w:val="0"/>
              <w:widowControl/>
              <w:kinsoku/>
              <w:wordWrap/>
              <w:overflowPunct/>
              <w:topLinePunct w:val="0"/>
              <w:autoSpaceDE/>
              <w:autoSpaceDN/>
              <w:bidi w:val="0"/>
              <w:spacing w:line="480" w:lineRule="exact"/>
              <w:ind w:right="0" w:rightChars="0"/>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258"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both"/>
              <w:rPr>
                <w:rFonts w:hint="eastAsia" w:ascii="宋体" w:hAnsi="宋体" w:eastAsia="宋体" w:cs="宋体"/>
                <w:bCs/>
                <w:color w:val="auto"/>
                <w:sz w:val="21"/>
                <w:szCs w:val="21"/>
                <w:highlight w:val="none"/>
              </w:rPr>
            </w:pPr>
          </w:p>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诚信分</w:t>
            </w:r>
          </w:p>
        </w:tc>
        <w:tc>
          <w:tcPr>
            <w:tcW w:w="6403"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left"/>
              <w:rPr>
                <w:rFonts w:hint="eastAsia" w:ascii="宋体" w:hAnsi="宋体" w:eastAsia="宋体" w:cs="宋体"/>
                <w:bCs/>
                <w:color w:val="auto"/>
                <w:sz w:val="21"/>
                <w:szCs w:val="21"/>
                <w:highlight w:val="none"/>
                <w:lang w:val="en-US" w:eastAsia="en-US"/>
              </w:rPr>
            </w:pPr>
            <w:r>
              <w:rPr>
                <w:rFonts w:hint="eastAsia" w:ascii="宋体" w:hAnsi="宋体" w:eastAsia="宋体" w:cs="宋体"/>
                <w:bCs/>
                <w:color w:val="auto"/>
                <w:sz w:val="21"/>
                <w:szCs w:val="21"/>
                <w:highlight w:val="none"/>
              </w:rPr>
              <w:t>评审标准：投标人在截标日前一年内在政府采购活动中存在违约违规情形 的(以财政部门书面认定材料为评分依据),每次扣除3分，最高扣6分。</w:t>
            </w:r>
          </w:p>
        </w:tc>
        <w:tc>
          <w:tcPr>
            <w:tcW w:w="851" w:type="dxa"/>
            <w:noWrap w:val="0"/>
            <w:vAlign w:val="top"/>
          </w:tcPr>
          <w:p>
            <w:pPr>
              <w:keepNext w:val="0"/>
              <w:keepLines w:val="0"/>
              <w:pageBreakBefore w:val="0"/>
              <w:widowControl/>
              <w:kinsoku/>
              <w:wordWrap/>
              <w:overflowPunct/>
              <w:topLinePunct w:val="0"/>
              <w:autoSpaceDE/>
              <w:autoSpaceDN/>
              <w:bidi w:val="0"/>
              <w:spacing w:line="480" w:lineRule="exact"/>
              <w:ind w:right="0" w:right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最高扣</w:t>
            </w:r>
            <w:r>
              <w:rPr>
                <w:rFonts w:hint="eastAsia" w:ascii="宋体" w:hAnsi="宋体" w:eastAsia="宋体" w:cs="宋体"/>
                <w:bCs/>
                <w:color w:val="auto"/>
                <w:sz w:val="21"/>
                <w:szCs w:val="21"/>
                <w:highlight w:val="none"/>
              </w:rPr>
              <w:t>6分</w:t>
            </w:r>
          </w:p>
        </w:tc>
      </w:tr>
    </w:tbl>
    <w:p>
      <w:pPr>
        <w:spacing w:line="360" w:lineRule="auto"/>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hint="eastAsia" w:ascii="宋体" w:hAnsi="宋体" w:eastAsia="宋体" w:cs="宋体"/>
          <w:color w:val="auto"/>
          <w:highlight w:val="none"/>
        </w:rPr>
      </w:pPr>
      <w:bookmarkStart w:id="132"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133" w:name="_Toc16046"/>
      <w:bookmarkStart w:id="134" w:name="_Toc6406"/>
      <w:bookmarkStart w:id="135" w:name="_Toc498"/>
      <w:bookmarkStart w:id="136" w:name="_Toc22098"/>
      <w:bookmarkStart w:id="137" w:name="_Toc18798"/>
      <w:bookmarkStart w:id="138" w:name="_Toc25481"/>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132"/>
      <w:bookmarkEnd w:id="133"/>
      <w:bookmarkEnd w:id="134"/>
      <w:bookmarkEnd w:id="135"/>
      <w:bookmarkEnd w:id="136"/>
      <w:bookmarkEnd w:id="137"/>
      <w:bookmarkEnd w:id="138"/>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pPr>
        <w:pStyle w:val="33"/>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pPr>
        <w:pStyle w:val="3"/>
        <w:spacing w:before="0" w:after="0" w:line="360" w:lineRule="auto"/>
        <w:ind w:firstLine="640" w:firstLineChars="200"/>
        <w:jc w:val="center"/>
        <w:rPr>
          <w:rFonts w:hint="eastAsia" w:ascii="宋体" w:hAnsi="宋体" w:eastAsia="宋体" w:cs="宋体"/>
          <w:b w:val="0"/>
          <w:color w:val="auto"/>
          <w:highlight w:val="none"/>
        </w:rPr>
      </w:pPr>
      <w:bookmarkStart w:id="139" w:name="_Toc9233"/>
      <w:bookmarkStart w:id="140" w:name="_Toc3846"/>
      <w:bookmarkStart w:id="141" w:name="_Toc7265"/>
      <w:bookmarkStart w:id="142" w:name="_Toc3713"/>
      <w:bookmarkStart w:id="143" w:name="_Toc13101"/>
      <w:bookmarkStart w:id="144" w:name="_Toc30628"/>
      <w:bookmarkStart w:id="145" w:name="_Toc8020593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139"/>
      <w:bookmarkEnd w:id="140"/>
      <w:bookmarkEnd w:id="141"/>
      <w:bookmarkEnd w:id="142"/>
      <w:bookmarkEnd w:id="143"/>
      <w:bookmarkEnd w:id="144"/>
      <w:bookmarkEnd w:id="145"/>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46" w:name="_Toc16991"/>
      <w:bookmarkStart w:id="147" w:name="_Toc12700"/>
      <w:bookmarkStart w:id="148" w:name="_Toc8541"/>
      <w:bookmarkStart w:id="149" w:name="_Toc29932"/>
      <w:bookmarkStart w:id="150" w:name="_Toc22349"/>
      <w:bookmarkStart w:id="151" w:name="_Toc11732"/>
      <w:r>
        <w:rPr>
          <w:rFonts w:hint="eastAsia" w:ascii="宋体" w:hAnsi="宋体" w:eastAsia="宋体" w:cs="宋体"/>
          <w:b/>
          <w:bCs/>
          <w:color w:val="auto"/>
          <w:highlight w:val="none"/>
        </w:rPr>
        <w:t>第五章 响应文件格式</w:t>
      </w:r>
      <w:bookmarkEnd w:id="146"/>
      <w:bookmarkEnd w:id="147"/>
      <w:bookmarkEnd w:id="148"/>
      <w:bookmarkEnd w:id="149"/>
      <w:bookmarkEnd w:id="150"/>
      <w:bookmarkEnd w:id="151"/>
    </w:p>
    <w:p>
      <w:pPr>
        <w:pStyle w:val="3"/>
        <w:spacing w:line="360" w:lineRule="auto"/>
        <w:jc w:val="center"/>
        <w:rPr>
          <w:rFonts w:hint="eastAsia" w:ascii="宋体" w:hAnsi="宋体" w:eastAsia="宋体" w:cs="宋体"/>
          <w:b w:val="0"/>
          <w:color w:val="auto"/>
          <w:highlight w:val="none"/>
          <w:lang w:val="en-US" w:eastAsia="zh-CN"/>
        </w:rPr>
      </w:pPr>
      <w:bookmarkStart w:id="152" w:name="_Toc80205938"/>
      <w:bookmarkStart w:id="153" w:name="_Toc26547"/>
      <w:bookmarkStart w:id="154" w:name="_Toc7703"/>
      <w:bookmarkStart w:id="155" w:name="_Toc9368"/>
      <w:bookmarkStart w:id="156" w:name="_Toc16580"/>
      <w:bookmarkStart w:id="157" w:name="_Toc3361"/>
      <w:bookmarkStart w:id="158" w:name="_Toc3747"/>
      <w:r>
        <w:rPr>
          <w:rFonts w:hint="eastAsia" w:ascii="宋体" w:hAnsi="宋体" w:eastAsia="宋体" w:cs="宋体"/>
          <w:b w:val="0"/>
          <w:color w:val="auto"/>
          <w:highlight w:val="none"/>
          <w:lang w:val="en-US" w:eastAsia="zh-CN"/>
        </w:rPr>
        <w:t>第一节 封面格式</w:t>
      </w:r>
      <w:bookmarkEnd w:id="152"/>
      <w:bookmarkEnd w:id="153"/>
      <w:bookmarkEnd w:id="154"/>
      <w:bookmarkEnd w:id="155"/>
      <w:bookmarkEnd w:id="156"/>
      <w:bookmarkEnd w:id="157"/>
      <w:bookmarkEnd w:id="158"/>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pPr>
        <w:snapToGrid w:val="0"/>
        <w:spacing w:before="120" w:beforeLines="50" w:after="50" w:line="360" w:lineRule="auto"/>
        <w:jc w:val="center"/>
        <w:rPr>
          <w:rFonts w:hint="eastAsia" w:ascii="宋体" w:hAnsi="宋体" w:eastAsia="宋体" w:cs="宋体"/>
          <w:bCs/>
          <w:color w:val="auto"/>
          <w:sz w:val="44"/>
          <w:szCs w:val="44"/>
          <w:highlight w:val="none"/>
        </w:rPr>
      </w:pP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宾阳县2025年大中型水库移民后期扶持资金及中央水库移民扶持基金（提前批）项目基础设施项目</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NNZC2025-C2-260140-XMZX</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Cs w:val="0"/>
          <w:color w:val="auto"/>
          <w:highlight w:val="none"/>
        </w:rPr>
      </w:pPr>
      <w:bookmarkStart w:id="159" w:name="_Toc30309"/>
      <w:bookmarkStart w:id="160" w:name="_Toc25717"/>
      <w:bookmarkStart w:id="161" w:name="_Toc1031"/>
      <w:bookmarkStart w:id="162" w:name="_Toc80205939"/>
      <w:bookmarkStart w:id="163" w:name="_Toc21695"/>
      <w:bookmarkStart w:id="164" w:name="_Toc25039"/>
      <w:bookmarkStart w:id="165" w:name="_Toc1270"/>
      <w:r>
        <w:rPr>
          <w:rFonts w:hint="eastAsia" w:ascii="宋体" w:hAnsi="宋体" w:eastAsia="宋体" w:cs="宋体"/>
          <w:bCs w:val="0"/>
          <w:color w:val="auto"/>
          <w:highlight w:val="none"/>
        </w:rPr>
        <w:t>第二节 资格证明文件格式</w:t>
      </w:r>
      <w:bookmarkEnd w:id="159"/>
      <w:bookmarkEnd w:id="160"/>
      <w:bookmarkEnd w:id="161"/>
      <w:bookmarkEnd w:id="162"/>
      <w:bookmarkEnd w:id="163"/>
      <w:bookmarkEnd w:id="164"/>
      <w:bookmarkEnd w:id="165"/>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24"/>
          <w:szCs w:val="20"/>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宾阳县2025年大中型水库移民后期扶持资金及中央水库移民扶持基金（提前批）项目基础设施项目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NNZC2025-C2-260140-XMZX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pPr>
        <w:snapToGrid w:val="0"/>
        <w:spacing w:line="360" w:lineRule="auto"/>
        <w:rPr>
          <w:rFonts w:hint="eastAsia" w:ascii="宋体" w:hAnsi="宋体" w:eastAsia="宋体" w:cs="宋体"/>
          <w:color w:val="auto"/>
          <w:kern w:val="0"/>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w:t>
      </w:r>
      <w:r>
        <w:rPr>
          <w:rFonts w:hint="eastAsia" w:ascii="仿宋" w:hAnsi="仿宋" w:eastAsia="仿宋" w:cs="仿宋"/>
          <w:color w:val="auto"/>
          <w:sz w:val="24"/>
          <w:highlight w:val="none"/>
        </w:rPr>
        <w:t>营业执照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或事业法人登记证或其他工商等登记证明材料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复印件（供应商为自然人的，须提供</w:t>
      </w:r>
      <w:r>
        <w:rPr>
          <w:rFonts w:hint="eastAsia" w:ascii="仿宋" w:hAnsi="仿宋" w:eastAsia="仿宋" w:cs="仿宋"/>
          <w:color w:val="auto"/>
          <w:kern w:val="0"/>
          <w:sz w:val="24"/>
          <w:highlight w:val="none"/>
        </w:rPr>
        <w:t>自然人的身份证明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二、符合参与政府采购活动的资格条件依法缴纳税收、社会保障资金等方面的材料………………………………………………………………………………</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三、财务状况报告方面的材料…………………………………………………（页码）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四、供应商直接控股股东信息</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五、供应商直接关联关系信息表</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六、资格声明函…………………………………………………………………（页码）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七</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lang w:val="en-US" w:eastAsia="zh-CN"/>
        </w:rPr>
        <w:t>中小企业声明函</w:t>
      </w:r>
      <w:r>
        <w:rPr>
          <w:rFonts w:hint="eastAsia" w:ascii="仿宋" w:hAnsi="仿宋" w:eastAsia="仿宋" w:cs="仿宋"/>
          <w:color w:val="auto"/>
          <w:sz w:val="24"/>
          <w:szCs w:val="24"/>
          <w:highlight w:val="none"/>
        </w:rPr>
        <w:t>或残疾人福利性单位声明函或供应商属于监狱企业的证明材料</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、符合特定资格条件（如有）的有关证明材料（复印件）</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九</w:t>
      </w:r>
      <w:r>
        <w:rPr>
          <w:rFonts w:hint="eastAsia" w:ascii="仿宋" w:hAnsi="仿宋" w:eastAsia="仿宋" w:cs="仿宋"/>
          <w:color w:val="auto"/>
          <w:sz w:val="24"/>
          <w:highlight w:val="none"/>
        </w:rPr>
        <w:t>、除磋商文件规定必须提供以外，供应商认为需要提供的其他证明材料。</w:t>
      </w:r>
      <w:r>
        <w:rPr>
          <w:rFonts w:hint="eastAsia" w:ascii="仿宋" w:hAnsi="仿宋" w:eastAsia="仿宋" w:cs="仿宋"/>
          <w:color w:val="auto"/>
          <w:kern w:val="0"/>
          <w:sz w:val="24"/>
          <w:highlight w:val="none"/>
        </w:rPr>
        <w:t>…</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pStyle w:val="16"/>
        <w:spacing w:line="360" w:lineRule="auto"/>
        <w:ind w:firstLine="400" w:firstLineChars="200"/>
        <w:rPr>
          <w:rFonts w:hint="eastAsia" w:ascii="仿宋" w:hAnsi="仿宋" w:eastAsia="仿宋" w:cs="仿宋"/>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仿宋" w:hAnsi="仿宋" w:eastAsia="仿宋" w:cs="仿宋"/>
          <w:color w:val="auto"/>
          <w:highlight w:val="none"/>
        </w:rPr>
        <w:t xml:space="preserve"> </w:t>
      </w:r>
      <w:r>
        <w:rPr>
          <w:rFonts w:hint="eastAsia" w:ascii="仿宋" w:hAnsi="仿宋" w:eastAsia="仿宋" w:cs="仿宋"/>
          <w:b/>
          <w:color w:val="auto"/>
          <w:sz w:val="30"/>
          <w:szCs w:val="30"/>
          <w:highlight w:val="none"/>
        </w:rPr>
        <w:t>一、营业执照</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或事业法人登记证或其他工商等登记证明材料</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复印件（</w:t>
      </w:r>
      <w:r>
        <w:rPr>
          <w:rFonts w:hint="eastAsia" w:ascii="仿宋" w:hAnsi="仿宋" w:eastAsia="仿宋" w:cs="仿宋"/>
          <w:b/>
          <w:color w:val="auto"/>
          <w:sz w:val="30"/>
          <w:szCs w:val="30"/>
          <w:highlight w:val="none"/>
          <w:lang w:eastAsia="zh-CN"/>
        </w:rPr>
        <w:t>供应商</w:t>
      </w:r>
      <w:r>
        <w:rPr>
          <w:rFonts w:hint="eastAsia" w:ascii="仿宋" w:hAnsi="仿宋" w:eastAsia="仿宋" w:cs="仿宋"/>
          <w:b/>
          <w:color w:val="auto"/>
          <w:sz w:val="30"/>
          <w:szCs w:val="30"/>
          <w:highlight w:val="none"/>
        </w:rPr>
        <w:t>为自然人的，提供自然人的身份证明）</w:t>
      </w:r>
    </w:p>
    <w:p>
      <w:pPr>
        <w:pStyle w:val="16"/>
        <w:spacing w:line="360" w:lineRule="auto"/>
        <w:ind w:firstLine="602" w:firstLineChars="200"/>
        <w:rPr>
          <w:rFonts w:hint="eastAsia" w:ascii="仿宋" w:hAnsi="仿宋" w:eastAsia="仿宋" w:cs="仿宋"/>
          <w:b/>
          <w:color w:val="auto"/>
          <w:sz w:val="30"/>
          <w:szCs w:val="30"/>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before="120" w:beforeLines="50" w:after="50" w:line="360" w:lineRule="auto"/>
        <w:rPr>
          <w:rFonts w:hint="eastAsia" w:ascii="仿宋" w:hAnsi="仿宋" w:eastAsia="仿宋" w:cs="仿宋"/>
          <w:color w:val="auto"/>
          <w:sz w:val="24"/>
          <w:szCs w:val="20"/>
          <w:highlight w:val="none"/>
        </w:rPr>
      </w:pPr>
    </w:p>
    <w:p>
      <w:pPr>
        <w:pStyle w:val="16"/>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符合参与政府采购活动的资格条件依法缴纳税收、社会保障资金等方面的材料</w:t>
      </w:r>
    </w:p>
    <w:p>
      <w:pPr>
        <w:spacing w:line="360" w:lineRule="auto"/>
        <w:rPr>
          <w:rFonts w:hint="eastAsia" w:ascii="仿宋" w:hAnsi="仿宋" w:eastAsia="仿宋" w:cs="仿宋"/>
          <w:color w:val="auto"/>
          <w:szCs w:val="21"/>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rPr>
          <w:rFonts w:hint="eastAsia" w:ascii="仿宋" w:hAnsi="仿宋" w:eastAsia="仿宋" w:cs="仿宋"/>
          <w:color w:val="auto"/>
          <w:szCs w:val="21"/>
          <w:highlight w:val="none"/>
        </w:rPr>
      </w:pPr>
    </w:p>
    <w:p>
      <w:pPr>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三、财务状况报告方面的材料</w:t>
      </w:r>
    </w:p>
    <w:p>
      <w:pPr>
        <w:spacing w:line="360" w:lineRule="auto"/>
        <w:rPr>
          <w:rFonts w:hint="eastAsia" w:ascii="仿宋" w:hAnsi="仿宋" w:eastAsia="仿宋" w:cs="仿宋"/>
          <w:color w:val="auto"/>
          <w:szCs w:val="21"/>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pPr>
        <w:snapToGrid w:val="0"/>
        <w:spacing w:before="120" w:beforeLines="50" w:after="50" w:line="360" w:lineRule="auto"/>
        <w:jc w:val="center"/>
        <w:rPr>
          <w:rFonts w:hint="eastAsia" w:ascii="仿宋" w:hAnsi="仿宋" w:eastAsia="仿宋" w:cs="仿宋"/>
          <w:b/>
          <w:color w:val="auto"/>
          <w:sz w:val="24"/>
          <w:highlight w:val="none"/>
        </w:rPr>
      </w:pPr>
    </w:p>
    <w:p>
      <w:pPr>
        <w:spacing w:line="360" w:lineRule="auto"/>
        <w:ind w:firstLine="596" w:firstLineChars="198"/>
        <w:contextualSpacing/>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pacing w:line="360" w:lineRule="auto"/>
        <w:ind w:firstLine="596" w:firstLineChars="198"/>
        <w:contextualSpacing/>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四、供应商直接控股股东信息</w:t>
      </w:r>
    </w:p>
    <w:p>
      <w:pPr>
        <w:spacing w:line="360" w:lineRule="auto"/>
        <w:contextualSpacing/>
        <w:jc w:val="center"/>
        <w:rPr>
          <w:rFonts w:hint="eastAsia" w:ascii="仿宋" w:hAnsi="仿宋" w:eastAsia="仿宋" w:cs="仿宋"/>
          <w:b/>
          <w:color w:val="auto"/>
          <w:sz w:val="24"/>
          <w:highlight w:val="none"/>
        </w:rPr>
      </w:pPr>
    </w:p>
    <w:tbl>
      <w:tblPr>
        <w:tblStyle w:val="25"/>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bl>
    <w:p>
      <w:pPr>
        <w:spacing w:line="360" w:lineRule="auto"/>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3.供应商不存在直接控股股东的，则填“无”。</w:t>
      </w:r>
    </w:p>
    <w:p>
      <w:pPr>
        <w:snapToGrid w:val="0"/>
        <w:spacing w:line="360" w:lineRule="auto"/>
        <w:jc w:val="left"/>
        <w:rPr>
          <w:rFonts w:hint="eastAsia" w:ascii="仿宋" w:hAnsi="仿宋" w:eastAsia="仿宋" w:cs="仿宋"/>
          <w:color w:val="auto"/>
          <w:sz w:val="24"/>
          <w:highlight w:val="none"/>
        </w:rPr>
      </w:pPr>
    </w:p>
    <w:p>
      <w:pPr>
        <w:snapToGrid w:val="0"/>
        <w:spacing w:line="360" w:lineRule="auto"/>
        <w:jc w:val="left"/>
        <w:rPr>
          <w:rFonts w:hint="eastAsia" w:ascii="仿宋" w:hAnsi="仿宋" w:eastAsia="仿宋" w:cs="仿宋"/>
          <w:color w:val="auto"/>
          <w:sz w:val="24"/>
          <w:highlight w:val="none"/>
        </w:rPr>
      </w:pPr>
    </w:p>
    <w:p>
      <w:pPr>
        <w:snapToGrid w:val="0"/>
        <w:spacing w:line="360" w:lineRule="auto"/>
        <w:jc w:val="left"/>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line="360" w:lineRule="auto"/>
        <w:rPr>
          <w:rFonts w:hint="eastAsia" w:ascii="仿宋" w:hAnsi="仿宋" w:eastAsia="仿宋" w:cs="仿宋"/>
          <w:b/>
          <w:color w:val="auto"/>
          <w:kern w:val="0"/>
          <w:sz w:val="30"/>
          <w:szCs w:val="30"/>
          <w:highlight w:val="none"/>
        </w:rPr>
      </w:pPr>
    </w:p>
    <w:p>
      <w:pPr>
        <w:snapToGrid w:val="0"/>
        <w:spacing w:line="360" w:lineRule="auto"/>
        <w:ind w:firstLine="596" w:firstLineChars="198"/>
        <w:rPr>
          <w:rFonts w:hint="eastAsia" w:ascii="仿宋" w:hAnsi="仿宋" w:eastAsia="仿宋" w:cs="仿宋"/>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line="360" w:lineRule="auto"/>
        <w:ind w:firstLine="596" w:firstLineChars="198"/>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rPr>
        <w:t>五、供应商直接管理关系信息表</w:t>
      </w:r>
    </w:p>
    <w:p>
      <w:pPr>
        <w:snapToGrid w:val="0"/>
        <w:spacing w:line="360" w:lineRule="auto"/>
        <w:jc w:val="center"/>
        <w:rPr>
          <w:rFonts w:hint="eastAsia" w:ascii="仿宋" w:hAnsi="仿宋" w:eastAsia="仿宋" w:cs="仿宋"/>
          <w:b/>
          <w:color w:val="auto"/>
          <w:sz w:val="24"/>
          <w:highlight w:val="none"/>
        </w:rPr>
      </w:pPr>
    </w:p>
    <w:tbl>
      <w:tblPr>
        <w:tblStyle w:val="25"/>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仿宋" w:hAnsi="仿宋" w:eastAsia="仿宋" w:cs="仿宋"/>
                <w:color w:val="auto"/>
                <w:kern w:val="0"/>
                <w:sz w:val="24"/>
                <w:highlight w:val="none"/>
              </w:rPr>
            </w:pPr>
          </w:p>
        </w:tc>
      </w:tr>
    </w:tbl>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2.本表所指的管理关系仅限于直接管理关系，不包括间接的管理关系。</w:t>
      </w:r>
    </w:p>
    <w:p>
      <w:pPr>
        <w:spacing w:line="360" w:lineRule="auto"/>
        <w:ind w:firstLine="480" w:firstLineChars="200"/>
        <w:contextualSpacing/>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3.供应商不存在直接管理关系的，则填“无”。</w:t>
      </w:r>
    </w:p>
    <w:p>
      <w:pPr>
        <w:spacing w:line="360" w:lineRule="auto"/>
        <w:contextualSpacing/>
        <w:jc w:val="left"/>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pacing w:line="360" w:lineRule="auto"/>
        <w:ind w:right="480" w:firstLine="240" w:firstLineChars="100"/>
        <w:contextualSpacing/>
        <w:jc w:val="center"/>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rPr>
        <w:t xml:space="preserve">                                  </w:t>
      </w:r>
    </w:p>
    <w:p>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color w:val="auto"/>
          <w:kern w:val="0"/>
          <w:sz w:val="30"/>
          <w:szCs w:val="30"/>
          <w:highlight w:val="none"/>
        </w:rPr>
        <w:t>六、资格声明函</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资格声明函</w:t>
      </w:r>
    </w:p>
    <w:p>
      <w:pPr>
        <w:spacing w:line="360" w:lineRule="auto"/>
        <w:jc w:val="center"/>
        <w:rPr>
          <w:rFonts w:hint="eastAsia" w:ascii="仿宋" w:hAnsi="仿宋" w:eastAsia="仿宋" w:cs="仿宋"/>
          <w:color w:val="auto"/>
          <w:sz w:val="24"/>
          <w:szCs w:val="20"/>
          <w:highlight w:val="none"/>
        </w:rPr>
      </w:pPr>
    </w:p>
    <w:p>
      <w:pP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（采购代理机构名称）</w:t>
      </w:r>
      <w:r>
        <w:rPr>
          <w:rFonts w:hint="eastAsia" w:ascii="仿宋" w:hAnsi="仿宋" w:eastAsia="仿宋" w:cs="仿宋"/>
          <w:color w:val="auto"/>
          <w:sz w:val="24"/>
          <w:highlight w:val="none"/>
        </w:rPr>
        <w:t>：</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（供应商名称）</w:t>
      </w:r>
      <w:r>
        <w:rPr>
          <w:rFonts w:hint="eastAsia" w:ascii="仿宋" w:hAnsi="仿宋" w:eastAsia="仿宋" w:cs="仿宋"/>
          <w:color w:val="auto"/>
          <w:sz w:val="24"/>
          <w:highlight w:val="none"/>
        </w:rPr>
        <w:t>系中华人民共和国合法供应商，经营地址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我方愿意参加贵方组织的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宾阳县2025年大中型水库移民后期扶持资金及中央水库移民扶持基金（提前批）项目基础设施项目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项目的竞标，为便于贵方公正、择优</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确定成交供应商及其竞标产品和服务，我方就本次竞标有关事项郑重声明如下：</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1.我方向贵方提交的所有响应文件、资料都是准确的和真实的。</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3.在此，我方宣布同意如下：</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（1）将按磋商文件的约定履行合同责任和义务；</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（2）已详细审查全部磋商文件，包括澄清或者更正公告（如有）；</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（3）同意提供按照贵方可能要求的与谈判有关的一切数据或者资料；</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（4）响应磋商文件规定的竞标有效期。</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4.我方承诺符合《中华人民共和国政府采购法》第二十二条规定：</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（6）法律、行政法规规定的其他条件。</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pPr>
        <w:spacing w:line="360" w:lineRule="auto"/>
        <w:ind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□我方本次响应文件</w:t>
      </w:r>
      <w:r>
        <w:rPr>
          <w:rFonts w:hint="eastAsia" w:ascii="仿宋" w:hAnsi="仿宋" w:eastAsia="仿宋" w:cs="仿宋"/>
          <w:color w:val="auto"/>
          <w:kern w:val="0"/>
          <w:sz w:val="24"/>
          <w:highlight w:val="none"/>
        </w:rPr>
        <w:t>涉及商业秘密的内容有：</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16"/>
        <w:spacing w:line="360" w:lineRule="auto"/>
        <w:ind w:firstLine="480" w:firstLineChars="200"/>
        <w:contextualSpacing/>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7.与本</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有关的一切正式往来信函请寄：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邮政编号：</w:t>
      </w:r>
      <w:r>
        <w:rPr>
          <w:rFonts w:hint="eastAsia" w:ascii="仿宋" w:hAnsi="仿宋" w:eastAsia="仿宋" w:cs="仿宋"/>
          <w:color w:val="auto"/>
          <w:sz w:val="24"/>
          <w:szCs w:val="24"/>
          <w:highlight w:val="none"/>
          <w:u w:val="single"/>
        </w:rPr>
        <w:t xml:space="preserve">        </w:t>
      </w:r>
    </w:p>
    <w:p>
      <w:pPr>
        <w:pStyle w:val="16"/>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电话/传真：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电子函件：</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帐号：</w:t>
      </w:r>
      <w:r>
        <w:rPr>
          <w:rFonts w:hint="eastAsia" w:ascii="仿宋" w:hAnsi="仿宋" w:eastAsia="仿宋" w:cs="仿宋"/>
          <w:color w:val="auto"/>
          <w:sz w:val="24"/>
          <w:highlight w:val="none"/>
          <w:u w:val="single"/>
        </w:rPr>
        <w:t xml:space="preserve">                               </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8.以上事项如有虚假或者隐瞒，我方愿意承担一切后果，并不再寻求任何旨在减轻或者免除法律责任的辩解。</w:t>
      </w:r>
    </w:p>
    <w:p>
      <w:pPr>
        <w:pStyle w:val="14"/>
        <w:tabs>
          <w:tab w:val="left" w:pos="939"/>
        </w:tabs>
        <w:spacing w:line="360" w:lineRule="auto"/>
        <w:ind w:left="141" w:leftChars="67"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注：如为联合体竞标，盖章处须加盖联合体各方公章并由联合体各方法定代表人签署，否则其响应文件按无效响应处理。</w:t>
      </w:r>
    </w:p>
    <w:p>
      <w:pPr>
        <w:pStyle w:val="14"/>
        <w:tabs>
          <w:tab w:val="left" w:pos="939"/>
        </w:tabs>
        <w:spacing w:line="360" w:lineRule="auto"/>
        <w:ind w:left="0" w:leftChars="0" w:firstLine="480" w:firstLineChars="200"/>
        <w:rPr>
          <w:rFonts w:hint="eastAsia" w:ascii="仿宋" w:hAnsi="仿宋" w:eastAsia="仿宋" w:cs="仿宋"/>
          <w:color w:val="auto"/>
          <w:sz w:val="24"/>
          <w:highlight w:val="none"/>
        </w:rPr>
      </w:pPr>
    </w:p>
    <w:p>
      <w:pPr>
        <w:autoSpaceDE w:val="0"/>
        <w:autoSpaceDN w:val="0"/>
        <w:spacing w:line="360" w:lineRule="auto"/>
        <w:ind w:left="4365" w:leftChars="1850" w:hanging="480" w:hanging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120" w:firstLineChars="2550"/>
        <w:rPr>
          <w:rFonts w:hint="eastAsia" w:ascii="仿宋" w:hAnsi="仿宋" w:eastAsia="仿宋" w:cs="仿宋"/>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仿宋" w:hAnsi="仿宋" w:eastAsia="仿宋" w:cs="仿宋"/>
          <w:color w:val="auto"/>
          <w:kern w:val="0"/>
          <w:sz w:val="24"/>
          <w:highlight w:val="none"/>
          <w:lang w:val="zh-CN"/>
        </w:rPr>
        <w:t>日期：  年  月   日</w:t>
      </w:r>
    </w:p>
    <w:p>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val="en-US" w:eastAsia="zh-CN"/>
        </w:rPr>
        <w:t>中小企业声明函</w:t>
      </w:r>
      <w:r>
        <w:rPr>
          <w:rFonts w:hint="eastAsia" w:ascii="仿宋" w:hAnsi="仿宋" w:eastAsia="仿宋" w:cs="仿宋"/>
          <w:b/>
          <w:color w:val="auto"/>
          <w:sz w:val="30"/>
          <w:szCs w:val="30"/>
          <w:highlight w:val="none"/>
        </w:rPr>
        <w:t>或残疾人福利性单位声明函或供应商属于监狱企业的证明材料</w:t>
      </w:r>
    </w:p>
    <w:p>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宾阳县水库移民安置服务中心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宾阳县2025年大中型水库移民后期扶持资金及中央水库移民扶持基金（提前批）项目基础设施项目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pPr>
        <w:pStyle w:val="12"/>
        <w:spacing w:after="0" w:line="360" w:lineRule="auto"/>
        <w:ind w:left="3960" w:right="1808"/>
        <w:contextualSpacing/>
        <w:rPr>
          <w:rFonts w:hint="eastAsia" w:ascii="宋体" w:hAnsi="宋体" w:eastAsia="宋体" w:cs="宋体"/>
          <w:color w:val="auto"/>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pStyle w:val="7"/>
        <w:overflowPunct w:val="0"/>
        <w:spacing w:line="360" w:lineRule="auto"/>
        <w:ind w:firstLine="0"/>
        <w:jc w:val="left"/>
        <w:rPr>
          <w:rFonts w:hint="eastAsia" w:ascii="仿宋" w:hAnsi="仿宋" w:eastAsia="仿宋" w:cs="仿宋"/>
          <w:b/>
          <w:color w:val="auto"/>
          <w:sz w:val="30"/>
          <w:szCs w:val="30"/>
          <w:highlight w:val="none"/>
        </w:rPr>
      </w:pPr>
    </w:p>
    <w:p>
      <w:pPr>
        <w:spacing w:line="360" w:lineRule="auto"/>
        <w:jc w:val="center"/>
        <w:rPr>
          <w:rFonts w:hint="eastAsia" w:ascii="宋体" w:hAnsi="宋体" w:cs="宋体"/>
          <w:color w:val="auto"/>
          <w:sz w:val="32"/>
          <w:szCs w:val="32"/>
          <w:highlight w:val="none"/>
        </w:rPr>
      </w:pPr>
      <w:r>
        <w:rPr>
          <w:rFonts w:hint="eastAsia" w:ascii="宋体" w:hAnsi="宋体" w:cs="宋体"/>
          <w:color w:val="auto"/>
          <w:sz w:val="44"/>
          <w:szCs w:val="44"/>
          <w:highlight w:val="none"/>
        </w:rPr>
        <w:t>残疾人福利性单位声明函</w:t>
      </w:r>
    </w:p>
    <w:p>
      <w:pPr>
        <w:spacing w:line="360" w:lineRule="auto"/>
        <w:rPr>
          <w:rFonts w:hint="eastAsia" w:ascii="宋体" w:hAnsi="宋体" w:cs="宋体"/>
          <w:color w:val="auto"/>
          <w:sz w:val="32"/>
          <w:szCs w:val="32"/>
          <w:highlight w:val="none"/>
        </w:rPr>
      </w:pP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项目采购活动由本单位提供服务。</w:t>
      </w: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ind w:firstLine="2400" w:firstLineChars="1000"/>
        <w:contextualSpacing/>
        <w:rPr>
          <w:rFonts w:hint="eastAsia" w:ascii="宋体" w:hAnsi="宋体" w:cs="宋体"/>
          <w:color w:val="auto"/>
          <w:sz w:val="24"/>
          <w:highlight w:val="none"/>
        </w:rPr>
      </w:pPr>
      <w:r>
        <w:rPr>
          <w:rFonts w:hint="eastAsia" w:ascii="宋体" w:hAnsi="宋体" w:cs="宋体"/>
          <w:color w:val="auto"/>
          <w:sz w:val="24"/>
          <w:highlight w:val="none"/>
        </w:rPr>
        <w:t>供应商名称（电子签章）：</w:t>
      </w:r>
    </w:p>
    <w:p>
      <w:pPr>
        <w:spacing w:line="360" w:lineRule="auto"/>
        <w:ind w:firstLine="4320" w:firstLineChars="1800"/>
        <w:contextualSpacing/>
        <w:rPr>
          <w:rFonts w:hint="eastAsia" w:ascii="宋体" w:hAnsi="宋体" w:cs="宋体"/>
          <w:color w:val="auto"/>
          <w:sz w:val="24"/>
          <w:highlight w:val="none"/>
        </w:rPr>
      </w:pPr>
      <w:r>
        <w:rPr>
          <w:rFonts w:hint="eastAsia" w:ascii="宋体" w:hAnsi="宋体" w:cs="宋体"/>
          <w:color w:val="auto"/>
          <w:sz w:val="24"/>
          <w:highlight w:val="none"/>
        </w:rPr>
        <w:t>日  期：     年   月   日</w:t>
      </w: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p>
    <w:p>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lang w:val="en-US" w:eastAsia="zh-CN"/>
        </w:rPr>
      </w:pPr>
    </w:p>
    <w:p>
      <w:pPr>
        <w:pStyle w:val="7"/>
        <w:overflowPunct w:val="0"/>
        <w:spacing w:line="360" w:lineRule="auto"/>
        <w:ind w:firstLine="0"/>
        <w:jc w:val="lef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符合特定资格</w:t>
      </w:r>
      <w:r>
        <w:rPr>
          <w:rFonts w:hint="eastAsia" w:ascii="仿宋" w:hAnsi="仿宋" w:eastAsia="仿宋" w:cs="仿宋"/>
          <w:b/>
          <w:color w:val="auto"/>
          <w:sz w:val="30"/>
          <w:szCs w:val="30"/>
          <w:highlight w:val="none"/>
          <w:lang w:eastAsia="zh-CN"/>
        </w:rPr>
        <w:t>要求和特定</w:t>
      </w:r>
      <w:r>
        <w:rPr>
          <w:rFonts w:hint="eastAsia" w:ascii="仿宋" w:hAnsi="仿宋" w:eastAsia="仿宋" w:cs="仿宋"/>
          <w:b/>
          <w:color w:val="auto"/>
          <w:sz w:val="30"/>
          <w:szCs w:val="30"/>
          <w:highlight w:val="none"/>
        </w:rPr>
        <w:t>条件（如果项目要求）的有关证明材料（复印件）</w:t>
      </w:r>
    </w:p>
    <w:p>
      <w:pPr>
        <w:snapToGrid w:val="0"/>
        <w:spacing w:line="360" w:lineRule="auto"/>
        <w:ind w:firstLine="602" w:firstLineChars="200"/>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pStyle w:val="12"/>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12"/>
        <w:rPr>
          <w:rFonts w:hint="eastAsia" w:ascii="仿宋" w:hAnsi="仿宋" w:eastAsia="仿宋" w:cs="仿宋"/>
          <w:color w:val="auto"/>
          <w:kern w:val="0"/>
          <w:sz w:val="24"/>
          <w:highlight w:val="none"/>
          <w:lang w:val="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rPr>
        <w:t>、除磋商文件规定必须提供以外，供应商认为需要提供的其他证明材料</w:t>
      </w:r>
    </w:p>
    <w:p>
      <w:pPr>
        <w:rPr>
          <w:rFonts w:hint="eastAsia" w:ascii="仿宋" w:hAnsi="仿宋" w:eastAsia="仿宋" w:cs="仿宋"/>
          <w:color w:val="auto"/>
          <w:kern w:val="0"/>
          <w:sz w:val="24"/>
          <w:highlight w:val="none"/>
          <w:lang w:val="zh-CN"/>
        </w:rPr>
      </w:pPr>
    </w:p>
    <w:p>
      <w:pPr>
        <w:pStyle w:val="12"/>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pStyle w:val="12"/>
        <w:rPr>
          <w:rFonts w:hint="eastAsia" w:ascii="仿宋" w:hAnsi="仿宋" w:eastAsia="仿宋" w:cs="仿宋"/>
          <w:color w:val="auto"/>
          <w:highlight w:val="none"/>
          <w:lang w:val="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rPr>
          <w:rFonts w:hint="eastAsia"/>
          <w:color w:val="auto"/>
          <w:highlight w:val="none"/>
          <w:lang w:val="zh-CN"/>
        </w:rPr>
      </w:pPr>
    </w:p>
    <w:p>
      <w:pPr>
        <w:pStyle w:val="12"/>
        <w:rPr>
          <w:rFonts w:hint="eastAsia"/>
          <w:color w:val="auto"/>
          <w:highlight w:val="none"/>
          <w:lang w:val="zh-CN"/>
        </w:rPr>
      </w:pPr>
    </w:p>
    <w:p>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 w:val="0"/>
          <w:color w:val="auto"/>
          <w:highlight w:val="none"/>
        </w:rPr>
      </w:pPr>
      <w:bookmarkStart w:id="166" w:name="_Toc7889"/>
      <w:bookmarkStart w:id="167" w:name="_Toc80205940"/>
      <w:bookmarkStart w:id="168" w:name="_Toc8220"/>
      <w:bookmarkStart w:id="169" w:name="_Toc1171"/>
      <w:bookmarkStart w:id="170" w:name="_Toc24675"/>
      <w:bookmarkStart w:id="171" w:name="_Toc22872"/>
      <w:bookmarkStart w:id="172" w:name="_Toc1415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66"/>
      <w:bookmarkEnd w:id="167"/>
      <w:bookmarkEnd w:id="168"/>
      <w:bookmarkEnd w:id="169"/>
      <w:bookmarkEnd w:id="170"/>
      <w:bookmarkEnd w:id="171"/>
      <w:bookmarkEnd w:id="172"/>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宾阳县2025年大中型水库移民后期扶持资金及中央水库移民扶持基金（提前批）项目基础设施项目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NNZC2025-C2-260140-XMZX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商务技术文件目录</w:t>
      </w:r>
    </w:p>
    <w:p>
      <w:pPr>
        <w:spacing w:line="360" w:lineRule="auto"/>
        <w:jc w:val="center"/>
        <w:rPr>
          <w:rFonts w:hint="eastAsia" w:ascii="宋体" w:hAnsi="宋体" w:eastAsia="宋体" w:cs="宋体"/>
          <w:b/>
          <w:color w:val="auto"/>
          <w:kern w:val="0"/>
          <w:sz w:val="28"/>
          <w:szCs w:val="28"/>
          <w:highlight w:val="none"/>
        </w:rPr>
      </w:pP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一、无串通竞标行为的承诺函……………………………………………………（页码）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二、法定代表人身份证明书及法定代表人有效身份证正反面复印件…………（页码）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三、法定代表人授权委托书及委托代理人有效身份证正反面复印件（如有委托时）……………………………（页码）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四、</w:t>
      </w:r>
      <w:r>
        <w:rPr>
          <w:rFonts w:hint="eastAsia" w:ascii="仿宋" w:hAnsi="仿宋" w:eastAsia="仿宋" w:cs="仿宋"/>
          <w:color w:val="auto"/>
          <w:highlight w:val="none"/>
          <w:lang w:val="zh-CN"/>
        </w:rPr>
        <w:t>商务条款偏离表………………………………</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bookmarkStart w:id="173" w:name="OLE_LINK7"/>
      <w:bookmarkStart w:id="174" w:name="OLE_LINK6"/>
      <w:bookmarkStart w:id="175" w:name="OLE_LINK5"/>
      <w:r>
        <w:rPr>
          <w:rFonts w:hint="eastAsia" w:ascii="仿宋" w:hAnsi="仿宋" w:eastAsia="仿宋" w:cs="仿宋"/>
          <w:color w:val="auto"/>
          <w:highlight w:val="none"/>
        </w:rPr>
        <w:t>五、竞标人情况介绍</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六、建设工程项目管理承诺书</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eastAsia="仿宋" w:cs="仿宋"/>
          <w:color w:val="auto"/>
          <w:highlight w:val="none"/>
          <w:lang w:val="en-US" w:eastAsia="zh-CN"/>
        </w:rPr>
        <w:t>七</w:t>
      </w:r>
      <w:r>
        <w:rPr>
          <w:rFonts w:hint="eastAsia" w:ascii="仿宋" w:hAnsi="仿宋" w:eastAsia="仿宋" w:cs="仿宋"/>
          <w:color w:val="auto"/>
          <w:highlight w:val="none"/>
        </w:rPr>
        <w:t>、供应商类似业绩的证明文件</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八</w:t>
      </w:r>
      <w:r>
        <w:rPr>
          <w:rFonts w:hint="eastAsia" w:ascii="仿宋" w:hAnsi="仿宋" w:eastAsia="仿宋" w:cs="仿宋"/>
          <w:color w:val="auto"/>
          <w:highlight w:val="none"/>
          <w:lang w:val="en-US" w:eastAsia="zh-CN"/>
        </w:rPr>
        <w:t>、供应商认为需要提供的其他有关资料</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val="en-US" w:eastAsia="zh-CN"/>
        </w:rPr>
        <w:t>（页码）</w:t>
      </w:r>
      <w:bookmarkEnd w:id="173"/>
      <w:bookmarkEnd w:id="174"/>
    </w:p>
    <w:bookmarkEnd w:id="175"/>
    <w:p>
      <w:pPr>
        <w:pStyle w:val="34"/>
        <w:spacing w:line="360" w:lineRule="auto"/>
        <w:ind w:left="0"/>
        <w:rPr>
          <w:rFonts w:hint="eastAsia" w:ascii="仿宋" w:hAnsi="仿宋" w:eastAsia="仿宋" w:cs="仿宋"/>
          <w:color w:val="auto"/>
          <w:highlight w:val="none"/>
          <w:lang w:val="en-US" w:eastAsia="zh-CN"/>
        </w:rPr>
      </w:pPr>
      <w:r>
        <w:rPr>
          <w:rFonts w:hint="eastAsia" w:ascii="仿宋" w:eastAsia="仿宋" w:cs="仿宋"/>
          <w:color w:val="auto"/>
          <w:highlight w:val="none"/>
          <w:lang w:val="en-US" w:eastAsia="zh-CN"/>
        </w:rPr>
        <w:t>九</w:t>
      </w:r>
      <w:r>
        <w:rPr>
          <w:rFonts w:hint="eastAsia" w:ascii="仿宋" w:hAnsi="仿宋" w:eastAsia="仿宋" w:cs="仿宋"/>
          <w:color w:val="auto"/>
          <w:highlight w:val="none"/>
          <w:lang w:val="en-US" w:eastAsia="zh-CN"/>
        </w:rPr>
        <w:t>、技术需求偏离表</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十、施工组织设计…………………………………………………………</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十一、项目管理机构配备情况表…………………………………………………（页码）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二</w:t>
      </w:r>
      <w:r>
        <w:rPr>
          <w:rFonts w:hint="eastAsia" w:ascii="仿宋" w:hAnsi="仿宋" w:eastAsia="仿宋" w:cs="仿宋"/>
          <w:color w:val="auto"/>
          <w:highlight w:val="none"/>
          <w:lang w:val="en-US" w:eastAsia="zh-CN"/>
        </w:rPr>
        <w:t>、项目经理简历表……………………………………………………………（页码）</w:t>
      </w:r>
    </w:p>
    <w:p>
      <w:pPr>
        <w:pStyle w:val="34"/>
        <w:spacing w:line="360" w:lineRule="auto"/>
        <w:ind w:left="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十</w:t>
      </w:r>
      <w:r>
        <w:rPr>
          <w:rFonts w:hint="eastAsia" w:ascii="仿宋" w:eastAsia="仿宋" w:cs="仿宋"/>
          <w:color w:val="auto"/>
          <w:highlight w:val="none"/>
          <w:lang w:val="en-US" w:eastAsia="zh-CN"/>
        </w:rPr>
        <w:t>三</w:t>
      </w:r>
      <w:r>
        <w:rPr>
          <w:rFonts w:hint="eastAsia" w:ascii="仿宋" w:hAnsi="仿宋" w:eastAsia="仿宋" w:cs="仿宋"/>
          <w:color w:val="auto"/>
          <w:highlight w:val="none"/>
          <w:lang w:val="en-US" w:eastAsia="zh-CN"/>
        </w:rPr>
        <w:t>、供应商认为需要提供的其他有关资料……………………………………（页码）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一、无串通竞标行为的承诺函</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eastAsia="宋体" w:cs="宋体"/>
          <w:color w:val="auto"/>
          <w:sz w:val="24"/>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ind w:left="237" w:leftChars="113" w:firstLine="5860" w:firstLineChars="2442"/>
        <w:jc w:val="left"/>
        <w:rPr>
          <w:rFonts w:hint="eastAsia" w:ascii="仿宋" w:hAnsi="仿宋" w:eastAsia="仿宋" w:cs="仿宋"/>
          <w:bCs/>
          <w:color w:val="auto"/>
          <w:sz w:val="44"/>
          <w:szCs w:val="44"/>
          <w:highlight w:val="none"/>
        </w:rPr>
      </w:pPr>
      <w:r>
        <w:rPr>
          <w:rFonts w:hint="eastAsia" w:ascii="仿宋" w:hAnsi="仿宋" w:eastAsia="仿宋" w:cs="仿宋"/>
          <w:color w:val="auto"/>
          <w:kern w:val="0"/>
          <w:sz w:val="24"/>
          <w:highlight w:val="none"/>
          <w:lang w:val="zh-CN"/>
        </w:rPr>
        <w:t xml:space="preserve">日期：  年  月   日  </w:t>
      </w:r>
      <w:r>
        <w:rPr>
          <w:rFonts w:hint="eastAsia" w:ascii="宋体" w:hAnsi="宋体" w:eastAsia="宋体" w:cs="宋体"/>
          <w:color w:val="auto"/>
          <w:kern w:val="0"/>
          <w:sz w:val="24"/>
          <w:highlight w:val="none"/>
          <w:lang w:val="zh-CN"/>
        </w:rPr>
        <w:t xml:space="preserve"> </w:t>
      </w:r>
      <w:r>
        <w:rPr>
          <w:rFonts w:hint="eastAsia" w:ascii="宋体" w:hAnsi="宋体" w:eastAsia="宋体" w:cs="宋体"/>
          <w:b/>
          <w:bCs/>
          <w:color w:val="auto"/>
          <w:sz w:val="32"/>
          <w:szCs w:val="32"/>
          <w:highlight w:val="none"/>
        </w:rPr>
        <w:br w:type="page"/>
      </w:r>
      <w:r>
        <w:rPr>
          <w:rFonts w:hint="eastAsia" w:ascii="仿宋" w:hAnsi="仿宋" w:eastAsia="仿宋" w:cs="仿宋"/>
          <w:b/>
          <w:color w:val="auto"/>
          <w:sz w:val="30"/>
          <w:szCs w:val="30"/>
          <w:highlight w:val="none"/>
        </w:rPr>
        <w:t>二、法定代表人身份证明及法定代表人有效身份证正反面复印件</w:t>
      </w:r>
    </w:p>
    <w:p>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pPr>
        <w:spacing w:line="360" w:lineRule="auto"/>
        <w:ind w:left="540"/>
        <w:contextualSpacing/>
        <w:rPr>
          <w:rFonts w:hint="eastAsia" w:ascii="宋体" w:hAnsi="宋体" w:eastAsia="宋体" w:cs="宋体"/>
          <w:color w:val="auto"/>
          <w:sz w:val="32"/>
          <w:szCs w:val="32"/>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pPr>
        <w:spacing w:line="360" w:lineRule="auto"/>
        <w:ind w:left="540"/>
        <w:contextualSpacing/>
        <w:rPr>
          <w:rFonts w:hint="eastAsia" w:ascii="宋体" w:hAnsi="宋体" w:eastAsia="宋体" w:cs="宋体"/>
          <w:color w:val="auto"/>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pPr>
        <w:spacing w:line="360" w:lineRule="auto"/>
        <w:contextualSpacing/>
        <w:jc w:val="left"/>
        <w:rPr>
          <w:rFonts w:hint="eastAsia" w:ascii="宋体" w:hAnsi="宋体" w:eastAsia="宋体" w:cs="宋体"/>
          <w:color w:val="auto"/>
          <w:sz w:val="24"/>
          <w:highlight w:val="none"/>
        </w:rPr>
      </w:pPr>
    </w:p>
    <w:p>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5"/>
        <w:tblpPr w:leftFromText="180" w:rightFromText="180" w:vertAnchor="text" w:horzAnchor="margin" w:tblpY="1169"/>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0" w:hRule="atLeast"/>
        </w:trPr>
        <w:tc>
          <w:tcPr>
            <w:tcW w:w="9400" w:type="dxa"/>
            <w:noWrap w:val="0"/>
            <w:vAlign w:val="top"/>
          </w:tcPr>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pPr>
        <w:adjustRightInd w:val="0"/>
        <w:snapToGrid w:val="0"/>
        <w:spacing w:line="360" w:lineRule="auto"/>
        <w:jc w:val="left"/>
        <w:rPr>
          <w:rFonts w:hint="eastAsia" w:ascii="宋体" w:hAnsi="宋体" w:eastAsia="宋体" w:cs="宋体"/>
          <w:b/>
          <w:color w:val="auto"/>
          <w:szCs w:val="21"/>
          <w:highlight w:val="none"/>
        </w:rPr>
      </w:pPr>
    </w:p>
    <w:p>
      <w:pPr>
        <w:spacing w:line="360" w:lineRule="auto"/>
        <w:ind w:firstLine="880"/>
        <w:jc w:val="left"/>
        <w:rPr>
          <w:rFonts w:hint="eastAsia" w:ascii="仿宋" w:hAnsi="仿宋" w:eastAsia="仿宋" w:cs="仿宋"/>
          <w:bCs/>
          <w:color w:val="auto"/>
          <w:sz w:val="44"/>
          <w:szCs w:val="44"/>
          <w:highlight w:val="none"/>
        </w:rPr>
      </w:pPr>
      <w:r>
        <w:rPr>
          <w:rFonts w:hint="eastAsia" w:ascii="宋体" w:hAnsi="宋体" w:eastAsia="宋体" w:cs="宋体"/>
          <w:color w:val="auto"/>
          <w:sz w:val="44"/>
          <w:szCs w:val="44"/>
          <w:highlight w:val="none"/>
        </w:rPr>
        <w:br w:type="page"/>
      </w:r>
      <w:r>
        <w:rPr>
          <w:rFonts w:hint="eastAsia" w:ascii="仿宋" w:hAnsi="仿宋" w:eastAsia="仿宋" w:cs="仿宋"/>
          <w:b/>
          <w:color w:val="auto"/>
          <w:sz w:val="30"/>
          <w:szCs w:val="30"/>
          <w:highlight w:val="none"/>
        </w:rPr>
        <w:t>三、法定代表人授权委托书及委托代理人有效身份证正反面复印件</w:t>
      </w:r>
    </w:p>
    <w:p>
      <w:pPr>
        <w:spacing w:line="360" w:lineRule="auto"/>
        <w:jc w:val="center"/>
        <w:rPr>
          <w:rFonts w:hint="eastAsia" w:ascii="宋体" w:hAnsi="宋体" w:eastAsia="宋体" w:cs="宋体"/>
          <w:color w:val="auto"/>
          <w:sz w:val="44"/>
          <w:szCs w:val="44"/>
          <w:highlight w:val="none"/>
        </w:rPr>
      </w:pPr>
    </w:p>
    <w:p>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pPr>
        <w:spacing w:line="360" w:lineRule="auto"/>
        <w:rPr>
          <w:rFonts w:hint="eastAsia" w:ascii="仿宋" w:hAnsi="仿宋" w:eastAsia="仿宋" w:cs="仿宋"/>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 xml:space="preserve">                                                   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44"/>
          <w:szCs w:val="44"/>
          <w:highlight w:val="none"/>
        </w:rPr>
        <w:t>授权委托书（联合体竞标格式）</w:t>
      </w:r>
    </w:p>
    <w:p>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pPr>
        <w:spacing w:line="360" w:lineRule="auto"/>
        <w:jc w:val="center"/>
        <w:rPr>
          <w:rFonts w:hint="eastAsia" w:ascii="宋体" w:hAnsi="宋体" w:eastAsia="宋体" w:cs="宋体"/>
          <w:color w:val="auto"/>
          <w:sz w:val="32"/>
          <w:szCs w:val="32"/>
          <w:highlight w:val="none"/>
        </w:rPr>
      </w:pP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rPr>
          <w:rFonts w:hint="eastAsia" w:ascii="宋体" w:hAnsi="宋体" w:eastAsia="宋体" w:cs="宋体"/>
          <w:color w:val="auto"/>
          <w:sz w:val="24"/>
          <w:highlight w:val="none"/>
        </w:rPr>
      </w:pPr>
    </w:p>
    <w:p>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4.法人、其他组织竞标时“我方”是指“我单位”，自然人竞标时“我方”是指“本人”。</w:t>
      </w:r>
      <w:r>
        <w:rPr>
          <w:rFonts w:hint="eastAsia" w:ascii="宋体" w:hAnsi="宋体" w:eastAsia="宋体" w:cs="宋体"/>
          <w:color w:val="auto"/>
          <w:sz w:val="32"/>
          <w:szCs w:val="32"/>
          <w:highlight w:val="none"/>
        </w:rPr>
        <w:br w:type="page"/>
      </w:r>
      <w:r>
        <w:rPr>
          <w:rFonts w:hint="eastAsia" w:ascii="仿宋" w:hAnsi="仿宋" w:eastAsia="仿宋" w:cs="仿宋"/>
          <w:b/>
          <w:color w:val="auto"/>
          <w:sz w:val="30"/>
          <w:szCs w:val="30"/>
          <w:highlight w:val="none"/>
        </w:rPr>
        <w:t>四、商务条款偏离表</w:t>
      </w:r>
    </w:p>
    <w:p>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NNZC2025-C2-260140-XMZX</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eastAsia="zh-CN"/>
        </w:rPr>
        <w:t>宾阳县2025年大中型水库移民后期扶持资金及中央水库移民扶持基金（提前批）项目基础设施项目</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5"/>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pStyle w:val="16"/>
        <w:spacing w:line="360" w:lineRule="auto"/>
        <w:contextualSpacing/>
        <w:rPr>
          <w:rFonts w:hint="eastAsia" w:ascii="宋体" w:hAnsi="宋体" w:eastAsia="宋体" w:cs="宋体"/>
          <w:color w:val="auto"/>
          <w:sz w:val="24"/>
          <w:highlight w:val="none"/>
          <w:lang w:eastAsia="zh-CN"/>
        </w:rPr>
      </w:pPr>
    </w:p>
    <w:p>
      <w:pPr>
        <w:spacing w:line="360" w:lineRule="auto"/>
        <w:ind w:firstLine="3840" w:firstLineChars="16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供应商名称（电子签章）：</w:t>
      </w:r>
    </w:p>
    <w:p>
      <w:pPr>
        <w:spacing w:line="360" w:lineRule="auto"/>
        <w:contextualSpacing/>
        <w:jc w:val="center"/>
        <w:rPr>
          <w:rFonts w:hint="eastAsia" w:ascii="宋体" w:hAnsi="宋体" w:eastAsia="宋体" w:cs="宋体"/>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五、竞标人情况介绍</w:t>
      </w:r>
    </w:p>
    <w:p>
      <w:pPr>
        <w:snapToGrid w:val="0"/>
        <w:spacing w:line="360" w:lineRule="auto"/>
        <w:ind w:firstLine="602" w:firstLineChars="200"/>
        <w:rPr>
          <w:rFonts w:hint="eastAsia" w:ascii="宋体" w:hAnsi="宋体" w:eastAsia="宋体" w:cs="宋体"/>
          <w:b/>
          <w:color w:val="auto"/>
          <w:sz w:val="30"/>
          <w:szCs w:val="30"/>
          <w:highlight w:val="none"/>
        </w:rPr>
      </w:pPr>
    </w:p>
    <w:p>
      <w:pPr>
        <w:pStyle w:val="12"/>
        <w:spacing w:line="360" w:lineRule="auto"/>
        <w:rPr>
          <w:rFonts w:hint="eastAsia" w:ascii="宋体" w:hAnsi="宋体" w:eastAsia="宋体" w:cs="宋体"/>
          <w:b/>
          <w:color w:val="auto"/>
          <w:sz w:val="30"/>
          <w:szCs w:val="30"/>
          <w:highlight w:val="none"/>
        </w:rPr>
      </w:pPr>
    </w:p>
    <w:p>
      <w:pPr>
        <w:pStyle w:val="12"/>
        <w:spacing w:line="360" w:lineRule="auto"/>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spacing w:line="360" w:lineRule="auto"/>
        <w:ind w:left="0" w:leftChars="0" w:firstLine="6098" w:firstLineChars="2541"/>
        <w:contextualSpacing/>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tabs>
          <w:tab w:val="left" w:pos="826"/>
        </w:tabs>
        <w:snapToGrid w:val="0"/>
        <w:ind w:firstLine="602" w:firstLineChars="200"/>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lang w:eastAsia="zh-CN"/>
        </w:rPr>
        <w:t>、建设工程项目管理承诺书</w:t>
      </w:r>
    </w:p>
    <w:p>
      <w:pPr>
        <w:jc w:val="center"/>
        <w:rPr>
          <w:rFonts w:ascii="宋体" w:hAnsi="宋体" w:eastAsia="宋体" w:cs="宋体"/>
          <w:color w:val="auto"/>
          <w:sz w:val="24"/>
          <w:szCs w:val="24"/>
          <w:highlight w:val="none"/>
        </w:rPr>
      </w:pPr>
      <w:r>
        <w:rPr>
          <w:rFonts w:ascii="宋体" w:hAnsi="宋体" w:eastAsia="宋体" w:cs="宋体"/>
          <w:color w:val="auto"/>
          <w:sz w:val="32"/>
          <w:szCs w:val="32"/>
          <w:highlight w:val="none"/>
        </w:rPr>
        <w:t>建设工程项目管理承诺书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auto"/>
          <w:sz w:val="24"/>
          <w:szCs w:val="24"/>
          <w:highlight w:val="none"/>
        </w:rPr>
      </w:pPr>
    </w:p>
    <w:p>
      <w:pPr>
        <w:pStyle w:val="35"/>
        <w:spacing w:line="480" w:lineRule="auto"/>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致</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w:t>
      </w:r>
      <w:r>
        <w:rPr>
          <w:rStyle w:val="27"/>
          <w:rFonts w:hint="eastAsia" w:ascii="宋体" w:hAnsi="宋体" w:eastAsia="宋体" w:cs="宋体"/>
          <w:color w:val="auto"/>
          <w:szCs w:val="21"/>
          <w:highlight w:val="none"/>
          <w:lang w:eastAsia="zh-CN"/>
        </w:rPr>
        <w:t>采购人</w:t>
      </w:r>
      <w:r>
        <w:rPr>
          <w:rStyle w:val="27"/>
          <w:rFonts w:hint="eastAsia" w:ascii="宋体" w:hAnsi="宋体" w:eastAsia="宋体" w:cs="宋体"/>
          <w:color w:val="auto"/>
          <w:szCs w:val="21"/>
          <w:highlight w:val="none"/>
        </w:rPr>
        <w:t>名称）：</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作为参与</w:t>
      </w:r>
      <w:r>
        <w:rPr>
          <w:rStyle w:val="27"/>
          <w:rFonts w:hint="eastAsia" w:ascii="宋体" w:hAnsi="宋体" w:eastAsia="宋体" w:cs="宋体"/>
          <w:color w:val="auto"/>
          <w:szCs w:val="21"/>
          <w:highlight w:val="none"/>
          <w:u w:val="single"/>
        </w:rPr>
        <w:t xml:space="preserve">                  </w:t>
      </w:r>
      <w:r>
        <w:rPr>
          <w:rStyle w:val="27"/>
          <w:rFonts w:hint="eastAsia" w:ascii="宋体" w:hAnsi="宋体" w:eastAsia="宋体" w:cs="宋体"/>
          <w:color w:val="auto"/>
          <w:szCs w:val="21"/>
          <w:highlight w:val="none"/>
        </w:rPr>
        <w:t>（工程名称）项目的投标方，根据国家、自治区相关文件规定，我方在此向招标人承诺：</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1、一旦中标，我方保证按照政府相关部门的规定，在中标后7个工作日内，按照《保障农民工工资支付条例》规定及广西壮族自治区有关规定开设农民工工资专用账户，并按</w:t>
      </w:r>
      <w:r>
        <w:rPr>
          <w:rStyle w:val="27"/>
          <w:rFonts w:hint="eastAsia" w:ascii="宋体" w:hAnsi="宋体" w:eastAsia="宋体" w:cs="宋体"/>
          <w:color w:val="auto"/>
          <w:szCs w:val="21"/>
          <w:highlight w:val="none"/>
          <w:u w:val="single"/>
        </w:rPr>
        <w:t>要求</w:t>
      </w:r>
      <w:r>
        <w:rPr>
          <w:rStyle w:val="27"/>
          <w:rFonts w:hint="eastAsia" w:ascii="宋体" w:hAnsi="宋体" w:eastAsia="宋体" w:cs="宋体"/>
          <w:color w:val="auto"/>
          <w:szCs w:val="21"/>
          <w:highlight w:val="none"/>
        </w:rPr>
        <w:t>比例将农民工工资保证金存入帐户，专项用于支付本工程提供劳动的农民工被拖欠的工资。按照与农民工依法约定的工资支付周期和具体支付日期支付工资，保证每月至少向农民工足额支付一次工资。</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pPr>
        <w:pStyle w:val="35"/>
        <w:spacing w:line="520" w:lineRule="exact"/>
        <w:ind w:left="-2" w:leftChars="-1" w:firstLine="449" w:firstLineChars="214"/>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pPr>
        <w:pStyle w:val="35"/>
        <w:spacing w:line="520" w:lineRule="exact"/>
        <w:ind w:left="-10" w:firstLine="455" w:firstLineChars="217"/>
        <w:jc w:val="left"/>
        <w:rPr>
          <w:rStyle w:val="27"/>
          <w:rFonts w:hint="eastAsia" w:ascii="宋体" w:hAnsi="宋体" w:eastAsia="宋体" w:cs="宋体"/>
          <w:color w:val="auto"/>
          <w:szCs w:val="21"/>
          <w:highlight w:val="none"/>
        </w:rPr>
      </w:pPr>
      <w:r>
        <w:rPr>
          <w:rStyle w:val="27"/>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pStyle w:val="35"/>
        <w:spacing w:line="520" w:lineRule="exact"/>
        <w:ind w:left="-10" w:firstLine="455" w:firstLineChars="217"/>
        <w:jc w:val="left"/>
        <w:rPr>
          <w:rStyle w:val="27"/>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napToGrid w:val="0"/>
        <w:spacing w:before="120" w:beforeLines="50" w:after="50" w:line="360" w:lineRule="auto"/>
        <w:ind w:firstLine="6000" w:firstLineChars="2500"/>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pPr>
        <w:pStyle w:val="49"/>
        <w:spacing w:line="420" w:lineRule="exact"/>
        <w:ind w:firstLine="4800" w:firstLineChars="2000"/>
        <w:rPr>
          <w:rFonts w:hint="eastAsia" w:ascii="宋体" w:hAnsi="宋体" w:cs="Arial"/>
          <w:color w:val="auto"/>
          <w:sz w:val="24"/>
          <w:szCs w:val="24"/>
          <w:highlight w:val="none"/>
        </w:rPr>
      </w:pPr>
    </w:p>
    <w:p>
      <w:pPr>
        <w:tabs>
          <w:tab w:val="left" w:pos="826"/>
        </w:tabs>
        <w:snapToGrid w:val="0"/>
        <w:ind w:firstLine="602" w:firstLineChars="200"/>
        <w:rPr>
          <w:rFonts w:hint="eastAsia" w:ascii="仿宋" w:hAnsi="仿宋" w:eastAsia="仿宋" w:cs="仿宋"/>
          <w:b/>
          <w:color w:val="auto"/>
          <w:sz w:val="30"/>
          <w:szCs w:val="30"/>
          <w:highlight w:val="none"/>
          <w:lang w:eastAsia="zh-CN"/>
        </w:rPr>
      </w:pPr>
    </w:p>
    <w:p>
      <w:pPr>
        <w:tabs>
          <w:tab w:val="left" w:pos="826"/>
        </w:tabs>
        <w:snapToGrid w:val="0"/>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供应商类似业绩的证明文件</w:t>
      </w:r>
    </w:p>
    <w:p>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pPr>
        <w:pStyle w:val="12"/>
        <w:rPr>
          <w:color w:val="auto"/>
          <w:highlight w:val="none"/>
        </w:rPr>
      </w:pPr>
    </w:p>
    <w:tbl>
      <w:tblPr>
        <w:tblStyle w:val="25"/>
        <w:tblW w:w="7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bl>
    <w:p>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pPr>
        <w:ind w:firstLine="720" w:firstLineChars="300"/>
        <w:rPr>
          <w:rFonts w:ascii="宋体" w:hAnsi="宋体"/>
          <w:color w:val="auto"/>
          <w:sz w:val="24"/>
          <w:szCs w:val="24"/>
          <w:highlight w:val="none"/>
        </w:rPr>
      </w:pPr>
      <w:bookmarkStart w:id="176"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76"/>
    <w:p>
      <w:pPr>
        <w:jc w:val="center"/>
        <w:rPr>
          <w:rFonts w:ascii="宋体" w:hAnsi="宋体"/>
          <w:color w:val="auto"/>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pPr>
        <w:pStyle w:val="21"/>
        <w:snapToGrid w:val="0"/>
        <w:spacing w:line="360" w:lineRule="auto"/>
        <w:ind w:left="480" w:hanging="480"/>
        <w:rPr>
          <w:rFonts w:hint="eastAsia" w:ascii="宋体" w:hAnsi="宋体" w:eastAsia="宋体" w:cs="宋体"/>
          <w:color w:val="auto"/>
          <w:sz w:val="24"/>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、供应商认为需要提供的其他有关资料</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pStyle w:val="42"/>
        <w:rPr>
          <w:rFonts w:hint="eastAsia" w:ascii="宋体" w:hAnsi="宋体" w:cs="宋体"/>
          <w:b/>
          <w:color w:val="auto"/>
          <w:sz w:val="30"/>
          <w:szCs w:val="30"/>
          <w:highlight w:val="none"/>
        </w:rPr>
      </w:pPr>
    </w:p>
    <w:p>
      <w:pPr>
        <w:jc w:val="both"/>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val="en-US" w:eastAsia="zh-CN"/>
        </w:rPr>
        <w:t>九</w:t>
      </w:r>
      <w:r>
        <w:rPr>
          <w:rFonts w:hint="eastAsia" w:ascii="仿宋" w:hAnsi="仿宋" w:eastAsia="仿宋" w:cs="仿宋"/>
          <w:b/>
          <w:color w:val="auto"/>
          <w:sz w:val="30"/>
          <w:szCs w:val="30"/>
          <w:highlight w:val="none"/>
          <w:lang w:eastAsia="zh-CN"/>
        </w:rPr>
        <w:t>、技术需求偏离表</w:t>
      </w:r>
    </w:p>
    <w:p>
      <w:pPr>
        <w:jc w:val="center"/>
        <w:rPr>
          <w:rFonts w:hint="eastAsia" w:ascii="宋体" w:hAnsi="宋体" w:cs="宋体"/>
          <w:b/>
          <w:color w:val="auto"/>
          <w:sz w:val="30"/>
          <w:szCs w:val="30"/>
          <w:highlight w:val="none"/>
          <w:lang w:eastAsia="zh-CN"/>
        </w:rPr>
      </w:pPr>
    </w:p>
    <w:p>
      <w:pPr>
        <w:spacing w:line="360" w:lineRule="auto"/>
        <w:jc w:val="center"/>
        <w:rPr>
          <w:rFonts w:hint="eastAsia" w:ascii="宋体" w:hAnsi="宋体" w:eastAsia="宋体" w:cs="宋体"/>
          <w:bCs/>
          <w:color w:val="auto"/>
          <w:sz w:val="36"/>
          <w:szCs w:val="36"/>
          <w:highlight w:val="none"/>
        </w:rPr>
      </w:pPr>
      <w:r>
        <w:rPr>
          <w:rFonts w:hint="eastAsia" w:ascii="方正小标宋简体" w:hAnsi="方正小标宋简体" w:eastAsia="方正小标宋简体" w:cs="方正小标宋简体"/>
          <w:bCs/>
          <w:color w:val="auto"/>
          <w:sz w:val="44"/>
          <w:szCs w:val="44"/>
          <w:highlight w:val="none"/>
          <w:lang w:eastAsia="zh-CN"/>
        </w:rPr>
        <w:t>技术</w:t>
      </w:r>
      <w:r>
        <w:rPr>
          <w:rFonts w:hint="eastAsia" w:ascii="方正小标宋简体" w:hAnsi="方正小标宋简体" w:eastAsia="方正小标宋简体" w:cs="方正小标宋简体"/>
          <w:bCs/>
          <w:color w:val="auto"/>
          <w:sz w:val="44"/>
          <w:szCs w:val="44"/>
          <w:highlight w:val="none"/>
        </w:rPr>
        <w:t>需求偏离表</w:t>
      </w:r>
    </w:p>
    <w:p>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5"/>
        <w:tblW w:w="9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bl>
    <w:p>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pPr>
        <w:pageBreakBefore w:val="0"/>
        <w:kinsoku/>
        <w:overflowPunct/>
        <w:topLinePunct w:val="0"/>
        <w:autoSpaceDE w:val="0"/>
        <w:autoSpaceDN w:val="0"/>
        <w:bidi w:val="0"/>
        <w:spacing w:line="360" w:lineRule="auto"/>
        <w:ind w:left="4334" w:leftChars="2064" w:firstLine="720" w:firstLineChars="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ageBreakBefore w:val="0"/>
        <w:kinsoku/>
        <w:overflowPunct/>
        <w:topLinePunct w:val="0"/>
        <w:autoSpaceDE w:val="0"/>
        <w:autoSpaceDN w:val="0"/>
        <w:bidi w:val="0"/>
        <w:spacing w:line="360" w:lineRule="auto"/>
        <w:ind w:firstLine="7440" w:firstLineChars="31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jc w:val="center"/>
        <w:rPr>
          <w:rFonts w:hint="eastAsia" w:ascii="宋体" w:hAnsi="宋体" w:cs="宋体"/>
          <w:b/>
          <w:color w:val="auto"/>
          <w:sz w:val="30"/>
          <w:szCs w:val="30"/>
          <w:highlight w:val="none"/>
          <w:lang w:eastAsia="zh-CN"/>
        </w:rPr>
      </w:pPr>
      <w:r>
        <w:rPr>
          <w:rFonts w:hint="eastAsia" w:ascii="仿宋" w:hAnsi="仿宋" w:eastAsia="仿宋" w:cs="仿宋"/>
          <w:b/>
          <w:color w:val="auto"/>
          <w:sz w:val="30"/>
          <w:szCs w:val="30"/>
          <w:highlight w:val="none"/>
          <w:lang w:val="en-US" w:eastAsia="zh-CN"/>
        </w:rPr>
        <w:t>十</w:t>
      </w:r>
      <w:r>
        <w:rPr>
          <w:rFonts w:hint="eastAsia" w:ascii="仿宋" w:hAnsi="仿宋" w:eastAsia="仿宋" w:cs="仿宋"/>
          <w:b/>
          <w:color w:val="auto"/>
          <w:sz w:val="30"/>
          <w:szCs w:val="30"/>
          <w:highlight w:val="none"/>
          <w:lang w:eastAsia="zh-CN"/>
        </w:rPr>
        <w:t>、施工组织设计</w:t>
      </w:r>
    </w:p>
    <w:p>
      <w:pPr>
        <w:autoSpaceDE w:val="0"/>
        <w:autoSpaceDN w:val="0"/>
        <w:spacing w:line="360" w:lineRule="auto"/>
        <w:jc w:val="center"/>
        <w:outlineLvl w:val="9"/>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（格式自拟</w:t>
      </w:r>
      <w:r>
        <w:rPr>
          <w:rFonts w:hint="eastAsia" w:ascii="宋体" w:hAnsi="宋体" w:eastAsia="宋体" w:cs="仿宋_GB2312"/>
          <w:color w:val="auto"/>
          <w:sz w:val="24"/>
          <w:highlight w:val="none"/>
          <w:lang w:eastAsia="zh-CN"/>
        </w:rPr>
        <w:t>，</w:t>
      </w:r>
      <w:r>
        <w:rPr>
          <w:rFonts w:hint="eastAsia" w:ascii="宋体" w:hAnsi="宋体" w:eastAsia="宋体" w:cs="仿宋_GB2312"/>
          <w:color w:val="auto"/>
          <w:sz w:val="24"/>
          <w:highlight w:val="none"/>
        </w:rPr>
        <w:t>由供应商根据采购需求及采购文件要求编制）</w:t>
      </w:r>
    </w:p>
    <w:p>
      <w:pPr>
        <w:spacing w:line="500" w:lineRule="exact"/>
        <w:rPr>
          <w:rFonts w:ascii="宋体" w:hAnsi="宋体" w:cs="仿宋_GB2312"/>
          <w:color w:val="auto"/>
          <w:sz w:val="32"/>
          <w:szCs w:val="32"/>
          <w:highlight w:val="none"/>
        </w:rPr>
      </w:pPr>
    </w:p>
    <w:p>
      <w:pPr>
        <w:pStyle w:val="50"/>
        <w:rPr>
          <w:color w:val="auto"/>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firstLine="6480" w:firstLineChars="27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  年  月   日</w:t>
      </w: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r>
        <w:rPr>
          <w:rFonts w:hint="eastAsia" w:ascii="仿宋" w:hAnsi="仿宋" w:eastAsia="仿宋" w:cs="仿宋"/>
          <w:b/>
          <w:color w:val="auto"/>
          <w:sz w:val="28"/>
          <w:szCs w:val="28"/>
          <w:highlight w:val="none"/>
          <w:lang w:val="en-US" w:eastAsia="zh-CN"/>
        </w:rPr>
        <w:t>十一</w:t>
      </w:r>
      <w:r>
        <w:rPr>
          <w:rFonts w:hint="eastAsia" w:ascii="仿宋" w:hAnsi="仿宋" w:eastAsia="仿宋" w:cs="仿宋"/>
          <w:b/>
          <w:color w:val="auto"/>
          <w:sz w:val="28"/>
          <w:szCs w:val="28"/>
          <w:highlight w:val="none"/>
        </w:rPr>
        <w:t>、项目管理机构配备情况表</w:t>
      </w:r>
    </w:p>
    <w:p>
      <w:pPr>
        <w:widowControl/>
        <w:rPr>
          <w:rFonts w:hint="eastAsia" w:ascii="宋体" w:hAnsi="宋体" w:cs="宋体"/>
          <w:color w:val="auto"/>
          <w:szCs w:val="21"/>
          <w:highlight w:val="none"/>
          <w:u w:val="single"/>
        </w:rPr>
      </w:pPr>
    </w:p>
    <w:p>
      <w:pPr>
        <w:widowControl/>
        <w:ind w:firstLine="210" w:firstLineChars="100"/>
        <w:rPr>
          <w:rFonts w:hint="eastAsia" w:ascii="宋体" w:hAnsi="宋体" w:cs="宋体"/>
          <w:color w:val="auto"/>
          <w:szCs w:val="21"/>
          <w:highlight w:val="none"/>
          <w:u w:val="single"/>
          <w:lang w:eastAsia="zh-CN"/>
        </w:rPr>
      </w:pPr>
      <w:r>
        <w:rPr>
          <w:rFonts w:hint="eastAsia" w:ascii="宋体" w:hAnsi="宋体" w:cs="宋体"/>
          <w:color w:val="auto"/>
          <w:szCs w:val="21"/>
          <w:highlight w:val="none"/>
          <w:u w:val="single"/>
        </w:rPr>
        <w:t>项目名称</w:t>
      </w:r>
      <w:r>
        <w:rPr>
          <w:rFonts w:hint="eastAsia" w:ascii="宋体" w:hAnsi="宋体" w:cs="宋体"/>
          <w:color w:val="auto"/>
          <w:szCs w:val="21"/>
          <w:highlight w:val="none"/>
          <w:u w:val="single"/>
          <w:lang w:eastAsia="zh-CN"/>
        </w:rPr>
        <w:t>：宾阳县2025年大中型水库移民后期扶持资金及中央水库移民扶持基金（提前批）项目基础设施项目</w:t>
      </w:r>
    </w:p>
    <w:p>
      <w:pPr>
        <w:widowControl/>
        <w:ind w:firstLine="210" w:firstLineChars="100"/>
        <w:rPr>
          <w:rFonts w:hint="eastAsia" w:ascii="宋体" w:hAnsi="宋体" w:cs="宋体"/>
          <w:color w:val="auto"/>
          <w:szCs w:val="21"/>
          <w:highlight w:val="none"/>
          <w:u w:val="single"/>
          <w:lang w:val="en-US" w:eastAsia="zh-CN"/>
        </w:rPr>
      </w:pPr>
    </w:p>
    <w:p>
      <w:pPr>
        <w:widowControl/>
        <w:ind w:firstLine="210" w:firstLineChars="100"/>
        <w:rPr>
          <w:rFonts w:hint="default"/>
          <w:color w:val="auto"/>
          <w:highlight w:val="none"/>
          <w:lang w:val="en-US" w:eastAsia="zh-CN"/>
        </w:rPr>
      </w:pPr>
      <w:r>
        <w:rPr>
          <w:rFonts w:hint="eastAsia" w:ascii="宋体" w:hAnsi="宋体" w:cs="宋体"/>
          <w:color w:val="auto"/>
          <w:szCs w:val="21"/>
          <w:highlight w:val="none"/>
          <w:u w:val="single"/>
          <w:lang w:val="en-US" w:eastAsia="zh-CN"/>
        </w:rPr>
        <w:t xml:space="preserve"> 项目编号：NNZC2025-C2-260140-XMZX</w:t>
      </w:r>
    </w:p>
    <w:tbl>
      <w:tblPr>
        <w:tblStyle w:val="25"/>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94"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姓名</w:t>
            </w:r>
          </w:p>
        </w:tc>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职称</w:t>
            </w:r>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执业或职业资格证明</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证号</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专业</w:t>
            </w: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项目数</w:t>
            </w: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主要项目</w:t>
            </w:r>
          </w:p>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bl>
    <w:p>
      <w:pPr>
        <w:jc w:val="center"/>
        <w:rPr>
          <w:rFonts w:ascii="宋体" w:hAnsi="宋体"/>
          <w:b/>
          <w:color w:val="auto"/>
          <w:szCs w:val="21"/>
          <w:highlight w:val="none"/>
        </w:rPr>
      </w:pPr>
    </w:p>
    <w:p>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pPr>
        <w:spacing w:line="440" w:lineRule="exact"/>
        <w:jc w:val="center"/>
        <w:rPr>
          <w:rFonts w:ascii="宋体" w:hAnsi="宋体"/>
          <w:b/>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pStyle w:val="12"/>
        <w:snapToGrid w:val="0"/>
        <w:spacing w:line="360" w:lineRule="auto"/>
        <w:ind w:left="480" w:firstLine="6960" w:firstLineChars="2900"/>
        <w:rPr>
          <w:rFonts w:hint="eastAsia" w:ascii="仿宋" w:hAnsi="仿宋" w:eastAsia="仿宋" w:cs="仿宋"/>
          <w:b/>
          <w:color w:val="auto"/>
          <w:sz w:val="24"/>
          <w:szCs w:val="24"/>
          <w:highlight w:val="none"/>
          <w:lang w:val="en-US"/>
        </w:rPr>
      </w:pPr>
      <w:r>
        <w:rPr>
          <w:rFonts w:hint="eastAsia" w:ascii="仿宋" w:hAnsi="仿宋" w:eastAsia="仿宋" w:cs="仿宋"/>
          <w:color w:val="auto"/>
          <w:kern w:val="0"/>
          <w:sz w:val="24"/>
          <w:szCs w:val="24"/>
          <w:highlight w:val="none"/>
          <w:lang w:val="zh-CN"/>
        </w:rPr>
        <w:t>日期：  年  月   日</w:t>
      </w: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pStyle w:val="24"/>
        <w:rPr>
          <w:rFonts w:hint="eastAsia" w:ascii="宋体" w:hAnsi="宋体" w:cs="宋体"/>
          <w:b/>
          <w:color w:val="auto"/>
          <w:sz w:val="30"/>
          <w:szCs w:val="30"/>
          <w:highlight w:val="none"/>
          <w:lang w:eastAsia="zh-CN"/>
        </w:rPr>
      </w:pPr>
    </w:p>
    <w:p>
      <w:pPr>
        <w:pStyle w:val="24"/>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项目经理简历表</w:t>
      </w:r>
    </w:p>
    <w:p>
      <w:pPr>
        <w:jc w:val="center"/>
        <w:rPr>
          <w:rFonts w:ascii="宋体" w:hAnsi="宋体"/>
          <w:color w:val="auto"/>
          <w:highlight w:val="none"/>
        </w:rPr>
      </w:pPr>
    </w:p>
    <w:tbl>
      <w:tblPr>
        <w:tblStyle w:val="25"/>
        <w:tblW w:w="8613" w:type="dxa"/>
        <w:jc w:val="center"/>
        <w:tblInd w:w="0" w:type="dxa"/>
        <w:tblLayout w:type="fixed"/>
        <w:tblCellMar>
          <w:top w:w="0" w:type="dxa"/>
          <w:left w:w="0" w:type="dxa"/>
          <w:bottom w:w="0" w:type="dxa"/>
          <w:right w:w="0" w:type="dxa"/>
        </w:tblCellMar>
      </w:tblPr>
      <w:tblGrid>
        <w:gridCol w:w="1158"/>
        <w:gridCol w:w="2005"/>
        <w:gridCol w:w="1155"/>
        <w:gridCol w:w="1565"/>
        <w:gridCol w:w="1060"/>
        <w:gridCol w:w="1670"/>
      </w:tblGrid>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质量等级</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供应商名称（电子签章）：</w:t>
      </w:r>
    </w:p>
    <w:p>
      <w:pPr>
        <w:pStyle w:val="21"/>
        <w:snapToGrid w:val="0"/>
        <w:spacing w:line="360" w:lineRule="auto"/>
        <w:ind w:left="409" w:leftChars="195" w:firstLine="6240" w:firstLineChars="26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  年  月   日</w:t>
      </w:r>
    </w:p>
    <w:p>
      <w:pPr>
        <w:pStyle w:val="21"/>
        <w:snapToGrid w:val="0"/>
        <w:spacing w:line="360" w:lineRule="auto"/>
        <w:ind w:left="480" w:hanging="480"/>
        <w:rPr>
          <w:rFonts w:hint="eastAsia" w:ascii="宋体" w:hAnsi="宋体" w:eastAsia="宋体" w:cs="宋体"/>
          <w:color w:val="auto"/>
          <w:sz w:val="24"/>
          <w:highlight w:val="none"/>
        </w:rPr>
      </w:pPr>
    </w:p>
    <w:p>
      <w:pPr>
        <w:pStyle w:val="21"/>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numPr>
          <w:ilvl w:val="0"/>
          <w:numId w:val="0"/>
        </w:numPr>
        <w:snapToGrid w:val="0"/>
        <w:spacing w:line="360" w:lineRule="auto"/>
        <w:ind w:left="480" w:leftChars="0"/>
        <w:jc w:val="left"/>
        <w:rPr>
          <w:rFonts w:hint="eastAsia" w:ascii="仿宋" w:hAnsi="仿宋" w:eastAsia="仿宋" w:cs="仿宋"/>
          <w:b/>
          <w:color w:val="auto"/>
          <w:sz w:val="28"/>
          <w:szCs w:val="28"/>
          <w:highlight w:val="none"/>
          <w:lang w:val="en-US" w:eastAsia="zh-CN"/>
        </w:rPr>
      </w:pPr>
      <w:bookmarkStart w:id="177" w:name="_Toc2647"/>
      <w:r>
        <w:rPr>
          <w:rFonts w:hint="eastAsia" w:ascii="仿宋" w:hAnsi="仿宋" w:eastAsia="仿宋" w:cs="仿宋"/>
          <w:b/>
          <w:color w:val="auto"/>
          <w:sz w:val="28"/>
          <w:szCs w:val="28"/>
          <w:highlight w:val="none"/>
          <w:lang w:val="en-US" w:eastAsia="zh-CN"/>
        </w:rPr>
        <w:t>十</w:t>
      </w:r>
      <w:bookmarkEnd w:id="177"/>
      <w:r>
        <w:rPr>
          <w:rFonts w:hint="eastAsia" w:ascii="仿宋" w:hAnsi="仿宋" w:eastAsia="仿宋" w:cs="仿宋"/>
          <w:b/>
          <w:color w:val="auto"/>
          <w:sz w:val="28"/>
          <w:szCs w:val="28"/>
          <w:highlight w:val="none"/>
          <w:lang w:val="en-US" w:eastAsia="zh-CN"/>
        </w:rPr>
        <w:t>三、供应商认为需要提供的其他有关资料</w:t>
      </w:r>
    </w:p>
    <w:p>
      <w:pPr>
        <w:numPr>
          <w:ilvl w:val="0"/>
          <w:numId w:val="0"/>
        </w:numPr>
        <w:outlineLvl w:val="9"/>
        <w:rPr>
          <w:rFonts w:hint="eastAsia" w:ascii="仿宋" w:hAnsi="仿宋" w:eastAsia="仿宋" w:cs="仿宋"/>
          <w:color w:val="auto"/>
          <w:highlight w:val="none"/>
          <w:lang w:val="en-US" w:eastAsia="zh-CN"/>
        </w:rPr>
      </w:pPr>
    </w:p>
    <w:p>
      <w:pPr>
        <w:outlineLvl w:val="9"/>
        <w:rPr>
          <w:rFonts w:hint="eastAsia" w:ascii="仿宋" w:hAnsi="仿宋" w:eastAsia="仿宋" w:cs="仿宋"/>
          <w:color w:val="auto"/>
          <w:highlight w:val="none"/>
          <w:lang w:val="en-US" w:eastAsia="zh-CN"/>
        </w:rPr>
      </w:pPr>
    </w:p>
    <w:p>
      <w:pPr>
        <w:outlineLvl w:val="9"/>
        <w:rPr>
          <w:rFonts w:hint="eastAsia" w:ascii="仿宋" w:hAnsi="仿宋" w:eastAsia="仿宋" w:cs="仿宋"/>
          <w:color w:val="auto"/>
          <w:highlight w:val="none"/>
          <w:lang w:val="en-US" w:eastAsia="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日期：  年  月   日</w:t>
      </w:r>
    </w:p>
    <w:p>
      <w:pPr>
        <w:pStyle w:val="17"/>
        <w:rPr>
          <w:rFonts w:hint="eastAsia" w:ascii="宋体" w:hAnsi="宋体" w:eastAsia="宋体" w:cs="宋体"/>
          <w:color w:val="auto"/>
          <w:kern w:val="0"/>
          <w:sz w:val="24"/>
          <w:highlight w:val="none"/>
          <w:lang w:val="zh-CN"/>
        </w:rPr>
      </w:pPr>
    </w:p>
    <w:p>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autoSpaceDE w:val="0"/>
        <w:autoSpaceDN w:val="0"/>
        <w:spacing w:line="360" w:lineRule="auto"/>
        <w:ind w:firstLine="6505" w:firstLineChars="2700"/>
        <w:rPr>
          <w:rFonts w:hint="eastAsia" w:ascii="宋体" w:hAnsi="宋体" w:eastAsia="宋体" w:cs="宋体"/>
          <w:b/>
          <w:bCs/>
          <w:color w:val="auto"/>
          <w:sz w:val="24"/>
          <w:highlight w:val="none"/>
        </w:rPr>
      </w:pPr>
    </w:p>
    <w:p>
      <w:pPr>
        <w:pStyle w:val="3"/>
        <w:spacing w:line="360" w:lineRule="auto"/>
        <w:jc w:val="center"/>
        <w:rPr>
          <w:rFonts w:hint="eastAsia" w:ascii="宋体" w:hAnsi="宋体" w:eastAsia="宋体" w:cs="宋体"/>
          <w:color w:val="auto"/>
          <w:highlight w:val="none"/>
          <w:lang w:val="en-US" w:eastAsia="zh-CN"/>
        </w:rPr>
      </w:pPr>
      <w:bookmarkStart w:id="178" w:name="_Toc9136"/>
      <w:bookmarkStart w:id="179" w:name="_Toc23387"/>
      <w:bookmarkStart w:id="180" w:name="_Toc14497"/>
      <w:bookmarkStart w:id="181" w:name="_Toc12752"/>
      <w:bookmarkStart w:id="182" w:name="_Toc80205941"/>
      <w:bookmarkStart w:id="183" w:name="_Toc4162"/>
      <w:bookmarkStart w:id="184" w:name="_Toc7838"/>
      <w:r>
        <w:rPr>
          <w:rFonts w:hint="eastAsia" w:ascii="宋体" w:hAnsi="宋体" w:eastAsia="宋体" w:cs="宋体"/>
          <w:color w:val="auto"/>
          <w:highlight w:val="none"/>
          <w:lang w:val="en-US" w:eastAsia="zh-CN"/>
        </w:rPr>
        <w:t>第四节 报价文件格式</w:t>
      </w:r>
      <w:bookmarkEnd w:id="178"/>
      <w:bookmarkEnd w:id="179"/>
      <w:bookmarkEnd w:id="180"/>
      <w:bookmarkEnd w:id="181"/>
      <w:bookmarkEnd w:id="182"/>
      <w:bookmarkEnd w:id="183"/>
      <w:bookmarkEnd w:id="184"/>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cs="宋体"/>
          <w:bCs/>
          <w:color w:val="auto"/>
          <w:sz w:val="32"/>
          <w:szCs w:val="32"/>
          <w:highlight w:val="none"/>
          <w:lang w:eastAsia="zh-CN"/>
        </w:rPr>
        <w:t>宾阳县2025年大中型水库移民后期扶持资金及中央水库移民扶持基金（提前批）项目基础设施项目</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NNZC2025-C2-260140-XMZX</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36"/>
          <w:szCs w:val="36"/>
          <w:highlight w:val="none"/>
        </w:rPr>
        <w:t>报价文件目录</w:t>
      </w:r>
    </w:p>
    <w:p>
      <w:pPr>
        <w:spacing w:line="360" w:lineRule="auto"/>
        <w:rPr>
          <w:rFonts w:hint="eastAsia" w:ascii="宋体" w:hAnsi="宋体" w:eastAsia="宋体" w:cs="宋体"/>
          <w:color w:val="auto"/>
          <w:highlight w:val="none"/>
        </w:rPr>
      </w:pP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一、响应函………………………………………………………（页码）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二、响应报价表…………………………………………………（页码）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已标价工程量清单</w:t>
      </w:r>
      <w:r>
        <w:rPr>
          <w:rFonts w:hint="eastAsia" w:ascii="仿宋" w:hAnsi="仿宋" w:eastAsia="仿宋" w:cs="仿宋"/>
          <w:color w:val="auto"/>
          <w:highlight w:val="none"/>
        </w:rPr>
        <w:t>…………………………………………（页码）</w:t>
      </w:r>
    </w:p>
    <w:p>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四</w:t>
      </w:r>
      <w:r>
        <w:rPr>
          <w:rFonts w:hint="eastAsia" w:ascii="仿宋" w:eastAsia="仿宋" w:cs="仿宋"/>
          <w:color w:val="auto"/>
          <w:highlight w:val="none"/>
          <w:lang w:val="en-US" w:eastAsia="zh-CN"/>
        </w:rPr>
        <w:t>、</w:t>
      </w:r>
      <w:r>
        <w:rPr>
          <w:rFonts w:hint="eastAsia" w:ascii="仿宋" w:hAnsi="仿宋" w:eastAsia="仿宋" w:cs="仿宋"/>
          <w:color w:val="auto"/>
          <w:highlight w:val="none"/>
        </w:rPr>
        <w:t>供应商认为需要提供的其他有关资料……………………（页码）</w:t>
      </w:r>
    </w:p>
    <w:p>
      <w:pPr>
        <w:snapToGrid w:val="0"/>
        <w:spacing w:before="120" w:beforeLines="50" w:after="50" w:line="360" w:lineRule="auto"/>
        <w:ind w:left="0" w:firstLine="0" w:firstLineChars="0"/>
        <w:jc w:val="left"/>
        <w:rPr>
          <w:rFonts w:hint="eastAsia" w:ascii="仿宋" w:hAnsi="仿宋" w:eastAsia="仿宋" w:cs="仿宋"/>
          <w:color w:val="auto"/>
          <w:sz w:val="32"/>
          <w:szCs w:val="32"/>
          <w:highlight w:val="none"/>
        </w:rPr>
      </w:pPr>
      <w:r>
        <w:rPr>
          <w:rFonts w:hint="eastAsia" w:ascii="仿宋" w:hAnsi="仿宋" w:eastAsia="仿宋" w:cs="仿宋"/>
          <w:b/>
          <w:bCs/>
          <w:color w:val="auto"/>
          <w:sz w:val="24"/>
          <w:highlight w:val="none"/>
        </w:rPr>
        <w:t>注：以上目录是基本格式要求，各供应商可根据自身情况进一步向下增加内容或细化。</w:t>
      </w:r>
    </w:p>
    <w:p>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仿宋" w:hAnsi="仿宋" w:eastAsia="仿宋" w:cs="仿宋"/>
          <w:b/>
          <w:bCs/>
          <w:color w:val="auto"/>
          <w:sz w:val="32"/>
          <w:szCs w:val="32"/>
          <w:highlight w:val="none"/>
        </w:rPr>
        <w:t>一、响应函</w:t>
      </w:r>
    </w:p>
    <w:p>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pPr>
        <w:pStyle w:val="16"/>
        <w:spacing w:line="360" w:lineRule="auto"/>
        <w:rPr>
          <w:rFonts w:hint="eastAsia" w:ascii="宋体" w:hAnsi="宋体" w:eastAsia="宋体" w:cs="宋体"/>
          <w:color w:val="auto"/>
          <w:sz w:val="32"/>
          <w:highlight w:val="none"/>
        </w:rPr>
      </w:pPr>
    </w:p>
    <w:p>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eastAsia="zh-CN"/>
        </w:rPr>
        <w:t>宾阳县2025年大中型水库移民后期扶持资金及中央水库移民扶持基金（提前批）项目基础设施项目</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NNZC2025-C2-260140-XMZX</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、我方承诺未被列入失信被执行人、重大税收违法失信主体、政府采购严重违法失信行为记录名单，并已经具备《中华人民共和国政府采购法》中规定的参加政府采购活动的供应商应当具备的条件：</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pPr>
        <w:spacing w:line="360" w:lineRule="auto"/>
        <w:contextualSpacing/>
        <w:jc w:val="left"/>
        <w:rPr>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autoSpaceDE w:val="0"/>
        <w:autoSpaceDN w:val="0"/>
        <w:spacing w:line="360" w:lineRule="auto"/>
        <w:ind w:left="0" w:leftChars="0"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before="120" w:beforeLines="50" w:after="50" w:line="360" w:lineRule="auto"/>
        <w:ind w:left="142" w:firstLine="643" w:firstLineChars="200"/>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二、响应报价表</w:t>
      </w:r>
    </w:p>
    <w:p>
      <w:pPr>
        <w:snapToGrid w:val="0"/>
        <w:spacing w:before="50" w:after="50" w:line="360" w:lineRule="auto"/>
        <w:rPr>
          <w:rFonts w:hint="eastAsia" w:ascii="宋体" w:hAnsi="宋体" w:eastAsia="宋体" w:cs="宋体"/>
          <w:color w:val="auto"/>
          <w:sz w:val="24"/>
          <w:highlight w:val="none"/>
        </w:rPr>
      </w:pPr>
    </w:p>
    <w:p>
      <w:pPr>
        <w:snapToGrid w:val="0"/>
        <w:spacing w:before="50" w:after="5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eastAsia="zh-CN"/>
        </w:rPr>
        <w:t>宾阳县2025年大中型水库移民后期扶持资金及中央水库移民扶持基金（提前批）项目基础设施项目</w:t>
      </w:r>
    </w:p>
    <w:p>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NNZC2025-C2-260140-XMZX</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5"/>
        <w:tblW w:w="8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168"/>
        <w:gridCol w:w="1080"/>
        <w:gridCol w:w="2686"/>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eastAsia="zh-CN"/>
              </w:rPr>
              <w:t>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cs="宋体"/>
                <w:color w:val="auto"/>
                <w:sz w:val="24"/>
                <w:highlight w:val="none"/>
                <w:lang w:eastAsia="zh-CN"/>
              </w:rPr>
              <w:t>宾阳县2025年大中型水库移民后期扶持资金及中央水库移民扶持基金（提前批）项目基础设施项目</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工程质量要求</w:t>
            </w:r>
            <w:r>
              <w:rPr>
                <w:rFonts w:hint="eastAsia" w:ascii="宋体" w:hAnsi="宋体" w:eastAsia="宋体" w:cs="宋体"/>
                <w:color w:val="auto"/>
                <w:sz w:val="24"/>
                <w:szCs w:val="24"/>
                <w:highlight w:val="none"/>
              </w:rPr>
              <w:t>：</w:t>
            </w:r>
          </w:p>
        </w:tc>
      </w:tr>
    </w:tbl>
    <w:p>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6"/>
        <w:spacing w:line="360" w:lineRule="auto"/>
        <w:ind w:left="0" w:leftChars="0" w:firstLine="5678" w:firstLineChars="2366"/>
        <w:rPr>
          <w:rFonts w:hint="eastAsia" w:ascii="仿宋" w:hAnsi="仿宋" w:eastAsia="仿宋" w:cs="仿宋"/>
          <w:color w:val="auto"/>
          <w:highlight w:val="none"/>
          <w:lang w:val="zh-CN"/>
        </w:rPr>
      </w:pPr>
      <w:r>
        <w:rPr>
          <w:rFonts w:hint="eastAsia" w:ascii="仿宋" w:hAnsi="仿宋" w:eastAsia="仿宋" w:cs="仿宋"/>
          <w:color w:val="auto"/>
          <w:sz w:val="24"/>
          <w:highlight w:val="none"/>
          <w:lang w:val="zh-CN"/>
        </w:rPr>
        <w:t>日期：  年  月   日</w:t>
      </w:r>
    </w:p>
    <w:p>
      <w:pPr>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pStyle w:val="24"/>
        <w:rPr>
          <w:rFonts w:hint="eastAsia"/>
          <w:color w:val="auto"/>
          <w:highlight w:val="none"/>
          <w:lang w:val="zh-CN"/>
        </w:rPr>
      </w:pPr>
    </w:p>
    <w:p>
      <w:pPr>
        <w:pStyle w:val="24"/>
        <w:rPr>
          <w:rFonts w:hint="eastAsia"/>
          <w:color w:val="auto"/>
          <w:highlight w:val="none"/>
          <w:lang w:val="zh-CN"/>
        </w:rPr>
      </w:pPr>
    </w:p>
    <w:p>
      <w:pPr>
        <w:pStyle w:val="24"/>
        <w:rPr>
          <w:rFonts w:hint="eastAsia"/>
          <w:color w:val="auto"/>
          <w:highlight w:val="none"/>
          <w:lang w:val="zh-CN"/>
        </w:rPr>
      </w:pPr>
    </w:p>
    <w:p>
      <w:pPr>
        <w:rPr>
          <w:rFonts w:hint="eastAsia"/>
          <w:color w:val="auto"/>
          <w:highlight w:val="none"/>
          <w:lang w:val="zh-CN"/>
        </w:rPr>
      </w:pPr>
    </w:p>
    <w:p>
      <w:pPr>
        <w:snapToGrid w:val="0"/>
        <w:spacing w:line="360" w:lineRule="auto"/>
        <w:ind w:firstLine="602" w:firstLineChars="200"/>
        <w:rPr>
          <w:rFonts w:hint="eastAsia" w:ascii="宋体" w:hAnsi="宋体" w:cs="仿宋_GB2312"/>
          <w:b/>
          <w:color w:val="auto"/>
          <w:sz w:val="24"/>
          <w:szCs w:val="24"/>
          <w:highlight w:val="none"/>
          <w:lang w:val="en-US" w:eastAsia="zh-CN"/>
        </w:rPr>
      </w:pPr>
      <w:r>
        <w:rPr>
          <w:rFonts w:hint="eastAsia" w:ascii="仿宋" w:hAnsi="仿宋" w:eastAsia="仿宋" w:cs="仿宋"/>
          <w:b/>
          <w:color w:val="auto"/>
          <w:sz w:val="30"/>
          <w:szCs w:val="30"/>
          <w:highlight w:val="none"/>
        </w:rPr>
        <w:t>三、已标价工程量清单</w:t>
      </w:r>
    </w:p>
    <w:p>
      <w:pPr>
        <w:snapToGrid w:val="0"/>
        <w:spacing w:line="360" w:lineRule="auto"/>
        <w:ind w:firstLine="482" w:firstLineChars="200"/>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24"/>
          <w:szCs w:val="24"/>
          <w:highlight w:val="none"/>
          <w:lang w:val="en-US" w:eastAsia="zh-CN"/>
        </w:rPr>
        <w:t>说明：最后报价与首次报价相比有调整的，供应商提交的最后报价必须包含已标价的工程量清单（上传格式必须为PDF格式），请供应商提前准备好调整后的已标价工程量清单（已标价工程量清单合计金额须与相对应的竞标总报价金额保持一致），如未在规定时间内提供调整后的已标价工程量清单，由此造成的后果供应商自行承担</w:t>
      </w:r>
      <w:r>
        <w:rPr>
          <w:rFonts w:hint="eastAsia" w:ascii="仿宋" w:hAnsi="仿宋" w:eastAsia="仿宋" w:cs="仿宋"/>
          <w:b/>
          <w:bCs w:val="0"/>
          <w:color w:val="auto"/>
          <w:kern w:val="2"/>
          <w:sz w:val="24"/>
          <w:szCs w:val="24"/>
          <w:highlight w:val="none"/>
          <w:lang w:val="en-US" w:eastAsia="zh-CN"/>
        </w:rPr>
        <w:t>。</w:t>
      </w:r>
    </w:p>
    <w:p>
      <w:pPr>
        <w:snapToGrid w:val="0"/>
        <w:spacing w:line="360" w:lineRule="auto"/>
        <w:ind w:firstLine="602" w:firstLineChars="200"/>
        <w:rPr>
          <w:rFonts w:hint="eastAsia" w:ascii="宋体" w:hAnsi="宋体" w:eastAsia="宋体" w:cs="宋体"/>
          <w:b/>
          <w:color w:val="auto"/>
          <w:sz w:val="30"/>
          <w:szCs w:val="30"/>
          <w:highlight w:val="none"/>
          <w:lang w:val="en-US" w:eastAsia="zh-CN"/>
        </w:rPr>
      </w:pPr>
    </w:p>
    <w:p>
      <w:pPr>
        <w:pStyle w:val="12"/>
        <w:jc w:val="center"/>
        <w:rPr>
          <w:rFonts w:hint="eastAsia" w:ascii="宋体" w:hAnsi="宋体" w:cs="宋体"/>
          <w:b/>
          <w:color w:val="auto"/>
          <w:sz w:val="24"/>
          <w:szCs w:val="24"/>
          <w:highlight w:val="none"/>
          <w:lang w:val="en-US" w:eastAsia="zh-CN"/>
        </w:rPr>
      </w:pPr>
    </w:p>
    <w:p>
      <w:pPr>
        <w:pStyle w:val="12"/>
        <w:jc w:val="center"/>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pStyle w:val="12"/>
        <w:rPr>
          <w:rFonts w:hint="eastAsia" w:ascii="宋体" w:hAnsi="宋体" w:cs="宋体"/>
          <w:b/>
          <w:color w:val="auto"/>
          <w:sz w:val="24"/>
          <w:szCs w:val="24"/>
          <w:highlight w:val="none"/>
          <w:lang w:val="en-US" w:eastAsia="zh-CN"/>
        </w:rPr>
      </w:pPr>
    </w:p>
    <w:p>
      <w:pPr>
        <w:rPr>
          <w:rFonts w:hint="eastAsia" w:ascii="宋体" w:hAnsi="宋体" w:cs="宋体"/>
          <w:b/>
          <w:color w:val="auto"/>
          <w:sz w:val="24"/>
          <w:szCs w:val="24"/>
          <w:highlight w:val="none"/>
          <w:lang w:val="en-US" w:eastAsia="zh-CN"/>
        </w:rPr>
      </w:pPr>
    </w:p>
    <w:p>
      <w:pPr>
        <w:snapToGrid w:val="0"/>
        <w:spacing w:line="360" w:lineRule="auto"/>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、供应商认为需要提供的其他有关资料</w:t>
      </w:r>
    </w:p>
    <w:p>
      <w:pPr>
        <w:widowControl/>
        <w:shd w:val="clear" w:color="auto" w:fill="FFFFFF"/>
        <w:spacing w:line="360" w:lineRule="auto"/>
        <w:jc w:val="left"/>
        <w:rPr>
          <w:rFonts w:hint="eastAsia" w:ascii="仿宋" w:hAnsi="仿宋" w:eastAsia="仿宋" w:cs="仿宋"/>
          <w:color w:val="auto"/>
          <w:kern w:val="2"/>
          <w:sz w:val="24"/>
          <w:szCs w:val="24"/>
          <w:highlight w:val="none"/>
          <w:shd w:val="clear" w:color="auto" w:fill="FFFFFF"/>
          <w:lang w:val="en-US" w:eastAsia="zh-CN"/>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p>
    <w:p>
      <w:pPr>
        <w:autoSpaceDE w:val="0"/>
        <w:autoSpaceDN w:val="0"/>
        <w:spacing w:line="360" w:lineRule="auto"/>
        <w:ind w:left="4335" w:leftChars="1950" w:hanging="240" w:hanging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pPr>
        <w:pStyle w:val="16"/>
        <w:spacing w:line="360" w:lineRule="auto"/>
        <w:ind w:left="0" w:leftChars="0" w:firstLine="5678" w:firstLineChars="236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日期：  </w:t>
      </w:r>
      <w:r>
        <w:rPr>
          <w:rFonts w:hint="eastAsia" w:ascii="仿宋" w:hAnsi="仿宋" w:eastAsia="仿宋" w:cs="仿宋"/>
          <w:color w:val="auto"/>
          <w:sz w:val="24"/>
          <w:highlight w:val="none"/>
          <w:lang w:val="zh-CN"/>
        </w:rPr>
        <w:t>年  月</w:t>
      </w:r>
      <w:r>
        <w:rPr>
          <w:rFonts w:hint="eastAsia" w:ascii="仿宋" w:hAnsi="仿宋" w:eastAsia="仿宋" w:cs="仿宋"/>
          <w:color w:val="auto"/>
          <w:kern w:val="0"/>
          <w:sz w:val="24"/>
          <w:highlight w:val="none"/>
          <w:lang w:val="zh-CN"/>
        </w:rPr>
        <w:t xml:space="preserve">   日</w:t>
      </w:r>
    </w:p>
    <w:p>
      <w:pPr>
        <w:pStyle w:val="12"/>
        <w:spacing w:after="0" w:line="360" w:lineRule="auto"/>
        <w:ind w:left="3960" w:right="1808"/>
        <w:contextualSpacing/>
        <w:rPr>
          <w:rFonts w:hint="eastAsia" w:ascii="仿宋" w:hAnsi="仿宋" w:eastAsia="仿宋" w:cs="仿宋"/>
          <w:color w:val="auto"/>
          <w:highlight w:val="none"/>
        </w:rPr>
      </w:pPr>
    </w:p>
    <w:p>
      <w:pPr>
        <w:spacing w:line="360" w:lineRule="auto"/>
        <w:contextualSpacing/>
        <w:jc w:val="left"/>
        <w:rPr>
          <w:rFonts w:hint="eastAsia" w:ascii="仿宋" w:hAnsi="仿宋" w:eastAsia="仿宋" w:cs="仿宋"/>
          <w:color w:val="auto"/>
          <w:kern w:val="0"/>
          <w:sz w:val="24"/>
          <w:highlight w:val="none"/>
        </w:rPr>
      </w:pPr>
    </w:p>
    <w:p>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color w:val="auto"/>
          <w:highlight w:val="none"/>
          <w:lang w:val="en-US" w:eastAsia="zh-CN"/>
        </w:rPr>
      </w:pPr>
      <w:bookmarkStart w:id="185" w:name="_Toc29246"/>
      <w:bookmarkStart w:id="186" w:name="_Toc147684389"/>
      <w:bookmarkStart w:id="187" w:name="_Toc80205942"/>
      <w:bookmarkStart w:id="188" w:name="_Toc18354"/>
      <w:r>
        <w:rPr>
          <w:rFonts w:hint="eastAsia" w:ascii="宋体" w:hAnsi="宋体" w:eastAsia="宋体" w:cs="宋体"/>
          <w:color w:val="auto"/>
          <w:highlight w:val="none"/>
          <w:lang w:val="en-US" w:eastAsia="zh-CN"/>
        </w:rPr>
        <w:t>第五节 其他文书、文件格式</w:t>
      </w:r>
      <w:bookmarkEnd w:id="185"/>
      <w:bookmarkEnd w:id="186"/>
      <w:bookmarkEnd w:id="187"/>
      <w:bookmarkEnd w:id="188"/>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pPr>
        <w:rPr>
          <w:rFonts w:ascii="仿宋_GB2312" w:hAnsi="仿宋_GB2312" w:eastAsia="仿宋_GB2312" w:cs="仿宋_GB2312"/>
          <w:color w:val="auto"/>
          <w:sz w:val="30"/>
          <w:szCs w:val="30"/>
          <w:highlight w:val="none"/>
        </w:rPr>
      </w:pPr>
    </w:p>
    <w:p>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本企业（单位）自愿参与政府投资政府采购的</w:t>
      </w:r>
      <w:r>
        <w:rPr>
          <w:rFonts w:hint="eastAsia" w:ascii="仿宋_GB2312" w:hAnsi="仿宋_GB2312" w:eastAsia="仿宋_GB2312" w:cs="仿宋_GB2312"/>
          <w:color w:val="auto"/>
          <w:sz w:val="30"/>
          <w:szCs w:val="30"/>
          <w:highlight w:val="none"/>
          <w:u w:val="single"/>
          <w:lang w:eastAsia="zh-CN"/>
        </w:rPr>
        <w:t>宾阳县2025年大中型水库移民后期扶持资金及中央水库移民扶持基金（提前批）项目基础设施项目</w:t>
      </w:r>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b/>
          <w:color w:val="auto"/>
          <w:sz w:val="18"/>
          <w:szCs w:val="18"/>
          <w:highlight w:val="none"/>
        </w:rPr>
      </w:pPr>
    </w:p>
    <w:p>
      <w:pPr>
        <w:snapToGrid w:val="0"/>
        <w:spacing w:line="360" w:lineRule="auto"/>
        <w:ind w:left="5137" w:leftChars="1736" w:hanging="1491" w:hangingChars="825"/>
        <w:rPr>
          <w:b/>
          <w:color w:val="auto"/>
          <w:sz w:val="18"/>
          <w:szCs w:val="18"/>
          <w:highlight w:val="none"/>
        </w:rPr>
      </w:pPr>
    </w:p>
    <w:p>
      <w:pPr>
        <w:snapToGrid w:val="0"/>
        <w:spacing w:line="360" w:lineRule="auto"/>
        <w:ind w:left="5137" w:leftChars="1736" w:hanging="1491" w:hangingChars="825"/>
        <w:rPr>
          <w:b/>
          <w:color w:val="auto"/>
          <w:sz w:val="18"/>
          <w:szCs w:val="18"/>
          <w:highlight w:val="none"/>
        </w:rPr>
      </w:pPr>
    </w:p>
    <w:p>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供应商名称(电子签章)：</w:t>
      </w:r>
    </w:p>
    <w:p>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lang w:val="en-US" w:eastAsia="zh-CN"/>
        </w:rPr>
        <w:t xml:space="preserve"> </w:t>
      </w:r>
      <w:r>
        <w:rPr>
          <w:rFonts w:hint="eastAsia" w:ascii="仿宋_GB2312" w:hAnsi="仿宋" w:eastAsia="仿宋_GB2312" w:cs="仿宋_GB2312"/>
          <w:color w:val="auto"/>
          <w:kern w:val="0"/>
          <w:sz w:val="24"/>
          <w:highlight w:val="none"/>
          <w:lang w:val="zh-CN"/>
        </w:rPr>
        <w:t>日</w:t>
      </w:r>
    </w:p>
    <w:p>
      <w:pPr>
        <w:widowControl/>
        <w:jc w:val="left"/>
        <w:rPr>
          <w:rFonts w:ascii="宋体" w:hAnsi="宋体" w:cs="仿宋_GB2312"/>
          <w:color w:val="auto"/>
          <w:sz w:val="24"/>
          <w:highlight w:val="none"/>
        </w:rPr>
        <w:sectPr>
          <w:pgSz w:w="11906" w:h="16838"/>
          <w:pgMar w:top="1134" w:right="1134" w:bottom="1134" w:left="1134" w:header="720" w:footer="720" w:gutter="0"/>
          <w:cols w:space="720" w:num="1"/>
          <w:docGrid w:type="lines" w:linePitch="331" w:charSpace="0"/>
        </w:sectPr>
      </w:pPr>
    </w:p>
    <w:p>
      <w:pPr>
        <w:rPr>
          <w:rFonts w:hint="eastAsia"/>
          <w:color w:val="auto"/>
          <w:highlight w:val="none"/>
          <w:lang w:val="zh-CN" w:eastAsia="zh-CN"/>
        </w:rPr>
      </w:pPr>
    </w:p>
    <w:p>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both"/>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pStyle w:val="2"/>
        <w:spacing w:line="360" w:lineRule="auto"/>
        <w:jc w:val="center"/>
        <w:rPr>
          <w:rFonts w:hint="eastAsia" w:ascii="宋体" w:hAnsi="宋体" w:eastAsia="宋体" w:cs="宋体"/>
          <w:b w:val="0"/>
          <w:bCs w:val="0"/>
          <w:color w:val="auto"/>
          <w:highlight w:val="none"/>
        </w:rPr>
      </w:pPr>
      <w:bookmarkStart w:id="189" w:name="_Toc11775"/>
      <w:bookmarkStart w:id="190" w:name="_Toc26628"/>
      <w:bookmarkStart w:id="191" w:name="_Toc2080"/>
      <w:bookmarkStart w:id="192" w:name="_Toc14897"/>
      <w:bookmarkStart w:id="193" w:name="_Toc25466"/>
      <w:bookmarkStart w:id="194" w:name="_Toc11925"/>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89"/>
      <w:bookmarkEnd w:id="190"/>
      <w:bookmarkEnd w:id="191"/>
      <w:bookmarkEnd w:id="192"/>
      <w:bookmarkEnd w:id="193"/>
      <w:bookmarkEnd w:id="194"/>
    </w:p>
    <w:p>
      <w:pPr>
        <w:spacing w:line="360" w:lineRule="auto"/>
        <w:rPr>
          <w:rFonts w:hint="eastAsia" w:ascii="宋体" w:hAnsi="宋体" w:eastAsia="宋体" w:cs="宋体"/>
          <w:b/>
          <w:bCs/>
          <w:color w:val="auto"/>
          <w:highlight w:val="none"/>
        </w:rPr>
      </w:pPr>
      <w:r>
        <w:rPr>
          <w:rFonts w:hint="eastAsia" w:ascii="宋体" w:hAnsi="宋体" w:cs="宋体"/>
          <w:b/>
          <w:bCs/>
          <w:color w:val="auto"/>
          <w:sz w:val="24"/>
          <w:highlight w:val="none"/>
          <w:lang w:eastAsia="zh-CN"/>
        </w:rPr>
        <w:t>“广西政府采购云平台”</w:t>
      </w:r>
      <w:r>
        <w:rPr>
          <w:rFonts w:hint="eastAsia" w:ascii="宋体" w:hAnsi="宋体" w:eastAsia="宋体" w:cs="宋体"/>
          <w:b/>
          <w:bCs/>
          <w:color w:val="auto"/>
          <w:sz w:val="24"/>
          <w:highlight w:val="none"/>
        </w:rPr>
        <w:t>合同编号：</w:t>
      </w:r>
    </w:p>
    <w:p>
      <w:pPr>
        <w:spacing w:line="360" w:lineRule="auto"/>
        <w:jc w:val="center"/>
        <w:rPr>
          <w:rFonts w:hint="eastAsia" w:ascii="宋体" w:hAnsi="宋体" w:eastAsia="宋体" w:cs="宋体"/>
          <w:b/>
          <w:bCs/>
          <w:color w:val="auto"/>
          <w:sz w:val="52"/>
          <w:highlight w:val="none"/>
        </w:rPr>
      </w:pPr>
    </w:p>
    <w:p>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南 宁 市 政 府 采 购</w:t>
      </w:r>
    </w:p>
    <w:p>
      <w:pPr>
        <w:spacing w:line="360" w:lineRule="auto"/>
        <w:ind w:firstLine="420" w:firstLineChars="200"/>
        <w:rPr>
          <w:rFonts w:hint="eastAsia" w:ascii="宋体" w:hAnsi="宋体" w:cs="宋体"/>
          <w:color w:val="auto"/>
          <w:highlight w:val="none"/>
        </w:rPr>
      </w:pP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                                                 </w:t>
      </w:r>
    </w:p>
    <w:p>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lang w:eastAsia="zh-CN"/>
        </w:rPr>
        <w:t>宾阳县2025年大中型水库移民后期扶持资金及中央水库移民扶持基金（提前批）项目基础设施项目</w:t>
      </w:r>
      <w:r>
        <w:rPr>
          <w:rFonts w:hint="eastAsia" w:ascii="宋体" w:hAnsi="宋体" w:cs="宋体"/>
          <w:b/>
          <w:bCs/>
          <w:color w:val="auto"/>
          <w:sz w:val="44"/>
          <w:highlight w:val="none"/>
        </w:rPr>
        <w:t>合同</w:t>
      </w:r>
    </w:p>
    <w:p>
      <w:pPr>
        <w:spacing w:line="360" w:lineRule="auto"/>
        <w:jc w:val="center"/>
        <w:rPr>
          <w:rFonts w:hint="eastAsia" w:ascii="宋体" w:hAnsi="宋体" w:cs="宋体"/>
          <w:b/>
          <w:bCs/>
          <w:color w:val="auto"/>
          <w:sz w:val="44"/>
          <w:highlight w:val="none"/>
        </w:rPr>
      </w:pPr>
    </w:p>
    <w:p>
      <w:pPr>
        <w:spacing w:line="360" w:lineRule="auto"/>
        <w:ind w:firstLine="3507" w:firstLineChars="794"/>
        <w:rPr>
          <w:rFonts w:hint="eastAsia" w:ascii="宋体" w:hAnsi="宋体" w:cs="宋体"/>
          <w:b/>
          <w:bCs/>
          <w:color w:val="auto"/>
          <w:sz w:val="44"/>
          <w:highlight w:val="none"/>
        </w:rPr>
      </w:pPr>
    </w:p>
    <w:p>
      <w:pPr>
        <w:spacing w:line="360" w:lineRule="auto"/>
        <w:ind w:firstLine="3507" w:firstLineChars="794"/>
        <w:rPr>
          <w:rFonts w:hint="eastAsia" w:ascii="宋体" w:hAnsi="宋体" w:cs="宋体"/>
          <w:b/>
          <w:bCs/>
          <w:color w:val="auto"/>
          <w:sz w:val="44"/>
          <w:highlight w:val="none"/>
        </w:rPr>
      </w:pPr>
    </w:p>
    <w:p>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采购项目编号：</w:t>
      </w:r>
      <w:r>
        <w:rPr>
          <w:rFonts w:hint="eastAsia" w:ascii="宋体" w:hAnsi="宋体" w:cs="宋体"/>
          <w:b/>
          <w:color w:val="auto"/>
          <w:sz w:val="36"/>
          <w:szCs w:val="36"/>
          <w:highlight w:val="none"/>
          <w:u w:val="single"/>
        </w:rPr>
        <w:t xml:space="preserve">                  </w:t>
      </w:r>
    </w:p>
    <w:p>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采购计划编号：</w:t>
      </w:r>
      <w:r>
        <w:rPr>
          <w:rFonts w:hint="eastAsia" w:ascii="宋体" w:hAnsi="宋体" w:cs="宋体"/>
          <w:b/>
          <w:color w:val="auto"/>
          <w:sz w:val="36"/>
          <w:szCs w:val="36"/>
          <w:highlight w:val="none"/>
          <w:u w:val="single"/>
        </w:rPr>
        <w:t xml:space="preserve">                   </w:t>
      </w:r>
    </w:p>
    <w:p>
      <w:pPr>
        <w:ind w:firstLine="1308" w:firstLineChars="545"/>
        <w:rPr>
          <w:rFonts w:hint="eastAsia" w:ascii="宋体" w:hAnsi="宋体" w:cs="宋体"/>
          <w:color w:val="auto"/>
          <w:sz w:val="24"/>
          <w:highlight w:val="none"/>
        </w:rPr>
      </w:pPr>
    </w:p>
    <w:p>
      <w:pPr>
        <w:ind w:firstLine="1995" w:firstLineChars="552"/>
        <w:rPr>
          <w:rFonts w:hint="eastAsia" w:ascii="宋体" w:hAnsi="宋体" w:cs="宋体"/>
          <w:b/>
          <w:color w:val="auto"/>
          <w:sz w:val="36"/>
          <w:szCs w:val="36"/>
          <w:highlight w:val="none"/>
          <w:u w:val="single"/>
        </w:rPr>
      </w:pPr>
    </w:p>
    <w:p>
      <w:pPr>
        <w:ind w:firstLine="1995" w:firstLineChars="552"/>
        <w:rPr>
          <w:rFonts w:hint="eastAsia" w:ascii="宋体" w:hAnsi="宋体" w:cs="宋体"/>
          <w:b/>
          <w:color w:val="auto"/>
          <w:sz w:val="36"/>
          <w:szCs w:val="36"/>
          <w:highlight w:val="none"/>
          <w:u w:val="single"/>
        </w:rPr>
      </w:pPr>
    </w:p>
    <w:p>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eastAsia="zh-CN"/>
        </w:rPr>
        <w:t>宾阳县水库移民安置服务中心</w:t>
      </w:r>
      <w:r>
        <w:rPr>
          <w:rFonts w:hint="eastAsia" w:ascii="宋体" w:hAnsi="宋体" w:cs="宋体"/>
          <w:b/>
          <w:color w:val="auto"/>
          <w:sz w:val="36"/>
          <w:szCs w:val="36"/>
          <w:highlight w:val="none"/>
          <w:u w:val="single"/>
        </w:rPr>
        <w:t xml:space="preserve">   </w:t>
      </w:r>
    </w:p>
    <w:p>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pPr>
        <w:tabs>
          <w:tab w:val="left" w:pos="7380"/>
        </w:tabs>
        <w:spacing w:line="360" w:lineRule="auto"/>
        <w:rPr>
          <w:rFonts w:hint="eastAsia" w:ascii="宋体" w:hAnsi="宋体" w:cs="宋体"/>
          <w:b/>
          <w:bCs/>
          <w:color w:val="auto"/>
          <w:sz w:val="44"/>
          <w:highlight w:val="none"/>
        </w:rPr>
      </w:pPr>
    </w:p>
    <w:p>
      <w:pPr>
        <w:tabs>
          <w:tab w:val="left" w:pos="7380"/>
        </w:tabs>
        <w:spacing w:line="360" w:lineRule="auto"/>
        <w:ind w:firstLine="2160" w:firstLineChars="600"/>
        <w:rPr>
          <w:rFonts w:hint="eastAsia" w:ascii="宋体" w:hAnsi="宋体" w:cs="宋体"/>
          <w:color w:val="auto"/>
          <w:sz w:val="36"/>
          <w:szCs w:val="36"/>
          <w:highlight w:val="none"/>
          <w:lang w:val="zh-CN"/>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pPr>
        <w:keepNext/>
        <w:keepLines/>
        <w:spacing w:before="340" w:after="330" w:line="578" w:lineRule="auto"/>
        <w:jc w:val="center"/>
        <w:outlineLvl w:val="0"/>
        <w:rPr>
          <w:rFonts w:hint="eastAsia" w:ascii="宋体" w:hAnsi="宋体" w:cs="宋体"/>
          <w:b/>
          <w:bCs/>
          <w:color w:val="auto"/>
          <w:kern w:val="44"/>
          <w:sz w:val="44"/>
          <w:szCs w:val="44"/>
          <w:highlight w:val="none"/>
        </w:rPr>
      </w:pPr>
      <w:r>
        <w:rPr>
          <w:rFonts w:hint="eastAsia" w:ascii="宋体" w:hAnsi="宋体" w:cs="宋体"/>
          <w:color w:val="auto"/>
          <w:kern w:val="44"/>
          <w:sz w:val="44"/>
          <w:szCs w:val="44"/>
          <w:highlight w:val="none"/>
        </w:rPr>
        <w:br w:type="page"/>
      </w:r>
      <w:bookmarkStart w:id="195" w:name="_Toc22751"/>
      <w:r>
        <w:rPr>
          <w:rFonts w:hint="eastAsia" w:ascii="宋体" w:hAnsi="宋体" w:cs="宋体"/>
          <w:b/>
          <w:bCs/>
          <w:color w:val="auto"/>
          <w:kern w:val="44"/>
          <w:sz w:val="44"/>
          <w:szCs w:val="44"/>
          <w:highlight w:val="none"/>
        </w:rPr>
        <w:t xml:space="preserve"> 第一部分 协议书</w:t>
      </w:r>
      <w:bookmarkEnd w:id="195"/>
    </w:p>
    <w:p>
      <w:pPr>
        <w:widowControl/>
        <w:spacing w:line="360" w:lineRule="auto"/>
        <w:rPr>
          <w:rFonts w:hint="eastAsia" w:ascii="宋体" w:hAnsi="宋体" w:cs="宋体"/>
          <w:b/>
          <w:color w:val="auto"/>
          <w:szCs w:val="21"/>
          <w:highlight w:val="none"/>
          <w:u w:val="single"/>
        </w:rPr>
      </w:pPr>
      <w:r>
        <w:rPr>
          <w:rFonts w:hint="eastAsia" w:ascii="宋体" w:hAnsi="宋体" w:cs="宋体"/>
          <w:b/>
          <w:color w:val="auto"/>
          <w:szCs w:val="21"/>
          <w:highlight w:val="none"/>
        </w:rPr>
        <w:t>发包人（全称）：</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p>
    <w:p>
      <w:pPr>
        <w:widowControl/>
        <w:spacing w:line="360" w:lineRule="auto"/>
        <w:rPr>
          <w:rFonts w:hint="eastAsia" w:ascii="宋体" w:hAnsi="宋体" w:cs="宋体"/>
          <w:color w:val="auto"/>
          <w:szCs w:val="21"/>
          <w:highlight w:val="none"/>
          <w:u w:val="single"/>
        </w:rPr>
      </w:pPr>
      <w:r>
        <w:rPr>
          <w:rFonts w:hint="eastAsia" w:ascii="宋体" w:hAnsi="宋体" w:cs="宋体"/>
          <w:b/>
          <w:color w:val="auto"/>
          <w:szCs w:val="21"/>
          <w:highlight w:val="none"/>
        </w:rPr>
        <w:t>承包人（全称）：</w:t>
      </w:r>
      <w:r>
        <w:rPr>
          <w:rFonts w:hint="eastAsia" w:ascii="宋体" w:hAnsi="宋体" w:cs="宋体"/>
          <w:b/>
          <w:color w:val="auto"/>
          <w:szCs w:val="21"/>
          <w:highlight w:val="none"/>
          <w:u w:val="single"/>
        </w:rPr>
        <w:t xml:space="preserve">                      </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根据《中华人民共和国民典法》、《中华人民共和国建筑法》及有关法律规定，遵循平等、自愿、公平和诚实信用的原则，双方就</w:t>
      </w:r>
      <w:r>
        <w:rPr>
          <w:rFonts w:hint="eastAsia" w:ascii="宋体" w:hAnsi="宋体" w:cs="宋体"/>
          <w:color w:val="auto"/>
          <w:szCs w:val="21"/>
          <w:highlight w:val="none"/>
          <w:u w:val="single"/>
          <w:lang w:eastAsia="zh-CN"/>
        </w:rPr>
        <w:t>宾阳县2025年大中型水库移民后期扶持资金及中央水库移民扶持基金（提前批）项目基础设施项目</w:t>
      </w:r>
      <w:r>
        <w:rPr>
          <w:rFonts w:hint="eastAsia" w:ascii="宋体" w:hAnsi="宋体" w:cs="宋体"/>
          <w:color w:val="auto"/>
          <w:szCs w:val="21"/>
          <w:highlight w:val="none"/>
        </w:rPr>
        <w:t>施工及有关事项协商一致，共同达成如下协议：</w:t>
      </w:r>
    </w:p>
    <w:p>
      <w:pPr>
        <w:keepNext/>
        <w:keepLines/>
        <w:widowControl/>
        <w:spacing w:before="120" w:after="120" w:line="360" w:lineRule="auto"/>
        <w:outlineLvl w:val="3"/>
        <w:rPr>
          <w:rFonts w:hint="eastAsia" w:ascii="宋体" w:hAnsi="宋体" w:cs="宋体"/>
          <w:b/>
          <w:color w:val="auto"/>
          <w:szCs w:val="21"/>
          <w:highlight w:val="none"/>
        </w:rPr>
      </w:pPr>
      <w:bookmarkStart w:id="196" w:name="_Toc351203481"/>
      <w:r>
        <w:rPr>
          <w:rFonts w:hint="eastAsia" w:ascii="宋体" w:hAnsi="宋体" w:cs="宋体"/>
          <w:bCs/>
          <w:color w:val="auto"/>
          <w:szCs w:val="21"/>
          <w:highlight w:val="none"/>
        </w:rPr>
        <w:t>一、工程概况</w:t>
      </w:r>
      <w:bookmarkEnd w:id="196"/>
    </w:p>
    <w:p>
      <w:pPr>
        <w:widowControl/>
        <w:spacing w:line="360" w:lineRule="auto"/>
        <w:ind w:firstLine="420" w:firstLineChars="200"/>
        <w:rPr>
          <w:rFonts w:hint="eastAsia" w:ascii="宋体" w:hAnsi="宋体" w:eastAsia="宋体" w:cs="宋体"/>
          <w:b/>
          <w:color w:val="auto"/>
          <w:szCs w:val="21"/>
          <w:highlight w:val="none"/>
          <w:u w:val="single"/>
          <w:lang w:eastAsia="zh-CN"/>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lang w:eastAsia="zh-CN"/>
        </w:rPr>
        <w:t>宾阳县2025年大中型水库移民后期扶持资金及中央水库移民扶持基金（提前批）项目基础设施项目</w:t>
      </w:r>
    </w:p>
    <w:p>
      <w:pPr>
        <w:widowControl/>
        <w:spacing w:line="360" w:lineRule="auto"/>
        <w:ind w:firstLine="420" w:firstLineChars="200"/>
        <w:jc w:val="left"/>
        <w:rPr>
          <w:rFonts w:hint="default" w:ascii="宋体" w:hAnsi="宋体" w:eastAsia="宋体" w:cs="宋体"/>
          <w:color w:val="auto"/>
          <w:kern w:val="0"/>
          <w:szCs w:val="21"/>
          <w:highlight w:val="none"/>
          <w:lang w:val="en-US" w:eastAsia="zh-CN" w:bidi="ar"/>
        </w:rPr>
      </w:pPr>
      <w:r>
        <w:rPr>
          <w:rFonts w:hint="eastAsia" w:ascii="宋体" w:hAnsi="宋体" w:cs="宋体"/>
          <w:bCs/>
          <w:color w:val="auto"/>
          <w:szCs w:val="21"/>
          <w:highlight w:val="none"/>
        </w:rPr>
        <w:t>2.工程地点：</w:t>
      </w:r>
      <w:r>
        <w:rPr>
          <w:rFonts w:hint="eastAsia" w:ascii="宋体" w:hAnsi="宋体" w:cs="宋体"/>
          <w:color w:val="auto"/>
          <w:kern w:val="0"/>
          <w:szCs w:val="21"/>
          <w:highlight w:val="none"/>
          <w:lang w:val="en-US" w:eastAsia="zh-CN" w:bidi="ar"/>
        </w:rPr>
        <w:t>宾阳县中华镇</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3.工程立项批准文号： </w:t>
      </w:r>
    </w:p>
    <w:p>
      <w:pPr>
        <w:widowControl/>
        <w:spacing w:line="360" w:lineRule="auto"/>
        <w:ind w:firstLine="411" w:firstLineChars="196"/>
        <w:rPr>
          <w:rFonts w:hint="eastAsia" w:ascii="宋体" w:hAnsi="宋体" w:cs="宋体"/>
          <w:bCs/>
          <w:color w:val="auto"/>
          <w:szCs w:val="21"/>
          <w:highlight w:val="none"/>
        </w:rPr>
      </w:pPr>
      <w:r>
        <w:rPr>
          <w:rFonts w:hint="eastAsia" w:ascii="宋体" w:hAnsi="宋体" w:cs="宋体"/>
          <w:bCs/>
          <w:color w:val="auto"/>
          <w:szCs w:val="21"/>
          <w:highlight w:val="none"/>
        </w:rPr>
        <w:t>4.资金来源：财政资金。</w:t>
      </w:r>
    </w:p>
    <w:p>
      <w:pPr>
        <w:widowControl/>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kern w:val="0"/>
          <w:szCs w:val="21"/>
          <w:highlight w:val="none"/>
          <w:lang w:bidi="ar"/>
        </w:rPr>
        <w:t>具体以施工图纸及工程量清单为准</w:t>
      </w:r>
      <w:r>
        <w:rPr>
          <w:rFonts w:hint="eastAsia" w:ascii="宋体" w:hAnsi="宋体" w:cs="宋体"/>
          <w:bCs/>
          <w:color w:val="auto"/>
          <w:szCs w:val="21"/>
          <w:highlight w:val="none"/>
        </w:rPr>
        <w:t>。</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6.工程承包规模及范围：道路硬化1.791km、太阳能路灯233盏等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具体详见设计施工图纸、工程量清单所包含的内容为准</w:t>
      </w:r>
      <w:r>
        <w:rPr>
          <w:rFonts w:hint="eastAsia" w:ascii="宋体" w:hAnsi="宋体" w:eastAsia="宋体" w:cs="宋体"/>
          <w:color w:val="auto"/>
          <w:szCs w:val="21"/>
          <w:highlight w:val="none"/>
          <w:lang w:val="en-US" w:eastAsia="zh-CN"/>
        </w:rPr>
        <w:t>）。</w:t>
      </w:r>
    </w:p>
    <w:p>
      <w:pPr>
        <w:keepNext/>
        <w:keepLines/>
        <w:widowControl/>
        <w:spacing w:before="120" w:after="120" w:line="360" w:lineRule="auto"/>
        <w:outlineLvl w:val="3"/>
        <w:rPr>
          <w:rFonts w:hint="eastAsia" w:ascii="宋体" w:hAnsi="宋体" w:cs="宋体"/>
          <w:bCs/>
          <w:color w:val="auto"/>
          <w:szCs w:val="21"/>
          <w:highlight w:val="none"/>
        </w:rPr>
      </w:pPr>
      <w:bookmarkStart w:id="197" w:name="_Toc351203482"/>
      <w:r>
        <w:rPr>
          <w:rFonts w:hint="eastAsia" w:ascii="宋体" w:hAnsi="宋体" w:cs="宋体"/>
          <w:bCs/>
          <w:color w:val="auto"/>
          <w:szCs w:val="21"/>
          <w:highlight w:val="none"/>
        </w:rPr>
        <w:t>二、合同工期</w:t>
      </w:r>
      <w:bookmarkEnd w:id="197"/>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计划开工日期： </w:t>
      </w:r>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 xml:space="preserve">计划竣工日期： </w:t>
      </w:r>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日历天。</w:t>
      </w:r>
    </w:p>
    <w:p>
      <w:pPr>
        <w:keepNext/>
        <w:keepLines/>
        <w:widowControl/>
        <w:spacing w:before="120" w:after="120" w:line="360" w:lineRule="auto"/>
        <w:outlineLvl w:val="3"/>
        <w:rPr>
          <w:rFonts w:hint="eastAsia" w:ascii="宋体" w:hAnsi="宋体" w:cs="宋体"/>
          <w:b/>
          <w:color w:val="auto"/>
          <w:szCs w:val="21"/>
          <w:highlight w:val="none"/>
        </w:rPr>
      </w:pPr>
      <w:bookmarkStart w:id="198" w:name="_Toc351203483"/>
      <w:r>
        <w:rPr>
          <w:rFonts w:hint="eastAsia" w:ascii="宋体" w:hAnsi="宋体" w:cs="宋体"/>
          <w:bCs/>
          <w:color w:val="auto"/>
          <w:szCs w:val="21"/>
          <w:highlight w:val="none"/>
        </w:rPr>
        <w:t>三、质量标准</w:t>
      </w:r>
      <w:bookmarkEnd w:id="198"/>
    </w:p>
    <w:p>
      <w:pPr>
        <w:widowControl/>
        <w:spacing w:line="360" w:lineRule="auto"/>
        <w:ind w:firstLine="459"/>
        <w:rPr>
          <w:rFonts w:hint="eastAsia" w:ascii="宋体" w:hAnsi="宋体" w:cs="宋体"/>
          <w:color w:val="auto"/>
          <w:szCs w:val="21"/>
          <w:highlight w:val="none"/>
        </w:rPr>
      </w:pPr>
      <w:r>
        <w:rPr>
          <w:rFonts w:hint="eastAsia" w:ascii="宋体" w:hAnsi="宋体" w:cs="宋体"/>
          <w:color w:val="auto"/>
          <w:szCs w:val="21"/>
          <w:highlight w:val="none"/>
          <w:u w:val="single"/>
        </w:rPr>
        <w:t>工程质量符合标准</w:t>
      </w:r>
      <w:r>
        <w:rPr>
          <w:rFonts w:hint="eastAsia" w:ascii="宋体" w:hAnsi="宋体" w:cs="宋体"/>
          <w:color w:val="auto"/>
          <w:szCs w:val="21"/>
          <w:highlight w:val="none"/>
        </w:rPr>
        <w:t>。</w:t>
      </w:r>
    </w:p>
    <w:p>
      <w:pPr>
        <w:keepNext/>
        <w:keepLines/>
        <w:widowControl/>
        <w:spacing w:before="120" w:after="120" w:line="360" w:lineRule="auto"/>
        <w:outlineLvl w:val="3"/>
        <w:rPr>
          <w:rFonts w:hint="eastAsia" w:ascii="宋体" w:hAnsi="宋体" w:cs="宋体"/>
          <w:b/>
          <w:color w:val="auto"/>
          <w:szCs w:val="21"/>
          <w:highlight w:val="none"/>
        </w:rPr>
      </w:pPr>
      <w:bookmarkStart w:id="199" w:name="_Toc351203484"/>
      <w:r>
        <w:rPr>
          <w:rFonts w:hint="eastAsia" w:ascii="宋体" w:hAnsi="宋体" w:cs="宋体"/>
          <w:bCs/>
          <w:color w:val="auto"/>
          <w:szCs w:val="21"/>
          <w:highlight w:val="none"/>
        </w:rPr>
        <w:t>四、签约合同价与合同价格形式</w:t>
      </w:r>
      <w:bookmarkEnd w:id="199"/>
      <w:r>
        <w:rPr>
          <w:rFonts w:hint="eastAsia" w:ascii="宋体" w:hAnsi="宋体" w:cs="宋体"/>
          <w:bCs/>
          <w:color w:val="auto"/>
          <w:szCs w:val="21"/>
          <w:highlight w:val="none"/>
        </w:rPr>
        <w:tab/>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1.签约合同价为：</w:t>
      </w:r>
    </w:p>
    <w:p>
      <w:pPr>
        <w:widowControl/>
        <w:spacing w:line="360" w:lineRule="auto"/>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rPr>
        <w:t>；</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2.合同价格形式：固定单价合同。</w:t>
      </w:r>
    </w:p>
    <w:p>
      <w:pPr>
        <w:keepNext/>
        <w:keepLines/>
        <w:widowControl/>
        <w:spacing w:before="120" w:after="120" w:line="360" w:lineRule="auto"/>
        <w:outlineLvl w:val="3"/>
        <w:rPr>
          <w:rFonts w:hint="eastAsia" w:ascii="宋体" w:hAnsi="宋体" w:cs="宋体"/>
          <w:bCs/>
          <w:color w:val="auto"/>
          <w:szCs w:val="21"/>
          <w:highlight w:val="none"/>
        </w:rPr>
      </w:pPr>
      <w:bookmarkStart w:id="200" w:name="_Toc351203485"/>
      <w:r>
        <w:rPr>
          <w:rFonts w:hint="eastAsia" w:ascii="宋体" w:hAnsi="宋体" w:cs="宋体"/>
          <w:bCs/>
          <w:color w:val="auto"/>
          <w:szCs w:val="21"/>
          <w:highlight w:val="none"/>
        </w:rPr>
        <w:t>五、</w:t>
      </w:r>
      <w:bookmarkEnd w:id="200"/>
      <w:r>
        <w:rPr>
          <w:rFonts w:hint="eastAsia" w:ascii="宋体" w:hAnsi="宋体" w:cs="宋体"/>
          <w:bCs/>
          <w:color w:val="auto"/>
          <w:szCs w:val="21"/>
          <w:highlight w:val="none"/>
        </w:rPr>
        <w:t>项目经理</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widowControl/>
        <w:spacing w:before="120" w:after="120" w:line="360" w:lineRule="auto"/>
        <w:outlineLvl w:val="3"/>
        <w:rPr>
          <w:rFonts w:hint="eastAsia" w:ascii="宋体" w:hAnsi="宋体" w:cs="宋体"/>
          <w:b/>
          <w:color w:val="auto"/>
          <w:szCs w:val="21"/>
          <w:highlight w:val="none"/>
        </w:rPr>
      </w:pPr>
      <w:bookmarkStart w:id="201" w:name="_Toc351203486"/>
      <w:r>
        <w:rPr>
          <w:rFonts w:hint="eastAsia" w:ascii="宋体" w:hAnsi="宋体" w:cs="宋体"/>
          <w:bCs/>
          <w:color w:val="auto"/>
          <w:szCs w:val="21"/>
          <w:highlight w:val="none"/>
        </w:rPr>
        <w:t>六、合同文件构成</w:t>
      </w:r>
      <w:bookmarkEnd w:id="201"/>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本协议书与下列文件一起构成合同文件：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（1）成交通知书；</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（2）竞标函及其附录；</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（3）专用合同条款及其附件；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（4）通用合同条款；</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（5）技术标准和要求；</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（6）图纸；</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（7）已标价工程量清单或预算书；</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（8）其他合同文件。</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pPr>
        <w:widowControl/>
        <w:adjustRightIn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keepNext/>
        <w:keepLines/>
        <w:widowControl/>
        <w:spacing w:before="120" w:after="120" w:line="360" w:lineRule="auto"/>
        <w:outlineLvl w:val="3"/>
        <w:rPr>
          <w:rFonts w:hint="eastAsia" w:ascii="宋体" w:hAnsi="宋体" w:cs="宋体"/>
          <w:color w:val="auto"/>
          <w:szCs w:val="21"/>
          <w:highlight w:val="none"/>
        </w:rPr>
      </w:pPr>
      <w:bookmarkStart w:id="202" w:name="_Toc351203487"/>
      <w:r>
        <w:rPr>
          <w:rFonts w:hint="eastAsia" w:ascii="宋体" w:hAnsi="宋体" w:cs="宋体"/>
          <w:bCs/>
          <w:color w:val="auto"/>
          <w:szCs w:val="21"/>
          <w:highlight w:val="none"/>
        </w:rPr>
        <w:t>七、承诺</w:t>
      </w:r>
      <w:bookmarkEnd w:id="202"/>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1.发包人承诺按照法律规定履行项目审批手续、筹集工程建设资金并按照合同约定的期限和方式支付合同价款。</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2.承包人承诺按照法律规定及合同约定组织完成工程施工，确保工程质量和安全，不进行转包及违法分包，并在缺陷责任期及保修期内承担相应的工程维修责任。</w:t>
      </w:r>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3.发包人和承包人通过招竞标形式签订合同的，双方理解并承诺不再就同一工程另行签订与合同实质性内容相背离的协议。</w:t>
      </w:r>
    </w:p>
    <w:p>
      <w:pPr>
        <w:widowControl/>
        <w:spacing w:line="360" w:lineRule="auto"/>
        <w:ind w:firstLine="420" w:firstLineChars="200"/>
        <w:rPr>
          <w:rFonts w:hint="eastAsia" w:ascii="宋体" w:hAnsi="宋体" w:cs="宋体"/>
          <w:color w:val="auto"/>
          <w:szCs w:val="21"/>
          <w:highlight w:val="none"/>
        </w:rPr>
      </w:pPr>
      <w:bookmarkStart w:id="203" w:name="_Toc351203488"/>
      <w:r>
        <w:rPr>
          <w:rFonts w:hint="eastAsia" w:ascii="宋体" w:hAnsi="宋体" w:cs="宋体"/>
          <w:bCs/>
          <w:color w:val="auto"/>
          <w:szCs w:val="21"/>
          <w:highlight w:val="none"/>
        </w:rPr>
        <w:t>4.</w:t>
      </w:r>
      <w:r>
        <w:rPr>
          <w:rFonts w:hint="eastAsia" w:ascii="宋体" w:hAnsi="宋体" w:cs="宋体"/>
          <w:color w:val="auto"/>
          <w:szCs w:val="21"/>
          <w:highlight w:val="none"/>
        </w:rPr>
        <w:t xml:space="preserve"> 工程竣工后承包人应对施工场地内残留的垃圾全部清除出场。竣工清场费用由承包人承担。</w:t>
      </w:r>
    </w:p>
    <w:p>
      <w:pPr>
        <w:widowControl/>
        <w:spacing w:line="360" w:lineRule="auto"/>
        <w:rPr>
          <w:rFonts w:hint="eastAsia" w:ascii="宋体" w:hAnsi="宋体" w:cs="宋体"/>
          <w:bCs/>
          <w:color w:val="auto"/>
          <w:szCs w:val="21"/>
          <w:highlight w:val="none"/>
        </w:rPr>
      </w:pPr>
      <w:r>
        <w:rPr>
          <w:rFonts w:hint="eastAsia" w:ascii="宋体" w:hAnsi="宋体" w:cs="宋体"/>
          <w:b/>
          <w:color w:val="auto"/>
          <w:szCs w:val="21"/>
          <w:highlight w:val="none"/>
        </w:rPr>
        <w:t>八、词语含义</w:t>
      </w:r>
      <w:bookmarkEnd w:id="203"/>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pPr>
        <w:keepNext/>
        <w:keepLines/>
        <w:widowControl/>
        <w:spacing w:before="120" w:after="120" w:line="360" w:lineRule="auto"/>
        <w:outlineLvl w:val="3"/>
        <w:rPr>
          <w:rFonts w:hint="eastAsia" w:ascii="宋体" w:hAnsi="宋体" w:cs="宋体"/>
          <w:b/>
          <w:color w:val="auto"/>
          <w:szCs w:val="21"/>
          <w:highlight w:val="none"/>
        </w:rPr>
      </w:pPr>
      <w:bookmarkStart w:id="204" w:name="_Toc351203489"/>
      <w:r>
        <w:rPr>
          <w:rFonts w:hint="eastAsia" w:ascii="宋体" w:hAnsi="宋体" w:cs="宋体"/>
          <w:bCs/>
          <w:color w:val="auto"/>
          <w:szCs w:val="21"/>
          <w:highlight w:val="none"/>
        </w:rPr>
        <w:t>九、签订时间</w:t>
      </w:r>
      <w:bookmarkEnd w:id="204"/>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本合同于        年     月      日签订。</w:t>
      </w:r>
    </w:p>
    <w:p>
      <w:pPr>
        <w:keepNext/>
        <w:keepLines/>
        <w:widowControl/>
        <w:spacing w:before="120" w:after="120" w:line="360" w:lineRule="auto"/>
        <w:outlineLvl w:val="3"/>
        <w:rPr>
          <w:rFonts w:hint="eastAsia" w:ascii="宋体" w:hAnsi="宋体" w:cs="宋体"/>
          <w:b/>
          <w:color w:val="auto"/>
          <w:szCs w:val="21"/>
          <w:highlight w:val="none"/>
        </w:rPr>
      </w:pPr>
      <w:bookmarkStart w:id="205" w:name="_Toc351203490"/>
      <w:r>
        <w:rPr>
          <w:rFonts w:hint="eastAsia" w:ascii="宋体" w:hAnsi="宋体" w:cs="宋体"/>
          <w:bCs/>
          <w:color w:val="auto"/>
          <w:szCs w:val="21"/>
          <w:highlight w:val="none"/>
        </w:rPr>
        <w:t>十、签订地点</w:t>
      </w:r>
      <w:bookmarkEnd w:id="205"/>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宾阳县</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pPr>
        <w:keepNext/>
        <w:keepLines/>
        <w:widowControl/>
        <w:spacing w:before="120" w:after="120" w:line="360" w:lineRule="auto"/>
        <w:outlineLvl w:val="3"/>
        <w:rPr>
          <w:rFonts w:hint="eastAsia" w:ascii="宋体" w:hAnsi="宋体" w:cs="宋体"/>
          <w:b/>
          <w:color w:val="auto"/>
          <w:szCs w:val="21"/>
          <w:highlight w:val="none"/>
        </w:rPr>
      </w:pPr>
      <w:bookmarkStart w:id="206" w:name="_Toc351203491"/>
      <w:r>
        <w:rPr>
          <w:rFonts w:hint="eastAsia" w:ascii="宋体" w:hAnsi="宋体" w:cs="宋体"/>
          <w:bCs/>
          <w:color w:val="auto"/>
          <w:szCs w:val="21"/>
          <w:highlight w:val="none"/>
        </w:rPr>
        <w:t>十一、补充协议</w:t>
      </w:r>
      <w:bookmarkEnd w:id="206"/>
    </w:p>
    <w:p>
      <w:pPr>
        <w:widowControl/>
        <w:spacing w:line="360" w:lineRule="auto"/>
        <w:ind w:firstLine="420" w:firstLineChars="200"/>
        <w:rPr>
          <w:rFonts w:hint="eastAsia"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pPr>
        <w:keepNext/>
        <w:keepLines/>
        <w:widowControl/>
        <w:spacing w:before="120" w:after="120" w:line="360" w:lineRule="auto"/>
        <w:outlineLvl w:val="3"/>
        <w:rPr>
          <w:rFonts w:hint="eastAsia" w:ascii="宋体" w:hAnsi="宋体" w:cs="宋体"/>
          <w:b/>
          <w:color w:val="auto"/>
          <w:szCs w:val="21"/>
          <w:highlight w:val="none"/>
        </w:rPr>
      </w:pPr>
      <w:bookmarkStart w:id="207" w:name="_Toc351203492"/>
      <w:r>
        <w:rPr>
          <w:rFonts w:hint="eastAsia" w:ascii="宋体" w:hAnsi="宋体" w:cs="宋体"/>
          <w:bCs/>
          <w:color w:val="auto"/>
          <w:szCs w:val="21"/>
          <w:highlight w:val="none"/>
        </w:rPr>
        <w:t>十二、合同生效</w:t>
      </w:r>
      <w:bookmarkEnd w:id="207"/>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本合同自双方签字盖章时生效。</w:t>
      </w:r>
    </w:p>
    <w:p>
      <w:pPr>
        <w:adjustRightInd w:val="0"/>
        <w:spacing w:line="360" w:lineRule="auto"/>
        <w:jc w:val="left"/>
        <w:textAlignment w:val="baseline"/>
        <w:rPr>
          <w:rFonts w:ascii="宋体" w:hAnsi="宋体" w:cs="宋体"/>
          <w:bCs/>
          <w:color w:val="auto"/>
          <w:kern w:val="0"/>
          <w:szCs w:val="21"/>
          <w:highlight w:val="none"/>
        </w:rPr>
      </w:pPr>
      <w:r>
        <w:rPr>
          <w:rFonts w:hint="eastAsia" w:ascii="宋体" w:hAnsi="宋体" w:cs="宋体"/>
          <w:bCs/>
          <w:color w:val="auto"/>
          <w:kern w:val="0"/>
          <w:szCs w:val="21"/>
          <w:highlight w:val="none"/>
        </w:rPr>
        <w:t>十三、争议解决</w:t>
      </w:r>
    </w:p>
    <w:p>
      <w:pPr>
        <w:adjustRightInd w:val="0"/>
        <w:spacing w:line="360" w:lineRule="auto"/>
        <w:ind w:firstLine="420" w:firstLineChars="200"/>
        <w:jc w:val="left"/>
        <w:textAlignment w:val="baseline"/>
        <w:rPr>
          <w:rFonts w:ascii="宋体" w:hAnsi="宋体"/>
          <w:color w:val="auto"/>
          <w:kern w:val="0"/>
          <w:highlight w:val="none"/>
        </w:rPr>
      </w:pPr>
      <w:r>
        <w:rPr>
          <w:rFonts w:hint="eastAsia" w:ascii="宋体" w:hAnsi="宋体" w:cs="宋体"/>
          <w:bCs/>
          <w:color w:val="auto"/>
          <w:kern w:val="0"/>
          <w:szCs w:val="21"/>
          <w:highlight w:val="none"/>
        </w:rPr>
        <w:t>因本合同的履行发生纠纷的，由合同双方协商解决，协商不成的，任何一方可以向工程所在地有管辖权的人民法院起诉。</w:t>
      </w:r>
    </w:p>
    <w:p>
      <w:pPr>
        <w:keepNext/>
        <w:keepLines/>
        <w:widowControl/>
        <w:spacing w:before="120" w:after="120" w:line="360" w:lineRule="auto"/>
        <w:outlineLvl w:val="3"/>
        <w:rPr>
          <w:rFonts w:hint="eastAsia" w:ascii="宋体" w:hAnsi="宋体" w:cs="宋体"/>
          <w:bCs/>
          <w:color w:val="auto"/>
          <w:szCs w:val="21"/>
          <w:highlight w:val="none"/>
        </w:rPr>
      </w:pPr>
      <w:bookmarkStart w:id="208" w:name="_Toc351203493"/>
    </w:p>
    <w:p>
      <w:pPr>
        <w:keepNext/>
        <w:keepLines/>
        <w:widowControl/>
        <w:spacing w:before="120" w:after="120" w:line="360" w:lineRule="auto"/>
        <w:outlineLvl w:val="3"/>
        <w:rPr>
          <w:rFonts w:hint="eastAsia" w:ascii="宋体" w:hAnsi="宋体" w:cs="宋体"/>
          <w:b/>
          <w:color w:val="auto"/>
          <w:szCs w:val="21"/>
          <w:highlight w:val="none"/>
        </w:rPr>
      </w:pPr>
      <w:r>
        <w:rPr>
          <w:rFonts w:hint="eastAsia" w:ascii="宋体" w:hAnsi="宋体" w:cs="宋体"/>
          <w:bCs/>
          <w:color w:val="auto"/>
          <w:szCs w:val="21"/>
          <w:highlight w:val="none"/>
        </w:rPr>
        <w:t>十四、合同份数</w:t>
      </w:r>
      <w:bookmarkEnd w:id="208"/>
    </w:p>
    <w:p>
      <w:pPr>
        <w:widowControl/>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六</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四</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二</w:t>
      </w:r>
      <w:r>
        <w:rPr>
          <w:rFonts w:hint="eastAsia" w:ascii="宋体" w:hAnsi="宋体" w:cs="宋体"/>
          <w:bCs/>
          <w:color w:val="auto"/>
          <w:szCs w:val="21"/>
          <w:highlight w:val="none"/>
        </w:rPr>
        <w:t>份。</w:t>
      </w:r>
    </w:p>
    <w:p>
      <w:pPr>
        <w:widowControl/>
        <w:spacing w:line="360" w:lineRule="auto"/>
        <w:rPr>
          <w:rFonts w:hint="eastAsia" w:ascii="宋体" w:hAnsi="宋体" w:cs="宋体"/>
          <w:color w:val="auto"/>
          <w:szCs w:val="21"/>
          <w:highlight w:val="none"/>
        </w:rPr>
      </w:pP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发包人：  (公章) </w:t>
      </w:r>
      <w:r>
        <w:rPr>
          <w:rFonts w:hint="eastAsia" w:ascii="宋体" w:hAnsi="宋体" w:cs="宋体"/>
          <w:b/>
          <w:color w:val="auto"/>
          <w:szCs w:val="21"/>
          <w:highlight w:val="none"/>
          <w:u w:val="single"/>
          <w:lang w:eastAsia="zh-CN"/>
        </w:rPr>
        <w:t>宾阳县水库移民安置服务中心</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承包人： </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rPr>
        <w:t xml:space="preserve"> (公章)</w:t>
      </w:r>
    </w:p>
    <w:p>
      <w:pPr>
        <w:widowControl/>
        <w:spacing w:line="360" w:lineRule="auto"/>
        <w:rPr>
          <w:rFonts w:hint="eastAsia" w:ascii="宋体" w:hAnsi="宋体" w:cs="宋体"/>
          <w:color w:val="auto"/>
          <w:szCs w:val="21"/>
          <w:highlight w:val="none"/>
          <w:u w:val="single"/>
        </w:rPr>
      </w:pP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                         法定代表人或其委托代理人：</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（签字）                                          （签字）</w:t>
      </w:r>
    </w:p>
    <w:p>
      <w:pPr>
        <w:widowControl/>
        <w:spacing w:line="360" w:lineRule="auto"/>
        <w:rPr>
          <w:rFonts w:hint="eastAsia" w:ascii="宋体" w:hAnsi="宋体" w:cs="宋体"/>
          <w:color w:val="auto"/>
          <w:szCs w:val="21"/>
          <w:highlight w:val="none"/>
          <w:u w:val="single"/>
        </w:rPr>
      </w:pPr>
    </w:p>
    <w:p>
      <w:pPr>
        <w:widowControl/>
        <w:tabs>
          <w:tab w:val="left" w:pos="4410"/>
        </w:tabs>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组织机构代码：                                     组织机构代码：</w:t>
      </w:r>
    </w:p>
    <w:p>
      <w:pPr>
        <w:widowControl/>
        <w:spacing w:line="360" w:lineRule="auto"/>
        <w:ind w:left="5460" w:hanging="5460" w:hangingChars="2600"/>
        <w:rPr>
          <w:rFonts w:hint="eastAsia" w:ascii="宋体" w:hAnsi="宋体" w:cs="宋体"/>
          <w:b/>
          <w:color w:val="auto"/>
          <w:szCs w:val="21"/>
          <w:highlight w:val="none"/>
          <w:u w:val="single"/>
        </w:rPr>
      </w:pPr>
      <w:r>
        <w:rPr>
          <w:rFonts w:hint="eastAsia" w:ascii="宋体" w:hAnsi="宋体" w:cs="宋体"/>
          <w:color w:val="auto"/>
          <w:szCs w:val="21"/>
          <w:highlight w:val="none"/>
        </w:rPr>
        <w:t>地址：                                             地址：</w:t>
      </w:r>
      <w:r>
        <w:rPr>
          <w:rFonts w:hint="eastAsia" w:ascii="宋体" w:hAnsi="宋体" w:cs="宋体"/>
          <w:b/>
          <w:color w:val="auto"/>
          <w:szCs w:val="21"/>
          <w:highlight w:val="none"/>
          <w:u w:val="single"/>
        </w:rPr>
        <w:t xml:space="preserve"> </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                                         邮政编码：</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法定代表人：                                       法定代表人：</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委托代理人：                                       委托代理人：</w:t>
      </w:r>
    </w:p>
    <w:p>
      <w:pPr>
        <w:widowControl/>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                                             电话：</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传真：                                             传真：/</w:t>
      </w:r>
    </w:p>
    <w:p>
      <w:pPr>
        <w:widowControl/>
        <w:spacing w:line="360" w:lineRule="auto"/>
        <w:rPr>
          <w:rFonts w:hint="eastAsia" w:ascii="宋体" w:hAnsi="宋体" w:cs="宋体"/>
          <w:bCs/>
          <w:color w:val="auto"/>
          <w:szCs w:val="21"/>
          <w:highlight w:val="none"/>
          <w:u w:val="single"/>
        </w:rPr>
      </w:pPr>
      <w:r>
        <w:rPr>
          <w:rFonts w:hint="eastAsia" w:ascii="宋体" w:hAnsi="宋体" w:cs="宋体"/>
          <w:color w:val="auto"/>
          <w:szCs w:val="21"/>
          <w:highlight w:val="none"/>
        </w:rPr>
        <w:t xml:space="preserve">电子信箱：                                         电子信箱： </w:t>
      </w:r>
    </w:p>
    <w:p>
      <w:pPr>
        <w:widowControl/>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开户银行：                                         开户银行：</w:t>
      </w:r>
      <w:r>
        <w:rPr>
          <w:rFonts w:hint="eastAsia" w:ascii="宋体" w:hAnsi="宋体" w:cs="宋体"/>
          <w:color w:val="auto"/>
          <w:kern w:val="0"/>
          <w:szCs w:val="21"/>
          <w:highlight w:val="none"/>
        </w:rPr>
        <w:t xml:space="preserve"> </w:t>
      </w:r>
    </w:p>
    <w:p>
      <w:pPr>
        <w:spacing w:line="360" w:lineRule="auto"/>
        <w:rPr>
          <w:rFonts w:hint="eastAsia" w:ascii="宋体" w:hAnsi="宋体" w:cs="宋体"/>
          <w:color w:val="auto"/>
          <w:kern w:val="0"/>
          <w:szCs w:val="21"/>
          <w:highlight w:val="none"/>
        </w:rPr>
        <w:sectPr>
          <w:headerReference r:id="rId13" w:type="default"/>
          <w:footerReference r:id="rId14" w:type="default"/>
          <w:pgSz w:w="11910" w:h="16840"/>
          <w:pgMar w:top="1418" w:right="1418" w:bottom="1418" w:left="1418" w:header="873" w:footer="851" w:gutter="0"/>
          <w:cols w:space="720" w:num="1"/>
        </w:sectPr>
      </w:pPr>
      <w:r>
        <w:rPr>
          <w:rFonts w:hint="eastAsia" w:ascii="宋体" w:hAnsi="宋体" w:cs="宋体"/>
          <w:color w:val="auto"/>
          <w:szCs w:val="21"/>
          <w:highlight w:val="none"/>
        </w:rPr>
        <w:t>账号：                                             账号：</w:t>
      </w:r>
    </w:p>
    <w:p>
      <w:pPr>
        <w:tabs>
          <w:tab w:val="left" w:pos="1080"/>
        </w:tabs>
        <w:spacing w:line="360" w:lineRule="exact"/>
        <w:ind w:left="-359" w:leftChars="-171"/>
        <w:jc w:val="center"/>
        <w:rPr>
          <w:rFonts w:hint="eastAsia" w:ascii="宋体" w:hAnsi="宋体" w:cs="宋体"/>
          <w:b/>
          <w:color w:val="auto"/>
          <w:sz w:val="30"/>
          <w:szCs w:val="30"/>
          <w:highlight w:val="none"/>
        </w:rPr>
      </w:pPr>
    </w:p>
    <w:p>
      <w:pPr>
        <w:ind w:firstLine="420"/>
        <w:rPr>
          <w:rFonts w:hint="eastAsia" w:ascii="宋体" w:hAnsi="宋体"/>
          <w:color w:val="auto"/>
          <w:szCs w:val="2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第一节 通用合同条款</w:t>
      </w:r>
    </w:p>
    <w:p>
      <w:pPr>
        <w:tabs>
          <w:tab w:val="left" w:pos="1080"/>
        </w:tabs>
        <w:spacing w:line="360" w:lineRule="exact"/>
        <w:ind w:left="-359" w:leftChars="-171"/>
        <w:rPr>
          <w:rFonts w:hint="eastAsia" w:ascii="宋体" w:hAnsi="宋体" w:cs="宋体"/>
          <w:color w:val="auto"/>
          <w:sz w:val="24"/>
          <w:highlight w:val="none"/>
        </w:rPr>
      </w:pPr>
    </w:p>
    <w:p>
      <w:pPr>
        <w:tabs>
          <w:tab w:val="left" w:pos="1080"/>
        </w:tabs>
        <w:spacing w:line="400" w:lineRule="exact"/>
        <w:ind w:left="-359" w:leftChars="-171"/>
        <w:jc w:val="center"/>
        <w:rPr>
          <w:rFonts w:hint="eastAsia" w:ascii="宋体" w:hAnsi="宋体" w:cs="宋体"/>
          <w:b/>
          <w:color w:val="auto"/>
          <w:szCs w:val="21"/>
          <w:highlight w:val="none"/>
        </w:rPr>
        <w:sectPr>
          <w:pgSz w:w="11910" w:h="16840"/>
          <w:pgMar w:top="1418" w:right="1418" w:bottom="1418" w:left="1418" w:header="878" w:footer="707" w:gutter="0"/>
          <w:cols w:space="720" w:num="1"/>
        </w:sectPr>
      </w:pPr>
      <w:r>
        <w:rPr>
          <w:rFonts w:hint="eastAsia" w:ascii="宋体" w:hAnsi="宋体" w:cs="宋体"/>
          <w:b/>
          <w:color w:val="auto"/>
          <w:szCs w:val="21"/>
          <w:highlight w:val="none"/>
        </w:rPr>
        <w:t>“通用合同条款”采用中华人民共和国交通运输部《公路工程标准施工招标文件》（2018 年版）的“通用合同条款”</w:t>
      </w: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第二节 专用合同条款</w:t>
      </w: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jc w:val="center"/>
        <w:rPr>
          <w:rFonts w:hint="eastAsia" w:ascii="宋体" w:hAnsi="宋体" w:cs="宋体"/>
          <w:b/>
          <w:color w:val="auto"/>
          <w:sz w:val="30"/>
          <w:szCs w:val="3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A.公路工程专用合同条款</w:t>
      </w: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ind w:firstLine="562" w:firstLineChars="200"/>
        <w:rPr>
          <w:rFonts w:hint="eastAsia" w:ascii="宋体" w:hAnsi="宋体" w:cs="宋体"/>
          <w:b/>
          <w:color w:val="auto"/>
          <w:sz w:val="28"/>
          <w:szCs w:val="30"/>
          <w:highlight w:val="none"/>
        </w:rPr>
        <w:sectPr>
          <w:footerReference r:id="rId16" w:type="first"/>
          <w:footerReference r:id="rId15" w:type="default"/>
          <w:pgSz w:w="11906" w:h="16838"/>
          <w:pgMar w:top="1418" w:right="1418" w:bottom="1418" w:left="1418" w:header="851" w:footer="992" w:gutter="0"/>
          <w:cols w:space="720" w:num="1"/>
          <w:titlePg/>
          <w:docGrid w:linePitch="312" w:charSpace="0"/>
        </w:sectPr>
      </w:pPr>
      <w:r>
        <w:rPr>
          <w:rFonts w:hint="eastAsia" w:ascii="宋体" w:hAnsi="宋体" w:cs="宋体"/>
          <w:b/>
          <w:color w:val="auto"/>
          <w:sz w:val="28"/>
          <w:szCs w:val="30"/>
          <w:highlight w:val="none"/>
        </w:rPr>
        <w:t>“A.公路工程专用合同条款”采用《标准施工采购文件》的“A.公路工程专用合同条款”。</w:t>
      </w:r>
    </w:p>
    <w:p>
      <w:pPr>
        <w:tabs>
          <w:tab w:val="left" w:pos="1080"/>
        </w:tabs>
        <w:spacing w:line="360" w:lineRule="exact"/>
        <w:rPr>
          <w:rFonts w:hint="eastAsia" w:ascii="宋体" w:hAnsi="宋体" w:cs="宋体"/>
          <w:b/>
          <w:color w:val="auto"/>
          <w:sz w:val="30"/>
          <w:szCs w:val="30"/>
          <w:highlight w:val="none"/>
        </w:rPr>
      </w:pPr>
    </w:p>
    <w:p>
      <w:pPr>
        <w:tabs>
          <w:tab w:val="left" w:pos="1080"/>
        </w:tabs>
        <w:spacing w:line="360" w:lineRule="exact"/>
        <w:ind w:left="-359" w:leftChars="-171"/>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B.项目专用合同条款</w:t>
      </w:r>
    </w:p>
    <w:p>
      <w:pPr>
        <w:tabs>
          <w:tab w:val="left" w:pos="1080"/>
        </w:tabs>
        <w:spacing w:line="340" w:lineRule="exact"/>
        <w:rPr>
          <w:rFonts w:hint="eastAsia" w:ascii="宋体" w:hAnsi="宋体" w:cs="宋体"/>
          <w:color w:val="auto"/>
          <w:sz w:val="24"/>
          <w:highlight w:val="none"/>
        </w:rPr>
      </w:pPr>
    </w:p>
    <w:p>
      <w:pPr>
        <w:tabs>
          <w:tab w:val="left" w:pos="1080"/>
        </w:tabs>
        <w:spacing w:line="36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说明：</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人在根据《公路工程标准施工采购文件》编制项目采购文件中的“项目专用合同条款”时，可根据采购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2.项目专用合同条款的编号应与通用合同条款和公路工程专用合同条款一致。</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3.项目专用合同条款可对下列内容进行补充和细化：</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pPr>
        <w:tabs>
          <w:tab w:val="left" w:pos="108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（3）其他需要补充、细化的内容。</w:t>
      </w:r>
    </w:p>
    <w:p>
      <w:pPr>
        <w:tabs>
          <w:tab w:val="left" w:pos="1080"/>
        </w:tabs>
        <w:spacing w:line="360" w:lineRule="exact"/>
        <w:ind w:firstLine="480" w:firstLineChars="200"/>
        <w:rPr>
          <w:rFonts w:hint="eastAsia" w:ascii="宋体" w:hAnsi="宋体" w:cs="宋体"/>
          <w:color w:val="auto"/>
          <w:sz w:val="24"/>
          <w:highlight w:val="none"/>
        </w:rPr>
      </w:pPr>
    </w:p>
    <w:p>
      <w:pPr>
        <w:tabs>
          <w:tab w:val="left" w:pos="1080"/>
        </w:tabs>
        <w:spacing w:line="360" w:lineRule="exact"/>
        <w:ind w:left="1222"/>
        <w:rPr>
          <w:rFonts w:hint="eastAsia" w:ascii="宋体" w:hAnsi="宋体" w:cs="宋体"/>
          <w:color w:val="auto"/>
          <w:sz w:val="24"/>
          <w:highlight w:val="none"/>
        </w:rPr>
      </w:pPr>
    </w:p>
    <w:p>
      <w:pPr>
        <w:tabs>
          <w:tab w:val="left" w:pos="1080"/>
        </w:tabs>
        <w:spacing w:line="360" w:lineRule="exact"/>
        <w:rPr>
          <w:rFonts w:hint="eastAsia" w:ascii="宋体" w:hAnsi="宋体" w:cs="宋体"/>
          <w:color w:val="auto"/>
          <w:sz w:val="24"/>
          <w:highlight w:val="none"/>
        </w:rPr>
      </w:pPr>
    </w:p>
    <w:p>
      <w:pPr>
        <w:tabs>
          <w:tab w:val="left" w:pos="1080"/>
        </w:tabs>
        <w:spacing w:line="360" w:lineRule="exact"/>
        <w:jc w:val="center"/>
        <w:rPr>
          <w:rFonts w:hint="eastAsia" w:ascii="宋体" w:hAnsi="宋体" w:cs="宋体"/>
          <w:b/>
          <w:color w:val="auto"/>
          <w:sz w:val="24"/>
          <w:highlight w:val="none"/>
        </w:rPr>
        <w:sectPr>
          <w:pgSz w:w="11906" w:h="16838"/>
          <w:pgMar w:top="1418" w:right="1418" w:bottom="1418" w:left="1418" w:header="851" w:footer="992" w:gutter="0"/>
          <w:cols w:space="720" w:num="1"/>
          <w:titlePg/>
          <w:docGrid w:linePitch="312" w:charSpace="0"/>
        </w:sectPr>
      </w:pPr>
    </w:p>
    <w:p>
      <w:pPr>
        <w:tabs>
          <w:tab w:val="left" w:pos="1080"/>
        </w:tabs>
        <w:spacing w:line="360" w:lineRule="exact"/>
        <w:jc w:val="center"/>
        <w:rPr>
          <w:rFonts w:hint="eastAsia" w:ascii="宋体" w:hAnsi="宋体" w:cs="宋体"/>
          <w:b/>
          <w:color w:val="auto"/>
          <w:sz w:val="32"/>
          <w:highlight w:val="none"/>
        </w:rPr>
      </w:pPr>
      <w:r>
        <w:rPr>
          <w:rFonts w:hint="eastAsia" w:ascii="宋体" w:hAnsi="宋体" w:cs="宋体"/>
          <w:b/>
          <w:color w:val="auto"/>
          <w:sz w:val="32"/>
          <w:highlight w:val="none"/>
        </w:rPr>
        <w:t>项目专用合同条款数据表</w:t>
      </w:r>
    </w:p>
    <w:p>
      <w:pPr>
        <w:tabs>
          <w:tab w:val="left" w:pos="1080"/>
        </w:tabs>
        <w:spacing w:line="360" w:lineRule="exact"/>
        <w:rPr>
          <w:rFonts w:hint="eastAsia" w:ascii="宋体" w:hAnsi="宋体" w:cs="宋体"/>
          <w:color w:val="auto"/>
          <w:sz w:val="24"/>
          <w:highlight w:val="none"/>
        </w:rPr>
      </w:pPr>
    </w:p>
    <w:p>
      <w:pPr>
        <w:tabs>
          <w:tab w:val="left" w:pos="1080"/>
        </w:tabs>
        <w:spacing w:line="400" w:lineRule="exact"/>
        <w:rPr>
          <w:rFonts w:hint="eastAsia" w:ascii="宋体" w:hAnsi="宋体" w:cs="宋体"/>
          <w:color w:val="auto"/>
          <w:szCs w:val="21"/>
          <w:highlight w:val="none"/>
        </w:rPr>
      </w:pPr>
      <w:r>
        <w:rPr>
          <w:rFonts w:hint="eastAsia" w:ascii="宋体" w:hAnsi="宋体" w:cs="宋体"/>
          <w:b/>
          <w:color w:val="auto"/>
          <w:szCs w:val="21"/>
          <w:highlight w:val="none"/>
        </w:rPr>
        <w:t>说明：</w:t>
      </w:r>
      <w:r>
        <w:rPr>
          <w:rFonts w:hint="eastAsia" w:ascii="宋体" w:hAnsi="宋体" w:cs="宋体"/>
          <w:color w:val="auto"/>
          <w:szCs w:val="21"/>
          <w:highlight w:val="none"/>
        </w:rPr>
        <w:t>本数据表是项目专用合同条款中适用于本项目的信息和数据的归纳与提示，是项目专用合同条款的组成部分。第八章“竞标文件格式”的竞标函附录中的数据（供竞标人确认）与本表所列有重复。编写采购文件的单位应仔细校核，不使数据出现差错或不一致。</w:t>
      </w:r>
    </w:p>
    <w:p>
      <w:pPr>
        <w:tabs>
          <w:tab w:val="left" w:pos="1080"/>
        </w:tabs>
        <w:spacing w:line="400" w:lineRule="exact"/>
        <w:rPr>
          <w:rFonts w:hint="eastAsia" w:ascii="宋体" w:hAnsi="宋体" w:cs="宋体"/>
          <w:color w:val="auto"/>
          <w:szCs w:val="21"/>
          <w:highlight w:val="none"/>
        </w:rPr>
      </w:pPr>
    </w:p>
    <w:tbl>
      <w:tblPr>
        <w:tblStyle w:val="25"/>
        <w:tblW w:w="96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484"/>
        <w:gridCol w:w="7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exact"/>
          <w:jc w:val="center"/>
        </w:trPr>
        <w:tc>
          <w:tcPr>
            <w:tcW w:w="729"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序号</w:t>
            </w:r>
          </w:p>
        </w:tc>
        <w:tc>
          <w:tcPr>
            <w:tcW w:w="1484"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条款号</w:t>
            </w:r>
          </w:p>
        </w:tc>
        <w:tc>
          <w:tcPr>
            <w:tcW w:w="7426" w:type="dxa"/>
            <w:noWrap w:val="0"/>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信息或数据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1"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 包 人：</w:t>
            </w:r>
            <w:r>
              <w:rPr>
                <w:rFonts w:hint="eastAsia" w:ascii="宋体" w:hAnsi="宋体" w:cs="宋体"/>
                <w:bCs/>
                <w:color w:val="auto"/>
                <w:szCs w:val="21"/>
                <w:highlight w:val="none"/>
                <w:lang w:eastAsia="zh-CN"/>
              </w:rPr>
              <w:t>宾阳县水库移民安置服务中心</w:t>
            </w:r>
            <w:r>
              <w:rPr>
                <w:rFonts w:hint="eastAsia" w:ascii="宋体" w:hAnsi="宋体" w:cs="宋体"/>
                <w:bCs/>
                <w:color w:val="auto"/>
                <w:szCs w:val="21"/>
                <w:highlight w:val="none"/>
              </w:rPr>
              <w:t xml:space="preserve">  </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址：南宁市江南区壮锦大道19号</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邮政编码：530000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1.1.2.6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 理 人：待定</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地    址：待定</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邮政编码：待定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1.1.4.5</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缺陷责任期：自实际交工日期起计算</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Hans"/>
              </w:rPr>
              <w:t>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7" w:hRule="atLeas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图纸需要修改和补充的，应由监理人取得发包人同意后，在该项工程或工程相应部位施工前</w:t>
            </w:r>
            <w:r>
              <w:rPr>
                <w:rFonts w:hint="eastAsia" w:ascii="宋体" w:hAnsi="宋体" w:cs="宋体"/>
                <w:bCs/>
                <w:color w:val="auto"/>
                <w:szCs w:val="21"/>
                <w:highlight w:val="none"/>
                <w:u w:val="single"/>
              </w:rPr>
              <w:t xml:space="preserve">  5  </w:t>
            </w:r>
            <w:r>
              <w:rPr>
                <w:rFonts w:hint="eastAsia" w:ascii="宋体" w:hAnsi="宋体" w:cs="宋体"/>
                <w:bCs/>
                <w:color w:val="auto"/>
                <w:szCs w:val="21"/>
                <w:highlight w:val="none"/>
              </w:rPr>
              <w:t>天签发图纸修改图给承包人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7" w:hRule="atLeas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3.1.1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监理人在行使下列权利前需要经发包人事先批准：</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（6）根据第15.3款发出的变更指示，其单项工程变更涉及的金额超过了该单项工程签约时合同价的</w:t>
            </w:r>
            <w:r>
              <w:rPr>
                <w:rFonts w:hint="eastAsia" w:ascii="宋体" w:hAnsi="宋体" w:cs="宋体"/>
                <w:bCs/>
                <w:color w:val="auto"/>
                <w:szCs w:val="21"/>
                <w:highlight w:val="none"/>
                <w:u w:val="single"/>
              </w:rPr>
              <w:t xml:space="preserve">  0.5  </w:t>
            </w:r>
            <w:r>
              <w:rPr>
                <w:rFonts w:hint="eastAsia" w:ascii="宋体" w:hAnsi="宋体" w:cs="宋体"/>
                <w:bCs/>
                <w:color w:val="auto"/>
                <w:szCs w:val="21"/>
                <w:highlight w:val="none"/>
              </w:rPr>
              <w:t>%或累计变更超过了签约合同价的</w:t>
            </w:r>
            <w:r>
              <w:rPr>
                <w:rFonts w:hint="eastAsia" w:ascii="宋体" w:hAnsi="宋体" w:cs="宋体"/>
                <w:bCs/>
                <w:color w:val="auto"/>
                <w:szCs w:val="21"/>
                <w:highlight w:val="none"/>
                <w:u w:val="single"/>
              </w:rPr>
              <w:t xml:space="preserve"> 2  </w:t>
            </w:r>
            <w:r>
              <w:rPr>
                <w:rFonts w:hint="eastAsia" w:ascii="宋体" w:hAnsi="宋体" w:cs="宋体"/>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5.2.1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发包人是否提供材料或工程设备：</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2"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7</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6.2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发包人是否提供施工设备和临时设施：</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34"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8.1.1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发包人提供测量基准点、基准先和水准点及其书面资料的期限：</w:t>
            </w:r>
            <w:r>
              <w:rPr>
                <w:rFonts w:hint="eastAsia" w:ascii="宋体" w:hAnsi="宋体" w:cs="宋体"/>
                <w:bCs/>
                <w:color w:val="auto"/>
                <w:szCs w:val="21"/>
                <w:highlight w:val="none"/>
                <w:u w:val="single"/>
              </w:rPr>
              <w:t xml:space="preserve">  开工后1周内</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承包人将施工控制网资料报送监理人审批的期限：</w:t>
            </w:r>
            <w:r>
              <w:rPr>
                <w:rFonts w:hint="eastAsia" w:ascii="宋体" w:hAnsi="宋体" w:cs="宋体"/>
                <w:bCs/>
                <w:color w:val="auto"/>
                <w:szCs w:val="21"/>
                <w:highlight w:val="none"/>
                <w:u w:val="single"/>
              </w:rPr>
              <w:t xml:space="preserve"> 开工后3周内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9</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w:t>
            </w:r>
            <w:r>
              <w:rPr>
                <w:rFonts w:hint="eastAsia" w:ascii="宋体" w:hAnsi="宋体" w:cs="宋体"/>
                <w:bCs/>
                <w:color w:val="auto"/>
                <w:szCs w:val="21"/>
                <w:highlight w:val="none"/>
                <w:u w:val="single"/>
              </w:rPr>
              <w:t xml:space="preserve"> 500 </w:t>
            </w:r>
            <w:r>
              <w:rPr>
                <w:rFonts w:hint="eastAsia" w:ascii="宋体" w:hAnsi="宋体" w:cs="宋体"/>
                <w:bCs/>
                <w:color w:val="auto"/>
                <w:szCs w:val="21"/>
                <w:highlight w:val="none"/>
              </w:rPr>
              <w:t>元/天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10</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11.5（3）</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逾期交工违约金限额：</w:t>
            </w:r>
            <w:r>
              <w:rPr>
                <w:rFonts w:hint="eastAsia" w:ascii="宋体" w:hAnsi="宋体" w:cs="宋体"/>
                <w:bCs/>
                <w:color w:val="auto"/>
                <w:szCs w:val="21"/>
                <w:highlight w:val="none"/>
                <w:u w:val="single"/>
              </w:rPr>
              <w:t>2</w:t>
            </w:r>
            <w:r>
              <w:rPr>
                <w:rFonts w:hint="eastAsia" w:ascii="宋体" w:hAnsi="宋体" w:cs="宋体"/>
                <w:bCs/>
                <w:color w:val="auto"/>
                <w:szCs w:val="21"/>
                <w:highlight w:val="none"/>
              </w:rPr>
              <w:t>%签约合同价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提前交工的奖金： </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元/天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11.6</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提前交工的奖金限额：</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8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15.5.2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承包人提出的合理化建议降低了合同价格或者提高了工程经济效益的，发包</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人按所节约成本的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或增加收益的</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给予奖励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合同期内不调价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17.2.1(1)</w:t>
            </w:r>
          </w:p>
        </w:tc>
        <w:tc>
          <w:tcPr>
            <w:tcW w:w="7426" w:type="dxa"/>
            <w:noWrap w:val="0"/>
            <w:vAlign w:val="center"/>
          </w:tcPr>
          <w:p>
            <w:pPr>
              <w:tabs>
                <w:tab w:val="left" w:pos="1080"/>
              </w:tabs>
              <w:spacing w:line="420" w:lineRule="exact"/>
              <w:rPr>
                <w:rFonts w:hint="eastAsia" w:ascii="宋体" w:hAnsi="宋体" w:cs="宋体"/>
                <w:bCs/>
                <w:color w:val="auto"/>
                <w:szCs w:val="21"/>
                <w:highlight w:val="none"/>
              </w:rPr>
            </w:pPr>
            <w:r>
              <w:rPr>
                <w:rFonts w:hint="eastAsia" w:ascii="宋体" w:hAnsi="宋体" w:cs="宋体"/>
                <w:bCs/>
                <w:color w:val="auto"/>
                <w:szCs w:val="21"/>
                <w:highlight w:val="none"/>
              </w:rPr>
              <w:t>开工预付款金额：无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16</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材料、设备预付款比例：无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承包人在每个付款周期末向监理人提交进度付款申请单的份数：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进度付款证书最低限额：</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%签约合同价或</w:t>
            </w:r>
            <w:r>
              <w:rPr>
                <w:rFonts w:hint="eastAsia" w:ascii="宋体" w:hAnsi="宋体" w:cs="宋体"/>
                <w:bCs/>
                <w:color w:val="auto"/>
                <w:szCs w:val="21"/>
                <w:highlight w:val="none"/>
                <w:u w:val="single"/>
              </w:rPr>
              <w:t xml:space="preserve">   8  </w:t>
            </w:r>
            <w:r>
              <w:rPr>
                <w:rFonts w:hint="eastAsia" w:ascii="宋体" w:hAnsi="宋体" w:cs="宋体"/>
                <w:bCs/>
                <w:color w:val="auto"/>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17.3.3（2）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逾期付款违约金的利率：</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8"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17.4.1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质量保证金限额：</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%合同价格。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21</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17.5.1（1）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承包人向监理人提交交工付款申请单（包括相关证明材料）的份数：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22</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17.6.1（1）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承包人向监理人提交最终结清申请单（包括相关证明材料）的份数：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23</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18.2（2）</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竣工资料的份数：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18.5.1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单位工程或工程设备是否需投入施工期运行：</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exact"/>
          <w:jc w:val="center"/>
        </w:trPr>
        <w:tc>
          <w:tcPr>
            <w:tcW w:w="729"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25</w:t>
            </w:r>
          </w:p>
        </w:tc>
        <w:tc>
          <w:tcPr>
            <w:tcW w:w="1484"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18.6.1</w:t>
            </w:r>
          </w:p>
        </w:tc>
        <w:tc>
          <w:tcPr>
            <w:tcW w:w="7426" w:type="dxa"/>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本工程及工程设备是否进行试运行：</w:t>
            </w:r>
            <w:r>
              <w:rPr>
                <w:rFonts w:hint="eastAsia" w:ascii="宋体" w:hAnsi="宋体" w:cs="宋体"/>
                <w:bCs/>
                <w:color w:val="auto"/>
                <w:szCs w:val="21"/>
                <w:highlight w:val="none"/>
                <w:u w:val="singl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4"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26</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19.7（1）</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 xml:space="preserve">保修期：自实际交工日期起计算 </w:t>
            </w:r>
            <w:r>
              <w:rPr>
                <w:rFonts w:hint="eastAsia" w:ascii="宋体" w:hAnsi="宋体" w:cs="宋体"/>
                <w:bCs/>
                <w:color w:val="auto"/>
                <w:szCs w:val="21"/>
                <w:highlight w:val="none"/>
                <w:u w:val="single"/>
              </w:rPr>
              <w:t xml:space="preserve">2 </w:t>
            </w:r>
            <w:r>
              <w:rPr>
                <w:rFonts w:hint="eastAsia" w:ascii="宋体" w:hAnsi="宋体" w:cs="宋体"/>
                <w:bCs/>
                <w:color w:val="auto"/>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27</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20.1</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本项目需提供建筑工程一切险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28</w:t>
            </w:r>
          </w:p>
        </w:tc>
        <w:tc>
          <w:tcPr>
            <w:tcW w:w="148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20.4.2</w:t>
            </w:r>
          </w:p>
        </w:tc>
        <w:tc>
          <w:tcPr>
            <w:tcW w:w="7426" w:type="dxa"/>
            <w:tcBorders>
              <w:top w:val="single" w:color="auto" w:sz="6" w:space="0"/>
              <w:left w:val="single" w:color="auto" w:sz="6" w:space="0"/>
              <w:bottom w:val="single" w:color="auto" w:sz="6"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本项目需提供第三者责任险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3" w:hRule="exact"/>
          <w:jc w:val="center"/>
        </w:trPr>
        <w:tc>
          <w:tcPr>
            <w:tcW w:w="729" w:type="dxa"/>
            <w:tcBorders>
              <w:top w:val="single" w:color="auto" w:sz="6" w:space="0"/>
              <w:left w:val="single" w:color="auto" w:sz="12" w:space="0"/>
              <w:bottom w:val="single" w:color="auto" w:sz="12"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29</w:t>
            </w:r>
          </w:p>
        </w:tc>
        <w:tc>
          <w:tcPr>
            <w:tcW w:w="1484" w:type="dxa"/>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24.1</w:t>
            </w:r>
          </w:p>
        </w:tc>
        <w:tc>
          <w:tcPr>
            <w:tcW w:w="7426" w:type="dxa"/>
            <w:tcBorders>
              <w:top w:val="single" w:color="auto" w:sz="6" w:space="0"/>
              <w:left w:val="single" w:color="auto" w:sz="6" w:space="0"/>
              <w:bottom w:val="single" w:color="auto" w:sz="12" w:space="0"/>
              <w:right w:val="single" w:color="auto" w:sz="12" w:space="0"/>
            </w:tcBorders>
            <w:noWrap w:val="0"/>
            <w:vAlign w:val="center"/>
          </w:tcPr>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争议的最终解决方式：</w:t>
            </w:r>
            <w:r>
              <w:rPr>
                <w:rFonts w:hint="eastAsia" w:ascii="宋体" w:hAnsi="宋体" w:cs="宋体"/>
                <w:bCs/>
                <w:color w:val="auto"/>
                <w:szCs w:val="21"/>
                <w:highlight w:val="none"/>
                <w:u w:val="single"/>
              </w:rPr>
              <w:t>向具有管辖权的人民法院提起诉讼</w:t>
            </w:r>
          </w:p>
        </w:tc>
      </w:tr>
    </w:tbl>
    <w:p>
      <w:pPr>
        <w:rPr>
          <w:rFonts w:hint="eastAsia" w:ascii="宋体" w:hAnsi="宋体" w:cs="宋体"/>
          <w:color w:val="auto"/>
          <w:sz w:val="24"/>
          <w:highlight w:val="none"/>
        </w:rPr>
      </w:pPr>
    </w:p>
    <w:p>
      <w:pPr>
        <w:tabs>
          <w:tab w:val="left" w:pos="1080"/>
        </w:tabs>
        <w:spacing w:line="700" w:lineRule="exact"/>
        <w:jc w:val="center"/>
        <w:rPr>
          <w:rFonts w:hint="eastAsia" w:ascii="宋体" w:hAnsi="宋体" w:cs="宋体"/>
          <w:b/>
          <w:color w:val="auto"/>
          <w:sz w:val="30"/>
          <w:szCs w:val="30"/>
          <w:highlight w:val="none"/>
        </w:rPr>
      </w:pPr>
    </w:p>
    <w:p>
      <w:pPr>
        <w:tabs>
          <w:tab w:val="left" w:pos="1080"/>
        </w:tabs>
        <w:spacing w:line="7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rPr>
        <w:t>项目专用合同条款</w:t>
      </w:r>
    </w:p>
    <w:p>
      <w:pPr>
        <w:tabs>
          <w:tab w:val="left" w:pos="1080"/>
        </w:tabs>
        <w:spacing w:line="420" w:lineRule="exact"/>
        <w:rPr>
          <w:rFonts w:hint="eastAsia" w:ascii="宋体" w:hAnsi="宋体" w:cs="宋体"/>
          <w:b/>
          <w:color w:val="auto"/>
          <w:szCs w:val="21"/>
          <w:highlight w:val="none"/>
        </w:rPr>
      </w:pP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  承包人的一般义务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4.1.10  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增加）承包人还应执行广西壮族自治区公路管理局《关于印发广西壮族自治区公路管理局公路工程建设农民工管理实施细则（修订）的通知》(桂路工程发[2014]300号)要求（注：文件内容附后）。各竞标人必须对农民工工资保障金的问题作出以下承诺，格式见第八章竞标文件格式“四、农民工工资保证金承诺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（4）（增加）保证严格按图纸、规范和工艺操作程序和</w:t>
      </w:r>
      <w:r>
        <w:rPr>
          <w:rFonts w:hint="eastAsia" w:ascii="宋体" w:hAnsi="宋体" w:cs="宋体"/>
          <w:color w:val="auto"/>
          <w:szCs w:val="21"/>
          <w:highlight w:val="none"/>
          <w:u w:val="single"/>
        </w:rPr>
        <w:t>《广西路网工程施工标准化技术指南(试行)》</w:t>
      </w:r>
      <w:r>
        <w:rPr>
          <w:rFonts w:hint="eastAsia" w:ascii="宋体" w:hAnsi="宋体" w:cs="宋体"/>
          <w:color w:val="auto"/>
          <w:szCs w:val="21"/>
          <w:highlight w:val="none"/>
        </w:rPr>
        <w:t>组织施工，加强质量自检和安全管理。在施工过程中，如发现承包人违反施工标准化技术指南、施工工艺操作程序，或违反质量、安全管理的有关规定，或出现质量问题、造成质量隐患及发生安全事故，发包人有权按照第22.1款之相关规定对其进行违约处理。同时不免除承包人自费整改的责任以及其他应负的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（5）（增加）承包人应履行的其他义务：</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a.与本工程项目相关的审计和稽查、检查、视察等活动，承包人应高度重视并有义务委派专人积极予以配合。</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b.发包人和监理有权监督检查承包人的供货合同。</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c.对项目使用的原有道路的维护和管理，以确保正常通行。</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d.维护社会稳定，避免发生因承包人原因引起施工队伍或施工引起周边群众等群体性上访事件</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e.承包人应自觉接受交通主管部门、质量监督单位、公路管理机构的监督，对指出的问题进行认真的整改，及时报告处理结果。</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4.1.11(增加) 承包人响应“美丽广西•乡村振兴”行动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  1、 承包人应根据上级文件精神，响应号召，大力实施交通运输尤其是农村交通运输环境的净化、绿化、美化，为群众创造畅通、高效、平安、绿色的交通运输环境及服务，以实现“生态环境美、文明风尚美、平安和谐美”的“三美交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具体要求：在建公路项目要文明施工，严格实行驻地建设标准化，强化施工路段的环境整治，施工车辆要避免扬尘洒漏，避免对原有公路的破坏，做好水土保持、环境保护工作；旧路改建项目要保证施工期间维持良好通车秩序；承包人应高度重视，有义务积极配合并委派专人参加“美丽广西•乡村振兴”的相关活动。</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4.6  承包人人员的管理</w:t>
      </w:r>
    </w:p>
    <w:p>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（增加）4.6.6 项目经理、总工每年驻现场的时间应不少于300天，因故需离开工地应得到业主、监理工程师的许可，否则将按第22.1款视为承包人违约。</w:t>
      </w:r>
    </w:p>
    <w:p>
      <w:pPr>
        <w:tabs>
          <w:tab w:val="left" w:pos="1080"/>
        </w:tabs>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承包人安排在施工场地的主要管理人员和技术骨干人员每年驻现场的时间应不少于300天，除非经业主、监理工程师同意，否则将按第22.1款视为承包人违约。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4.9工程价款应专款专用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在原条款末增加：项目法人向承包人支付的预付款、工程进度款等为本工程的专款专用资金，承包人违反下述规定的，项目法人将中止其任何款项的支付，至承包人按要求完成整改，且承包人不能因此停止履行施工等任何合同义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（1）凡不在业主指定银行开户的承包人，业主将不对其支付任何款项。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根据中国人民银行有关规定，每个承包人只能在一个银行开立一个结算帐户，不允许多头开户。业主按合同条款规定对承包人支付的款项，只对合同规定的法人或者法人代表的授权代理人支付，不对其内部独立核算单位或经批准的分包人直接支付（合同有专项规定者除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在合同执行期间，业主或业主委托的公路审计部门有权不定期检查或审计承包人项目经理部的财务收支情况，承包人必须严格财经纪律，确保项目经理部的财务收支能客观、真实的反映工程实际成本，承包人及项目经理部必须接受业主或业主委托部门的监督和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在合同执行期间，承包人购买用于本工程的各种材料、施工机械设备、配件等，凡是每次支付的货款金额在贰万元以上、拾万元以下者，须凭购货发票或购（订）货合同协议，每次汇付金额在拾万元以上，须经业主批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在合同执行期间，承包人必须保证业主按合同规定支付的各项工程建设资金专款专用，不允许挪作它用或私自调走资金，承包人收到业主支付的款项后，必须优先支付工人特别是农民工的工资，其次是材料价款以及工程建设直接的成本。承包人凡是汇往其上级主管部门、基地或其所属的部门、单位的款项，不管其以任何理由、用途和采取何方式，都必须经业主批准。承包人按合同规定按期按质按量完成工程施工，并交工验收后，承包人结存的资金，任由承包人调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（6）根据《关于印发广西壮族自治区工程建设领域工人工资支付专用帐户管理办法》（桂薪联发[2016]1号），工程建设领域的工人工资支付实行专户管理，以银行转账方式支付工资。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承包人（含专业分包、劳务分包等）对建设项目中的工人工资和其他款项实行分开银行账户管理，在商业银行设立工人工资支付专用账户用于支付工资。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在项目开工前，在项目所在地商业银行设立工人工资支付专用账户，并在用工之日起15个工作日内为每个工人开立有效工资个人账户。施工单位应当通过工人工资支付帐户，依法按时足额将工人工资直接支付到工人的个人账户，并按月及时将工人工资支付明细表报建设单位、施工总承包单位和当地劳动保障监察部门备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施工单位应当建立劳动用工管理台账，真实、准确记录工人名册、劳动合同（集体合同）、劳务合同、工程进度、工时、劳务承包款和工人工资支付情况等信息，并保存两年以上备查。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（7）业主及当地人力资源社会保障部门有权监督承包人的工人工资支付情况。</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（8）工程通过交工验收后，由建设单位（项目现场管理机构）对承包人支付农民工工资等内容进行公示，公示期不少于15天。</w:t>
      </w:r>
    </w:p>
    <w:p>
      <w:pPr>
        <w:tabs>
          <w:tab w:val="left" w:pos="1080"/>
        </w:tabs>
        <w:spacing w:line="360" w:lineRule="auto"/>
        <w:ind w:left="420" w:leftChars="200" w:firstLine="548" w:firstLineChars="261"/>
        <w:rPr>
          <w:rFonts w:hint="eastAsia" w:ascii="宋体" w:hAnsi="宋体" w:cs="宋体"/>
          <w:color w:val="auto"/>
          <w:szCs w:val="21"/>
          <w:highlight w:val="none"/>
        </w:rPr>
      </w:pPr>
      <w:r>
        <w:rPr>
          <w:rFonts w:hint="eastAsia" w:ascii="宋体" w:hAnsi="宋体" w:cs="宋体"/>
          <w:color w:val="auto"/>
          <w:szCs w:val="21"/>
          <w:highlight w:val="none"/>
        </w:rPr>
        <w:t>(9)涉及农民工工资保证金其它未尽事宜或与其他文件不一致之处按《关于建立交通行业农民工工资保证金制度的通知》（桂劳社发﹝2007﹞147号）、《关于明确农民工工资保证金制度有关问题的通知》（桂薪联发﹝2016﹞2号）等有关规定执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4.11 不利物质条件</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4.11.1 不利物质条件的范围：</w:t>
      </w:r>
      <w:r>
        <w:rPr>
          <w:rFonts w:hint="eastAsia" w:ascii="宋体" w:hAnsi="宋体" w:cs="宋体"/>
          <w:color w:val="auto"/>
          <w:szCs w:val="21"/>
          <w:highlight w:val="none"/>
          <w:u w:val="single"/>
        </w:rPr>
        <w:t xml:space="preserve">  /  </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7.3 场外交通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（增加）7.3.3为保证道路交通安全及运输畅通，承包人应采取以下措施：</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当施工期间，因施工原因造成原有道路暂时堵塞时，承包人必须与交通和公安部门协商，采取足够的措施引导、疏通交通。但不管何种原因，因其交通堵塞时间均不能超过60分钟。若堵塞交通超过上述规定的时间，将视为承包人违约按22.1款等相关条款处理，同时监理人可指令采取任何措施疏通，一切费用由承包人承担。</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7.3.4 承包人应加强文明施工，保障道路通畅的管理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（1）承包人在施工期内应按国家、交通主管部门与公路管理机构有关文明施工，保障畅通的规定组织施工，对出现的交通堵塞无条件地采取措施进行疏通。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9.2  承包人的施工安全责任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10.1  合同进度计划</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承包人编制施工方案的内容：</w:t>
      </w:r>
      <w:r>
        <w:rPr>
          <w:rFonts w:hint="eastAsia" w:ascii="宋体" w:hAnsi="宋体" w:cs="宋体"/>
          <w:color w:val="auto"/>
          <w:szCs w:val="21"/>
          <w:highlight w:val="none"/>
          <w:u w:val="single"/>
        </w:rPr>
        <w:t>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11.4  异常恶劣的气候条件</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rPr>
        <w:t>异常恶劣的气候条件的范围：</w:t>
      </w:r>
      <w:r>
        <w:rPr>
          <w:rFonts w:hint="eastAsia" w:ascii="宋体" w:hAnsi="宋体" w:cs="宋体"/>
          <w:color w:val="auto"/>
          <w:szCs w:val="21"/>
          <w:highlight w:val="none"/>
          <w:u w:val="single"/>
        </w:rPr>
        <w:t>对本项目而言，指发生烈度7度（含7度）以上地震、龙卷风、施工场地受淹超过项目法人提供的设计图纸指明的设计洪水水位引起的延误的情况。</w:t>
      </w:r>
    </w:p>
    <w:p>
      <w:pPr>
        <w:tabs>
          <w:tab w:val="left" w:pos="1080"/>
        </w:tabs>
        <w:spacing w:line="360" w:lineRule="auto"/>
        <w:ind w:left="420" w:firstLine="422"/>
        <w:rPr>
          <w:rFonts w:hint="eastAsia" w:ascii="宋体" w:hAnsi="宋体" w:cs="宋体"/>
          <w:color w:val="auto"/>
          <w:szCs w:val="21"/>
          <w:highlight w:val="none"/>
          <w:u w:val="single"/>
        </w:rPr>
      </w:pPr>
      <w:r>
        <w:rPr>
          <w:rFonts w:hint="eastAsia" w:ascii="宋体" w:hAnsi="宋体" w:cs="宋体"/>
          <w:color w:val="auto"/>
          <w:szCs w:val="21"/>
          <w:highlight w:val="none"/>
          <w:u w:val="single"/>
        </w:rPr>
        <w:t>增加：异常恶劣的气候条件，政府及有关部门预先有预报的，由于承包人没有应急措施或没有采取应急措施的，造成的损失和工期延误，由承包人负责。</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11.8 （增加）其它进度要求</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（1）承包人应加强工程进度计划管理，努力实现均衡组织施工的目标。</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12．暂停施工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12. 1承包人暂停施工的责任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公路工程专用合同条款12.1.(6）项约定:</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(6）由承包人承担的其他暂停施工：</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13.3承包人的质量检查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增加内容：（1）落实质量责任制和质量保证体系</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 xml:space="preserve">分项工程施工现场应实行质量责任牌管理，写明作业内容、项目质量管理责任人（施工单位、监理单位、建设管理机构）和质量管理举报电话； </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（2）认真执行质量检查制度：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施工作业管理的专业工程师在测量、试验工程师配合下完成施工自检并作施工记录（工艺及原材料使用等）；</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质检工程师在测量、试验工程师配合下加强中间质量检测，严格控制工序质量，及时完成工序、分项完工检验并提交质量检验记录，收集工序、分项资料与检验申请经项目总工签认后报送监理工程师。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试验、测量工程师根据施工质检需要完成试验与测量作业并及时交检验结果报告专业工程师、质检工程师。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(3)质量管理记录的原始记录包括作业记录、测量记录、试验记录、检验记录及验收记录，地基、基础、填挖交界碾压，墙台背回填等隐蔽工程应摄象或照相作为现场记录保存。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13.5工程隐蔽部位覆盖前的检查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（增加）13.5.1项补充： 隐蔽部位覆盖前应经监理人检查确认,分阶段(工序)进行拍摄或照相,并向监理人提供相关影像相片等书面资料作为计量支付的依据，否则不应给予计量.</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15.3 变更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（增加）15.3.5项补充： 设计变更除遵守交通运输部、交通运输厅的现行设计变更管理办法外，还应执行广西壮族自治区公路管理局现行《广西公路管理局公路工程设计变更管理办法实施细则》的规定及《南宁市江南区政府投资项目管理办法》的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16. 价格调整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16.1物价波动引起的价格调整</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按《工程建设项目施工招标投标办法》、《关于印发广西交通建设项目价格调整指导性意见的通知》（桂交基建发（2008）94号）、《广西壮族自治区人民政府办公厅印发关于促进 广西建筑业高质量发展若干措施的通知》（桂政办发〔2021〕41号）有关规定执行。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17.1计量</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17.1.5本项目工程量清单中总额价子目的支付原则和支付进度：</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竣工文件费：在监理人验收合格后一次支付；</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安全生产费：将根据承包人安全生产措施的实施情况及工程进度按进度支付；</w:t>
      </w:r>
    </w:p>
    <w:p>
      <w:pPr>
        <w:adjustRightInd w:val="0"/>
        <w:spacing w:line="360" w:lineRule="auto"/>
        <w:ind w:left="409" w:leftChars="195"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信息化系统：信息化系统不作为竞争性报价，发包人在接到承包人购买凭证后，才予以支付。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17.2预付款</w:t>
      </w:r>
    </w:p>
    <w:p>
      <w:pPr>
        <w:tabs>
          <w:tab w:val="left" w:pos="1080"/>
        </w:tabs>
        <w:spacing w:line="360" w:lineRule="auto"/>
        <w:ind w:firstLine="831" w:firstLineChars="396"/>
        <w:rPr>
          <w:rFonts w:hint="eastAsia" w:ascii="宋体" w:hAnsi="宋体" w:cs="宋体"/>
          <w:color w:val="auto"/>
          <w:szCs w:val="21"/>
          <w:highlight w:val="none"/>
        </w:rPr>
      </w:pP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tabs>
          <w:tab w:val="left" w:pos="1080"/>
        </w:tabs>
        <w:spacing w:line="360" w:lineRule="auto"/>
        <w:ind w:firstLine="835" w:firstLineChars="396"/>
        <w:rPr>
          <w:rFonts w:hint="eastAsia" w:ascii="宋体" w:hAnsi="宋体" w:cs="宋体"/>
          <w:b/>
          <w:color w:val="auto"/>
          <w:szCs w:val="21"/>
          <w:highlight w:val="none"/>
        </w:rPr>
      </w:pPr>
      <w:r>
        <w:rPr>
          <w:rFonts w:hint="eastAsia" w:ascii="宋体" w:hAnsi="宋体" w:cs="宋体"/>
          <w:b/>
          <w:color w:val="auto"/>
          <w:szCs w:val="21"/>
          <w:highlight w:val="none"/>
        </w:rPr>
        <w:t>17.3工程进度付款</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17.3.2 </w:t>
      </w:r>
      <w:r>
        <w:rPr>
          <w:rFonts w:hint="eastAsia"/>
          <w:i w:val="0"/>
          <w:iCs w:val="0"/>
          <w:color w:val="auto"/>
          <w:sz w:val="21"/>
          <w:szCs w:val="21"/>
          <w:highlight w:val="none"/>
        </w:rPr>
        <w:t>每个付款周期按实际完成工程量的</w:t>
      </w:r>
      <w:r>
        <w:rPr>
          <w:rFonts w:hint="eastAsia"/>
          <w:i w:val="0"/>
          <w:iCs w:val="0"/>
          <w:color w:val="auto"/>
          <w:sz w:val="21"/>
          <w:szCs w:val="21"/>
          <w:highlight w:val="none"/>
          <w:u w:val="single"/>
          <w:lang w:val="en-US" w:eastAsia="zh-CN"/>
        </w:rPr>
        <w:t xml:space="preserve">      </w:t>
      </w:r>
      <w:r>
        <w:rPr>
          <w:rFonts w:hint="eastAsia"/>
          <w:i w:val="0"/>
          <w:iCs w:val="0"/>
          <w:color w:val="auto"/>
          <w:sz w:val="21"/>
          <w:szCs w:val="21"/>
          <w:highlight w:val="none"/>
        </w:rPr>
        <w:t>%支付工程进度款，</w:t>
      </w:r>
      <w:r>
        <w:rPr>
          <w:rFonts w:hint="eastAsia"/>
          <w:i w:val="0"/>
          <w:iCs w:val="0"/>
          <w:color w:val="auto"/>
          <w:sz w:val="21"/>
          <w:szCs w:val="21"/>
          <w:highlight w:val="none"/>
          <w:lang w:eastAsia="zh-CN"/>
        </w:rPr>
        <w:t>合同外工程支付限额为实际完成工程量的</w:t>
      </w:r>
      <w:r>
        <w:rPr>
          <w:rFonts w:hint="eastAsia"/>
          <w:i w:val="0"/>
          <w:iCs w:val="0"/>
          <w:color w:val="auto"/>
          <w:sz w:val="21"/>
          <w:szCs w:val="21"/>
          <w:highlight w:val="none"/>
          <w:lang w:val="en-US" w:eastAsia="zh-CN"/>
        </w:rPr>
        <w:t>60%。在工程完工验收合格，完成工程结算并通过财政投资评审单位审核扣除3%质量保证金后，工程款支付至结算总价的97%（含已支付的），从验收合格之日起一年质量保证期满后无工程质量问题（或有一些质量缺陷已整改处理完成达到合格等级）的，支付至结算总价的100%。承包人向发包人开具增值税发票后发包人才进行工程款支付。（注：工程款项支付时，需按宾阳县财政、税务部门的规定在项目所在地缴纳相关税费）</w:t>
      </w:r>
      <w:r>
        <w:rPr>
          <w:rFonts w:hint="eastAsia" w:ascii="宋体" w:hAnsi="宋体" w:cs="宋体"/>
          <w:color w:val="auto"/>
          <w:szCs w:val="21"/>
          <w:highlight w:val="none"/>
        </w:rPr>
        <w:t>。</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承包人在每个付款周期末向监理人提交进度付款申请单的份数：</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份</w:t>
      </w:r>
    </w:p>
    <w:p>
      <w:pPr>
        <w:tabs>
          <w:tab w:val="left" w:pos="1080"/>
        </w:tabs>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17.3.5农民工工资保证金的缴存时间：按照农民工工资保证金承诺书执行。</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第17.4.1项后补充：承包人也可选择递交银行保函形式对工程质量进行担保。质量保证金银行保函的要求：</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a、担保金额为中标金额的3%；</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b、一次性全额开具；</w:t>
      </w:r>
    </w:p>
    <w:p>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c、出具质量保证金保函的银行：采用银行保函时，出具履约担保的银行级别为：中国银行、中国农业银行、中国工商银行、中国建设银行、交通银行五大银行的全国性的地市级分行（支行）及以上级别银行，且开具前须报发包人核准；</w:t>
      </w:r>
    </w:p>
    <w:p>
      <w:pPr>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d、按采购文件提供的格式与内容（附件十）。</w:t>
      </w:r>
    </w:p>
    <w:p>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如承包人在第一次工程进度款申请支付时未向发包人提交质量保证金保函或所提交的保函不符合上述的各点要求之一，发包人视承包人选择按进度计量额的10%扣缴方式缴纳质量保证金，无需另外通知承包人。</w:t>
      </w:r>
    </w:p>
    <w:p>
      <w:pPr>
        <w:tabs>
          <w:tab w:val="left" w:pos="1080"/>
        </w:tabs>
        <w:spacing w:line="360" w:lineRule="auto"/>
        <w:ind w:left="420" w:leftChars="200"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开具该保函所需费用由承包人承担。银行保函的正本由发包人保存，在缺陷责任期满之前一直有效。缺陷责任期满，质量保证金保函原件不予退还承包人，可由发包人出具一份失效证明。</w:t>
      </w:r>
    </w:p>
    <w:p>
      <w:pPr>
        <w:tabs>
          <w:tab w:val="left" w:pos="1080"/>
        </w:tabs>
        <w:spacing w:line="360" w:lineRule="auto"/>
        <w:ind w:firstLine="826" w:firstLineChars="392"/>
        <w:rPr>
          <w:rFonts w:hint="eastAsia" w:ascii="宋体" w:hAnsi="宋体" w:cs="宋体"/>
          <w:b/>
          <w:color w:val="auto"/>
          <w:szCs w:val="21"/>
          <w:highlight w:val="none"/>
        </w:rPr>
      </w:pPr>
      <w:r>
        <w:rPr>
          <w:rFonts w:hint="eastAsia" w:ascii="宋体" w:hAnsi="宋体" w:cs="宋体"/>
          <w:b/>
          <w:color w:val="auto"/>
          <w:szCs w:val="21"/>
          <w:highlight w:val="none"/>
        </w:rPr>
        <w:t>18.9 竣工文件</w:t>
      </w:r>
    </w:p>
    <w:p>
      <w:pPr>
        <w:tabs>
          <w:tab w:val="left" w:pos="1080"/>
        </w:tabs>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增加）工程竣工文件的立卷归档按交通运输部《公路建设项目文件材料立卷归档管理办法》（交办发[2010]382号）和广西壮族自治区公路管理局《广西路网项目公路工程文件材料收集立卷归档及验收实施细则》（修订）（桂路工程发[2014]316号）执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20.1 工程保险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本项目取消建筑工程一切险</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20.2 人员工伤事故的保险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20.2.1 承包人员工伤事故的保险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增加内容：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办理保险的一切费用均由承包人承担，并包括在工程量清单的单价及总额价中，发包人不单独支付。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20.3 人身意外伤害险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20.3.2 承包人应在整个施工期间为其现场机构雇用的全部人员，投保人身意外伤害险，缴纳保险费，并要求其分包人也进行此项保险。办理保险的一切费用均由承包人承担，并包括在工程量清单的单价及总额价中，发包人不单独支付。</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其中：人身意外伤害险每位被保险人的最低保险金额为10万元人民币，附加意外伤害险医疗险的保险金额为2万元人民币，每合同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施工合同签订后工程开工前15日，承包人必须按有关规定与保险公司签订人身意外伤害险和附加意外伤害医疗险以及其他需要投保的险种的保险合同。</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20.4  第三者责任险</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修改20.4.2款为：第三者责任险由承包人以承包人与项目法人的名义联名投保，保险费由承包人承担并支付，竞标人应在所报的单价或总额价中对该保险费予以考虑，发包人不单独进行计量与支付。</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21.1不可抗力的确认</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公路工程专用合同条款21. 1款</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21.1.1  (6）不可抗力的其他情形：</w:t>
      </w:r>
      <w:r>
        <w:rPr>
          <w:rFonts w:hint="eastAsia" w:ascii="宋体" w:hAnsi="宋体" w:cs="宋体"/>
          <w:color w:val="auto"/>
          <w:szCs w:val="21"/>
          <w:highlight w:val="none"/>
          <w:u w:val="single"/>
        </w:rPr>
        <w:t xml:space="preserve">   /   </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  承包人违约</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22.1.1承包人违约的情形</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(注：（1）-（10）同标准施工采购文件2007版及公路工程标准施工采购文件2018版，本处不加修改引用)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(1)承包人违反第1.8款或第4.3款的约定，私自将合同的全部或部分权利转让给其他人，或私自将合同的全部或部分义务转移给其他人；</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(2)承包人违反第5.3款或第6.4款的约定，未经监理人批准，私自将已按合同约定进入施工场地的施工设备、临时设施、材料或工程设备撤离施工场地；</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(3)承包人违反第5.4款的约定使用了不合格材料或工程设备，工程质量达不到标准要求，又拒绝清理不合格工程；</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(4)承包人未能按合同进度计划及时完成合同约定的工作，已造成或预期造成工期延误；</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(5)承包人在缺陷责任期内，未能对工程接受证书所列的缺陷清单的内容或缺陷责任期内发生的缺陷进行修复，而又拒绝按监理人指示再进行修补；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(6）承包人无法继续履行或明确表示不履行或实质上已停止履行合同；</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(7)承包人未能按期开工；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(8)承包人违反第4.6款或第6.3款的规定，未按承诺或未按监理人的要求及时配备称职的主要管理人员、技术骨干或关键施工设备；</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(9)经监理人和发包人检查，发现承包人有安全问题或有违反安全管理规章制度的情况；</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(10）承包人不按合同约定履行义务的其他情况。</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（11）违反《广西路网工程施工标准化技术指南(试行)》的相关规定；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（12）违反《</w:t>
      </w:r>
      <w:r>
        <w:rPr>
          <w:rFonts w:hint="eastAsia" w:ascii="宋体" w:hAnsi="宋体" w:cs="宋体"/>
          <w:color w:val="auto"/>
          <w:szCs w:val="21"/>
          <w:highlight w:val="none"/>
        </w:rPr>
        <w:t>广西壮族自治区公路管理局公路工程建设农民工管理实施细则（修订）</w:t>
      </w:r>
      <w:r>
        <w:rPr>
          <w:rFonts w:hint="eastAsia" w:ascii="宋体" w:hAnsi="宋体" w:cs="宋体"/>
          <w:b/>
          <w:color w:val="auto"/>
          <w:szCs w:val="21"/>
          <w:highlight w:val="none"/>
        </w:rPr>
        <w:t>》的相关规定。</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22.1.2  对承包人违约的处理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(注：（1）-（4）同标准施工采购文件2007版及公路工程标准施工采购文件2018版，本处不加修改引用)</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.1承包人发生第22.1.1(4)⑹目约定的违约情形时，发包人可通知承包人立即解除合同，并按有关法律处理。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.2承包人发生第22.1.1(4)⑹目约定以外的违约情形时，监理人可向承包人发出整改通知，要求其在指定的期限内改正。承包人应承担其违约所引起的费用增加和（或）工期延误。</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.3经检查证明承包人已采取了有效措施纠正违约行为，具备复工条件的可由监理人签发复工通知进行复工。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.4承包人发生第22.1.1项约定的违约情况时，无论发包人是否解除合同，发包人均有权向承包人课以违约金，并由发包人将其违约行为上报省级交通主管部门，作为不良记录纳人公路建设市场信用信息管理系统。</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.5当承包人发生第 22.1.1 项约定的违约情况时，发包人有权向承包人处以违约金，具体约定如下：违约金处理：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a．由于承包人没有履行合同规定的义务与责任，同类事件第一次被监理工程师、业主工作指令整改的处 500 元/次；第二次出现指令整改的处 1000 元/次；多次重复出现被责令整改的处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5000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b．在指令规定时间内拒不整改的同一事件被第二次及以上责令整改的处 2000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（6）有本项（2）、（3）、（5）、（6）目行为的，除按合同相关条款处理外，由监理工程师发出整改工作指令，按 22.1.2.1 对承包人处以违约金。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 .6有本项（4）、（7）目行为的，可对承包人处以以下的违约金。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a．未按规定开工的，可处以 1000 元/天的业主延期损失偿金。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b．未按指令采取措施加快进行本工程或其关键部分的施工，可处以 1000 元/天的业主延期损失偿金。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c．未按均衡组织施工要求组织施工的，处每项 1000 元/月次。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22.1.2.7有本项（8）目行为的，可对承包人按以下处以违约金。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a.承包人未经业主、监理工程师同意更换人员，项目经理处 2 万元/次，总工（或技术负责人）处 1 万元/次。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b.项目经理、总工每月驻工地不满 25 天，处 200 元/人·月，其他主要人员处 100 元/人·月。</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c.未经请假准允离开工地，经理、总工处 500 元/人·日，其他主要人员处 100 元/人·日。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d.主要设备没有按承诺进场的处 500 元台/日。</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22.1.2.8有本项（9）目行为的，可对承包人处以以下的违约金。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a．安全生产管理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Ⅰ需持证上岗人员无证上岗的；或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Ⅱ需配戴安全防护用具作业的；或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Ⅲ未经登记、安全培训教育上岗的。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（b）出现下列行为之一可处 300 元/处次。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无专职安全检查人员；或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无安全生产检查日志；或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作业点或危险施工路段安全标志不全；或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安全标志（牌）、线（绳）不符国家规定的；或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易燃易爆物品管理不符合管理要求。</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（c）出现下列行为之一可处 500 元/处次。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施工作业点或施工形成的危险路段无规定的安全标志；或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需设安全防护设施的未按规定设置；或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出现一般安全生事故负有责任的；或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发生重大安全事故不按规定报告的。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（d）出现下列行为之一可处 5000 元/处次。出现重大安全生产事故负有责任的。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22.1.2.9有本项（10）目违反合同专用条款规定的其他重要规定，可对承包人处以以下的违约金。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a.质量管理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(a)出现下列行为之一可处 100 元/（人）次。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 分项工程施工现场无合格的施工责任牌；或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 分项工程施工现场无其相关责任人；或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 施工现场无基本的检测检验工具；或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 施工现场相关责任人无检查检验记录表；或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 现场已完成工作无检查记录。</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（b）出现以下行为之一，可处 500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未按工序申请检验进入下一道工序的；或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隐蔽工程记录文件不全；或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施工试验检验频率不符合施工规范规定；或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分项工程质量自检验收检验频率不符合质量评定标准规定的。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（c）出现以下行为之一，可处 1000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出现质量问题，且承包人负有直接责任的，或不能证明其履行其职责的。或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发生质量事故，未按有关规定和时间向有关部门报告的；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已经施工完成的工程没有按竣工文件收集归档管理办法要求依分项工程、工序将施工作业记录、测量记录、试验检测记录及工序报验审批记录等收集归档。</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（d ）出现以下行为之一，可处 3000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w:t>
      </w:r>
      <w:r>
        <w:rPr>
          <w:rFonts w:hint="eastAsia" w:ascii="宋体" w:hAnsi="宋体" w:cs="宋体"/>
          <w:color w:val="auto"/>
          <w:szCs w:val="21"/>
          <w:highlight w:val="none"/>
        </w:rPr>
        <w:tab/>
      </w:r>
      <w:r>
        <w:rPr>
          <w:rFonts w:hint="eastAsia" w:ascii="宋体" w:hAnsi="宋体" w:cs="宋体"/>
          <w:color w:val="auto"/>
          <w:szCs w:val="21"/>
          <w:highlight w:val="none"/>
        </w:rPr>
        <w:t>施工单位不接受质监机构监督；或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w:t>
      </w:r>
      <w:r>
        <w:rPr>
          <w:rFonts w:hint="eastAsia" w:ascii="宋体" w:hAnsi="宋体" w:cs="宋体"/>
          <w:color w:val="auto"/>
          <w:szCs w:val="21"/>
          <w:highlight w:val="none"/>
        </w:rPr>
        <w:tab/>
      </w:r>
      <w:r>
        <w:rPr>
          <w:rFonts w:hint="eastAsia" w:ascii="宋体" w:hAnsi="宋体" w:cs="宋体"/>
          <w:color w:val="auto"/>
          <w:szCs w:val="21"/>
          <w:highlight w:val="none"/>
        </w:rPr>
        <w:t>出现二、三级一般质量事故，且承包人负有直接责任，或不能证明其履行其职责的；或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w:t>
      </w:r>
      <w:r>
        <w:rPr>
          <w:rFonts w:hint="eastAsia" w:ascii="宋体" w:hAnsi="宋体" w:cs="宋体"/>
          <w:color w:val="auto"/>
          <w:szCs w:val="21"/>
          <w:highlight w:val="none"/>
        </w:rPr>
        <w:tab/>
      </w:r>
      <w:r>
        <w:rPr>
          <w:rFonts w:hint="eastAsia" w:ascii="宋体" w:hAnsi="宋体" w:cs="宋体"/>
          <w:color w:val="auto"/>
          <w:szCs w:val="21"/>
          <w:highlight w:val="none"/>
        </w:rPr>
        <w:t>构造物、中小型预制构件等一次单点实体抽查合格率为 50%—75%的；或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Ⅳ</w:t>
      </w:r>
      <w:r>
        <w:rPr>
          <w:rFonts w:hint="eastAsia" w:ascii="宋体" w:hAnsi="宋体" w:cs="宋体"/>
          <w:color w:val="auto"/>
          <w:szCs w:val="21"/>
          <w:highlight w:val="none"/>
        </w:rPr>
        <w:tab/>
      </w:r>
      <w:r>
        <w:rPr>
          <w:rFonts w:hint="eastAsia" w:ascii="宋体" w:hAnsi="宋体" w:cs="宋体"/>
          <w:color w:val="auto"/>
          <w:szCs w:val="21"/>
          <w:highlight w:val="none"/>
        </w:rPr>
        <w:t>使用主要材料（钢筋、水泥、沥青、碎石、砂、砂砾等）不合格的。或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Ⅴ</w:t>
      </w:r>
      <w:r>
        <w:rPr>
          <w:rFonts w:hint="eastAsia" w:ascii="宋体" w:hAnsi="宋体" w:cs="宋体"/>
          <w:color w:val="auto"/>
          <w:szCs w:val="21"/>
          <w:highlight w:val="none"/>
        </w:rPr>
        <w:tab/>
      </w:r>
      <w:r>
        <w:rPr>
          <w:rFonts w:hint="eastAsia" w:ascii="宋体" w:hAnsi="宋体" w:cs="宋体"/>
          <w:color w:val="auto"/>
          <w:szCs w:val="21"/>
          <w:highlight w:val="none"/>
        </w:rPr>
        <w:t>已经施工完成的工程无法提供按竣工文件收集归档管理办法要求应收集的分项工程、工序的施工作业记录、测量记录、试验检测记录及工序报验审批记录等质量管理文件的。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（e）出现以下行为之一，可处 5000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Ⅰ发生一级一般质量事故或重大质量事故，且承包人负有直接责任，或不能证明其履行其职责的；或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Ⅱ构造物、中小型预制构件等一次单点实体抽查合格率小于 50%的；或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Ⅲ未按要求进行自检，弄虚作假、捏造数据、伪造试验报告的。</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（f）因质量问题被地市级及以上交通主管部门、质量监督单位、公路管理机构通报（批评）的，可对承包人处以 10000 元违约金，红牌警告 5000 元，黄牌警告 3000 元。</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b．文明施工与环境保护，交通通畅</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（a）由于施工原因造成污染、破坏被群众向政府、主管单位投诉或被环保、水利部门责令整改的，处 1000 元/次。</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（b）其他重要规定违约处理</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有下列行为之一的处 500 元/人次违约金并责令承包人进行整改。</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a)、 劳务人员未按规定签订聘用合同并向业主、监理工程师报备；或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b)、签订的劳务合同不符合劳动法等法规要求；或</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c)、劳务人员未编入承包人施工班组，并持项目经理签发的劳务上岗证上岗。</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22.1.10上述被处的违约金在计量支付时从当期支付中扣除。</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22.1.11业主（项目法人）按合同进行违约处理后，并不解除承包人按照国家法规与合同应承担的责任与义务。</w:t>
      </w:r>
    </w:p>
    <w:p>
      <w:pPr>
        <w:tabs>
          <w:tab w:val="left" w:pos="1080"/>
        </w:tabs>
        <w:spacing w:line="360" w:lineRule="auto"/>
        <w:ind w:left="420" w:firstLine="422"/>
        <w:rPr>
          <w:rFonts w:hint="eastAsia" w:ascii="宋体" w:hAnsi="宋体" w:cs="宋体"/>
          <w:b/>
          <w:color w:val="auto"/>
          <w:szCs w:val="21"/>
          <w:highlight w:val="none"/>
        </w:rPr>
      </w:pPr>
      <w:r>
        <w:rPr>
          <w:rFonts w:hint="eastAsia" w:ascii="宋体" w:hAnsi="宋体" w:cs="宋体"/>
          <w:b/>
          <w:color w:val="auto"/>
          <w:szCs w:val="21"/>
          <w:highlight w:val="none"/>
        </w:rPr>
        <w:t>增加：</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22.1.12违反22.1.1（11）目，发包人可视其情形严重程度对承包人每处课以人民币2000元～5万元的违约金。</w:t>
      </w:r>
    </w:p>
    <w:p>
      <w:pPr>
        <w:tabs>
          <w:tab w:val="left" w:pos="1080"/>
        </w:tabs>
        <w:spacing w:line="360" w:lineRule="auto"/>
        <w:ind w:left="420" w:firstLine="422"/>
        <w:rPr>
          <w:rFonts w:hint="eastAsia" w:ascii="宋体" w:hAnsi="宋体" w:cs="宋体"/>
          <w:color w:val="auto"/>
          <w:szCs w:val="21"/>
          <w:highlight w:val="none"/>
        </w:rPr>
      </w:pPr>
      <w:r>
        <w:rPr>
          <w:rFonts w:hint="eastAsia" w:ascii="宋体" w:hAnsi="宋体" w:cs="宋体"/>
          <w:color w:val="auto"/>
          <w:szCs w:val="21"/>
          <w:highlight w:val="none"/>
        </w:rPr>
        <w:t>22.1.13违反22.1.1（12）目，发包人可视其情形严重程度对承包人每次课以人民币2000元~2万元的违约金。</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25.其它（增加）</w:t>
      </w:r>
    </w:p>
    <w:p>
      <w:pPr>
        <w:widowControl/>
        <w:spacing w:line="360" w:lineRule="auto"/>
        <w:rPr>
          <w:rFonts w:hint="eastAsia" w:ascii="宋体" w:hAnsi="宋体" w:cs="宋体"/>
          <w:color w:val="auto"/>
          <w:sz w:val="20"/>
          <w:szCs w:val="20"/>
          <w:highlight w:val="none"/>
        </w:rPr>
      </w:pPr>
    </w:p>
    <w:p>
      <w:pPr>
        <w:widowControl/>
        <w:spacing w:line="360" w:lineRule="auto"/>
        <w:rPr>
          <w:rFonts w:hint="eastAsia" w:ascii="宋体" w:hAnsi="宋体" w:cs="宋体"/>
          <w:color w:val="auto"/>
          <w:sz w:val="20"/>
          <w:szCs w:val="20"/>
          <w:highlight w:val="none"/>
        </w:rPr>
      </w:pPr>
      <w:r>
        <w:rPr>
          <w:rFonts w:hint="eastAsia" w:ascii="宋体" w:hAnsi="宋体" w:cs="宋体"/>
          <w:color w:val="auto"/>
          <w:szCs w:val="21"/>
          <w:highlight w:val="none"/>
        </w:rPr>
        <w:t>25.1（增加）承包人应严格按照《中华人民共和国农业法》、《中华人民共和国土地管理法》、《基本农田保护条例》等的规定占用或使用土地，切实保护耕地，承包人的临时用地应作好复耕、绿化、地质灾害防护或恢复至使用状态。同时，在工程施工中，依据国家和地方有关环境的法律法规和文件、环境影响报告书、有关技术规范及设计文件等，在生态保护、水土保持、地质灾害防治、绿化、污染物防治等方面执行有关环境规定。对承包人违反耕地保护和环境保护的相关规定的，监理工程师有权作出指令要求承包人进行整改或修复并监理工程师满意，若承包人不执行监理工程师指令的，监理工程师有权中止支付或另行处理，所发生费用由承包人承担。</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28.1 料场使用费</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在原条款末增加：碎石、砂砾等材料在承包人的料场所发生的推堆费用由承包人负责。</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29.1 施工对邻近房产和群众的干扰</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在原条款末增加：</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（1）施工路段不得出现晴天扬尘，雨天打滑现象；破环或污染旧路面出现扬尘、打滑，必须洒水或铺垫，确保文明施工，交通畅通。</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（2）有道口的，要先恢复群众道口保证晴雨均能通行，方可进行施工作业。</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（3）承包单位的项目管理人员必须具有较高的思想理论和业务素质会做群众思想工作，必须妥善自行处理和解决工程项目施工过程中遇到的各种困难和问题，确保工程按质、按量、按期顺利实施。</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32.1 承包人保持现场整洁</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在原条款末增加：施工时不得向用地外丢弃土石，用地内应按规范施工，边上土边平整；路基高出地表后必须按路基宽度进行整理，一经整理后不得再弃方。所有弃方应运送到弃土场地。</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34.1 增加（5）款：</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严格劳动用工制度，切实维护农民工的合法权益。加强配合交通主管部门和业主对承包人使用农民工情况的检查，承包人必须依法与农民工签订劳动用工合同，明确合同期限、劳动报酬、工作内容、工作时间、劳动保护、劳动条件、工资支付方式及违反劳动合同的责任等内容。不与农民工签订劳动用工合同、损害农民工合法权益的承包人，交通主管部门和业主将依法予以严肃处理。</w:t>
      </w:r>
    </w:p>
    <w:p>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承包人必须实行工资支付担保制度、工资支付公示制度等措施，由交通主管部门和业主对承包人进行监管，确保农民工工资按时足额发放。由业主从每次计量款中留 2%计量款作为民工工资保障金，等工程完工后进行完工公示，公示期不少于 15 天，确定无拖欠民工工资后，一次性退还承包人。规范劳务用工行为。严禁无劳务资质的分包人承接劳务分包作业。承包人不得招用零散的劳务人员或使用无资质的劳务队伍。承包人进行劳务作业分包，须经监理工程师批准，劳务合同及农民工名册必须报业主备案。</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34.2 </w:t>
      </w:r>
      <w:r>
        <w:rPr>
          <w:rFonts w:hint="eastAsia" w:ascii="宋体" w:hAnsi="宋体" w:cs="宋体"/>
          <w:color w:val="auto"/>
          <w:szCs w:val="21"/>
          <w:highlight w:val="none"/>
        </w:rPr>
        <w:t>承包人在任何时候均采用一切合理的预防措施，以防止其雇员或在其雇员之中发生任何违法、暴乱性的或妨碍治安的行为，为维护治安和保卫工程附近的个人或财产免受上述行为的破坏。</w:t>
      </w:r>
    </w:p>
    <w:p>
      <w:pPr>
        <w:widowControl/>
        <w:tabs>
          <w:tab w:val="left" w:pos="110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42.3</w:t>
      </w:r>
      <w:r>
        <w:rPr>
          <w:rFonts w:hint="eastAsia" w:ascii="宋体" w:hAnsi="宋体" w:cs="宋体"/>
          <w:color w:val="auto"/>
          <w:sz w:val="20"/>
          <w:szCs w:val="20"/>
          <w:highlight w:val="none"/>
        </w:rPr>
        <w:tab/>
      </w:r>
      <w:r>
        <w:rPr>
          <w:rFonts w:hint="eastAsia" w:ascii="宋体" w:hAnsi="宋体" w:cs="宋体"/>
          <w:color w:val="auto"/>
          <w:sz w:val="20"/>
          <w:szCs w:val="20"/>
          <w:highlight w:val="none"/>
        </w:rPr>
        <w:t>临时用地的租用</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原文“临时工程用地范围包括承包人驻地的办公室、食堂、宿舍、道路和机械设备停放场、材料堆放场地、弃土场、预制场、拌和场、仓库、进场临时道路、临时便道、便桥等。……”，改为：“临时工程用地范围包括承包人驻地的办公室、食堂、宿舍、道路和机械设备停放场、材料堆放场地、弃土场、借土场、预制场、拌和场、仓库、进场临时道路、临时便道、便桥等。……”。</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44．1</w:t>
      </w:r>
      <w:r>
        <w:rPr>
          <w:rFonts w:hint="eastAsia" w:ascii="宋体" w:hAnsi="宋体" w:cs="宋体"/>
          <w:color w:val="auto"/>
          <w:sz w:val="20"/>
          <w:szCs w:val="20"/>
          <w:highlight w:val="none"/>
        </w:rPr>
        <w:tab/>
      </w:r>
      <w:r>
        <w:rPr>
          <w:rFonts w:hint="eastAsia" w:ascii="宋体" w:hAnsi="宋体" w:cs="宋体"/>
          <w:color w:val="auto"/>
          <w:szCs w:val="21"/>
          <w:highlight w:val="none"/>
        </w:rPr>
        <w:t>工期的延长</w:t>
      </w:r>
    </w:p>
    <w:p>
      <w:pPr>
        <w:widowControl/>
        <w:spacing w:line="360" w:lineRule="auto"/>
        <w:ind w:left="480"/>
        <w:rPr>
          <w:rFonts w:hint="eastAsia" w:ascii="宋体" w:hAnsi="宋体" w:cs="宋体"/>
          <w:color w:val="auto"/>
          <w:sz w:val="20"/>
          <w:szCs w:val="20"/>
          <w:highlight w:val="none"/>
        </w:rPr>
      </w:pPr>
      <w:r>
        <w:rPr>
          <w:rFonts w:hint="eastAsia" w:ascii="宋体" w:hAnsi="宋体" w:cs="宋体"/>
          <w:b/>
          <w:bCs/>
          <w:color w:val="auto"/>
          <w:sz w:val="20"/>
          <w:szCs w:val="20"/>
          <w:highlight w:val="none"/>
        </w:rPr>
        <w:t>（3）异常恶劣的气候条件，对本项目而言，指发生烈度 7 度（含 7 度）以上地震、龙卷风、施工场地</w:t>
      </w:r>
    </w:p>
    <w:p>
      <w:pPr>
        <w:widowControl/>
        <w:spacing w:line="360" w:lineRule="auto"/>
        <w:ind w:left="60"/>
        <w:rPr>
          <w:rFonts w:hint="eastAsia" w:ascii="宋体" w:hAnsi="宋体" w:cs="宋体"/>
          <w:color w:val="auto"/>
          <w:sz w:val="20"/>
          <w:szCs w:val="20"/>
          <w:highlight w:val="none"/>
        </w:rPr>
      </w:pPr>
      <w:r>
        <w:rPr>
          <w:rFonts w:hint="eastAsia" w:ascii="宋体" w:hAnsi="宋体" w:cs="宋体"/>
          <w:b/>
          <w:bCs/>
          <w:color w:val="auto"/>
          <w:szCs w:val="21"/>
          <w:highlight w:val="none"/>
        </w:rPr>
        <w:t>受淹超过业主提供的设计图纸指明的设计洪水水位引起的延误的情况。</w:t>
      </w:r>
    </w:p>
    <w:p>
      <w:pPr>
        <w:widowControl/>
        <w:spacing w:line="360" w:lineRule="auto"/>
        <w:ind w:firstLine="479" w:firstLineChars="227"/>
        <w:rPr>
          <w:rFonts w:hint="eastAsia" w:ascii="宋体" w:hAnsi="宋体" w:cs="宋体"/>
          <w:color w:val="auto"/>
          <w:sz w:val="20"/>
          <w:szCs w:val="20"/>
          <w:highlight w:val="none"/>
        </w:rPr>
      </w:pPr>
      <w:r>
        <w:rPr>
          <w:rFonts w:hint="eastAsia" w:ascii="宋体" w:hAnsi="宋体" w:cs="宋体"/>
          <w:b/>
          <w:bCs/>
          <w:color w:val="auto"/>
          <w:szCs w:val="21"/>
          <w:highlight w:val="none"/>
        </w:rPr>
        <w:t xml:space="preserve">46.2 </w:t>
      </w:r>
      <w:r>
        <w:rPr>
          <w:rFonts w:hint="eastAsia" w:ascii="宋体" w:hAnsi="宋体" w:cs="宋体"/>
          <w:color w:val="auto"/>
          <w:szCs w:val="21"/>
          <w:highlight w:val="none"/>
        </w:rPr>
        <w:t>如果监理工程师认为承包人的施工进度滞后于调整后已批准进度计划的20%，在监理工程师提出书面警告后，承包人仍不能采取有效措施明显加快进度，继续照此进度明显不能按合同工期完工时，在监理工程师向业主提出报告后，由业主决定。</w:t>
      </w:r>
    </w:p>
    <w:p>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48.1 交工验收和交工证书</w:t>
      </w:r>
    </w:p>
    <w:p>
      <w:pPr>
        <w:widowControl/>
        <w:spacing w:line="360" w:lineRule="auto"/>
        <w:ind w:left="540"/>
        <w:rPr>
          <w:rFonts w:hint="eastAsia" w:ascii="宋体" w:hAnsi="宋体" w:cs="宋体"/>
          <w:color w:val="auto"/>
          <w:sz w:val="20"/>
          <w:szCs w:val="20"/>
          <w:highlight w:val="none"/>
        </w:rPr>
      </w:pPr>
      <w:r>
        <w:rPr>
          <w:rFonts w:hint="eastAsia" w:ascii="宋体" w:hAnsi="宋体" w:cs="宋体"/>
          <w:color w:val="auto"/>
          <w:szCs w:val="21"/>
          <w:highlight w:val="none"/>
        </w:rPr>
        <w:t>删除（3）款最后一段，以下文替代：</w:t>
      </w:r>
    </w:p>
    <w:p>
      <w:pPr>
        <w:widowControl/>
        <w:spacing w:line="360" w:lineRule="auto"/>
        <w:ind w:firstLine="539" w:firstLineChars="257"/>
        <w:rPr>
          <w:rFonts w:hint="eastAsia" w:ascii="宋体" w:hAnsi="宋体" w:cs="宋体"/>
          <w:color w:val="auto"/>
          <w:sz w:val="20"/>
          <w:szCs w:val="20"/>
          <w:highlight w:val="none"/>
        </w:rPr>
      </w:pPr>
      <w:r>
        <w:rPr>
          <w:rFonts w:hint="eastAsia" w:ascii="宋体" w:hAnsi="宋体" w:cs="宋体"/>
          <w:color w:val="auto"/>
          <w:szCs w:val="21"/>
          <w:highlight w:val="none"/>
        </w:rPr>
        <w:t>组织办理交工验收和签发交工证书的费用由承包人承担，其费用包含在相关单价或总额价中，业主不单独另行计量与支付。</w:t>
      </w:r>
    </w:p>
    <w:p>
      <w:pPr>
        <w:widowControl/>
        <w:spacing w:line="360" w:lineRule="auto"/>
        <w:ind w:left="540"/>
        <w:rPr>
          <w:rFonts w:hint="eastAsia" w:ascii="宋体" w:hAnsi="宋体" w:cs="宋体"/>
          <w:color w:val="auto"/>
          <w:sz w:val="20"/>
          <w:szCs w:val="20"/>
          <w:highlight w:val="none"/>
        </w:rPr>
      </w:pPr>
      <w:r>
        <w:rPr>
          <w:rFonts w:hint="eastAsia" w:ascii="宋体" w:hAnsi="宋体" w:cs="宋体"/>
          <w:b/>
          <w:bCs/>
          <w:color w:val="auto"/>
          <w:szCs w:val="21"/>
          <w:highlight w:val="none"/>
        </w:rPr>
        <w:t>48.3 竣工文件</w:t>
      </w:r>
    </w:p>
    <w:p>
      <w:pPr>
        <w:widowControl/>
        <w:spacing w:line="360" w:lineRule="auto"/>
        <w:ind w:firstLine="540" w:firstLineChars="270"/>
        <w:rPr>
          <w:rFonts w:hint="eastAsia" w:ascii="宋体" w:hAnsi="宋体" w:cs="宋体"/>
          <w:color w:val="auto"/>
          <w:sz w:val="20"/>
          <w:szCs w:val="20"/>
          <w:highlight w:val="none"/>
        </w:rPr>
      </w:pPr>
      <w:r>
        <w:rPr>
          <w:rFonts w:hint="eastAsia" w:ascii="宋体" w:hAnsi="宋体" w:cs="宋体"/>
          <w:color w:val="auto"/>
          <w:sz w:val="20"/>
          <w:szCs w:val="20"/>
          <w:highlight w:val="none"/>
        </w:rPr>
        <w:t>在本条款后增加：工程竣工文件的立卷归档按交通部《公路工程竣工文件材料立卷归档管理办法》（交办发[2001]390 号）和广西区公路管理局《广西公路网建设工程档案验收办法》（路工程函[2005]591 号）</w:t>
      </w:r>
      <w:r>
        <w:rPr>
          <w:rFonts w:hint="eastAsia" w:ascii="宋体" w:hAnsi="宋体" w:cs="宋体"/>
          <w:color w:val="auto"/>
          <w:szCs w:val="21"/>
          <w:highlight w:val="none"/>
        </w:rPr>
        <w:t>执行。</w:t>
      </w:r>
    </w:p>
    <w:p>
      <w:pPr>
        <w:widowControl/>
        <w:tabs>
          <w:tab w:val="left" w:pos="1040"/>
        </w:tabs>
        <w:spacing w:line="360" w:lineRule="auto"/>
        <w:ind w:left="340"/>
        <w:rPr>
          <w:rFonts w:hint="eastAsia" w:ascii="宋体" w:hAnsi="宋体" w:cs="宋体"/>
          <w:color w:val="auto"/>
          <w:sz w:val="20"/>
          <w:szCs w:val="20"/>
          <w:highlight w:val="none"/>
        </w:rPr>
      </w:pPr>
      <w:r>
        <w:rPr>
          <w:rFonts w:hint="eastAsia" w:ascii="宋体" w:hAnsi="宋体" w:cs="宋体"/>
          <w:b/>
          <w:bCs/>
          <w:color w:val="auto"/>
          <w:szCs w:val="21"/>
          <w:highlight w:val="none"/>
        </w:rPr>
        <w:t>52．3</w:t>
      </w:r>
      <w:r>
        <w:rPr>
          <w:rFonts w:hint="eastAsia" w:ascii="宋体" w:hAnsi="宋体" w:cs="宋体"/>
          <w:b/>
          <w:bCs/>
          <w:color w:val="auto"/>
          <w:szCs w:val="21"/>
          <w:highlight w:val="none"/>
        </w:rPr>
        <w:tab/>
      </w:r>
      <w:r>
        <w:rPr>
          <w:rFonts w:hint="eastAsia" w:ascii="宋体" w:hAnsi="宋体" w:cs="宋体"/>
          <w:b/>
          <w:bCs/>
          <w:color w:val="auto"/>
          <w:szCs w:val="21"/>
          <w:highlight w:val="none"/>
        </w:rPr>
        <w:t>工程变更</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因设计变更或签证引起工程项目、工程量变化的，变更合同价款按下列方法进行：</w:t>
      </w:r>
      <w:r>
        <w:rPr>
          <w:rFonts w:hint="eastAsia" w:ascii="宋体" w:hAnsi="宋体" w:cs="宋体"/>
          <w:color w:val="auto"/>
          <w:szCs w:val="21"/>
          <w:highlight w:val="none"/>
          <w:u w:val="single"/>
        </w:rPr>
        <w:t>（1）合同中已有适用于变更工程的价格，按合同已有的价格变更合同价款；（2）合同中只有类似于变更工程的价格，可以参照类似价格变更合同价款；（3）合同中没有适用或类似于变更工程的价格，则有定额的套定额计算（土石方除外），并乘以下浮系数（中标价/招标控制价）计算，其中材料价格有信息价的按施工同期的信息价进行计算，无信息价的按市场价；无定额可套的，根据市场价格协商；新增项目无定额可套的，由发包人、承包人、监理人进行市场询价确定。</w:t>
      </w:r>
    </w:p>
    <w:p>
      <w:pPr>
        <w:widowControl/>
        <w:spacing w:line="360" w:lineRule="auto"/>
        <w:ind w:firstLine="420" w:firstLineChars="200"/>
        <w:rPr>
          <w:rFonts w:hint="eastAsia" w:ascii="宋体" w:hAnsi="宋体" w:cs="宋体"/>
          <w:color w:val="auto"/>
          <w:sz w:val="20"/>
          <w:szCs w:val="20"/>
          <w:highlight w:val="none"/>
        </w:rPr>
      </w:pPr>
      <w:r>
        <w:rPr>
          <w:rFonts w:hint="eastAsia" w:ascii="宋体" w:hAnsi="宋体" w:cs="宋体"/>
          <w:color w:val="auto"/>
          <w:szCs w:val="21"/>
          <w:highlight w:val="none"/>
        </w:rPr>
        <w:t>60．5</w:t>
      </w:r>
      <w:r>
        <w:rPr>
          <w:rFonts w:hint="eastAsia" w:ascii="宋体" w:hAnsi="宋体" w:cs="宋体"/>
          <w:b/>
          <w:bCs/>
          <w:color w:val="auto"/>
          <w:szCs w:val="21"/>
          <w:highlight w:val="none"/>
        </w:rPr>
        <w:t>工程初期必须进场的主要设备指：推土机、压路机、挖掘机、装载机、自卸汽车、空压机等机械设备。</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74．1</w:t>
      </w:r>
      <w:r>
        <w:rPr>
          <w:rFonts w:hint="eastAsia" w:ascii="宋体" w:hAnsi="宋体" w:cs="宋体"/>
          <w:color w:val="auto"/>
          <w:szCs w:val="21"/>
          <w:highlight w:val="none"/>
        </w:rPr>
        <w:tab/>
      </w:r>
      <w:r>
        <w:rPr>
          <w:rFonts w:hint="eastAsia" w:ascii="宋体" w:hAnsi="宋体" w:cs="宋体"/>
          <w:color w:val="auto"/>
          <w:szCs w:val="21"/>
          <w:highlight w:val="none"/>
        </w:rPr>
        <w:t>交通堵塞的处罚</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(a)．承包人在施工过程中应对出现交通堵塞及时采取措施进行排除，对堵车采取措施不力的，由业主和监理工程师采取措施所涉及的费用由承包人承担。</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(b)．对未经批准进行旧路开挖或填筑的，承包人应向业主支付违约金，违约金每项次 3000 元，并且业主和监理工程师有权责令停工，由承包人恢复原良好的通车条件，承担一切费用。</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74．2</w:t>
      </w:r>
      <w:r>
        <w:rPr>
          <w:rFonts w:hint="eastAsia" w:ascii="宋体" w:hAnsi="宋体" w:cs="宋体"/>
          <w:color w:val="auto"/>
          <w:szCs w:val="21"/>
          <w:highlight w:val="none"/>
        </w:rPr>
        <w:tab/>
      </w:r>
      <w:r>
        <w:rPr>
          <w:rFonts w:hint="eastAsia" w:ascii="宋体" w:hAnsi="宋体" w:cs="宋体"/>
          <w:color w:val="auto"/>
          <w:szCs w:val="21"/>
          <w:highlight w:val="none"/>
        </w:rPr>
        <w:t>监理工程师费用</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监理工程师及其代表进驻工地施工现场的有关监理费用，均由业主另行支付，合同价格不计该费用，承包人不得以任何理由向监理人员赠送礼品和报酬，否则作行贿处理。</w:t>
      </w:r>
    </w:p>
    <w:p>
      <w:pPr>
        <w:widowControl/>
        <w:tabs>
          <w:tab w:val="left" w:pos="1180"/>
        </w:tabs>
        <w:spacing w:line="360" w:lineRule="auto"/>
        <w:ind w:left="480"/>
        <w:rPr>
          <w:rFonts w:hint="eastAsia" w:ascii="宋体" w:hAnsi="宋体" w:cs="宋体"/>
          <w:color w:val="auto"/>
          <w:sz w:val="20"/>
          <w:szCs w:val="20"/>
          <w:highlight w:val="none"/>
        </w:rPr>
      </w:pPr>
      <w:r>
        <w:rPr>
          <w:rFonts w:hint="eastAsia" w:ascii="宋体" w:hAnsi="宋体" w:cs="宋体"/>
          <w:color w:val="auto"/>
          <w:szCs w:val="21"/>
          <w:highlight w:val="none"/>
        </w:rPr>
        <w:t>75．1</w:t>
      </w:r>
      <w:r>
        <w:rPr>
          <w:rFonts w:hint="eastAsia" w:ascii="宋体" w:hAnsi="宋体" w:cs="宋体"/>
          <w:color w:val="auto"/>
          <w:szCs w:val="21"/>
          <w:highlight w:val="none"/>
        </w:rPr>
        <w:tab/>
      </w:r>
      <w:r>
        <w:rPr>
          <w:rFonts w:hint="eastAsia" w:ascii="宋体" w:hAnsi="宋体" w:cs="宋体"/>
          <w:color w:val="auto"/>
          <w:szCs w:val="21"/>
          <w:highlight w:val="none"/>
        </w:rPr>
        <w:t>承包人管理</w:t>
      </w:r>
      <w:r>
        <w:rPr>
          <w:rFonts w:hint="eastAsia" w:ascii="宋体" w:hAnsi="宋体" w:cs="宋体"/>
          <w:b/>
          <w:bCs/>
          <w:color w:val="auto"/>
          <w:szCs w:val="21"/>
          <w:highlight w:val="none"/>
        </w:rPr>
        <w:t>（增加）</w:t>
      </w:r>
    </w:p>
    <w:p>
      <w:pPr>
        <w:widowControl/>
        <w:spacing w:line="360" w:lineRule="auto"/>
        <w:ind w:firstLine="422" w:firstLineChars="200"/>
        <w:rPr>
          <w:rFonts w:hint="eastAsia" w:ascii="宋体" w:hAnsi="宋体" w:cs="宋体"/>
          <w:color w:val="auto"/>
          <w:sz w:val="20"/>
          <w:szCs w:val="20"/>
          <w:highlight w:val="none"/>
        </w:rPr>
      </w:pPr>
      <w:r>
        <w:rPr>
          <w:rFonts w:hint="eastAsia" w:ascii="宋体" w:hAnsi="宋体" w:cs="宋体"/>
          <w:b/>
          <w:bCs/>
          <w:color w:val="auto"/>
          <w:szCs w:val="21"/>
          <w:highlight w:val="none"/>
        </w:rPr>
        <w:t>竞标人在竞争性谈判响应文件中列明的项目经理和总工必须是能够具体在本工程服务的人员。</w:t>
      </w:r>
    </w:p>
    <w:p>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若竞标人中标后更换项目经理和总工两人或其中一人，属成交人违约，除在开工前 15 天内更换补充令业主和总监满意的合格的人员外，还应向业主支付违约金，违约金按项目经理 5 万元/人，总工 4 万元/人计算，并由业主将承包人违约情况上报上级主管部门。</w:t>
      </w:r>
    </w:p>
    <w:p>
      <w:pPr>
        <w:widowControl/>
        <w:tabs>
          <w:tab w:val="left" w:pos="1300"/>
        </w:tabs>
        <w:spacing w:line="360" w:lineRule="auto"/>
        <w:ind w:left="480"/>
        <w:rPr>
          <w:rFonts w:hint="eastAsia" w:ascii="宋体" w:hAnsi="宋体" w:cs="宋体"/>
          <w:color w:val="auto"/>
          <w:sz w:val="20"/>
          <w:szCs w:val="20"/>
          <w:highlight w:val="none"/>
        </w:rPr>
      </w:pPr>
      <w:r>
        <w:rPr>
          <w:rFonts w:hint="eastAsia" w:ascii="宋体" w:hAnsi="宋体" w:cs="宋体"/>
          <w:b/>
          <w:bCs/>
          <w:color w:val="auto"/>
          <w:szCs w:val="21"/>
          <w:highlight w:val="none"/>
        </w:rPr>
        <w:t>76．1</w:t>
      </w:r>
      <w:r>
        <w:rPr>
          <w:rFonts w:hint="eastAsia" w:ascii="宋体" w:hAnsi="宋体" w:cs="宋体"/>
          <w:color w:val="auto"/>
          <w:sz w:val="20"/>
          <w:szCs w:val="20"/>
          <w:highlight w:val="none"/>
        </w:rPr>
        <w:tab/>
      </w:r>
      <w:r>
        <w:rPr>
          <w:rFonts w:hint="eastAsia" w:ascii="宋体" w:hAnsi="宋体" w:cs="宋体"/>
          <w:b/>
          <w:bCs/>
          <w:color w:val="auto"/>
          <w:szCs w:val="21"/>
          <w:highlight w:val="none"/>
        </w:rPr>
        <w:t>工程进度款（增加）</w:t>
      </w:r>
    </w:p>
    <w:p>
      <w:pPr>
        <w:widowControl/>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根据工程进度原则上中期计量支付按进度，按实际完成工程量价款的80%进行支付，审计结算并通过竣工验收后可拨付至结算审定的97%，剩余3%预留作为项目质量保证金，待工程质量缺陷期期满、承包人修复质量缺陷后支付（不计利息）。承包人每次申请工程款之前必须按要求提供所计量工程量的质保资料，并同时向发包人开具增值税发票后发包人才进行工程款的拨付。</w:t>
      </w:r>
    </w:p>
    <w:p>
      <w:pPr>
        <w:tabs>
          <w:tab w:val="left" w:pos="1080"/>
        </w:tabs>
        <w:spacing w:line="360" w:lineRule="auto"/>
        <w:ind w:left="420" w:firstLine="422"/>
        <w:rPr>
          <w:rFonts w:hint="eastAsia" w:ascii="宋体" w:hAnsi="宋体" w:cs="宋体"/>
          <w:color w:val="auto"/>
          <w:szCs w:val="21"/>
          <w:highlight w:val="none"/>
        </w:rPr>
      </w:pPr>
    </w:p>
    <w:p>
      <w:pPr>
        <w:tabs>
          <w:tab w:val="left" w:pos="1080"/>
        </w:tabs>
        <w:spacing w:line="42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 w:val="28"/>
          <w:szCs w:val="28"/>
          <w:highlight w:val="none"/>
        </w:rPr>
        <w:t>附件一</w:t>
      </w:r>
    </w:p>
    <w:p>
      <w:pPr>
        <w:tabs>
          <w:tab w:val="left" w:pos="1080"/>
        </w:tabs>
        <w:spacing w:line="42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广西公路管理局公路工程建设农民工工资管理实施细则(修订)</w:t>
      </w:r>
    </w:p>
    <w:p>
      <w:pPr>
        <w:tabs>
          <w:tab w:val="left" w:pos="1080"/>
        </w:tabs>
        <w:spacing w:line="420" w:lineRule="exact"/>
        <w:jc w:val="center"/>
        <w:rPr>
          <w:rFonts w:hint="eastAsia" w:ascii="宋体" w:hAnsi="宋体" w:cs="宋体"/>
          <w:color w:val="auto"/>
          <w:szCs w:val="21"/>
          <w:highlight w:val="none"/>
        </w:rPr>
      </w:pPr>
      <w:r>
        <w:rPr>
          <w:rFonts w:hint="eastAsia" w:ascii="宋体" w:hAnsi="宋体" w:cs="宋体"/>
          <w:color w:val="auto"/>
          <w:szCs w:val="21"/>
          <w:highlight w:val="none"/>
        </w:rPr>
        <w:t>----广西壮族自治区公路管理局《关于印发广西壮族自治区公路管理局公路工程建设农民工管理实施细则（修订）的通知》(桂路工程发[2014]300号)印发</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第一条  为贯彻落实党中央、国务院和自治区党委、人民政府及有关部门解决农民工问题的指示精神，认真解决公路工程建设领域农民工问题，保护农民工合法权益，维护社会稳定，根据《国务院关于解决农民工问题的若干意见》、《交通运输部关于进一步做好公路水运建设领域农民工工资支付与管理有关工作的意见的通知》、《广西壮族自治区人民政府办公厅对关于切实解决建设领域拖欠工程款和农民工工资问题的通知》、《广西壮族自治区劳动和社会保障厅自治区交通厅关于建立交通行业农民工工资保证金制度的通知》等有关规定，制定公路工程建设农民工工资管理实施细则。</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第二条  本实施细则适用于由自治区公路管理局管理的公路路网工程建设、农村公路工程建设、公路养护工程等。承担有由自治区交通运输厅委托我局进行建设行业管理的项目管理任务的相应业主参照本细则执行。</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第三条  工程建设农民工工资管理实行分级负责，按责任加强对公路建设工程、公路养护工程等拖欠工程款和农民工工资问题的领导。</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自治区公路管理局负责全区工程建设农民工工资管理工作的指导与监督，对群众投诉及上访及时进行处理。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市级公路局成立农民工工资管理领导小组，由工程、养护、监察、财务等部门组成。对各自辖区内的路网、农村公路、养护等工程的农民工工资管理工作进行监督检查指导，对项目建设办落实农民工工资管理工作进行检查，对群众投诉及上访及时进行处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路网、农村公路、养护工程项目现场管理机构（建设办）成立农民工工资管理领导小组，由项目现场管理机构负责人担任组长、现场管理机构财务处负责人、总监担任副组长，现场管理机构其他部门负责人等主要人员组成，领导小组办公室一般设在财务处，负责管理本工程农民工工资管理。</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各项目中标单位法人（项目部）要按劳动法及国家有关管理规定使用农民工，签订劳动合同并向建设办报备，在合同中明确农民工工资支付方式；合同执行其间严格按劳动合同约定执行，无约定的必须做到月清月结，确保劳务队伍中农民工工资按时足额发放到农民工本人。</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第四条  建立健全管理制度，建立长效预防管理机制。</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（一）建立农民工实名管理制度。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中标单位要建立农民工名册、进退场记录、考勤记录、工资发放台账，并需将以上信息汇总后上报项目现场管理机构（建设办）备案。</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（二）建立农民工工资保证金制度。</w:t>
      </w:r>
    </w:p>
    <w:p>
      <w:pPr>
        <w:tabs>
          <w:tab w:val="left" w:pos="1080"/>
        </w:tabs>
        <w:spacing w:line="42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在采购文件中约定农民工工资保证金制度，保证金额度按中标价（A）金额计算：小于5000万元（含5000万元）的，按A×2%存入； 5000万元以上的，按5000×2%+（A-5000）×1.5%存入。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保证金设立专户进行管理，专款专用，任何单位和个人不得挪用。中标单位的农民工工资保证金应存入项目现场管理机构（建设办）指定的农民工工资保证金专用帐户，一旦其出现拖欠工程款导致中标单位无法按时足额支付农民工工资时，可由项目现场管理机构（建设办）根据相关规定从其农民工工资保证金中先予支取。</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（三）建立完善的支付制度。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中标单位要将计量资料上报监理单位后进行公示7天，计量资料审查完成后要将计量结果公示3天，公示时间到期且无争议后才可支付。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每期计量须分次支付给中标单位，第一次支付款项必须用于劳务合作队伍、农民工工资发放；经现场管理机构（建设办）农民工工资管理领导小组核实确认无拖欠农民工工资后，才能进行第二次计量工程款支付。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农民工工资应采用银行直付方式，由中标单位委托银行每月按时将农民工工资汇入农民工个人账户，项目现场管理机构（建设办）进行督办。</w:t>
      </w:r>
    </w:p>
    <w:p>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（四）建立农民工劳动合同管理制度。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中标单位与劳务合作队伍、农民工三方必须依法订立并履行劳动合同，建立权责明确的劳动关系，必须明确劳动工资支付方式。劳动合同必须在工程开工当月或劳务合作队伍、农民工新进场当月签订。中标单位要当月将劳动合同报送给现场管理机构（建设办）农民工工资管理领导小组办公室备案，并纳入月度考核。</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现场管理机构（建设办）农民工工资管理领导小组要对标段承包单位的农民工劳动合同进行管理，加强对标段承包单位订立和履行劳动合同的指导和监督。任何单位都不得违反劳动合同约定，损害农民工权益。</w:t>
      </w:r>
    </w:p>
    <w:p>
      <w:pPr>
        <w:tabs>
          <w:tab w:val="left" w:pos="1080"/>
        </w:tabs>
        <w:spacing w:line="420" w:lineRule="exact"/>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（五）建立监督举报制度。</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在中标单位（项目部）驻地显目的位置要公布自治区公路管理局、市级公路管理局、现场管理机构（建设办）的举报电话和举报信箱，若出现农民工工资被拖欠的情况，可逐级进行举报。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第五条  依法规范农民工劳动合同管理，保障农民工职业安全卫生权益。</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（一）中标单位必须按规定配备安全生产和职业病防护设施。</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（二）强化各中标单位职业安全卫生的主体责任，要向新招用的农民工告知劳动安全、职业危害事项，发放必要的劳动防护用品，对从事可能产生职业危害作业的人员定期进行健康检查并造册登记。</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（三）加强农民工职业安全、劳动保护教育，增强农民工自我保护能力。</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（四）从事高危作业和特种作业的农民工要经专门培训、持证上岗。现场管理机构（建设办）农民工工资管理领导小组要切实履行职业安全和劳动保护监管职责。</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（五）切实保护女工和未成年人权益，严格禁止使用童工。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第六条  加强制度落实管理，预防问题的出现。</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（一）现场管理机构（建设办）农民工工资管理领导小组要重点监控农民工工资发放情况。</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除加强支付管理处，对农民工投诉、举报要及时查处，预防群发性问题的出现。若出现农民工工资拖欠问题一经核实，现场管理机构（建设办）可优先使用农民工工资保证金以予解决，并在下次计量支付时补足保证金。</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（二）对出现或发生过拖欠农民工工资的承包单位，现场管理机构（建设办）农民工工资管理领导小组要对其实施重点监控，并及时将拖欠工资情况上级农民工工资管理领导小组。</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现场管理机构（建设办）在重大节假日、重大活动前要加强检查，预防群体性突发事件发生，特别是在每年11月至次年2月要增加检查次数，彻底解决春节前农民工因工资拖欠而集中上访的问题。</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各市级公路局农民工工资管理领导小组每季度要对辖区现场管理机构（建设办）农民工工资管理情况进行考核、指导；每年6月20日、12月20日前将本辖区农民工用工情况总结上报区公路管理局农民工工资管理领导小组。</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第七条  责任追究。</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（一）中标单位与进场的劳务合作队伍、农民工三方没有依法订立劳动合同而参与工程施工作业的，现场管理机构（建设办）进行履约检查考核时不得将其履约评价等级评定为一般以上等次。</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二）自治区公路管理局对恶意拖欠农民工工资，并出现因拖欠工资造成农民工上访的中标单位包括因其合作的劳务合作队伍产生的将对其进行通报，列入黑名单档案，在路网工程、农村公路工程、公路养护工程新项目采购时，一至三年内不得通过资格审查。</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（三）因拖欠工资造成农民工到自治区政府或交通主管部门上访并造成恶劣社会影响的，管理项目的市级公路管理局取消当年年终考核前三名的评选资格。</w:t>
      </w:r>
    </w:p>
    <w:p>
      <w:pPr>
        <w:tabs>
          <w:tab w:val="left" w:pos="1080"/>
        </w:tabs>
        <w:spacing w:line="420" w:lineRule="exact"/>
        <w:ind w:firstLine="426"/>
        <w:rPr>
          <w:rFonts w:hint="eastAsia" w:ascii="宋体" w:hAnsi="宋体" w:cs="宋体"/>
          <w:color w:val="auto"/>
          <w:szCs w:val="21"/>
          <w:highlight w:val="none"/>
        </w:rPr>
      </w:pPr>
      <w:r>
        <w:rPr>
          <w:rFonts w:hint="eastAsia" w:ascii="宋体" w:hAnsi="宋体" w:cs="宋体"/>
          <w:color w:val="auto"/>
          <w:szCs w:val="21"/>
          <w:highlight w:val="none"/>
        </w:rPr>
        <w:t>　第八条 本细则自下发之日起实施，原《广西公路管理局公路工程建设农民工管理实施细则（路工程〔2006〕61号）》同时废止。</w:t>
      </w:r>
    </w:p>
    <w:p>
      <w:pPr>
        <w:adjustRightInd w:val="0"/>
        <w:spacing w:line="590" w:lineRule="exact"/>
        <w:jc w:val="left"/>
        <w:rPr>
          <w:rFonts w:hint="eastAsia" w:ascii="宋体" w:hAnsi="宋体" w:cs="宋体"/>
          <w:color w:val="auto"/>
          <w:sz w:val="28"/>
          <w:szCs w:val="28"/>
          <w:highlight w:val="none"/>
        </w:rPr>
      </w:pPr>
      <w:r>
        <w:rPr>
          <w:rFonts w:hint="eastAsia" w:ascii="宋体" w:hAnsi="宋体" w:cs="宋体"/>
          <w:b/>
          <w:color w:val="auto"/>
          <w:sz w:val="32"/>
          <w:szCs w:val="32"/>
          <w:highlight w:val="none"/>
        </w:rPr>
        <w:br w:type="page"/>
      </w:r>
      <w:r>
        <w:rPr>
          <w:rFonts w:hint="eastAsia" w:ascii="宋体" w:hAnsi="宋体" w:cs="宋体"/>
          <w:b/>
          <w:color w:val="auto"/>
          <w:sz w:val="44"/>
          <w:szCs w:val="44"/>
          <w:highlight w:val="none"/>
        </w:rPr>
        <w:t xml:space="preserve"> </w:t>
      </w:r>
      <w:r>
        <w:rPr>
          <w:rFonts w:hint="eastAsia" w:ascii="宋体" w:hAnsi="宋体" w:cs="宋体"/>
          <w:color w:val="auto"/>
          <w:sz w:val="28"/>
          <w:szCs w:val="28"/>
          <w:highlight w:val="none"/>
        </w:rPr>
        <w:t>附件二</w:t>
      </w:r>
    </w:p>
    <w:p>
      <w:pPr>
        <w:adjustRightInd w:val="0"/>
        <w:spacing w:line="59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u w:val="single"/>
          <w:lang w:eastAsia="zh-CN"/>
        </w:rPr>
        <w:t>宾阳县2025年大中型水库移民后期扶持资金及中央水库移民扶持基金（提前批）项目基础设施项目</w:t>
      </w:r>
      <w:r>
        <w:rPr>
          <w:rFonts w:hint="eastAsia" w:ascii="宋体" w:hAnsi="宋体" w:cs="宋体"/>
          <w:b/>
          <w:color w:val="auto"/>
          <w:sz w:val="30"/>
          <w:szCs w:val="30"/>
          <w:highlight w:val="none"/>
          <w:u w:val="single"/>
        </w:rPr>
        <w:t>项目</w:t>
      </w:r>
      <w:r>
        <w:rPr>
          <w:rFonts w:hint="eastAsia" w:ascii="宋体" w:hAnsi="宋体" w:cs="宋体"/>
          <w:b/>
          <w:color w:val="auto"/>
          <w:sz w:val="30"/>
          <w:szCs w:val="30"/>
          <w:highlight w:val="none"/>
        </w:rPr>
        <w:t>分帐制协议</w:t>
      </w:r>
    </w:p>
    <w:p>
      <w:pPr>
        <w:adjustRightInd w:val="0"/>
        <w:spacing w:line="590" w:lineRule="exact"/>
        <w:ind w:firstLine="562" w:firstLineChars="200"/>
        <w:jc w:val="center"/>
        <w:rPr>
          <w:rFonts w:hint="eastAsia" w:ascii="宋体" w:hAnsi="宋体" w:cs="宋体"/>
          <w:b/>
          <w:color w:val="auto"/>
          <w:sz w:val="28"/>
          <w:szCs w:val="28"/>
          <w:highlight w:val="none"/>
        </w:rPr>
      </w:pPr>
    </w:p>
    <w:p>
      <w:pPr>
        <w:adjustRightIn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lang w:eastAsia="zh-CN"/>
        </w:rPr>
        <w:t>宾阳县水库移民安置服务中心</w:t>
      </w:r>
      <w:r>
        <w:rPr>
          <w:rFonts w:hint="eastAsia" w:ascii="宋体" w:hAnsi="宋体" w:cs="宋体"/>
          <w:color w:val="auto"/>
          <w:sz w:val="24"/>
          <w:highlight w:val="none"/>
          <w:u w:val="single"/>
        </w:rPr>
        <w:t>（建设单位）</w:t>
      </w:r>
    </w:p>
    <w:p>
      <w:pPr>
        <w:adjustRightInd w:val="0"/>
        <w:snapToGrid w:val="0"/>
        <w:spacing w:line="59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（施工总承包单位）</w:t>
      </w:r>
    </w:p>
    <w:p>
      <w:pPr>
        <w:adjustRightInd w:val="0"/>
        <w:snapToGrid w:val="0"/>
        <w:spacing w:line="590" w:lineRule="exact"/>
        <w:ind w:firstLine="480" w:firstLineChars="200"/>
        <w:rPr>
          <w:rFonts w:hint="eastAsia" w:ascii="宋体" w:hAnsi="宋体" w:cs="宋体"/>
          <w:color w:val="auto"/>
          <w:sz w:val="24"/>
          <w:highlight w:val="none"/>
          <w:u w:val="single"/>
        </w:rPr>
      </w:pP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现为维护建筑工人合法权益，规范建筑工人工资支付行为，切实解决拖欠建筑工人工资问题，促进企业持续健康发展和社会和谐稳定，根据《保障农民工工资支付条例》、《中华人民共和国劳动合同法》及《国务院办公厅关于全面治理拖欠农民工工资问题的意见》（国办发〔2016〕1号）、《国务院办公厅关于印发保障农民工工资支付工作考核办法的通知》（国办发〔2017〕96号）、自治区办公厅《关于全面治理拖欠农民工工资问题的实施意见》（桂政办发〔2016〕113号）、《关于印发广西壮族自治区工程建设领域工人工资支付专用账户管理办法的通知》（桂薪联发〔2016〕1号）、《关于明确农民工工资保证金制度有关问题的通知》（桂薪联发〔2016〕2号）等文件精神，经双方充分协商，达成如下一致意见并签订本补充协议，以资共同守：</w:t>
      </w: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一、双方同意自</w:t>
      </w: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月</w:t>
      </w:r>
      <w:r>
        <w:rPr>
          <w:rFonts w:hint="eastAsia" w:ascii="宋体" w:hAnsi="宋体" w:cs="宋体"/>
          <w:snapToGrid w:val="0"/>
          <w:color w:val="auto"/>
          <w:sz w:val="24"/>
          <w:highlight w:val="none"/>
          <w:u w:val="single"/>
        </w:rPr>
        <w:t xml:space="preserve">   </w:t>
      </w:r>
      <w:r>
        <w:rPr>
          <w:rFonts w:hint="eastAsia" w:ascii="宋体" w:hAnsi="宋体" w:cs="宋体"/>
          <w:snapToGrid w:val="0"/>
          <w:color w:val="auto"/>
          <w:sz w:val="24"/>
          <w:highlight w:val="none"/>
        </w:rPr>
        <w:t>日</w:t>
      </w:r>
      <w:r>
        <w:rPr>
          <w:rFonts w:hint="eastAsia" w:ascii="宋体" w:hAnsi="宋体" w:cs="宋体"/>
          <w:color w:val="auto"/>
          <w:sz w:val="24"/>
          <w:highlight w:val="none"/>
        </w:rPr>
        <w:t>起，约定工程款中农民工工资比例为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甲方支付工程进度款时，按照上述比例将农民工资转至乙方农民工工资专用账户（账户信息详见本协议第三条），乙方按月足额支付农民工工资，不得将农民工工资专用款挪做其它用途。工程完工时如农村工工资专用帐户不足以支付农民工工资时，在承包人的单位基本户转到农民工工资专用帐户支付。</w:t>
      </w:r>
    </w:p>
    <w:p>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二、</w:t>
      </w:r>
      <w:r>
        <w:rPr>
          <w:rFonts w:hint="eastAsia" w:ascii="宋体" w:hAnsi="宋体" w:cs="宋体"/>
          <w:color w:val="auto"/>
          <w:sz w:val="24"/>
          <w:highlight w:val="none"/>
        </w:rPr>
        <w:t>乙方农民工工资专用账户信息如下：</w:t>
      </w:r>
    </w:p>
    <w:p>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专用账户名称：</w:t>
      </w:r>
      <w:r>
        <w:rPr>
          <w:rFonts w:hint="eastAsia" w:ascii="宋体" w:hAnsi="宋体" w:cs="宋体"/>
          <w:color w:val="auto"/>
          <w:kern w:val="0"/>
          <w:sz w:val="24"/>
          <w:highlight w:val="none"/>
          <w:u w:val="single"/>
        </w:rPr>
        <w:t xml:space="preserve">        </w:t>
      </w:r>
    </w:p>
    <w:p>
      <w:pPr>
        <w:spacing w:line="440" w:lineRule="exact"/>
        <w:ind w:firstLine="420"/>
        <w:rPr>
          <w:rFonts w:hint="eastAsia" w:ascii="宋体" w:hAnsi="宋体" w:cs="宋体"/>
          <w:color w:val="auto"/>
          <w:kern w:val="0"/>
          <w:sz w:val="24"/>
          <w:highlight w:val="none"/>
          <w:u w:val="single"/>
        </w:rPr>
      </w:pPr>
      <w:r>
        <w:rPr>
          <w:rFonts w:hint="eastAsia" w:ascii="宋体" w:hAnsi="宋体" w:cs="宋体"/>
          <w:color w:val="auto"/>
          <w:sz w:val="24"/>
          <w:highlight w:val="none"/>
        </w:rPr>
        <w:t>专用账号：</w:t>
      </w:r>
      <w:r>
        <w:rPr>
          <w:rFonts w:hint="eastAsia" w:ascii="宋体" w:hAnsi="宋体" w:cs="宋体"/>
          <w:color w:val="auto"/>
          <w:kern w:val="0"/>
          <w:sz w:val="24"/>
          <w:highlight w:val="none"/>
          <w:u w:val="single"/>
        </w:rPr>
        <w:t xml:space="preserve">        </w:t>
      </w:r>
    </w:p>
    <w:p>
      <w:pPr>
        <w:spacing w:line="440" w:lineRule="exact"/>
        <w:ind w:firstLine="420"/>
        <w:rPr>
          <w:rFonts w:hint="eastAsia" w:ascii="宋体" w:hAnsi="宋体" w:cs="宋体"/>
          <w:color w:val="auto"/>
          <w:sz w:val="24"/>
          <w:highlight w:val="none"/>
        </w:rPr>
      </w:pPr>
      <w:r>
        <w:rPr>
          <w:rFonts w:hint="eastAsia" w:ascii="宋体" w:hAnsi="宋体" w:cs="宋体"/>
          <w:color w:val="auto"/>
          <w:sz w:val="24"/>
          <w:highlight w:val="none"/>
        </w:rPr>
        <w:t>专用账户开户银行名称：</w:t>
      </w:r>
      <w:r>
        <w:rPr>
          <w:rFonts w:hint="eastAsia" w:ascii="宋体" w:hAnsi="宋体" w:cs="宋体"/>
          <w:color w:val="auto"/>
          <w:kern w:val="0"/>
          <w:sz w:val="24"/>
          <w:highlight w:val="none"/>
          <w:u w:val="single"/>
        </w:rPr>
        <w:t xml:space="preserve">           </w:t>
      </w:r>
    </w:p>
    <w:p>
      <w:pPr>
        <w:adjustRightInd w:val="0"/>
        <w:snapToGrid w:val="0"/>
        <w:spacing w:line="59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三、</w:t>
      </w:r>
      <w:r>
        <w:rPr>
          <w:rFonts w:hint="eastAsia" w:ascii="宋体" w:hAnsi="宋体" w:cs="宋体"/>
          <w:color w:val="auto"/>
          <w:sz w:val="24"/>
          <w:highlight w:val="none"/>
        </w:rPr>
        <w:t>截止本协议签订之前，甲方已支付给乙方的进度款中的人工费，甲乙双方通过银行转账凭证双方予以认可。</w:t>
      </w:r>
    </w:p>
    <w:p>
      <w:pPr>
        <w:adjustRightInd w:val="0"/>
        <w:snapToGrid w:val="0"/>
        <w:spacing w:line="590" w:lineRule="exact"/>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四、</w:t>
      </w:r>
      <w:r>
        <w:rPr>
          <w:rFonts w:hint="eastAsia" w:ascii="宋体" w:hAnsi="宋体" w:cs="宋体"/>
          <w:color w:val="auto"/>
          <w:sz w:val="24"/>
          <w:highlight w:val="none"/>
        </w:rPr>
        <w:t>本协议与“原合同”冲突的，以本协议为准，本协议未涉及的其它条款，仍按“原合同”执行。</w:t>
      </w:r>
    </w:p>
    <w:p>
      <w:pPr>
        <w:adjustRightInd w:val="0"/>
        <w:snapToGrid w:val="0"/>
        <w:spacing w:line="590" w:lineRule="exact"/>
        <w:ind w:firstLine="480" w:firstLineChars="200"/>
        <w:rPr>
          <w:rFonts w:hint="eastAsia" w:ascii="宋体" w:hAnsi="宋体" w:cs="宋体"/>
          <w:color w:val="auto"/>
          <w:sz w:val="28"/>
          <w:szCs w:val="28"/>
          <w:highlight w:val="none"/>
        </w:rPr>
      </w:pPr>
      <w:r>
        <w:rPr>
          <w:rFonts w:hint="eastAsia" w:ascii="宋体" w:hAnsi="宋体" w:cs="宋体"/>
          <w:bCs/>
          <w:color w:val="auto"/>
          <w:sz w:val="24"/>
          <w:highlight w:val="none"/>
        </w:rPr>
        <w:t>五、</w:t>
      </w:r>
      <w:r>
        <w:rPr>
          <w:rFonts w:hint="eastAsia" w:ascii="宋体" w:hAnsi="宋体" w:cs="宋体"/>
          <w:color w:val="auto"/>
          <w:sz w:val="24"/>
          <w:highlight w:val="none"/>
        </w:rPr>
        <w:t>本协议一式贰份，甲方执壹份，乙方执壹份，均具同等法律效力</w:t>
      </w:r>
      <w:r>
        <w:rPr>
          <w:rFonts w:hint="eastAsia" w:ascii="宋体" w:hAnsi="宋体" w:cs="宋体"/>
          <w:color w:val="auto"/>
          <w:sz w:val="28"/>
          <w:szCs w:val="28"/>
          <w:highlight w:val="none"/>
        </w:rPr>
        <w:t>。</w:t>
      </w:r>
    </w:p>
    <w:p>
      <w:pPr>
        <w:adjustRightInd w:val="0"/>
        <w:snapToGrid w:val="0"/>
        <w:spacing w:line="590" w:lineRule="exact"/>
        <w:rPr>
          <w:rFonts w:hint="eastAsia" w:ascii="宋体" w:hAnsi="宋体" w:cs="宋体"/>
          <w:bCs/>
          <w:color w:val="auto"/>
          <w:sz w:val="28"/>
          <w:szCs w:val="28"/>
          <w:highlight w:val="none"/>
        </w:rPr>
      </w:pPr>
    </w:p>
    <w:p>
      <w:pPr>
        <w:adjustRightInd w:val="0"/>
        <w:snapToGrid w:val="0"/>
        <w:spacing w:line="590" w:lineRule="exact"/>
        <w:rPr>
          <w:rFonts w:hint="eastAsia" w:ascii="宋体" w:hAnsi="宋体" w:cs="宋体"/>
          <w:bCs/>
          <w:color w:val="auto"/>
          <w:sz w:val="28"/>
          <w:szCs w:val="28"/>
          <w:highlight w:val="none"/>
        </w:rPr>
      </w:pPr>
    </w:p>
    <w:p>
      <w:pPr>
        <w:adjustRightInd w:val="0"/>
        <w:snapToGrid w:val="0"/>
        <w:spacing w:line="590" w:lineRule="exact"/>
        <w:rPr>
          <w:rFonts w:hint="eastAsia" w:ascii="宋体" w:hAnsi="宋体" w:cs="宋体"/>
          <w:color w:val="auto"/>
          <w:sz w:val="28"/>
          <w:szCs w:val="28"/>
          <w:highlight w:val="none"/>
        </w:rPr>
      </w:pPr>
    </w:p>
    <w:p>
      <w:pPr>
        <w:adjustRightInd w:val="0"/>
        <w:snapToGrid w:val="0"/>
        <w:spacing w:line="590" w:lineRule="exact"/>
        <w:rPr>
          <w:rFonts w:hint="eastAsia" w:ascii="宋体" w:hAnsi="宋体" w:cs="宋体"/>
          <w:color w:val="auto"/>
          <w:sz w:val="28"/>
          <w:szCs w:val="28"/>
          <w:highlight w:val="none"/>
        </w:rPr>
      </w:pPr>
    </w:p>
    <w:p>
      <w:pPr>
        <w:adjustRightInd w:val="0"/>
        <w:snapToGrid w:val="0"/>
        <w:spacing w:before="240" w:beforeLines="100" w:after="240" w:afterLines="100" w:line="590" w:lineRule="exact"/>
        <w:rPr>
          <w:rFonts w:hint="eastAsia" w:ascii="宋体" w:hAnsi="宋体" w:cs="宋体"/>
          <w:color w:val="auto"/>
          <w:spacing w:val="-10"/>
          <w:sz w:val="24"/>
          <w:highlight w:val="none"/>
        </w:rPr>
      </w:pPr>
      <w:r>
        <w:rPr>
          <w:rFonts w:hint="eastAsia" w:ascii="宋体" w:hAnsi="宋体" w:cs="宋体"/>
          <w:color w:val="auto"/>
          <w:sz w:val="24"/>
          <w:highlight w:val="none"/>
        </w:rPr>
        <w:t xml:space="preserve">甲方（盖章）：                        乙方（盖章）：  </w:t>
      </w:r>
    </w:p>
    <w:p>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甲方法定代表人：                     乙方法定代表人：</w:t>
      </w:r>
    </w:p>
    <w:p>
      <w:pPr>
        <w:adjustRightInd w:val="0"/>
        <w:snapToGrid w:val="0"/>
        <w:spacing w:before="240" w:beforeLines="100" w:after="240" w:afterLines="100" w:line="590" w:lineRule="exact"/>
        <w:rPr>
          <w:rFonts w:hint="eastAsia" w:ascii="宋体" w:hAnsi="宋体" w:cs="宋体"/>
          <w:color w:val="auto"/>
          <w:sz w:val="24"/>
          <w:highlight w:val="none"/>
        </w:rPr>
      </w:pPr>
      <w:r>
        <w:rPr>
          <w:rFonts w:hint="eastAsia" w:ascii="宋体" w:hAnsi="宋体" w:cs="宋体"/>
          <w:color w:val="auto"/>
          <w:sz w:val="24"/>
          <w:highlight w:val="none"/>
        </w:rPr>
        <w:t>甲方授权代理人：                     乙方授权代理人</w:t>
      </w:r>
    </w:p>
    <w:p>
      <w:pPr>
        <w:adjustRightInd w:val="0"/>
        <w:snapToGrid w:val="0"/>
        <w:spacing w:before="240" w:beforeLines="100" w:after="240" w:afterLines="100" w:line="590" w:lineRule="exact"/>
        <w:rPr>
          <w:rFonts w:hint="eastAsia" w:ascii="宋体" w:hAnsi="宋体" w:cs="宋体"/>
          <w:snapToGrid w:val="0"/>
          <w:color w:val="auto"/>
          <w:sz w:val="24"/>
          <w:highlight w:val="none"/>
        </w:rPr>
      </w:pPr>
      <w:r>
        <w:rPr>
          <w:rFonts w:hint="eastAsia" w:ascii="宋体" w:hAnsi="宋体" w:cs="宋体"/>
          <w:snapToGrid w:val="0"/>
          <w:color w:val="auto"/>
          <w:sz w:val="24"/>
          <w:highlight w:val="none"/>
        </w:rPr>
        <w:t>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                    202</w:t>
      </w:r>
      <w:r>
        <w:rPr>
          <w:rFonts w:hint="eastAsia" w:ascii="宋体" w:hAnsi="宋体" w:cs="宋体"/>
          <w:snapToGrid w:val="0"/>
          <w:color w:val="auto"/>
          <w:sz w:val="24"/>
          <w:highlight w:val="none"/>
          <w:lang w:val="en-US" w:eastAsia="zh-CN"/>
        </w:rPr>
        <w:t>4</w:t>
      </w:r>
      <w:r>
        <w:rPr>
          <w:rFonts w:hint="eastAsia" w:ascii="宋体" w:hAnsi="宋体" w:cs="宋体"/>
          <w:snapToGrid w:val="0"/>
          <w:color w:val="auto"/>
          <w:sz w:val="24"/>
          <w:highlight w:val="none"/>
        </w:rPr>
        <w:t>年   月   日</w:t>
      </w: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w:t>
      </w:r>
      <w:bookmarkStart w:id="209" w:name="_Toc519586145"/>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b/>
          <w:color w:val="auto"/>
          <w:sz w:val="44"/>
          <w:szCs w:val="44"/>
          <w:highlight w:val="none"/>
        </w:rPr>
      </w:pPr>
    </w:p>
    <w:p>
      <w:pPr>
        <w:rPr>
          <w:rFonts w:hint="eastAsia" w:ascii="宋体" w:hAnsi="宋体" w:cs="宋体"/>
          <w:color w:val="auto"/>
          <w:sz w:val="28"/>
          <w:szCs w:val="28"/>
          <w:highlight w:val="none"/>
        </w:rPr>
      </w:pPr>
    </w:p>
    <w:p>
      <w:pPr>
        <w:rPr>
          <w:rFonts w:hint="eastAsia" w:ascii="宋体" w:hAnsi="宋体" w:cs="宋体"/>
          <w:color w:val="auto"/>
          <w:sz w:val="28"/>
          <w:szCs w:val="28"/>
          <w:highlight w:val="none"/>
        </w:rPr>
      </w:pPr>
    </w:p>
    <w:p>
      <w:pPr>
        <w:rPr>
          <w:rFonts w:hint="eastAsia" w:ascii="宋体" w:hAnsi="宋体"/>
          <w:color w:val="auto"/>
          <w:kern w:val="0"/>
          <w:sz w:val="20"/>
          <w:szCs w:val="21"/>
          <w:highlight w:val="none"/>
        </w:rPr>
      </w:pPr>
    </w:p>
    <w:p>
      <w:pPr>
        <w:rPr>
          <w:rFonts w:hint="eastAsia" w:ascii="宋体" w:hAnsi="宋体"/>
          <w:color w:val="auto"/>
          <w:sz w:val="18"/>
          <w:szCs w:val="18"/>
          <w:highlight w:val="none"/>
        </w:rPr>
      </w:pPr>
    </w:p>
    <w:p>
      <w:pPr>
        <w:rPr>
          <w:rFonts w:hint="eastAsia" w:ascii="宋体" w:hAnsi="宋体" w:cs="宋体"/>
          <w:color w:val="auto"/>
          <w:sz w:val="28"/>
          <w:szCs w:val="28"/>
          <w:highlight w:val="none"/>
        </w:rPr>
      </w:pPr>
    </w:p>
    <w:p>
      <w:pPr>
        <w:rPr>
          <w:rFonts w:hint="eastAsia" w:ascii="宋体" w:hAnsi="宋体" w:cs="宋体"/>
          <w:color w:val="auto"/>
          <w:sz w:val="44"/>
          <w:szCs w:val="44"/>
          <w:highlight w:val="none"/>
        </w:rPr>
      </w:pPr>
      <w:r>
        <w:rPr>
          <w:rFonts w:hint="eastAsia" w:ascii="宋体" w:hAnsi="宋体" w:cs="宋体"/>
          <w:color w:val="auto"/>
          <w:sz w:val="28"/>
          <w:szCs w:val="28"/>
          <w:highlight w:val="none"/>
        </w:rPr>
        <w:t>附件三</w:t>
      </w:r>
      <w:r>
        <w:rPr>
          <w:rFonts w:hint="eastAsia" w:ascii="宋体" w:hAnsi="宋体" w:cs="宋体"/>
          <w:color w:val="auto"/>
          <w:sz w:val="44"/>
          <w:szCs w:val="44"/>
          <w:highlight w:val="none"/>
        </w:rPr>
        <w:t xml:space="preserve">  </w:t>
      </w:r>
      <w:bookmarkEnd w:id="209"/>
    </w:p>
    <w:p>
      <w:pPr>
        <w:spacing w:after="386" w:line="360" w:lineRule="auto"/>
        <w:ind w:left="160" w:firstLine="420"/>
        <w:jc w:val="center"/>
        <w:rPr>
          <w:rFonts w:hint="eastAsia" w:ascii="宋体" w:hAnsi="宋体" w:cs="宋体"/>
          <w:b/>
          <w:bCs/>
          <w:color w:val="auto"/>
          <w:spacing w:val="20"/>
          <w:sz w:val="44"/>
          <w:szCs w:val="44"/>
          <w:highlight w:val="none"/>
        </w:rPr>
      </w:pPr>
      <w:r>
        <w:rPr>
          <w:rFonts w:hint="eastAsia" w:ascii="宋体" w:hAnsi="宋体" w:cs="宋体"/>
          <w:b/>
          <w:bCs/>
          <w:color w:val="auto"/>
          <w:spacing w:val="150"/>
          <w:sz w:val="44"/>
          <w:highlight w:val="none"/>
          <w:shd w:val="clear" w:color="auto" w:fill="FFFFFF"/>
          <w:lang w:val="zh-CN"/>
        </w:rPr>
        <w:t>廉政合同</w:t>
      </w:r>
    </w:p>
    <w:p>
      <w:pPr>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(项目名称）的项目法人</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(项目法人名称，以下简称“发包人”）与该项目</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宾阳县2025年大中型水库移民后期扶持资金及中央水库移民扶持基金（提前批）项目基础设施项目项目</w:t>
      </w:r>
      <w:r>
        <w:rPr>
          <w:rFonts w:hint="eastAsia" w:ascii="宋体" w:hAnsi="宋体" w:cs="宋体"/>
          <w:color w:val="auto"/>
          <w:highlight w:val="none"/>
          <w:shd w:val="clear" w:color="auto" w:fill="FFFFFF"/>
          <w:lang w:val="zh-CN" w:bidi="zh-CN"/>
        </w:rPr>
        <w:t>的施工单位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(施工单位名称，以下简称“承包人”)，特订立如下合同。</w:t>
      </w:r>
    </w:p>
    <w:p>
      <w:pPr>
        <w:keepNext/>
        <w:keepLines/>
        <w:tabs>
          <w:tab w:val="left" w:pos="1178"/>
        </w:tabs>
        <w:spacing w:line="360" w:lineRule="auto"/>
        <w:ind w:firstLine="420" w:firstLineChars="2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发包人和承包人双方的权利和义务</w:t>
      </w:r>
    </w:p>
    <w:p>
      <w:pPr>
        <w:tabs>
          <w:tab w:val="left" w:pos="1386"/>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严格遵守党的政策规定和国家有关法律法规及交通运输部的有关规定。</w:t>
      </w:r>
    </w:p>
    <w:p>
      <w:pPr>
        <w:tabs>
          <w:tab w:val="left" w:leader="underscore" w:pos="3406"/>
          <w:tab w:val="left" w:leader="underscore" w:pos="5420"/>
        </w:tabs>
        <w:spacing w:line="360" w:lineRule="auto"/>
        <w:ind w:firstLine="500" w:firstLineChars="200"/>
        <w:rPr>
          <w:rFonts w:hint="eastAsia" w:ascii="宋体" w:hAnsi="宋体" w:cs="宋体"/>
          <w:color w:val="auto"/>
          <w:spacing w:val="20"/>
          <w:szCs w:val="21"/>
          <w:highlight w:val="none"/>
        </w:rPr>
      </w:pPr>
      <w:r>
        <w:rPr>
          <w:rFonts w:hint="eastAsia" w:ascii="宋体" w:hAnsi="宋体" w:cs="宋体"/>
          <w:bCs/>
          <w:color w:val="auto"/>
          <w:spacing w:val="20"/>
          <w:szCs w:val="21"/>
          <w:highlight w:val="none"/>
        </w:rPr>
        <w:t>(2)</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严格执行</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宾阳县2025年大中型水库移民后期扶持资金及中央水库移民扶持基金（提前批）项目基础设施项目项目</w:t>
      </w:r>
      <w:r>
        <w:rPr>
          <w:rFonts w:hint="eastAsia" w:ascii="宋体" w:hAnsi="宋体" w:cs="宋体"/>
          <w:color w:val="auto"/>
          <w:highlight w:val="none"/>
          <w:shd w:val="clear" w:color="auto" w:fill="FFFFFF"/>
          <w:lang w:val="zh-CN" w:bidi="zh-CN"/>
        </w:rPr>
        <w:t>标段施工合同文件，自觉按合同办事。双方的业务活动坚持公开、公正、诚信、透明的原则（法律认定的商业 秘密和合同文件另有规定除外），不得损害国家和集体利益，不得违反工程建设管理 规章制度。</w:t>
      </w:r>
    </w:p>
    <w:p>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建立健全廉政制度，开展廉政教育，设立廉政告示牌，公布举报电话， 监督并认真查处违法违纪行为。</w:t>
      </w:r>
    </w:p>
    <w:p>
      <w:pPr>
        <w:tabs>
          <w:tab w:val="left" w:pos="1273"/>
        </w:tabs>
        <w:spacing w:line="360" w:lineRule="auto"/>
        <w:ind w:left="425" w:right="280" w:hanging="5"/>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发现对方在业务活动中有违反廉政规定的行为，有及时提醒对方纠正的 权利和义务。</w:t>
      </w:r>
    </w:p>
    <w:p>
      <w:pPr>
        <w:tabs>
          <w:tab w:val="left" w:pos="1270"/>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发现对方严重违反本合同义务条款的行为，有向其上级有关部门举报、 建议给予处理并要求告知处理结果的权利。</w:t>
      </w:r>
    </w:p>
    <w:p>
      <w:pPr>
        <w:keepNext/>
        <w:keepLines/>
        <w:tabs>
          <w:tab w:val="left" w:pos="1178"/>
        </w:tabs>
        <w:spacing w:line="360" w:lineRule="auto"/>
        <w:ind w:left="387"/>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发包人的义务</w:t>
      </w:r>
    </w:p>
    <w:p>
      <w:pPr>
        <w:tabs>
          <w:tab w:val="left" w:pos="1251"/>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发包人及其工作人员不得索要或接受承包人的礼金、有价证券和贵重物 品，不得让承包人报销任何应由发包人或发包人工作人员个人支付的费用等。</w:t>
      </w:r>
    </w:p>
    <w:p>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发包人工作人员不得参加承包人安排的超标准宴请和娱乐活动；不得接 受承包人提供的通讯工具、交通工具和高档办公用品等。</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发包人及其工作人员不得要求或者接受承包人为其住房装修、婚丧嫁娶 活动、配偶子女的工作安排以及出国出境、旅游等提供方便等。</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发包人工作人员及其配偶、子女不得从事与发包人工程有关的材料设备 供应、工程分包、劳务等经济活动等。</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发包人及其工作人员不得以任何理由向承包人推荐分包单位或推销材料， 不得要求承包人购买合同规定外的材料和设备。</w:t>
      </w:r>
    </w:p>
    <w:p>
      <w:pPr>
        <w:tabs>
          <w:tab w:val="left" w:pos="1268"/>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发包人工作人员要秉公办事，不准营私舞弊，不准利用职权从事各种个人有偿中介活动和安排个人施工队伍。</w:t>
      </w:r>
    </w:p>
    <w:p>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承包人的义务</w:t>
      </w:r>
    </w:p>
    <w:p>
      <w:pPr>
        <w:tabs>
          <w:tab w:val="left" w:pos="1275"/>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承包人不得以任何理由向发包人及其工作人员行贿或馈赠礼金、有价证 券、贵重礼品。</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承包人不得以任何名义为发包人及其工作人员报销应由发包人单位或个 人支付的任何费用。</w:t>
      </w:r>
    </w:p>
    <w:p>
      <w:pPr>
        <w:tabs>
          <w:tab w:val="left" w:pos="1389"/>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承包人不得以任何理由安排发包人工作人员参加超标准宴请及娱乐活动。</w:t>
      </w:r>
    </w:p>
    <w:p>
      <w:pPr>
        <w:tabs>
          <w:tab w:val="left" w:pos="1266"/>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承包人不得为发包人单位和个人购置或提供通信工具、交通工具和高档 办公用品等。</w:t>
      </w:r>
    </w:p>
    <w:p>
      <w:pPr>
        <w:tabs>
          <w:tab w:val="left" w:pos="1154"/>
        </w:tabs>
        <w:spacing w:line="360" w:lineRule="auto"/>
        <w:ind w:left="387"/>
        <w:rPr>
          <w:rFonts w:hint="eastAsia" w:ascii="宋体" w:hAnsi="宋体" w:cs="宋体"/>
          <w:bCs/>
          <w:color w:val="auto"/>
          <w:spacing w:val="10"/>
          <w:szCs w:val="21"/>
          <w:highlight w:val="none"/>
        </w:rPr>
      </w:pPr>
      <w:r>
        <w:rPr>
          <w:rFonts w:hint="eastAsia" w:ascii="宋体" w:hAnsi="宋体" w:cs="宋体"/>
          <w:color w:val="auto"/>
          <w:highlight w:val="none"/>
          <w:lang w:bidi="zh-CN"/>
        </w:rPr>
        <w:t>4、</w:t>
      </w:r>
      <w:r>
        <w:rPr>
          <w:rFonts w:hint="eastAsia" w:ascii="宋体" w:hAnsi="宋体" w:cs="宋体"/>
          <w:color w:val="auto"/>
          <w:highlight w:val="none"/>
          <w:lang w:val="zh-CN" w:bidi="zh-CN"/>
        </w:rPr>
        <w:t>违约责任</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发包人及其工作人员违反本合同第1、2条，按管理权限，依据有关规定 给予党纪、政纪或组织处理；涉嫌犯罪的，移交司法机关追究刑事责任；给承包人 单位造成经济损失的，应予以赔偿。</w:t>
      </w:r>
    </w:p>
    <w:p>
      <w:pPr>
        <w:tabs>
          <w:tab w:val="left" w:pos="1270"/>
        </w:tabs>
        <w:spacing w:line="360" w:lineRule="auto"/>
        <w:ind w:right="280"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承包人及其工作人员违反本合同第1、3条，按管理权限，依据有关规定 给予党纪、政纪或组织处理；给发包人单位造成经济损失的，应予以赔偿；情节严 重的，发包人建议交通运输主管部门给予承包人一至三年内不得进入其主管的公路 建设市场的处罚。</w:t>
      </w:r>
    </w:p>
    <w:p>
      <w:pPr>
        <w:tabs>
          <w:tab w:val="left" w:pos="975"/>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双方约定：本合同由双方或双方上级单位的纪检监察部门负责监督执行。 由发包人或发包人上级单位的纪检监察部门约请承包人或承包人上级单位纪检监察 部门对本合同执行情况进行检查，提出在本合同规定范围内的裁定意见。</w:t>
      </w:r>
    </w:p>
    <w:p>
      <w:pPr>
        <w:tabs>
          <w:tab w:val="left" w:pos="1154"/>
        </w:tabs>
        <w:spacing w:line="360" w:lineRule="auto"/>
        <w:ind w:left="387"/>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本合同有效期为发包人和承包人签署之日起至该工程项目竣工验收后止。</w:t>
      </w:r>
    </w:p>
    <w:p>
      <w:pPr>
        <w:tabs>
          <w:tab w:val="left" w:leader="underscore" w:pos="3373"/>
          <w:tab w:val="left" w:leader="underscore" w:pos="5307"/>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本合同作为</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宾阳县2025年大中型水库移民后期扶持资金及中央水库移民扶持基金（提前批）项目基础设施项目项目</w:t>
      </w:r>
      <w:r>
        <w:rPr>
          <w:rFonts w:hint="eastAsia" w:ascii="宋体" w:hAnsi="宋体" w:cs="宋体"/>
          <w:color w:val="auto"/>
          <w:highlight w:val="none"/>
          <w:shd w:val="clear" w:color="auto" w:fill="FFFFFF"/>
          <w:lang w:val="zh-CN" w:bidi="zh-CN"/>
        </w:rPr>
        <w:t xml:space="preserve"> (项目名称）标段施工合同的附件，与工程施工合同具有同等的法律效力，经合同双方签署后立即生效。</w:t>
      </w:r>
    </w:p>
    <w:p>
      <w:pPr>
        <w:tabs>
          <w:tab w:val="left" w:pos="978"/>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本合同一式四份，由发包人和承包人各执一份，送交发包人和承包人的监督单位各一份。</w:t>
      </w: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highlight w:val="none"/>
          <w:shd w:val="clear" w:color="auto" w:fill="FFFFFF"/>
          <w:lang w:val="zh-CN" w:bidi="zh-CN"/>
        </w:rPr>
      </w:pPr>
    </w:p>
    <w:p>
      <w:pPr>
        <w:tabs>
          <w:tab w:val="left" w:pos="4550"/>
        </w:tabs>
        <w:spacing w:line="360" w:lineRule="auto"/>
        <w:ind w:left="6090" w:hanging="6090" w:hangingChars="29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发包人监督单位：</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zh-CN"/>
        </w:rPr>
        <w:t>（盖单位章）</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承包人监督单位：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u w:val="single"/>
          <w:shd w:val="clear" w:color="auto" w:fill="FFFFFF"/>
          <w:lang w:val="zh-CN"/>
        </w:rPr>
        <w:t>（盖单位章)</w:t>
      </w:r>
    </w:p>
    <w:p>
      <w:pPr>
        <w:spacing w:line="360" w:lineRule="auto"/>
        <w:ind w:firstLine="480"/>
        <w:rPr>
          <w:rFonts w:hint="eastAsia" w:ascii="宋体" w:hAnsi="宋体" w:cs="宋体"/>
          <w:b/>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0288" behindDoc="1" locked="0" layoutInCell="1" allowOverlap="1">
                <wp:simplePos x="0" y="0"/>
                <wp:positionH relativeFrom="margin">
                  <wp:posOffset>2836545</wp:posOffset>
                </wp:positionH>
                <wp:positionV relativeFrom="paragraph">
                  <wp:posOffset>733425</wp:posOffset>
                </wp:positionV>
                <wp:extent cx="2912745" cy="154432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2912745" cy="1544320"/>
                        </a:xfrm>
                        <a:prstGeom prst="rect">
                          <a:avLst/>
                        </a:prstGeom>
                        <a:noFill/>
                        <a:ln>
                          <a:noFill/>
                        </a:ln>
                      </wps:spPr>
                      <wps:txbx>
                        <w:txbxContent>
                          <w:p>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223.35pt;margin-top:57.75pt;height:121.6pt;width:229.35pt;mso-position-horizontal-relative:margin;mso-wrap-distance-bottom:0pt;mso-wrap-distance-top:0pt;z-index:-251656192;mso-width-relative:page;mso-height-relative:page;" filled="f" stroked="f" coordsize="21600,21600" o:gfxdata="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4HmStoAAAALAQAADwAA&#10;AAAAAAABACAAAAAiAAAAZHJzL2Rvd25yZXYueG1sUEsBAhQAFAAAAAgAh07iQFL2agWiAQAAJwMA&#10;AA4AAAAAAAAAAQAgAAAAKQEAAGRycy9lMm9Eb2MueG1sUEsFBgAAAAAGAAYAWQEAAD0FAAAAAA==&#10;">
                <v:fill on="f" focussize="0,0"/>
                <v:stroke on="f"/>
                <v:imagedata o:title=""/>
                <o:lock v:ext="edit" aspectratio="f"/>
                <v:textbox inset="0mm,0mm,0mm,0mm">
                  <w:txbxContent>
                    <w:p>
                      <w:pPr>
                        <w:pStyle w:val="45"/>
                        <w:shd w:val="clear" w:color="auto" w:fill="auto"/>
                        <w:tabs>
                          <w:tab w:val="left" w:leader="underscore" w:pos="2968"/>
                        </w:tabs>
                        <w:spacing w:before="0"/>
                        <w:ind w:left="1878" w:leftChars="161" w:hanging="1540" w:hangingChars="700"/>
                        <w:jc w:val="both"/>
                        <w:rPr>
                          <w:rStyle w:val="46"/>
                        </w:rPr>
                      </w:pPr>
                      <w:r>
                        <w:rPr>
                          <w:rStyle w:val="46"/>
                          <w:rFonts w:hint="eastAsia"/>
                        </w:rPr>
                        <w:t>承包人：</w:t>
                      </w:r>
                      <w:r>
                        <w:rPr>
                          <w:rFonts w:hint="eastAsia" w:ascii="宋体" w:hAnsi="宋体" w:eastAsia="宋体"/>
                          <w:b/>
                          <w:szCs w:val="21"/>
                          <w:u w:val="single"/>
                        </w:rPr>
                        <w:t xml:space="preserve">            </w:t>
                      </w:r>
                      <w:r>
                        <w:rPr>
                          <w:rStyle w:val="46"/>
                        </w:rPr>
                        <w:t xml:space="preserve"> </w:t>
                      </w:r>
                    </w:p>
                    <w:p>
                      <w:pPr>
                        <w:pStyle w:val="45"/>
                        <w:shd w:val="clear" w:color="auto" w:fill="auto"/>
                        <w:tabs>
                          <w:tab w:val="left" w:leader="underscore" w:pos="2968"/>
                        </w:tabs>
                        <w:spacing w:before="0"/>
                        <w:ind w:left="1867" w:leftChars="889"/>
                        <w:jc w:val="both"/>
                      </w:pPr>
                      <w:r>
                        <w:rPr>
                          <w:rStyle w:val="46"/>
                        </w:rPr>
                        <w:t>(</w:t>
                      </w:r>
                      <w:r>
                        <w:rPr>
                          <w:rStyle w:val="46"/>
                          <w:rFonts w:hint="eastAsia"/>
                        </w:rPr>
                        <w:t>盖单位章</w:t>
                      </w:r>
                      <w:r>
                        <w:rPr>
                          <w:rStyle w:val="46"/>
                        </w:rPr>
                        <w:t>)</w:t>
                      </w:r>
                    </w:p>
                    <w:p>
                      <w:pPr>
                        <w:pStyle w:val="45"/>
                        <w:shd w:val="clear" w:color="auto" w:fill="auto"/>
                        <w:tabs>
                          <w:tab w:val="left" w:leader="underscore" w:pos="2153"/>
                          <w:tab w:val="left" w:leader="underscore" w:pos="2993"/>
                          <w:tab w:val="left" w:leader="underscore" w:pos="3833"/>
                        </w:tabs>
                        <w:spacing w:before="0"/>
                        <w:ind w:left="1200" w:leftChars="100" w:hanging="990" w:hangingChars="450"/>
                        <w:jc w:val="left"/>
                        <w:rPr>
                          <w:rStyle w:val="46"/>
                        </w:rPr>
                      </w:pPr>
                      <w:r>
                        <w:rPr>
                          <w:rStyle w:val="46"/>
                          <w:rFonts w:hint="eastAsia"/>
                        </w:rPr>
                        <w:t>法定代表人或其委托代理人：</w:t>
                      </w:r>
                      <w:r>
                        <w:rPr>
                          <w:rStyle w:val="46"/>
                          <w:u w:val="single"/>
                        </w:rPr>
                        <w:t xml:space="preserve">  </w:t>
                      </w:r>
                      <w:r>
                        <w:rPr>
                          <w:rStyle w:val="46"/>
                          <w:rFonts w:hint="eastAsia"/>
                          <w:u w:val="single"/>
                        </w:rPr>
                        <w:t xml:space="preserve">   </w:t>
                      </w:r>
                      <w:r>
                        <w:rPr>
                          <w:rStyle w:val="46"/>
                          <w:u w:val="single"/>
                        </w:rPr>
                        <w:t xml:space="preserve">  </w:t>
                      </w:r>
                      <w:r>
                        <w:rPr>
                          <w:rStyle w:val="46"/>
                        </w:rPr>
                        <w:t xml:space="preserve"> (</w:t>
                      </w:r>
                      <w:r>
                        <w:rPr>
                          <w:rStyle w:val="46"/>
                          <w:rFonts w:hint="eastAsia"/>
                        </w:rPr>
                        <w:t>签字</w:t>
                      </w:r>
                      <w:r>
                        <w:rPr>
                          <w:rStyle w:val="46"/>
                        </w:rPr>
                        <w:t xml:space="preserve">) </w:t>
                      </w: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46"/>
                          <w:rFonts w:hint="eastAsia"/>
                        </w:rPr>
                      </w:pPr>
                    </w:p>
                    <w:p>
                      <w:pPr>
                        <w:pStyle w:val="45"/>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46"/>
                          <w:rFonts w:hint="eastAsia"/>
                        </w:rPr>
                        <w:t>年</w:t>
                      </w:r>
                      <w:r>
                        <w:rPr>
                          <w:rStyle w:val="46"/>
                        </w:rPr>
                        <w:tab/>
                      </w:r>
                      <w:r>
                        <w:rPr>
                          <w:rStyle w:val="46"/>
                          <w:rFonts w:hint="eastAsia"/>
                        </w:rPr>
                        <w:t>月   日</w:t>
                      </w:r>
                    </w:p>
                  </w:txbxContent>
                </v:textbox>
                <w10:wrap type="topAndBottom"/>
              </v:shap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59264" behindDoc="1" locked="0" layoutInCell="1" allowOverlap="1">
                <wp:simplePos x="0" y="0"/>
                <wp:positionH relativeFrom="margin">
                  <wp:posOffset>8255</wp:posOffset>
                </wp:positionH>
                <wp:positionV relativeFrom="paragraph">
                  <wp:posOffset>717550</wp:posOffset>
                </wp:positionV>
                <wp:extent cx="2663825" cy="1531620"/>
                <wp:effectExtent l="0" t="0" r="0" b="0"/>
                <wp:wrapTopAndBottom/>
                <wp:docPr id="5" name="文本框 5"/>
                <wp:cNvGraphicFramePr/>
                <a:graphic xmlns:a="http://schemas.openxmlformats.org/drawingml/2006/main">
                  <a:graphicData uri="http://schemas.microsoft.com/office/word/2010/wordprocessingShape">
                    <wps:wsp>
                      <wps:cNvSpPr txBox="1"/>
                      <wps:spPr>
                        <a:xfrm>
                          <a:off x="0" y="0"/>
                          <a:ext cx="2663825" cy="1531620"/>
                        </a:xfrm>
                        <a:prstGeom prst="rect">
                          <a:avLst/>
                        </a:prstGeom>
                        <a:noFill/>
                        <a:ln>
                          <a:noFill/>
                        </a:ln>
                      </wps:spPr>
                      <wps:txbx>
                        <w:txbxContent>
                          <w:p>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0.65pt;margin-top:56.5pt;height:120.6pt;width:209.75pt;mso-position-horizontal-relative:margin;mso-wrap-distance-bottom:0pt;mso-wrap-distance-top:0pt;z-index:-251657216;mso-width-relative:page;mso-height-relative:page;" filled="f" stroked="f" coordsize="21600,21600" o:gfxdata="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h69NG1wAAAAkBAAAPAAAAAAAA&#10;AAEAIAAAACIAAABkcnMvZG93bnJldi54bWxQSwECFAAUAAAACACHTuJAk3VtlqEBAAAlAwAADgAA&#10;AAAAAAABACAAAAAmAQAAZHJzL2Uyb0RvYy54bWxQSwUGAAAAAAYABgBZAQAAOQUAAAAA&#10;">
                <v:fill on="f" focussize="0,0"/>
                <v:stroke on="f"/>
                <v:imagedata o:title=""/>
                <o:lock v:ext="edit" aspectratio="f"/>
                <v:textbox inset="0mm,0mm,0mm,0mm">
                  <w:txbxContent>
                    <w:p>
                      <w:pPr>
                        <w:pStyle w:val="45"/>
                        <w:shd w:val="clear" w:color="auto" w:fill="auto"/>
                        <w:tabs>
                          <w:tab w:val="left" w:leader="underscore" w:pos="2738"/>
                        </w:tabs>
                        <w:spacing w:before="0" w:line="442" w:lineRule="exact"/>
                        <w:ind w:left="1600" w:hanging="1600" w:hangingChars="800"/>
                        <w:jc w:val="both"/>
                        <w:rPr>
                          <w:rFonts w:hint="eastAsia" w:ascii="宋体" w:hAnsi="宋体" w:eastAsia="宋体"/>
                          <w:b/>
                          <w:szCs w:val="21"/>
                          <w:u w:val="single"/>
                        </w:rPr>
                      </w:pPr>
                      <w:r>
                        <w:rPr>
                          <w:rStyle w:val="47"/>
                          <w:rFonts w:hint="eastAsia"/>
                          <w:i w:val="0"/>
                          <w:sz w:val="24"/>
                        </w:rPr>
                        <w:t>发包人</w:t>
                      </w:r>
                      <w:r>
                        <w:rPr>
                          <w:rStyle w:val="47"/>
                          <w:rFonts w:hint="eastAsia" w:eastAsia="宋体"/>
                          <w:i w:val="0"/>
                          <w:sz w:val="24"/>
                        </w:rPr>
                        <w:t>：</w:t>
                      </w:r>
                      <w:r>
                        <w:rPr>
                          <w:rStyle w:val="46"/>
                          <w:i/>
                          <w:sz w:val="24"/>
                        </w:rPr>
                        <w:t xml:space="preserve"> </w:t>
                      </w:r>
                      <w:r>
                        <w:rPr>
                          <w:rFonts w:hint="eastAsia" w:ascii="宋体" w:hAnsi="宋体" w:eastAsia="宋体"/>
                          <w:b/>
                          <w:szCs w:val="21"/>
                          <w:u w:val="single"/>
                          <w:lang w:eastAsia="zh-CN"/>
                        </w:rPr>
                        <w:t>宾阳县水库移民安置服务中心</w:t>
                      </w:r>
                      <w:r>
                        <w:rPr>
                          <w:rFonts w:hint="eastAsia" w:ascii="宋体" w:hAnsi="宋体" w:eastAsia="宋体"/>
                          <w:b/>
                          <w:szCs w:val="21"/>
                          <w:u w:val="single"/>
                        </w:rPr>
                        <w:t xml:space="preserve">  </w:t>
                      </w:r>
                    </w:p>
                    <w:p>
                      <w:pPr>
                        <w:pStyle w:val="45"/>
                        <w:shd w:val="clear" w:color="auto" w:fill="auto"/>
                        <w:tabs>
                          <w:tab w:val="left" w:leader="underscore" w:pos="2738"/>
                        </w:tabs>
                        <w:spacing w:before="0" w:line="442" w:lineRule="exact"/>
                        <w:ind w:left="1749" w:leftChars="728" w:hanging="220" w:hangingChars="100"/>
                        <w:jc w:val="both"/>
                      </w:pPr>
                      <w:r>
                        <w:rPr>
                          <w:rStyle w:val="46"/>
                        </w:rPr>
                        <w:t xml:space="preserve"> (</w:t>
                      </w:r>
                      <w:r>
                        <w:rPr>
                          <w:rStyle w:val="46"/>
                          <w:rFonts w:hint="eastAsia"/>
                        </w:rPr>
                        <w:t>盖单位章）</w:t>
                      </w:r>
                    </w:p>
                    <w:p>
                      <w:pPr>
                        <w:pStyle w:val="45"/>
                        <w:shd w:val="clear" w:color="auto" w:fill="auto"/>
                        <w:tabs>
                          <w:tab w:val="left" w:leader="underscore" w:pos="1913"/>
                          <w:tab w:val="left" w:leader="underscore" w:pos="2753"/>
                          <w:tab w:val="left" w:leader="underscore" w:pos="3593"/>
                        </w:tabs>
                        <w:spacing w:before="0" w:line="442" w:lineRule="exact"/>
                        <w:ind w:left="860" w:hanging="860"/>
                        <w:jc w:val="left"/>
                        <w:rPr>
                          <w:rStyle w:val="46"/>
                        </w:rPr>
                      </w:pPr>
                      <w:r>
                        <w:rPr>
                          <w:rStyle w:val="46"/>
                          <w:rFonts w:hint="eastAsia"/>
                        </w:rPr>
                        <w:t>定代表人或其委托代理人：</w:t>
                      </w:r>
                      <w:r>
                        <w:rPr>
                          <w:rStyle w:val="46"/>
                          <w:rFonts w:hint="eastAsia"/>
                          <w:u w:val="single"/>
                        </w:rPr>
                        <w:t xml:space="preserve">      </w:t>
                      </w:r>
                      <w:r>
                        <w:rPr>
                          <w:rStyle w:val="46"/>
                          <w:u w:val="single"/>
                        </w:rPr>
                        <w:t xml:space="preserve"> </w:t>
                      </w:r>
                      <w:r>
                        <w:rPr>
                          <w:rStyle w:val="46"/>
                        </w:rPr>
                        <w:t>(</w:t>
                      </w:r>
                      <w:r>
                        <w:rPr>
                          <w:rStyle w:val="46"/>
                          <w:rFonts w:hint="eastAsia"/>
                        </w:rPr>
                        <w:t>签字</w:t>
                      </w:r>
                      <w:r>
                        <w:rPr>
                          <w:rStyle w:val="46"/>
                        </w:rPr>
                        <w:t xml:space="preserve">) </w:t>
                      </w: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46"/>
                        </w:rPr>
                      </w:pPr>
                    </w:p>
                    <w:p>
                      <w:pPr>
                        <w:pStyle w:val="45"/>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46"/>
                        </w:rPr>
                        <w:t xml:space="preserve"> </w:t>
                      </w:r>
                      <w:r>
                        <w:rPr>
                          <w:rStyle w:val="46"/>
                          <w:rFonts w:hint="eastAsia"/>
                        </w:rPr>
                        <w:t>年</w:t>
                      </w:r>
                      <w:r>
                        <w:rPr>
                          <w:rStyle w:val="46"/>
                        </w:rPr>
                        <w:tab/>
                      </w:r>
                      <w:r>
                        <w:rPr>
                          <w:rStyle w:val="46"/>
                          <w:rFonts w:hint="eastAsia"/>
                        </w:rPr>
                        <w:t>月   日</w:t>
                      </w:r>
                    </w:p>
                  </w:txbxContent>
                </v:textbox>
                <w10:wrap type="topAndBottom"/>
              </v:shape>
            </w:pict>
          </mc:Fallback>
        </mc:AlternateContent>
      </w:r>
    </w:p>
    <w:p>
      <w:pPr>
        <w:keepNext/>
        <w:keepLines/>
        <w:spacing w:before="280" w:after="290" w:line="360" w:lineRule="auto"/>
        <w:ind w:firstLine="281" w:firstLineChars="100"/>
        <w:outlineLvl w:val="3"/>
        <w:rPr>
          <w:rFonts w:hint="eastAsia" w:ascii="宋体" w:hAnsi="宋体" w:cs="宋体"/>
          <w:color w:val="auto"/>
          <w:sz w:val="28"/>
          <w:szCs w:val="28"/>
          <w:highlight w:val="none"/>
        </w:rPr>
      </w:pPr>
      <w:bookmarkStart w:id="210" w:name="_Toc519586146"/>
      <w:r>
        <w:rPr>
          <w:rFonts w:hint="eastAsia" w:ascii="宋体" w:hAnsi="宋体" w:cs="宋体"/>
          <w:b/>
          <w:bCs/>
          <w:color w:val="auto"/>
          <w:sz w:val="28"/>
          <w:szCs w:val="28"/>
          <w:highlight w:val="none"/>
        </w:rPr>
        <w:t xml:space="preserve">附件四  </w:t>
      </w:r>
      <w:bookmarkEnd w:id="210"/>
    </w:p>
    <w:p>
      <w:pPr>
        <w:keepNext/>
        <w:keepLines/>
        <w:spacing w:after="388" w:line="360" w:lineRule="auto"/>
        <w:jc w:val="center"/>
        <w:outlineLvl w:val="6"/>
        <w:rPr>
          <w:rFonts w:hint="eastAsia" w:ascii="宋体" w:hAnsi="宋体" w:cs="宋体"/>
          <w:b/>
          <w:bCs/>
          <w:color w:val="auto"/>
          <w:spacing w:val="30"/>
          <w:sz w:val="44"/>
          <w:szCs w:val="44"/>
          <w:highlight w:val="none"/>
        </w:rPr>
      </w:pPr>
      <w:r>
        <w:rPr>
          <w:rFonts w:hint="eastAsia" w:ascii="宋体" w:hAnsi="宋体" w:cs="宋体"/>
          <w:b/>
          <w:bCs/>
          <w:color w:val="auto"/>
          <w:spacing w:val="10"/>
          <w:sz w:val="44"/>
          <w:highlight w:val="none"/>
          <w:shd w:val="clear" w:color="auto" w:fill="FFFFFF"/>
          <w:lang w:val="zh-CN"/>
        </w:rPr>
        <w:t>安全生产合同</w:t>
      </w:r>
    </w:p>
    <w:p>
      <w:pPr>
        <w:tabs>
          <w:tab w:val="left" w:leader="underscore" w:pos="2305"/>
          <w:tab w:val="left" w:leader="underscore" w:pos="4730"/>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为在</w:t>
      </w:r>
      <w:r>
        <w:rPr>
          <w:rFonts w:hint="eastAsia" w:ascii="宋体" w:hAnsi="宋体" w:cs="宋体"/>
          <w:color w:val="auto"/>
          <w:highlight w:val="none"/>
          <w:u w:val="single"/>
          <w:shd w:val="clear" w:color="auto" w:fill="FFFFFF"/>
          <w:lang w:val="zh-CN" w:bidi="zh-CN"/>
        </w:rPr>
        <w:t>宾阳县2025年大中型水库移民后期扶持资金及中央水库移民扶持基金（提前批）项目基础设施项目项目</w:t>
      </w:r>
      <w:r>
        <w:rPr>
          <w:rFonts w:hint="eastAsia" w:ascii="宋体" w:hAnsi="宋体" w:cs="宋体"/>
          <w:color w:val="auto"/>
          <w:highlight w:val="none"/>
          <w:shd w:val="clear" w:color="auto" w:fill="FFFFFF"/>
          <w:lang w:val="zh-CN" w:bidi="zh-CN"/>
        </w:rPr>
        <w:t>标段施工合同的实施过程中创造安全、高效的施工环境，切实搞好本项目的安全管理工作，本项目发包人(发包人名称，以下简称“发包人”）与承包人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(承包人名称，以下简称“承包人”）特此签订安全生产合同：</w:t>
      </w:r>
    </w:p>
    <w:p>
      <w:pPr>
        <w:keepNext/>
        <w:keepLines/>
        <w:tabs>
          <w:tab w:val="left" w:pos="994"/>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发包人职责</w:t>
      </w:r>
    </w:p>
    <w:p>
      <w:pPr>
        <w:tabs>
          <w:tab w:val="left" w:pos="1268"/>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严格遵守国家有关安全生产的法律法规，认真执行工程承包合同中的有 关安全要求。</w:t>
      </w:r>
    </w:p>
    <w:p>
      <w:pPr>
        <w:tabs>
          <w:tab w:val="left" w:pos="1273"/>
        </w:tabs>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按照“安全第一、预防为主”和坚持“管生产必须管安全”的原则进行安全 生产管理，做到生产与安全工作同时计划、布置、检查、总结和评比。</w:t>
      </w:r>
    </w:p>
    <w:p>
      <w:pPr>
        <w:tabs>
          <w:tab w:val="left" w:pos="1263"/>
        </w:tabs>
        <w:spacing w:line="360" w:lineRule="auto"/>
        <w:ind w:left="63"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重要的安全设施必须坚持与主体工程“三同时”的原则：同时设计、 审批，同时施工，同时验收，投入使用。</w:t>
      </w:r>
    </w:p>
    <w:p>
      <w:pPr>
        <w:tabs>
          <w:tab w:val="left" w:pos="1311"/>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定期召开安全生产调度会，及时传达中央及地方有关安全生产的精神。</w:t>
      </w:r>
    </w:p>
    <w:p>
      <w:pPr>
        <w:tabs>
          <w:tab w:val="left" w:pos="1273"/>
        </w:tabs>
        <w:spacing w:line="360" w:lineRule="auto"/>
        <w:ind w:left="63"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组织对承包人施工现场进行安全生产检查，监督承包人及时处理发现的 各种安全隐患。</w:t>
      </w:r>
    </w:p>
    <w:p>
      <w:pPr>
        <w:keepNext/>
        <w:keepLines/>
        <w:tabs>
          <w:tab w:val="left" w:pos="1018"/>
        </w:tabs>
        <w:spacing w:line="360" w:lineRule="auto"/>
        <w:ind w:firstLine="630" w:firstLineChars="300"/>
        <w:outlineLvl w:val="7"/>
        <w:rPr>
          <w:rFonts w:hint="eastAsia"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承包人职责</w:t>
      </w:r>
    </w:p>
    <w:p>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严格遵守《中华人民共和国安全生产法》、《建设工程安全生产管理条例》 等国家有关安全生产的法律法规、《公路水运工程安全生产监督管理办法》和《公路 工程施工安全技术规范》等有关安全生产的规定。认真执行工程承包合同中的有关 安全要求。</w:t>
      </w:r>
    </w:p>
    <w:p>
      <w:pPr>
        <w:tabs>
          <w:tab w:val="left" w:pos="1275"/>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坚持“安全第一、预防为主”和“管生产必须管安全”的原则，加强安全生 产宣传教育，增强全员安全生产意识，建立健全各项安全生产的管理机构和安全生 产管理制度，配备专职及兼职安全检查人员，有组织有领导地开展安全生产活动。 各级领导、工程技术人员、生产管理人员和具体操作人员，必须熟悉和遵守本合同 的各项规定，做到生产与安全工作同时计划、布置、检查、总结和评比。</w:t>
      </w:r>
    </w:p>
    <w:p>
      <w:pPr>
        <w:tabs>
          <w:tab w:val="left" w:pos="1275"/>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建立健全安全生产责任制。从派往项目实施的项目经理到生产工人（包 括临时雇请的民工）的安全生产管理系统必须做到纵向到底，一环不漏；各职能部 门、人员的安全生产责任制做到横向到边，人人有责。项目经理是安全生产的第一 责任人。现场设置的安全机构，应按《公路水运工程安全生产监督管理办法》规定 的最低数量和资质条件配备专职安全生产管理人员，专职负责所有员工的安全和治 安保卫工作及预防事故的发生。安全机构人员有权按有关规定发布指令，并采取保 护性措施防止事故发生。</w:t>
      </w:r>
    </w:p>
    <w:p>
      <w:pPr>
        <w:tabs>
          <w:tab w:val="left" w:pos="53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承包人在任何时候都应采取各种合理的预防措施，防止其员工发生任何 违法、违禁、暴力或妨碍治安的行为。</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承包人必须具有劳动安全管理部门颁发的安全生产考核合格证书，参加 施工的人员，必须接受安全技术教育，熟知和遵守本工种的各项安全技术操作规程， 定期进行安全技术考核，合格者方准上岗操作。对于从事电气、起重、建筑登高架 设作业、锅炉、压力容器、焊接、机动车船艇驾驶、爆破、潜水、瓦斯检验等特殊 工种的人员，经过专业培训，获得《安全操作合格证》后，方准持证上岗。施工现 场如出现特种作业无证操作现象时，项目经理必须承担管理责任。</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对于易燃易爆的材料除应专门妥善保管之外，还应配备有足够的消防设 施，所有施工人员都应熟悉消防设备的性能和使用方法；承包人不得将任何种类的 爆炸物给予、易货或以其他方式转让给任何其他人，或允许、容忍上述同样行为。</w:t>
      </w:r>
    </w:p>
    <w:p>
      <w:pPr>
        <w:tabs>
          <w:tab w:val="left" w:pos="1261"/>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操作人员上岗，必须按规定穿戴防护用品。施工负责人和安全检查员应 随时检查劳动防护用品的穿戴情况，不按规定穿戴防护用品的人员不得上岗。</w:t>
      </w:r>
    </w:p>
    <w:p>
      <w:pPr>
        <w:tabs>
          <w:tab w:val="left" w:pos="1273"/>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所有施工机具设备和高空作业的设备均应定期检查，并有安全员的签字 记录，保证其经常处于完好状态；不合格的机具、设备和劳动保护用品严禁使用。</w:t>
      </w:r>
    </w:p>
    <w:p>
      <w:pPr>
        <w:tabs>
          <w:tab w:val="left" w:pos="127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9）</w:t>
      </w:r>
      <w:r>
        <w:rPr>
          <w:rFonts w:hint="eastAsia" w:ascii="宋体" w:hAnsi="宋体" w:cs="宋体"/>
          <w:color w:val="auto"/>
          <w:highlight w:val="none"/>
          <w:shd w:val="clear" w:color="auto" w:fill="FFFFFF"/>
          <w:lang w:val="zh-CN" w:bidi="zh-CN"/>
        </w:rPr>
        <w:t>施工中采用新技术、新工艺、新设备、新材料时，必须制定相应的安全 技术措施，施工现场必须具有相关的安全标志牌。</w:t>
      </w:r>
    </w:p>
    <w:p>
      <w:pPr>
        <w:tabs>
          <w:tab w:val="left" w:pos="1390"/>
        </w:tabs>
        <w:spacing w:line="360" w:lineRule="auto"/>
        <w:ind w:left="176"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10）</w:t>
      </w:r>
      <w:r>
        <w:rPr>
          <w:rFonts w:hint="eastAsia" w:ascii="宋体" w:hAnsi="宋体" w:cs="宋体"/>
          <w:color w:val="auto"/>
          <w:highlight w:val="none"/>
          <w:shd w:val="clear" w:color="auto" w:fill="FFFFFF"/>
          <w:lang w:val="zh-CN" w:bidi="zh-CN"/>
        </w:rPr>
        <w:t>承包人必须按照本工程项目特点，组织制定本工程实施中的生产安全事 故应急救援预案；如果发生安全事故，应按照《国务院关于特大安全事故行政责任 追究的规定》以及其他有关规定，及时上报有关部门，并坚持“四不放过”的原则， 严肃处理相关责任人。</w:t>
      </w:r>
    </w:p>
    <w:p>
      <w:pPr>
        <w:tabs>
          <w:tab w:val="left" w:pos="1390"/>
        </w:tabs>
        <w:spacing w:line="360" w:lineRule="auto"/>
        <w:ind w:left="176"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11）</w:t>
      </w:r>
      <w:r>
        <w:rPr>
          <w:rFonts w:hint="eastAsia" w:ascii="宋体" w:hAnsi="宋体" w:cs="宋体"/>
          <w:color w:val="auto"/>
          <w:highlight w:val="none"/>
          <w:shd w:val="clear" w:color="auto" w:fill="FFFFFF"/>
          <w:lang w:val="zh-CN" w:bidi="zh-CN"/>
        </w:rPr>
        <w:t>安全生产费用按照《公路水运工程安全生产监督管理办法》的相关规定使用和管理。</w:t>
      </w:r>
    </w:p>
    <w:p>
      <w:pPr>
        <w:tabs>
          <w:tab w:val="left" w:pos="994"/>
        </w:tabs>
        <w:spacing w:line="360" w:lineRule="auto"/>
        <w:ind w:firstLine="420" w:firstLineChars="200"/>
        <w:rPr>
          <w:rFonts w:hint="eastAsia"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违约责任</w:t>
      </w:r>
    </w:p>
    <w:p>
      <w:pPr>
        <w:spacing w:line="360" w:lineRule="auto"/>
        <w:ind w:firstLine="420" w:firstLineChars="200"/>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如因发包人或承包人违约造成安全事故，将依法追究责任。</w:t>
      </w:r>
    </w:p>
    <w:p>
      <w:pPr>
        <w:tabs>
          <w:tab w:val="left" w:pos="966"/>
        </w:tabs>
        <w:spacing w:line="360" w:lineRule="auto"/>
        <w:ind w:firstLine="420" w:firstLineChars="200"/>
        <w:jc w:val="left"/>
        <w:rPr>
          <w:rFonts w:hint="eastAsia"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本合同由双方法定代表人或其授权的代理人签署并加盖单位章后生效，全部工程竣工验收后失效。</w:t>
      </w:r>
    </w:p>
    <w:p>
      <w:pPr>
        <w:tabs>
          <w:tab w:val="left" w:leader="underscore" w:pos="3679"/>
          <w:tab w:val="left" w:leader="underscore" w:pos="7914"/>
        </w:tabs>
        <w:spacing w:line="360" w:lineRule="auto"/>
        <w:ind w:firstLine="420" w:firstLineChars="200"/>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本合同正本二份、副本</w:t>
      </w:r>
      <w:r>
        <w:rPr>
          <w:rFonts w:hint="eastAsia" w:ascii="宋体" w:hAnsi="宋体" w:cs="宋体"/>
          <w:color w:val="auto"/>
          <w:highlight w:val="none"/>
          <w:u w:val="single"/>
          <w:shd w:val="clear" w:color="auto" w:fill="FFFFFF"/>
          <w:lang w:bidi="zh-CN"/>
        </w:rPr>
        <w:t xml:space="preserve"> 二 </w:t>
      </w:r>
      <w:r>
        <w:rPr>
          <w:rFonts w:hint="eastAsia" w:ascii="宋体" w:hAnsi="宋体" w:cs="宋体"/>
          <w:color w:val="auto"/>
          <w:highlight w:val="none"/>
          <w:shd w:val="clear" w:color="auto" w:fill="FFFFFF"/>
          <w:lang w:val="zh-CN" w:bidi="zh-CN"/>
        </w:rPr>
        <w:t>份，合同双方各执正本一份，副本</w:t>
      </w:r>
      <w:r>
        <w:rPr>
          <w:rFonts w:hint="eastAsia" w:ascii="宋体" w:hAnsi="宋体" w:cs="宋体"/>
          <w:color w:val="auto"/>
          <w:highlight w:val="none"/>
          <w:u w:val="single"/>
          <w:shd w:val="clear" w:color="auto" w:fill="FFFFFF"/>
          <w:lang w:bidi="zh-CN"/>
        </w:rPr>
        <w:t xml:space="preserve">  一 </w:t>
      </w:r>
      <w:r>
        <w:rPr>
          <w:rFonts w:hint="eastAsia" w:ascii="宋体" w:hAnsi="宋体" w:cs="宋体"/>
          <w:color w:val="auto"/>
          <w:highlight w:val="none"/>
          <w:shd w:val="clear" w:color="auto" w:fill="FFFFFF"/>
          <w:lang w:val="zh-CN" w:bidi="zh-CN"/>
        </w:rPr>
        <w:t>份，当正本与副本的内容不一致时，以正本为准。</w:t>
      </w:r>
    </w:p>
    <w:p>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pPr>
        <w:tabs>
          <w:tab w:val="left" w:leader="underscore" w:pos="3679"/>
          <w:tab w:val="left" w:leader="underscore" w:pos="7914"/>
        </w:tabs>
        <w:spacing w:line="360" w:lineRule="auto"/>
        <w:rPr>
          <w:rFonts w:hint="eastAsia" w:ascii="宋体" w:hAnsi="宋体" w:cs="宋体"/>
          <w:b/>
          <w:bCs/>
          <w:color w:val="auto"/>
          <w:highlight w:val="none"/>
          <w:shd w:val="clear" w:color="auto" w:fill="FFFFFF"/>
          <w:lang w:val="zh-CN" w:bidi="zh-CN"/>
        </w:rPr>
      </w:pPr>
    </w:p>
    <w:p>
      <w:pPr>
        <w:spacing w:line="380" w:lineRule="exact"/>
        <w:ind w:left="5520" w:hanging="5520" w:hangingChars="2400"/>
        <w:jc w:val="left"/>
        <w:rPr>
          <w:rFonts w:hint="eastAsia" w:ascii="宋体" w:hAnsi="宋体" w:cs="宋体"/>
          <w:color w:val="auto"/>
          <w:highlight w:val="none"/>
          <w:shd w:val="clear" w:color="auto" w:fill="FFFFFF"/>
          <w:lang w:val="zh-CN" w:bidi="zh-CN"/>
        </w:rPr>
      </w:pPr>
      <w:r>
        <w:rPr>
          <w:rFonts w:hint="eastAsia" w:ascii="宋体" w:hAnsi="宋体" w:cs="宋体"/>
          <w:iCs/>
          <w:color w:val="auto"/>
          <w:spacing w:val="10"/>
          <w:highlight w:val="none"/>
          <w:shd w:val="clear" w:color="auto" w:fill="FFFFFF"/>
          <w:lang w:val="zh-CN"/>
        </w:rPr>
        <w:t>发包人：</w:t>
      </w:r>
      <w:r>
        <w:rPr>
          <w:rFonts w:hint="eastAsia" w:ascii="宋体" w:hAnsi="宋体" w:cs="宋体"/>
          <w:b/>
          <w:color w:val="auto"/>
          <w:spacing w:val="20"/>
          <w:szCs w:val="21"/>
          <w:highlight w:val="none"/>
          <w:u w:val="single"/>
          <w:lang w:eastAsia="zh-CN"/>
        </w:rPr>
        <w:t>宾阳县水库移民安置服务中心</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w:t>
      </w:r>
    </w:p>
    <w:p>
      <w:pPr>
        <w:spacing w:line="380" w:lineRule="exact"/>
        <w:ind w:left="5040" w:hanging="5040" w:hangingChars="2400"/>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p>
    <w:p>
      <w:pPr>
        <w:spacing w:line="380" w:lineRule="exact"/>
        <w:ind w:left="5040" w:hanging="5040" w:hangingChars="2400"/>
        <w:jc w:val="left"/>
        <w:rPr>
          <w:rFonts w:hint="eastAsia" w:ascii="宋体" w:hAnsi="宋体" w:cs="宋体"/>
          <w:color w:val="auto"/>
          <w:highlight w:val="none"/>
          <w:shd w:val="clear" w:color="auto" w:fill="FFFFFF"/>
          <w:lang w:val="zh-CN" w:bidi="zh-CN"/>
        </w:rPr>
      </w:pPr>
    </w:p>
    <w:p>
      <w:pPr>
        <w:spacing w:line="380" w:lineRule="exact"/>
        <w:ind w:left="5040" w:hanging="5040" w:hangingChars="2400"/>
        <w:jc w:val="left"/>
        <w:rPr>
          <w:rFonts w:hint="eastAsia" w:ascii="宋体" w:hAnsi="宋体" w:cs="宋体"/>
          <w:color w:val="auto"/>
          <w:highlight w:val="none"/>
          <w:shd w:val="clear" w:color="auto" w:fill="FFFFFF"/>
          <w:lang w:val="zh-CN" w:bidi="zh-CN"/>
        </w:rPr>
      </w:pP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法定代表人或其委托代理人：</w:t>
      </w:r>
      <w:r>
        <w:rPr>
          <w:rFonts w:hint="eastAsia" w:ascii="宋体" w:hAnsi="宋体" w:cs="宋体"/>
          <w:color w:val="auto"/>
          <w:highlight w:val="none"/>
          <w:u w:val="single"/>
          <w:shd w:val="clear" w:color="auto" w:fill="FFFFFF"/>
          <w:lang w:val="zh-CN" w:bidi="zh-CN"/>
        </w:rPr>
        <w:t xml:space="preserve">    </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u w:val="single"/>
          <w:shd w:val="clear" w:color="auto" w:fill="FFFFFF"/>
          <w:lang w:val="zh-CN" w:bidi="zh-CN"/>
        </w:rPr>
        <w:t>（</w:t>
      </w:r>
      <w:r>
        <w:rPr>
          <w:rFonts w:hint="eastAsia" w:ascii="宋体" w:hAnsi="宋体" w:cs="宋体"/>
          <w:color w:val="auto"/>
          <w:highlight w:val="none"/>
          <w:shd w:val="clear" w:color="auto" w:fill="FFFFFF"/>
          <w:lang w:val="zh-CN" w:bidi="zh-CN"/>
        </w:rPr>
        <w:t>签字）    法定代表人或其委托代理人：</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shd w:val="clear" w:color="auto" w:fill="FFFFFF"/>
          <w:lang w:val="zh-CN" w:bidi="zh-CN"/>
        </w:rPr>
        <w:t xml:space="preserve">(签字) </w:t>
      </w: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p>
    <w:p>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hint="eastAsia" w:ascii="宋体" w:hAnsi="宋体" w:cs="宋体"/>
          <w:color w:val="auto"/>
          <w:highlight w:val="none"/>
          <w:shd w:val="clear" w:color="auto" w:fill="FFFFFF"/>
          <w:lang w:val="zh-CN" w:bidi="zh-CN"/>
        </w:rPr>
      </w:pPr>
    </w:p>
    <w:p>
      <w:pPr>
        <w:keepNext/>
        <w:keepLines/>
        <w:spacing w:before="280" w:after="290"/>
        <w:outlineLvl w:val="3"/>
        <w:rPr>
          <w:rFonts w:hint="eastAsia" w:ascii="宋体" w:hAnsi="宋体" w:cs="宋体"/>
          <w:b/>
          <w:bCs/>
          <w:color w:val="auto"/>
          <w:kern w:val="0"/>
          <w:szCs w:val="21"/>
          <w:highlight w:val="none"/>
        </w:rPr>
      </w:pPr>
      <w:bookmarkStart w:id="211" w:name="_Toc394929419"/>
      <w:bookmarkStart w:id="212" w:name="_Toc519586147"/>
      <w:r>
        <w:rPr>
          <w:rFonts w:hint="eastAsia" w:ascii="宋体" w:hAnsi="宋体" w:cs="宋体"/>
          <w:b/>
          <w:bCs/>
          <w:color w:val="auto"/>
          <w:kern w:val="0"/>
          <w:szCs w:val="21"/>
          <w:highlight w:val="none"/>
        </w:rPr>
        <w:t>附件五  其他主要管理人员和技术人员最低要求</w:t>
      </w:r>
      <w:bookmarkEnd w:id="211"/>
      <w:bookmarkEnd w:id="212"/>
    </w:p>
    <w:tbl>
      <w:tblPr>
        <w:tblStyle w:val="25"/>
        <w:tblW w:w="9299" w:type="dxa"/>
        <w:jc w:val="center"/>
        <w:tblInd w:w="0" w:type="dxa"/>
        <w:tblLayout w:type="fixed"/>
        <w:tblCellMar>
          <w:top w:w="0" w:type="dxa"/>
          <w:left w:w="108" w:type="dxa"/>
          <w:bottom w:w="0" w:type="dxa"/>
          <w:right w:w="108" w:type="dxa"/>
        </w:tblCellMar>
      </w:tblPr>
      <w:tblGrid>
        <w:gridCol w:w="2732"/>
        <w:gridCol w:w="933"/>
        <w:gridCol w:w="5634"/>
      </w:tblGrid>
      <w:tr>
        <w:tblPrEx>
          <w:tblLayout w:type="fixed"/>
          <w:tblCellMar>
            <w:top w:w="0" w:type="dxa"/>
            <w:left w:w="108" w:type="dxa"/>
            <w:bottom w:w="0" w:type="dxa"/>
            <w:right w:w="108" w:type="dxa"/>
          </w:tblCellMar>
        </w:tblPrEx>
        <w:trPr>
          <w:trHeight w:val="671" w:hRule="atLeast"/>
          <w:jc w:val="center"/>
        </w:trPr>
        <w:tc>
          <w:tcPr>
            <w:tcW w:w="2732" w:type="dxa"/>
            <w:tcBorders>
              <w:top w:val="single" w:color="auto" w:sz="4" w:space="0"/>
              <w:left w:val="single" w:color="auto" w:sz="4" w:space="0"/>
              <w:bottom w:val="single" w:color="auto" w:sz="4" w:space="0"/>
              <w:right w:val="single" w:color="auto" w:sz="4" w:space="0"/>
            </w:tcBorders>
            <w:noWrap w:val="0"/>
            <w:vAlign w:val="center"/>
          </w:tcPr>
          <w:p>
            <w:pPr>
              <w:widowControl/>
              <w:ind w:left="420"/>
              <w:jc w:val="center"/>
              <w:rPr>
                <w:rFonts w:hint="eastAsia" w:ascii="宋体" w:hAnsi="宋体" w:cs="宋体"/>
                <w:color w:val="auto"/>
                <w:szCs w:val="21"/>
                <w:highlight w:val="none"/>
              </w:rPr>
            </w:pPr>
            <w:r>
              <w:rPr>
                <w:rFonts w:hint="eastAsia" w:ascii="宋体" w:hAnsi="宋体" w:cs="宋体"/>
                <w:color w:val="auto"/>
                <w:szCs w:val="21"/>
                <w:highlight w:val="none"/>
              </w:rPr>
              <w:t>人员</w:t>
            </w:r>
          </w:p>
        </w:tc>
        <w:tc>
          <w:tcPr>
            <w:tcW w:w="93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63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资格要求</w:t>
            </w:r>
          </w:p>
        </w:tc>
      </w:tr>
      <w:tr>
        <w:tblPrEx>
          <w:tblLayout w:type="fixed"/>
          <w:tblCellMar>
            <w:top w:w="0" w:type="dxa"/>
            <w:left w:w="108" w:type="dxa"/>
            <w:bottom w:w="0" w:type="dxa"/>
            <w:right w:w="108" w:type="dxa"/>
          </w:tblCellMar>
        </w:tblPrEx>
        <w:trPr>
          <w:trHeight w:val="1676" w:hRule="atLeast"/>
          <w:jc w:val="center"/>
        </w:trPr>
        <w:tc>
          <w:tcPr>
            <w:tcW w:w="2732"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93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5634" w:type="dxa"/>
            <w:tcBorders>
              <w:top w:val="nil"/>
              <w:left w:val="nil"/>
              <w:bottom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中级工程师职称，具有二级注册建造师证（公路工程专业）和省级或以上交通运输行政主管部门颁发的安全生产考核合格证（“三类人员”B类证书）。</w:t>
            </w:r>
          </w:p>
        </w:tc>
      </w:tr>
      <w:tr>
        <w:tblPrEx>
          <w:tblLayout w:type="fixed"/>
          <w:tblCellMar>
            <w:top w:w="0" w:type="dxa"/>
            <w:left w:w="108" w:type="dxa"/>
            <w:bottom w:w="0" w:type="dxa"/>
            <w:right w:w="108" w:type="dxa"/>
          </w:tblCellMar>
        </w:tblPrEx>
        <w:trPr>
          <w:trHeight w:val="1262" w:hRule="atLeast"/>
          <w:jc w:val="center"/>
        </w:trPr>
        <w:tc>
          <w:tcPr>
            <w:tcW w:w="273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技术负责人</w:t>
            </w:r>
          </w:p>
        </w:tc>
        <w:tc>
          <w:tcPr>
            <w:tcW w:w="93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5634" w:type="dxa"/>
            <w:tcBorders>
              <w:top w:val="nil"/>
              <w:left w:val="nil"/>
              <w:bottom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highlight w:val="none"/>
              </w:rPr>
              <w:t>中级工程师职称（公路专业），具有省级或以上交通运输行政主管部门颁发的安全生产考核合格证（“三类人员”B类证书）。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2732" w:type="dxa"/>
            <w:noWrap w:val="0"/>
            <w:vAlign w:val="center"/>
          </w:tcPr>
          <w:p>
            <w:pPr>
              <w:spacing w:line="400" w:lineRule="exact"/>
              <w:jc w:val="center"/>
              <w:rPr>
                <w:rFonts w:hint="eastAsia" w:ascii="宋体" w:hAnsi="宋体" w:cs="宋体"/>
                <w:color w:val="auto"/>
                <w:highlight w:val="none"/>
              </w:rPr>
            </w:pPr>
            <w:r>
              <w:rPr>
                <w:rFonts w:hint="eastAsia" w:ascii="宋体" w:hAnsi="宋体" w:cs="宋体"/>
                <w:color w:val="auto"/>
                <w:highlight w:val="none"/>
              </w:rPr>
              <w:t>专职安全员</w:t>
            </w:r>
          </w:p>
        </w:tc>
        <w:tc>
          <w:tcPr>
            <w:tcW w:w="933" w:type="dxa"/>
            <w:noWrap w:val="0"/>
            <w:vAlign w:val="center"/>
          </w:tcPr>
          <w:p>
            <w:pPr>
              <w:jc w:val="center"/>
              <w:rPr>
                <w:rFonts w:hint="eastAsia" w:ascii="宋体" w:hAnsi="宋体" w:cs="宋体"/>
                <w:color w:val="auto"/>
                <w:highlight w:val="none"/>
              </w:rPr>
            </w:pPr>
            <w:r>
              <w:rPr>
                <w:rFonts w:hint="eastAsia" w:ascii="宋体" w:hAnsi="宋体" w:cs="宋体"/>
                <w:color w:val="auto"/>
                <w:highlight w:val="none"/>
              </w:rPr>
              <w:t>1</w:t>
            </w:r>
          </w:p>
        </w:tc>
        <w:tc>
          <w:tcPr>
            <w:tcW w:w="5634" w:type="dxa"/>
            <w:noWrap w:val="0"/>
            <w:vAlign w:val="center"/>
          </w:tcPr>
          <w:p>
            <w:pPr>
              <w:spacing w:line="300" w:lineRule="exact"/>
              <w:rPr>
                <w:rFonts w:hint="eastAsia" w:ascii="宋体" w:hAnsi="宋体" w:cs="宋体"/>
                <w:color w:val="auto"/>
                <w:highlight w:val="none"/>
              </w:rPr>
            </w:pPr>
            <w:r>
              <w:rPr>
                <w:rFonts w:hint="eastAsia" w:ascii="宋体" w:hAnsi="宋体" w:cs="宋体"/>
                <w:color w:val="auto"/>
                <w:highlight w:val="none"/>
              </w:rPr>
              <w:t>具有省级（或以上）交通主管部门颁发的《安全生产考核合格证书》C证。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2732" w:type="dxa"/>
            <w:noWrap w:val="0"/>
            <w:vAlign w:val="center"/>
          </w:tcPr>
          <w:p>
            <w:pPr>
              <w:spacing w:line="3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1" w:hRule="atLeast"/>
          <w:jc w:val="center"/>
        </w:trPr>
        <w:tc>
          <w:tcPr>
            <w:tcW w:w="2732" w:type="dxa"/>
            <w:noWrap w:val="0"/>
            <w:vAlign w:val="center"/>
          </w:tcPr>
          <w:p>
            <w:pPr>
              <w:spacing w:line="4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2732" w:type="dxa"/>
            <w:noWrap w:val="0"/>
            <w:vAlign w:val="center"/>
          </w:tcPr>
          <w:p>
            <w:pPr>
              <w:spacing w:line="400" w:lineRule="exact"/>
              <w:jc w:val="center"/>
              <w:rPr>
                <w:rFonts w:hint="eastAsia" w:ascii="宋体" w:hAnsi="宋体" w:cs="宋体"/>
                <w:color w:val="auto"/>
                <w:highlight w:val="none"/>
              </w:rPr>
            </w:pPr>
          </w:p>
        </w:tc>
        <w:tc>
          <w:tcPr>
            <w:tcW w:w="933" w:type="dxa"/>
            <w:noWrap w:val="0"/>
            <w:vAlign w:val="center"/>
          </w:tcPr>
          <w:p>
            <w:pPr>
              <w:jc w:val="center"/>
              <w:rPr>
                <w:rFonts w:hint="eastAsia" w:ascii="宋体" w:hAnsi="宋体" w:cs="宋体"/>
                <w:color w:val="auto"/>
                <w:highlight w:val="none"/>
              </w:rPr>
            </w:pPr>
          </w:p>
        </w:tc>
        <w:tc>
          <w:tcPr>
            <w:tcW w:w="5634" w:type="dxa"/>
            <w:noWrap w:val="0"/>
            <w:vAlign w:val="center"/>
          </w:tcPr>
          <w:p>
            <w:pPr>
              <w:spacing w:line="300" w:lineRule="exact"/>
              <w:rPr>
                <w:rFonts w:hint="eastAsia" w:ascii="宋体" w:hAnsi="宋体" w:cs="宋体"/>
                <w:color w:val="auto"/>
                <w:highlight w:val="none"/>
              </w:rPr>
            </w:pPr>
          </w:p>
        </w:tc>
      </w:tr>
    </w:tbl>
    <w:p>
      <w:pPr>
        <w:ind w:firstLine="420"/>
        <w:rPr>
          <w:rFonts w:hint="eastAsia" w:ascii="宋体" w:hAnsi="宋体" w:cs="宋体"/>
          <w:color w:val="auto"/>
          <w:szCs w:val="21"/>
          <w:highlight w:val="none"/>
        </w:rPr>
      </w:pPr>
    </w:p>
    <w:p>
      <w:pPr>
        <w:ind w:firstLine="420"/>
        <w:rPr>
          <w:rFonts w:hint="eastAsia" w:ascii="宋体" w:hAnsi="宋体" w:cs="宋体"/>
          <w:color w:val="auto"/>
          <w:szCs w:val="21"/>
          <w:highlight w:val="none"/>
        </w:rPr>
      </w:pPr>
      <w:r>
        <w:rPr>
          <w:rFonts w:hint="eastAsia" w:ascii="宋体" w:hAnsi="宋体" w:cs="宋体"/>
          <w:color w:val="auto"/>
          <w:szCs w:val="21"/>
          <w:highlight w:val="none"/>
        </w:rPr>
        <w:br w:type="page"/>
      </w:r>
    </w:p>
    <w:p>
      <w:pPr>
        <w:keepNext/>
        <w:keepLines/>
        <w:spacing w:before="280" w:after="290"/>
        <w:outlineLvl w:val="3"/>
        <w:rPr>
          <w:rFonts w:hint="eastAsia" w:ascii="宋体" w:hAnsi="宋体" w:cs="宋体"/>
          <w:b/>
          <w:bCs/>
          <w:color w:val="auto"/>
          <w:kern w:val="0"/>
          <w:szCs w:val="21"/>
          <w:highlight w:val="none"/>
        </w:rPr>
      </w:pPr>
      <w:bookmarkStart w:id="213" w:name="_Toc394929420"/>
      <w:bookmarkStart w:id="214" w:name="_Toc519586148"/>
      <w:r>
        <w:rPr>
          <w:rFonts w:hint="eastAsia" w:ascii="宋体" w:hAnsi="宋体" w:cs="宋体"/>
          <w:b/>
          <w:bCs/>
          <w:color w:val="auto"/>
          <w:kern w:val="0"/>
          <w:szCs w:val="21"/>
          <w:highlight w:val="none"/>
        </w:rPr>
        <w:t>附件六  主要机械设备和试验检测设备最低要求</w:t>
      </w:r>
      <w:bookmarkEnd w:id="213"/>
      <w:bookmarkEnd w:id="214"/>
    </w:p>
    <w:tbl>
      <w:tblPr>
        <w:tblStyle w:val="25"/>
        <w:tblW w:w="9373" w:type="dxa"/>
        <w:tblInd w:w="-22" w:type="dxa"/>
        <w:tblLayout w:type="fixed"/>
        <w:tblCellMar>
          <w:top w:w="0" w:type="dxa"/>
          <w:left w:w="108" w:type="dxa"/>
          <w:bottom w:w="0" w:type="dxa"/>
          <w:right w:w="108" w:type="dxa"/>
        </w:tblCellMar>
      </w:tblPr>
      <w:tblGrid>
        <w:gridCol w:w="2423"/>
        <w:gridCol w:w="2126"/>
        <w:gridCol w:w="851"/>
        <w:gridCol w:w="3973"/>
      </w:tblGrid>
      <w:tr>
        <w:tblPrEx>
          <w:tblLayout w:type="fixed"/>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设备名称</w:t>
            </w:r>
          </w:p>
        </w:tc>
        <w:tc>
          <w:tcPr>
            <w:tcW w:w="2126" w:type="dxa"/>
            <w:tcBorders>
              <w:top w:val="single" w:color="auto" w:sz="8" w:space="0"/>
              <w:left w:val="nil"/>
              <w:bottom w:val="single" w:color="auto" w:sz="8" w:space="0"/>
              <w:right w:val="single" w:color="auto" w:sz="8"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规格、功率及容量</w:t>
            </w:r>
          </w:p>
        </w:tc>
        <w:tc>
          <w:tcPr>
            <w:tcW w:w="851" w:type="dxa"/>
            <w:tcBorders>
              <w:top w:val="single" w:color="auto" w:sz="8" w:space="0"/>
              <w:left w:val="single" w:color="auto" w:sz="8" w:space="0"/>
              <w:bottom w:val="single" w:color="auto" w:sz="8" w:space="0"/>
              <w:right w:val="single" w:color="auto" w:sz="4"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  位</w:t>
            </w:r>
          </w:p>
        </w:tc>
        <w:tc>
          <w:tcPr>
            <w:tcW w:w="3973" w:type="dxa"/>
            <w:tcBorders>
              <w:top w:val="single" w:color="auto" w:sz="4" w:space="0"/>
              <w:left w:val="single" w:color="auto" w:sz="4" w:space="0"/>
              <w:bottom w:val="single" w:color="auto" w:sz="4" w:space="0"/>
              <w:right w:val="single" w:color="auto" w:sz="4" w:space="0"/>
            </w:tcBorders>
            <w:noWrap w:val="0"/>
            <w:vAlign w:val="center"/>
          </w:tcPr>
          <w:p>
            <w:pPr>
              <w:tabs>
                <w:tab w:val="left" w:pos="1080"/>
              </w:tabs>
              <w:spacing w:line="280" w:lineRule="exact"/>
              <w:jc w:val="center"/>
              <w:rPr>
                <w:rFonts w:hint="eastAsia" w:ascii="宋体" w:hAnsi="宋体" w:cs="宋体"/>
                <w:color w:val="auto"/>
                <w:szCs w:val="21"/>
                <w:highlight w:val="none"/>
              </w:rPr>
            </w:pPr>
            <w:r>
              <w:rPr>
                <w:rFonts w:hint="eastAsia" w:ascii="宋体" w:hAnsi="宋体" w:cs="宋体"/>
                <w:color w:val="auto"/>
                <w:szCs w:val="21"/>
                <w:highlight w:val="none"/>
              </w:rPr>
              <w:t>最低数量要求</w:t>
            </w:r>
          </w:p>
        </w:tc>
      </w:tr>
      <w:tr>
        <w:tblPrEx>
          <w:tblLayout w:type="fixed"/>
          <w:tblCellMar>
            <w:top w:w="0" w:type="dxa"/>
            <w:left w:w="108" w:type="dxa"/>
            <w:bottom w:w="0" w:type="dxa"/>
            <w:right w:w="108" w:type="dxa"/>
          </w:tblCellMar>
        </w:tblPrEx>
        <w:trPr>
          <w:trHeight w:val="560" w:hRule="atLeast"/>
        </w:trPr>
        <w:tc>
          <w:tcPr>
            <w:tcW w:w="2423" w:type="dxa"/>
            <w:tcBorders>
              <w:top w:val="single" w:color="auto" w:sz="8" w:space="0"/>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single" w:color="auto" w:sz="8" w:space="0"/>
              <w:left w:val="single" w:color="auto" w:sz="8" w:space="0"/>
              <w:bottom w:val="single" w:color="auto" w:sz="8" w:space="0"/>
              <w:right w:val="single" w:color="auto" w:sz="4"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4"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b/>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bCs/>
                <w:color w:val="auto"/>
                <w:sz w:val="22"/>
                <w:szCs w:val="21"/>
                <w:highlight w:val="none"/>
                <w:lang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 w:val="22"/>
                <w:szCs w:val="21"/>
                <w:highlight w:val="none"/>
                <w:lang w:val="zh-CN" w:bidi="zh-CN"/>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 w:val="22"/>
                <w:szCs w:val="21"/>
                <w:highlight w:val="none"/>
                <w:lang w:val="zh-CN" w:bidi="zh-CN"/>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r>
        <w:tblPrEx>
          <w:tblLayout w:type="fixed"/>
          <w:tblCellMar>
            <w:top w:w="0" w:type="dxa"/>
            <w:left w:w="108" w:type="dxa"/>
            <w:bottom w:w="0" w:type="dxa"/>
            <w:right w:w="108" w:type="dxa"/>
          </w:tblCellMar>
        </w:tblPrEx>
        <w:trPr>
          <w:trHeight w:val="560" w:hRule="atLeast"/>
        </w:trPr>
        <w:tc>
          <w:tcPr>
            <w:tcW w:w="2423" w:type="dxa"/>
            <w:tcBorders>
              <w:top w:val="nil"/>
              <w:left w:val="single" w:color="auto" w:sz="8" w:space="0"/>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2126" w:type="dxa"/>
            <w:tcBorders>
              <w:top w:val="nil"/>
              <w:left w:val="nil"/>
              <w:bottom w:val="single" w:color="auto" w:sz="8" w:space="0"/>
              <w:right w:val="single" w:color="auto" w:sz="8" w:space="0"/>
            </w:tcBorders>
            <w:noWrap w:val="0"/>
            <w:vAlign w:val="center"/>
          </w:tcPr>
          <w:p>
            <w:pPr>
              <w:tabs>
                <w:tab w:val="left" w:pos="1080"/>
              </w:tabs>
              <w:spacing w:line="300" w:lineRule="exact"/>
              <w:jc w:val="center"/>
              <w:rPr>
                <w:rFonts w:hint="eastAsia" w:ascii="宋体" w:hAnsi="宋体" w:cs="宋体"/>
                <w:color w:val="auto"/>
                <w:szCs w:val="21"/>
                <w:highlight w:val="none"/>
              </w:rPr>
            </w:pPr>
          </w:p>
        </w:tc>
        <w:tc>
          <w:tcPr>
            <w:tcW w:w="851" w:type="dxa"/>
            <w:tcBorders>
              <w:top w:val="nil"/>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c>
          <w:tcPr>
            <w:tcW w:w="3973" w:type="dxa"/>
            <w:tcBorders>
              <w:top w:val="single" w:color="auto" w:sz="8" w:space="0"/>
              <w:left w:val="nil"/>
              <w:bottom w:val="single" w:color="auto" w:sz="8" w:space="0"/>
              <w:right w:val="single" w:color="auto" w:sz="8" w:space="0"/>
            </w:tcBorders>
            <w:noWrap w:val="0"/>
            <w:vAlign w:val="center"/>
          </w:tcPr>
          <w:p>
            <w:pPr>
              <w:spacing w:line="300" w:lineRule="exact"/>
              <w:jc w:val="center"/>
              <w:rPr>
                <w:rFonts w:hint="eastAsia" w:ascii="宋体" w:hAnsi="宋体" w:cs="宋体"/>
                <w:color w:val="auto"/>
                <w:szCs w:val="21"/>
                <w:highlight w:val="none"/>
              </w:rPr>
            </w:pPr>
          </w:p>
        </w:tc>
      </w:tr>
    </w:tbl>
    <w:p>
      <w:pPr>
        <w:ind w:firstLine="411" w:firstLineChars="196"/>
        <w:rPr>
          <w:rFonts w:hint="eastAsia" w:ascii="宋体" w:hAnsi="宋体" w:cs="宋体"/>
          <w:color w:val="auto"/>
          <w:szCs w:val="21"/>
          <w:highlight w:val="none"/>
        </w:rPr>
      </w:pPr>
    </w:p>
    <w:p>
      <w:pPr>
        <w:ind w:firstLine="411" w:firstLineChars="196"/>
        <w:rPr>
          <w:rFonts w:hint="eastAsia" w:ascii="宋体" w:hAnsi="宋体" w:cs="宋体"/>
          <w:color w:val="auto"/>
          <w:szCs w:val="21"/>
          <w:highlight w:val="none"/>
        </w:rPr>
      </w:pPr>
    </w:p>
    <w:p>
      <w:pPr>
        <w:ind w:firstLine="411" w:firstLineChars="196"/>
        <w:rPr>
          <w:rFonts w:hint="eastAsia" w:ascii="宋体" w:hAnsi="宋体" w:cs="宋体"/>
          <w:color w:val="auto"/>
          <w:szCs w:val="21"/>
          <w:highlight w:val="none"/>
        </w:rPr>
      </w:pPr>
    </w:p>
    <w:p>
      <w:pPr>
        <w:spacing w:before="2"/>
        <w:rPr>
          <w:rFonts w:hint="eastAsia" w:ascii="宋体" w:hAnsi="宋体" w:cs="宋体"/>
          <w:b/>
          <w:bCs/>
          <w:color w:val="auto"/>
          <w:szCs w:val="21"/>
          <w:highlight w:val="none"/>
        </w:rPr>
      </w:pPr>
    </w:p>
    <w:p>
      <w:pPr>
        <w:rPr>
          <w:rFonts w:hint="eastAsia" w:ascii="宋体" w:hAnsi="宋体" w:cs="宋体"/>
          <w:color w:val="auto"/>
          <w:szCs w:val="21"/>
          <w:highlight w:val="none"/>
        </w:rPr>
        <w:sectPr>
          <w:pgSz w:w="11906" w:h="16838"/>
          <w:pgMar w:top="1418" w:right="1418" w:bottom="1418" w:left="1418" w:header="851" w:footer="851" w:gutter="0"/>
          <w:cols w:space="720" w:num="1"/>
          <w:docGrid w:linePitch="312" w:charSpace="0"/>
        </w:sectPr>
      </w:pPr>
    </w:p>
    <w:p>
      <w:pPr>
        <w:keepNext/>
        <w:keepLines/>
        <w:spacing w:before="280" w:after="290" w:line="360" w:lineRule="auto"/>
        <w:outlineLvl w:val="3"/>
        <w:rPr>
          <w:rFonts w:hint="eastAsia" w:ascii="宋体" w:hAnsi="宋体" w:cs="宋体"/>
          <w:b/>
          <w:bCs/>
          <w:color w:val="auto"/>
          <w:szCs w:val="21"/>
          <w:highlight w:val="none"/>
        </w:rPr>
      </w:pPr>
      <w:bookmarkStart w:id="215" w:name="_Toc519586149"/>
      <w:r>
        <w:rPr>
          <w:rFonts w:hint="eastAsia" w:ascii="宋体" w:hAnsi="宋体" w:cs="宋体"/>
          <w:b/>
          <w:bCs/>
          <w:color w:val="auto"/>
          <w:szCs w:val="21"/>
          <w:highlight w:val="none"/>
        </w:rPr>
        <w:t>附件七  项目经理委任书</w:t>
      </w:r>
      <w:bookmarkEnd w:id="215"/>
    </w:p>
    <w:p>
      <w:pPr>
        <w:keepNext/>
        <w:keepLines/>
        <w:spacing w:after="774"/>
        <w:ind w:right="23"/>
        <w:jc w:val="center"/>
        <w:outlineLvl w:val="6"/>
        <w:rPr>
          <w:rFonts w:hint="eastAsia" w:ascii="宋体" w:hAnsi="宋体" w:cs="宋体"/>
          <w:color w:val="auto"/>
          <w:spacing w:val="30"/>
          <w:sz w:val="26"/>
          <w:szCs w:val="21"/>
          <w:highlight w:val="none"/>
          <w:u w:val="single"/>
        </w:rPr>
      </w:pPr>
      <w:r>
        <w:rPr>
          <w:rFonts w:hint="eastAsia" w:ascii="宋体" w:hAnsi="宋体" w:cs="宋体"/>
          <w:color w:val="auto"/>
          <w:spacing w:val="30"/>
          <w:sz w:val="26"/>
          <w:szCs w:val="21"/>
          <w:highlight w:val="none"/>
          <w:u w:val="single"/>
        </w:rPr>
        <w:t xml:space="preserve">       有限公司</w:t>
      </w:r>
    </w:p>
    <w:p>
      <w:pPr>
        <w:keepNext/>
        <w:keepLines/>
        <w:spacing w:after="774"/>
        <w:ind w:right="23"/>
        <w:jc w:val="center"/>
        <w:outlineLvl w:val="6"/>
        <w:rPr>
          <w:rFonts w:hint="eastAsia" w:ascii="宋体" w:hAnsi="宋体" w:cs="宋体"/>
          <w:color w:val="auto"/>
          <w:spacing w:val="30"/>
          <w:sz w:val="26"/>
          <w:szCs w:val="21"/>
          <w:highlight w:val="none"/>
        </w:rPr>
      </w:pPr>
      <w:r>
        <w:rPr>
          <w:rFonts w:hint="eastAsia" w:ascii="宋体" w:hAnsi="宋体" w:cs="宋体"/>
          <w:b/>
          <w:color w:val="auto"/>
          <w:sz w:val="30"/>
          <w:szCs w:val="30"/>
          <w:highlight w:val="none"/>
          <w:u w:val="single"/>
          <w:lang w:eastAsia="zh-CN"/>
        </w:rPr>
        <w:t>宾阳县2025年大中型水库移民后期扶持资金及中央水库移民扶持基金（提前批）项目基础设施项目</w:t>
      </w:r>
      <w:r>
        <w:rPr>
          <w:rFonts w:hint="eastAsia" w:ascii="宋体" w:hAnsi="宋体" w:cs="宋体"/>
          <w:b/>
          <w:color w:val="auto"/>
          <w:sz w:val="30"/>
          <w:szCs w:val="30"/>
          <w:highlight w:val="none"/>
          <w:u w:val="single"/>
        </w:rPr>
        <w:t>项目</w:t>
      </w:r>
    </w:p>
    <w:p>
      <w:pPr>
        <w:keepNext/>
        <w:keepLines/>
        <w:spacing w:after="774"/>
        <w:ind w:right="23"/>
        <w:jc w:val="center"/>
        <w:outlineLvl w:val="6"/>
        <w:rPr>
          <w:rFonts w:hint="eastAsia" w:ascii="宋体" w:hAnsi="宋体" w:cs="宋体"/>
          <w:color w:val="auto"/>
          <w:spacing w:val="30"/>
          <w:sz w:val="24"/>
          <w:highlight w:val="none"/>
        </w:rPr>
      </w:pPr>
      <w:r>
        <w:rPr>
          <w:rFonts w:hint="eastAsia" w:ascii="宋体" w:hAnsi="宋体" w:cs="宋体"/>
          <w:color w:val="auto"/>
          <w:spacing w:val="30"/>
          <w:sz w:val="26"/>
          <w:szCs w:val="21"/>
          <w:highlight w:val="none"/>
        </w:rPr>
        <w:t xml:space="preserve"> </w:t>
      </w:r>
      <w:r>
        <w:rPr>
          <w:rFonts w:hint="eastAsia" w:ascii="宋体" w:hAnsi="宋体" w:cs="宋体"/>
          <w:color w:val="auto"/>
          <w:spacing w:val="30"/>
          <w:sz w:val="24"/>
          <w:highlight w:val="none"/>
        </w:rPr>
        <w:t xml:space="preserve"> </w:t>
      </w:r>
      <w:r>
        <w:rPr>
          <w:rFonts w:hint="eastAsia" w:ascii="宋体" w:hAnsi="宋体" w:cs="宋体"/>
          <w:color w:val="auto"/>
          <w:spacing w:val="10"/>
          <w:sz w:val="24"/>
          <w:highlight w:val="none"/>
          <w:shd w:val="clear" w:color="auto" w:fill="FFFFFF"/>
          <w:lang w:val="zh-CN"/>
        </w:rPr>
        <w:t>项目经理委任书</w:t>
      </w:r>
    </w:p>
    <w:p>
      <w:pPr>
        <w:spacing w:line="480" w:lineRule="auto"/>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致：</w:t>
      </w:r>
      <w:r>
        <w:rPr>
          <w:rFonts w:hint="eastAsia" w:ascii="宋体" w:hAnsi="宋体" w:cs="宋体"/>
          <w:color w:val="auto"/>
          <w:sz w:val="24"/>
          <w:highlight w:val="none"/>
          <w:u w:val="single"/>
          <w:shd w:val="clear" w:color="auto" w:fill="FFFFFF"/>
          <w:lang w:val="zh-CN"/>
        </w:rPr>
        <w:t>宾阳县水库移民安置服务中心</w:t>
      </w:r>
    </w:p>
    <w:p>
      <w:pPr>
        <w:spacing w:after="360" w:line="480" w:lineRule="auto"/>
        <w:ind w:firstLine="102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代表本单位委任</w:t>
      </w:r>
      <w:r>
        <w:rPr>
          <w:rFonts w:hint="eastAsia" w:ascii="宋体" w:hAnsi="宋体" w:cs="宋体"/>
          <w:color w:val="auto"/>
          <w:sz w:val="24"/>
          <w:highlight w:val="none"/>
          <w:u w:val="single"/>
          <w:shd w:val="clear" w:color="auto" w:fill="FFFFFF"/>
          <w:lang w:bidi="zh-CN"/>
        </w:rPr>
        <w:t xml:space="preserve"> </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lang w:val="zh-CN" w:bidi="zh-CN"/>
        </w:rPr>
        <w:t>为</w:t>
      </w:r>
      <w:r>
        <w:rPr>
          <w:rFonts w:hint="eastAsia" w:ascii="宋体" w:hAnsi="宋体" w:cs="宋体"/>
          <w:color w:val="auto"/>
          <w:sz w:val="24"/>
          <w:highlight w:val="none"/>
          <w:u w:val="single"/>
          <w:shd w:val="clear" w:color="auto" w:fill="FFFFFF"/>
          <w:lang w:val="zh-CN" w:bidi="zh-CN"/>
        </w:rPr>
        <w:t>宾阳县2025年大中型水库移民后期扶持资金及中央水库移民扶持基金（提前批）项目基础设施项目项目</w:t>
      </w:r>
      <w:r>
        <w:rPr>
          <w:rFonts w:hint="eastAsia" w:ascii="宋体" w:hAnsi="宋体" w:cs="宋体"/>
          <w:color w:val="auto"/>
          <w:sz w:val="24"/>
          <w:highlight w:val="none"/>
          <w:shd w:val="clear" w:color="auto" w:fill="FFFFFF"/>
          <w:lang w:val="zh-CN" w:bidi="zh-CN"/>
        </w:rPr>
        <w:t>的项目经理。凡本合同执行中的有关技术、工程进度、现场管理、质量检验、结算与支付等方面工作，由</w:t>
      </w:r>
      <w:r>
        <w:rPr>
          <w:rFonts w:hint="eastAsia" w:ascii="宋体" w:hAnsi="宋体" w:cs="宋体"/>
          <w:color w:val="auto"/>
          <w:sz w:val="24"/>
          <w:highlight w:val="none"/>
          <w:u w:val="single"/>
          <w:shd w:val="clear" w:color="auto" w:fill="FFFFFF"/>
          <w:lang w:val="zh-CN"/>
        </w:rPr>
        <w:t xml:space="preserve">    </w:t>
      </w:r>
      <w:r>
        <w:rPr>
          <w:rFonts w:hint="eastAsia" w:ascii="宋体" w:hAnsi="宋体" w:cs="宋体"/>
          <w:color w:val="auto"/>
          <w:sz w:val="24"/>
          <w:highlight w:val="none"/>
          <w:shd w:val="clear" w:color="auto" w:fill="FFFFFF"/>
          <w:lang w:val="zh-CN" w:bidi="zh-CN"/>
        </w:rPr>
        <w:t>代表本单位全面负责。</w:t>
      </w:r>
    </w:p>
    <w:p>
      <w:pPr>
        <w:tabs>
          <w:tab w:val="left" w:leader="underscore" w:pos="7348"/>
        </w:tabs>
        <w:spacing w:line="480" w:lineRule="auto"/>
        <w:ind w:left="388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承包人：</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(盖单位章）</w:t>
      </w:r>
    </w:p>
    <w:p>
      <w:pPr>
        <w:tabs>
          <w:tab w:val="center" w:pos="7411"/>
        </w:tabs>
        <w:spacing w:line="480" w:lineRule="auto"/>
        <w:ind w:left="4640"/>
        <w:rPr>
          <w:rFonts w:hint="eastAsia" w:ascii="宋体" w:hAnsi="宋体" w:cs="宋体"/>
          <w:color w:val="auto"/>
          <w:spacing w:val="20"/>
          <w:sz w:val="24"/>
          <w:highlight w:val="none"/>
        </w:rPr>
      </w:pPr>
      <w:r>
        <w:rPr>
          <w:rFonts w:hint="eastAsia" w:ascii="宋体" w:hAnsi="宋体" w:cs="宋体"/>
          <w:color w:val="auto"/>
          <w:sz w:val="24"/>
          <w:highlight w:val="none"/>
          <w:shd w:val="clear" w:color="auto" w:fill="FFFFFF"/>
          <w:lang w:val="zh-CN" w:bidi="zh-CN"/>
        </w:rPr>
        <w:t>法定代表人：</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u w:val="single"/>
          <w:shd w:val="clear" w:color="auto" w:fill="FFFFFF"/>
          <w:lang w:val="zh-CN"/>
        </w:rPr>
        <w:t>(职务）</w:t>
      </w:r>
    </w:p>
    <w:p>
      <w:pPr>
        <w:tabs>
          <w:tab w:val="center" w:leader="underscore" w:pos="7411"/>
        </w:tabs>
        <w:spacing w:line="480" w:lineRule="auto"/>
        <w:ind w:left="6140"/>
        <w:rPr>
          <w:rFonts w:hint="eastAsia" w:ascii="宋体" w:hAnsi="宋体" w:cs="宋体"/>
          <w:color w:val="auto"/>
          <w:spacing w:val="20"/>
          <w:sz w:val="24"/>
          <w:highlight w:val="none"/>
        </w:rPr>
      </w:pP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rPr>
        <w:t>(姓名）</w:t>
      </w:r>
    </w:p>
    <w:p>
      <w:pPr>
        <w:tabs>
          <w:tab w:val="center" w:leader="underscore" w:pos="7411"/>
          <w:tab w:val="left" w:leader="underscore" w:pos="8698"/>
        </w:tabs>
        <w:spacing w:line="480" w:lineRule="auto"/>
        <w:ind w:left="6140"/>
        <w:rPr>
          <w:rFonts w:hint="eastAsia" w:ascii="宋体" w:hAnsi="宋体" w:cs="宋体"/>
          <w:bCs/>
          <w:color w:val="auto"/>
          <w:sz w:val="24"/>
          <w:highlight w:val="none"/>
        </w:rPr>
      </w:pPr>
      <w:r>
        <w:rPr>
          <w:rFonts w:hint="eastAsia" w:ascii="宋体" w:hAnsi="宋体" w:cs="宋体"/>
          <w:bCs/>
          <w:color w:val="auto"/>
          <w:sz w:val="24"/>
          <w:highlight w:val="none"/>
          <w:u w:val="single"/>
        </w:rPr>
        <w:tab/>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u w:val="single"/>
          <w:lang w:val="zh-CN"/>
        </w:rPr>
        <w:t>(签字)</w:t>
      </w:r>
    </w:p>
    <w:p>
      <w:pPr>
        <w:tabs>
          <w:tab w:val="left" w:leader="underscore" w:pos="6749"/>
          <w:tab w:val="left" w:leader="underscore" w:pos="7348"/>
          <w:tab w:val="left" w:leader="underscore" w:pos="8182"/>
        </w:tabs>
        <w:spacing w:after="1283" w:line="480" w:lineRule="auto"/>
        <w:ind w:left="5660" w:firstLine="420"/>
        <w:rPr>
          <w:rFonts w:hint="eastAsia" w:ascii="宋体" w:hAnsi="宋体" w:cs="宋体"/>
          <w:color w:val="auto"/>
          <w:sz w:val="24"/>
          <w:highlight w:val="none"/>
          <w:shd w:val="clear" w:color="auto" w:fill="FFFFFF"/>
          <w:lang w:val="zh-CN" w:bidi="zh-CN"/>
        </w:rPr>
      </w:pPr>
      <w:r>
        <w:rPr>
          <w:rFonts w:hint="eastAsia" w:ascii="宋体" w:hAnsi="宋体" w:cs="宋体"/>
          <w:color w:val="auto"/>
          <w:sz w:val="24"/>
          <w:highlight w:val="none"/>
          <w:shd w:val="clear" w:color="auto" w:fill="FFFFFF"/>
          <w:lang w:val="zh-CN" w:bidi="zh-CN"/>
        </w:rPr>
        <w:tab/>
      </w:r>
      <w:r>
        <w:rPr>
          <w:rFonts w:hint="eastAsia" w:ascii="宋体" w:hAnsi="宋体" w:cs="宋体"/>
          <w:color w:val="auto"/>
          <w:sz w:val="24"/>
          <w:highlight w:val="none"/>
          <w:shd w:val="clear" w:color="auto" w:fill="FFFFFF"/>
          <w:lang w:val="zh-CN" w:bidi="zh-CN"/>
        </w:rPr>
        <w:t>年</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shd w:val="clear" w:color="auto" w:fill="FFFFFF"/>
          <w:lang w:val="zh-CN" w:bidi="zh-CN"/>
        </w:rPr>
        <w:t>月</w:t>
      </w:r>
      <w:r>
        <w:rPr>
          <w:rFonts w:hint="eastAsia" w:ascii="宋体" w:hAnsi="宋体" w:cs="宋体"/>
          <w:color w:val="auto"/>
          <w:sz w:val="24"/>
          <w:highlight w:val="none"/>
          <w:u w:val="single"/>
          <w:shd w:val="clear" w:color="auto" w:fill="FFFFFF"/>
          <w:lang w:val="zh-CN" w:bidi="zh-CN"/>
        </w:rPr>
        <w:t xml:space="preserve">    </w:t>
      </w:r>
      <w:r>
        <w:rPr>
          <w:rFonts w:hint="eastAsia" w:ascii="宋体" w:hAnsi="宋体" w:cs="宋体"/>
          <w:color w:val="auto"/>
          <w:sz w:val="24"/>
          <w:highlight w:val="none"/>
          <w:u w:val="single"/>
          <w:shd w:val="clear" w:color="auto" w:fill="FFFFFF"/>
          <w:lang w:val="zh-CN" w:bidi="zh-CN"/>
        </w:rPr>
        <w:tab/>
      </w:r>
      <w:r>
        <w:rPr>
          <w:rFonts w:hint="eastAsia" w:ascii="宋体" w:hAnsi="宋体" w:cs="宋体"/>
          <w:color w:val="auto"/>
          <w:sz w:val="24"/>
          <w:highlight w:val="none"/>
          <w:shd w:val="clear" w:color="auto" w:fill="FFFFFF"/>
          <w:lang w:val="zh-CN" w:bidi="zh-CN"/>
        </w:rPr>
        <w:t>日</w:t>
      </w:r>
    </w:p>
    <w:p>
      <w:pPr>
        <w:tabs>
          <w:tab w:val="left" w:leader="underscore" w:pos="6502"/>
          <w:tab w:val="left" w:leader="underscore" w:pos="7348"/>
          <w:tab w:val="left" w:leader="underscore" w:pos="8182"/>
        </w:tabs>
        <w:spacing w:after="1283"/>
        <w:ind w:left="5660" w:firstLine="420"/>
        <w:rPr>
          <w:rFonts w:hint="eastAsia" w:ascii="宋体" w:hAnsi="宋体" w:cs="宋体"/>
          <w:color w:val="auto"/>
          <w:spacing w:val="20"/>
          <w:szCs w:val="21"/>
          <w:highlight w:val="none"/>
        </w:rPr>
      </w:pPr>
    </w:p>
    <w:p>
      <w:pPr>
        <w:ind w:firstLine="480"/>
        <w:rPr>
          <w:rFonts w:hint="eastAsia" w:ascii="宋体" w:hAnsi="宋体" w:cs="宋体"/>
          <w:color w:val="auto"/>
          <w:highlight w:val="none"/>
          <w:u w:val="single"/>
          <w:shd w:val="clear" w:color="auto" w:fill="FFFFFF"/>
          <w:lang w:val="zh-CN"/>
        </w:rPr>
      </w:pPr>
      <w:r>
        <w:rPr>
          <w:rFonts w:hint="eastAsia" w:ascii="宋体" w:hAnsi="宋体" w:cs="宋体"/>
          <w:color w:val="auto"/>
          <w:highlight w:val="none"/>
          <w:shd w:val="clear" w:color="auto" w:fill="FFFFFF"/>
          <w:lang w:val="zh-CN" w:bidi="zh-CN"/>
        </w:rPr>
        <w:t>抄送：</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u w:val="single"/>
          <w:shd w:val="clear" w:color="auto" w:fill="FFFFFF"/>
          <w:lang w:val="zh-CN"/>
        </w:rPr>
        <w:t>(监理人)</w:t>
      </w:r>
    </w:p>
    <w:p>
      <w:pPr>
        <w:ind w:firstLine="440"/>
        <w:rPr>
          <w:rFonts w:hint="eastAsia" w:ascii="宋体" w:hAnsi="宋体" w:cs="宋体"/>
          <w:b/>
          <w:color w:val="auto"/>
          <w:sz w:val="30"/>
          <w:szCs w:val="30"/>
          <w:highlight w:val="none"/>
        </w:rPr>
      </w:pPr>
      <w:r>
        <w:rPr>
          <w:rFonts w:hint="eastAsia" w:ascii="宋体" w:hAnsi="宋体" w:cs="宋体"/>
          <w:color w:val="auto"/>
          <w:highlight w:val="none"/>
          <w:u w:val="single"/>
          <w:shd w:val="clear" w:color="auto" w:fill="FFFFFF"/>
          <w:lang w:val="zh-CN"/>
        </w:rPr>
        <w:br w:type="page"/>
      </w:r>
      <w:r>
        <w:rPr>
          <w:rFonts w:hint="eastAsia" w:ascii="宋体" w:hAnsi="宋体" w:cs="宋体"/>
          <w:b/>
          <w:color w:val="auto"/>
          <w:szCs w:val="21"/>
          <w:highlight w:val="none"/>
        </w:rPr>
        <w:t xml:space="preserve">附件八                           </w:t>
      </w:r>
      <w:r>
        <w:rPr>
          <w:rFonts w:hint="eastAsia" w:ascii="宋体" w:hAnsi="宋体" w:cs="宋体"/>
          <w:b/>
          <w:color w:val="auto"/>
          <w:sz w:val="30"/>
          <w:szCs w:val="30"/>
          <w:highlight w:val="none"/>
        </w:rPr>
        <w:t xml:space="preserve">   </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工程质量保修书</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 xml:space="preserve"> </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lang w:eastAsia="zh-CN"/>
        </w:rPr>
        <w:t>宾阳县2025年大中型水库移民后期扶持资金及中央水库移民扶持基金（提前批）项目基础设施项目</w:t>
      </w:r>
      <w:r>
        <w:rPr>
          <w:rFonts w:hint="eastAsia" w:ascii="宋体" w:hAnsi="宋体" w:cs="宋体"/>
          <w:color w:val="auto"/>
          <w:szCs w:val="21"/>
          <w:highlight w:val="none"/>
          <w:u w:val="single"/>
        </w:rPr>
        <w:t>项目</w:t>
      </w:r>
      <w:r>
        <w:rPr>
          <w:rFonts w:hint="eastAsia" w:ascii="宋体" w:hAnsi="宋体" w:cs="宋体"/>
          <w:color w:val="auto"/>
          <w:szCs w:val="21"/>
          <w:highlight w:val="none"/>
        </w:rPr>
        <w:t>签订工程质量保修书。</w:t>
      </w:r>
    </w:p>
    <w:p>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一、工程质量保修范围和内容</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　　质量保修范围包括</w:t>
      </w:r>
      <w:r>
        <w:rPr>
          <w:rFonts w:hint="eastAsia" w:ascii="宋体" w:hAnsi="宋体" w:cs="宋体"/>
          <w:color w:val="auto"/>
          <w:szCs w:val="21"/>
          <w:highlight w:val="none"/>
          <w:u w:val="single"/>
        </w:rPr>
        <w:t xml:space="preserve"> 批准的设计文件所有包括项目 </w:t>
      </w:r>
      <w:r>
        <w:rPr>
          <w:rFonts w:hint="eastAsia" w:ascii="宋体" w:hAnsi="宋体" w:cs="宋体"/>
          <w:color w:val="auto"/>
          <w:szCs w:val="21"/>
          <w:highlight w:val="none"/>
        </w:rPr>
        <w:t>。具体保修的内容，双方约定如下：</w:t>
      </w:r>
      <w:r>
        <w:rPr>
          <w:rFonts w:hint="eastAsia" w:ascii="宋体" w:hAnsi="宋体" w:cs="宋体"/>
          <w:color w:val="auto"/>
          <w:szCs w:val="21"/>
          <w:highlight w:val="none"/>
          <w:u w:val="single"/>
        </w:rPr>
        <w:t xml:space="preserve"> 在承包人承包范围内，属承包人责任造成的工程质量问题，由承包人承担质量保修责任。</w:t>
      </w:r>
    </w:p>
    <w:p>
      <w:pPr>
        <w:spacing w:line="520" w:lineRule="exact"/>
        <w:rPr>
          <w:rFonts w:hint="eastAsia" w:ascii="宋体" w:hAnsi="宋体" w:cs="宋体"/>
          <w:b/>
          <w:color w:val="auto"/>
          <w:szCs w:val="21"/>
          <w:highlight w:val="none"/>
        </w:rPr>
      </w:pPr>
      <w:r>
        <w:rPr>
          <w:rFonts w:hint="eastAsia" w:ascii="宋体" w:hAnsi="宋体" w:cs="宋体"/>
          <w:b/>
          <w:color w:val="auto"/>
          <w:szCs w:val="21"/>
          <w:highlight w:val="none"/>
        </w:rPr>
        <w:t>　　二、质量保修期</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质量保修期自工程竣工验收合格之日起计算。分单项竣工验收的工程，按单项工程分别计算质量保修期。</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双方根据国家有关规定，结合具体工程约定质量保修期如下：</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道路工程2年</w:t>
      </w:r>
      <w:r>
        <w:rPr>
          <w:rFonts w:hint="eastAsia" w:ascii="宋体" w:hAnsi="宋体" w:cs="宋体"/>
          <w:color w:val="auto"/>
          <w:szCs w:val="21"/>
          <w:highlight w:val="none"/>
        </w:rPr>
        <w:t>。</w:t>
      </w:r>
    </w:p>
    <w:p>
      <w:pPr>
        <w:spacing w:line="52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绿化工程2年</w:t>
      </w:r>
      <w:r>
        <w:rPr>
          <w:rFonts w:hint="eastAsia" w:ascii="宋体" w:hAnsi="宋体" w:cs="宋体"/>
          <w:color w:val="auto"/>
          <w:szCs w:val="21"/>
          <w:highlight w:val="none"/>
        </w:rPr>
        <w:t>。</w:t>
      </w: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Cs w:val="21"/>
          <w:highlight w:val="none"/>
          <w:u w:val="single"/>
        </w:rPr>
        <w:t>其他项目保修期限约定如下： 另行协商  </w:t>
      </w:r>
      <w:r>
        <w:rPr>
          <w:rFonts w:hint="eastAsia" w:ascii="宋体" w:hAnsi="宋体" w:cs="宋体"/>
          <w:color w:val="auto"/>
          <w:szCs w:val="21"/>
          <w:highlight w:val="none"/>
        </w:rPr>
        <w:t>。</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以上保修期限，如遇有国家有关质量、技术标准年限比上述要求时间长的，从其规定。</w:t>
      </w:r>
    </w:p>
    <w:p>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质保责任期终止后，发包人应退还剩余的质量保证金。</w:t>
      </w:r>
    </w:p>
    <w:p>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 xml:space="preserve">   四、质量保修责任</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pPr>
        <w:spacing w:line="520" w:lineRule="exact"/>
        <w:ind w:left="105" w:leftChars="50" w:firstLine="430" w:firstLineChars="205"/>
        <w:rPr>
          <w:rFonts w:hint="eastAsia"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520" w:lineRule="exact"/>
        <w:ind w:left="420" w:leftChars="200" w:firstLine="105" w:firstLineChars="50"/>
        <w:rPr>
          <w:rFonts w:hint="eastAsia" w:ascii="宋体" w:hAnsi="宋体" w:cs="宋体"/>
          <w:color w:val="auto"/>
          <w:szCs w:val="21"/>
          <w:highlight w:val="none"/>
        </w:rPr>
      </w:pPr>
      <w:r>
        <w:rPr>
          <w:rFonts w:hint="eastAsia" w:ascii="宋体" w:hAnsi="宋体" w:cs="宋体"/>
          <w:color w:val="auto"/>
          <w:szCs w:val="21"/>
          <w:highlight w:val="none"/>
        </w:rPr>
        <w:t>4．质量保修完成后，由发包人组织验收。</w:t>
      </w:r>
    </w:p>
    <w:p>
      <w:pPr>
        <w:spacing w:line="520" w:lineRule="exact"/>
        <w:rPr>
          <w:rFonts w:hint="eastAsia" w:ascii="宋体" w:hAnsi="宋体" w:cs="宋体"/>
          <w:b/>
          <w:color w:val="auto"/>
          <w:szCs w:val="21"/>
          <w:highlight w:val="none"/>
        </w:rPr>
      </w:pPr>
      <w:r>
        <w:rPr>
          <w:rFonts w:hint="eastAsia" w:ascii="宋体" w:hAnsi="宋体" w:cs="宋体"/>
          <w:color w:val="auto"/>
          <w:szCs w:val="21"/>
          <w:highlight w:val="none"/>
        </w:rPr>
        <w:t>　</w:t>
      </w:r>
      <w:r>
        <w:rPr>
          <w:rFonts w:hint="eastAsia" w:ascii="宋体" w:hAnsi="宋体" w:cs="宋体"/>
          <w:b/>
          <w:color w:val="auto"/>
          <w:szCs w:val="21"/>
          <w:highlight w:val="none"/>
        </w:rPr>
        <w:t>　五、保修费用</w:t>
      </w:r>
    </w:p>
    <w:p>
      <w:pPr>
        <w:spacing w:line="520" w:lineRule="exact"/>
        <w:ind w:firstLine="600"/>
        <w:rPr>
          <w:rFonts w:hint="eastAsia"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pPr>
        <w:spacing w:line="52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六、其他</w:t>
      </w:r>
    </w:p>
    <w:p>
      <w:pPr>
        <w:spacing w:line="520" w:lineRule="exact"/>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u w:val="single"/>
        </w:rPr>
        <w:t xml:space="preserve">  其他保修按国家规定执行  </w:t>
      </w:r>
      <w:r>
        <w:rPr>
          <w:rFonts w:hint="eastAsia" w:ascii="宋体" w:hAnsi="宋体" w:cs="宋体"/>
          <w:color w:val="auto"/>
          <w:szCs w:val="21"/>
          <w:highlight w:val="none"/>
        </w:rPr>
        <w:t>。</w:t>
      </w:r>
    </w:p>
    <w:p>
      <w:pPr>
        <w:spacing w:line="520" w:lineRule="exact"/>
        <w:ind w:firstLine="399" w:firstLineChars="190"/>
        <w:rPr>
          <w:rFonts w:hint="eastAsia"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pPr>
        <w:spacing w:line="520" w:lineRule="exact"/>
        <w:ind w:firstLine="420"/>
        <w:rPr>
          <w:rFonts w:hint="eastAsia" w:ascii="宋体" w:hAnsi="宋体" w:cs="宋体"/>
          <w:color w:val="auto"/>
          <w:szCs w:val="21"/>
          <w:highlight w:val="none"/>
        </w:rPr>
      </w:pPr>
    </w:p>
    <w:p>
      <w:pPr>
        <w:spacing w:line="520" w:lineRule="exact"/>
        <w:rPr>
          <w:rFonts w:hint="eastAsia" w:ascii="宋体" w:hAnsi="宋体" w:cs="宋体"/>
          <w:color w:val="auto"/>
          <w:szCs w:val="21"/>
          <w:highlight w:val="none"/>
        </w:rPr>
      </w:pPr>
    </w:p>
    <w:p>
      <w:pPr>
        <w:spacing w:line="520" w:lineRule="exact"/>
        <w:rPr>
          <w:rFonts w:hint="eastAsia"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lang w:eastAsia="zh-CN"/>
        </w:rPr>
        <w:t>宾阳县水库移民安置服务中心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承包人(公章)：</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800" w:lineRule="exact"/>
        <w:rPr>
          <w:rFonts w:hint="eastAsia" w:ascii="宋体" w:hAnsi="宋体" w:cs="宋体"/>
          <w:color w:val="auto"/>
          <w:szCs w:val="21"/>
          <w:highlight w:val="none"/>
          <w:u w:val="single"/>
        </w:rPr>
      </w:pPr>
      <w:r>
        <w:rPr>
          <w:rFonts w:hint="eastAsia" w:ascii="宋体" w:hAnsi="宋体" w:cs="宋体"/>
          <w:color w:val="auto"/>
          <w:szCs w:val="21"/>
          <w:highlight w:val="none"/>
        </w:rPr>
        <w:t>法定代表人                                       法定代表人</w:t>
      </w:r>
    </w:p>
    <w:p>
      <w:pPr>
        <w:spacing w:line="500" w:lineRule="exact"/>
        <w:rPr>
          <w:rFonts w:hint="eastAsia" w:ascii="宋体" w:hAnsi="宋体" w:cs="宋体"/>
          <w:color w:val="auto"/>
          <w:szCs w:val="21"/>
          <w:highlight w:val="none"/>
          <w:u w:val="single"/>
        </w:rPr>
      </w:pPr>
      <w:r>
        <w:rPr>
          <w:rFonts w:hint="eastAsia" w:ascii="宋体" w:hAnsi="宋体" w:cs="宋体"/>
          <w:color w:val="auto"/>
          <w:szCs w:val="21"/>
          <w:highlight w:val="none"/>
        </w:rPr>
        <w:t>(签字或盖章)：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(签字或盖章)：</w:t>
      </w:r>
      <w:r>
        <w:rPr>
          <w:rFonts w:hint="eastAsia" w:ascii="宋体" w:hAnsi="宋体" w:cs="MingLiU_HKSCS"/>
          <w:color w:val="auto"/>
          <w:szCs w:val="21"/>
          <w:highlight w:val="none"/>
          <w:u w:val="single"/>
        </w:rPr>
        <w:t></w:t>
      </w:r>
      <w:r>
        <w:rPr>
          <w:rFonts w:hint="eastAsia" w:ascii="宋体" w:hAnsi="宋体" w:cs="宋体"/>
          <w:color w:val="auto"/>
          <w:szCs w:val="21"/>
          <w:highlight w:val="none"/>
          <w:u w:val="single"/>
        </w:rPr>
        <w:t xml:space="preserve">             </w:t>
      </w:r>
    </w:p>
    <w:p>
      <w:pPr>
        <w:spacing w:line="520" w:lineRule="exact"/>
        <w:ind w:left="1329" w:hanging="1329" w:hangingChars="633"/>
        <w:rPr>
          <w:rFonts w:hint="eastAsia" w:ascii="宋体" w:hAnsi="宋体" w:cs="宋体"/>
          <w:color w:val="auto"/>
          <w:szCs w:val="21"/>
          <w:highlight w:val="none"/>
        </w:rPr>
      </w:pPr>
    </w:p>
    <w:p>
      <w:pPr>
        <w:spacing w:line="520" w:lineRule="exact"/>
        <w:ind w:left="1770" w:leftChars="843" w:firstLine="1680" w:firstLineChars="800"/>
        <w:rPr>
          <w:rFonts w:hint="eastAsia"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年   月   日 </w:t>
      </w:r>
    </w:p>
    <w:p>
      <w:pPr>
        <w:pStyle w:val="39"/>
        <w:rPr>
          <w:rFonts w:ascii="宋体" w:hAnsi="宋体" w:eastAsia="宋体" w:cs="宋体"/>
          <w:color w:val="auto"/>
          <w:sz w:val="20"/>
          <w:szCs w:val="20"/>
          <w:highlight w:val="none"/>
          <w:lang w:val="zh-CN" w:eastAsia="zh-CN" w:bidi="zh-CN"/>
        </w:rPr>
      </w:pPr>
    </w:p>
    <w:p>
      <w:pPr>
        <w:pStyle w:val="39"/>
        <w:rPr>
          <w:rFonts w:hint="eastAsia" w:ascii="宋体" w:hAnsi="宋体" w:eastAsia="宋体" w:cs="宋体"/>
          <w:color w:val="auto"/>
          <w:sz w:val="20"/>
          <w:szCs w:val="20"/>
          <w:highlight w:val="none"/>
          <w:lang w:val="zh-CN" w:eastAsia="zh-CN" w:bidi="zh-CN"/>
        </w:rPr>
      </w:pPr>
    </w:p>
    <w:p>
      <w:pPr>
        <w:pStyle w:val="40"/>
        <w:rPr>
          <w:rFonts w:hint="eastAsia"/>
          <w:color w:val="auto"/>
          <w:sz w:val="20"/>
          <w:szCs w:val="20"/>
          <w:highlight w:val="none"/>
          <w:lang w:eastAsia="zh-CN"/>
        </w:rPr>
      </w:pPr>
      <w:r>
        <w:rPr>
          <w:rFonts w:hint="eastAsia"/>
          <w:color w:val="auto"/>
          <w:sz w:val="20"/>
          <w:szCs w:val="20"/>
          <w:highlight w:val="none"/>
          <w:lang w:eastAsia="zh-CN"/>
        </w:rPr>
        <w:t xml:space="preserve"> </w:t>
      </w:r>
    </w:p>
    <w:p>
      <w:pPr>
        <w:spacing w:line="520" w:lineRule="exact"/>
        <w:ind w:firstLine="420" w:firstLineChars="200"/>
        <w:rPr>
          <w:rFonts w:ascii="宋体" w:hAnsi="宋体" w:cs="宋体"/>
          <w:color w:val="auto"/>
          <w:szCs w:val="21"/>
          <w:highlight w:val="none"/>
        </w:rPr>
      </w:pPr>
    </w:p>
    <w:p>
      <w:pPr>
        <w:tabs>
          <w:tab w:val="left" w:pos="7380"/>
        </w:tabs>
        <w:spacing w:line="360" w:lineRule="auto"/>
        <w:rPr>
          <w:rFonts w:hint="eastAsia" w:ascii="宋体" w:hAnsi="宋体" w:eastAsia="宋体" w:cs="宋体"/>
          <w:b/>
          <w:bCs/>
          <w:color w:val="auto"/>
          <w:sz w:val="44"/>
          <w:highlight w:val="none"/>
        </w:rPr>
        <w:sectPr>
          <w:headerReference r:id="rId17" w:type="default"/>
          <w:footerReference r:id="rId18" w:type="default"/>
          <w:pgSz w:w="11907" w:h="16840"/>
          <w:pgMar w:top="1440" w:right="1440" w:bottom="1440" w:left="1797" w:header="851" w:footer="851" w:gutter="0"/>
          <w:cols w:space="720" w:num="1"/>
          <w:docGrid w:linePitch="312" w:charSpace="0"/>
        </w:sectPr>
      </w:pPr>
    </w:p>
    <w:p>
      <w:pPr>
        <w:pStyle w:val="2"/>
        <w:jc w:val="center"/>
        <w:rPr>
          <w:rFonts w:hint="default" w:eastAsia="宋体"/>
          <w:color w:val="auto"/>
          <w:highlight w:val="none"/>
          <w:lang w:val="en-US" w:eastAsia="zh-CN"/>
        </w:rPr>
      </w:pPr>
      <w:bookmarkStart w:id="216" w:name="_Toc13697"/>
      <w:bookmarkStart w:id="217" w:name="_Toc28511"/>
      <w:bookmarkStart w:id="218" w:name="_Toc23153"/>
      <w:bookmarkStart w:id="219" w:name="_Toc20243"/>
      <w:bookmarkStart w:id="220" w:name="_Toc18563"/>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216"/>
      <w:bookmarkEnd w:id="217"/>
      <w:bookmarkEnd w:id="218"/>
      <w:bookmarkEnd w:id="219"/>
      <w:bookmarkEnd w:id="220"/>
    </w:p>
    <w:p>
      <w:pPr>
        <w:tabs>
          <w:tab w:val="left" w:pos="3261"/>
        </w:tabs>
        <w:spacing w:line="360" w:lineRule="auto"/>
        <w:contextualSpacing/>
        <w:jc w:val="center"/>
        <w:rPr>
          <w:rFonts w:hint="eastAsia" w:ascii="宋体" w:hAnsi="宋体" w:eastAsia="宋体" w:cs="宋体"/>
          <w:b/>
          <w:color w:val="auto"/>
          <w:sz w:val="44"/>
          <w:szCs w:val="4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jc w:val="center"/>
        <w:rPr>
          <w:rFonts w:hint="eastAsia"/>
          <w:color w:val="auto"/>
          <w:highlight w:val="none"/>
        </w:rPr>
      </w:pPr>
      <w:bookmarkStart w:id="221" w:name="_Toc6522"/>
      <w:bookmarkStart w:id="222" w:name="_Toc31581"/>
      <w:bookmarkStart w:id="223" w:name="_Toc11341"/>
      <w:bookmarkStart w:id="224" w:name="_Toc20643"/>
      <w:bookmarkStart w:id="225"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221"/>
      <w:bookmarkEnd w:id="222"/>
      <w:bookmarkEnd w:id="223"/>
      <w:bookmarkEnd w:id="224"/>
      <w:bookmarkEnd w:id="225"/>
    </w:p>
    <w:p>
      <w:pPr>
        <w:pStyle w:val="23"/>
        <w:rPr>
          <w:rFonts w:hint="eastAsia"/>
          <w:color w:val="auto"/>
          <w:highlight w:val="none"/>
        </w:rPr>
      </w:pPr>
    </w:p>
    <w:p>
      <w:pPr>
        <w:rPr>
          <w:rFonts w:hint="eastAsia"/>
          <w:color w:val="auto"/>
          <w:highlight w:val="none"/>
        </w:rPr>
      </w:pPr>
    </w:p>
    <w:p>
      <w:pPr>
        <w:pStyle w:val="23"/>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226" w:name="_Toc11110"/>
      <w:bookmarkStart w:id="227" w:name="_Toc1166"/>
      <w:bookmarkStart w:id="228" w:name="_Toc24083"/>
      <w:bookmarkStart w:id="229" w:name="_Toc7745"/>
      <w:bookmarkStart w:id="230" w:name="_Toc5640"/>
      <w:bookmarkStart w:id="231" w:name="_Toc24715"/>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226"/>
      <w:bookmarkEnd w:id="227"/>
      <w:bookmarkEnd w:id="228"/>
      <w:bookmarkEnd w:id="229"/>
      <w:bookmarkEnd w:id="230"/>
      <w:bookmarkEnd w:id="231"/>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pPr>
        <w:pStyle w:val="16"/>
        <w:spacing w:line="360" w:lineRule="auto"/>
        <w:ind w:firstLine="482" w:firstLineChars="200"/>
        <w:contextualSpacing/>
        <w:rPr>
          <w:rFonts w:hint="eastAsia" w:ascii="宋体" w:hAnsi="宋体" w:eastAsia="宋体" w:cs="宋体"/>
          <w:b/>
          <w:bCs/>
          <w:color w:val="auto"/>
          <w:sz w:val="24"/>
          <w:szCs w:val="24"/>
          <w:highlight w:val="none"/>
        </w:rPr>
      </w:pP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lang w:eastAsia="zh-CN"/>
        </w:rPr>
      </w:pPr>
    </w:p>
    <w:p>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pPr>
        <w:pStyle w:val="16"/>
        <w:snapToGrid w:val="0"/>
        <w:spacing w:line="360" w:lineRule="auto"/>
        <w:rPr>
          <w:rFonts w:hint="eastAsia" w:ascii="宋体" w:hAnsi="宋体" w:eastAsia="宋体" w:cs="宋体"/>
          <w:b/>
          <w:color w:val="auto"/>
          <w:sz w:val="24"/>
          <w:szCs w:val="24"/>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pPr>
        <w:pStyle w:val="16"/>
        <w:snapToGrid w:val="0"/>
        <w:spacing w:line="360" w:lineRule="auto"/>
        <w:ind w:firstLine="482" w:firstLineChars="200"/>
        <w:rPr>
          <w:rFonts w:hint="eastAsia" w:ascii="宋体" w:hAnsi="宋体" w:eastAsia="宋体" w:cs="宋体"/>
          <w:b/>
          <w:bCs/>
          <w:color w:val="auto"/>
          <w:sz w:val="24"/>
          <w:szCs w:val="24"/>
          <w:highlight w:val="none"/>
        </w:rPr>
      </w:pP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6"/>
        <w:spacing w:line="360" w:lineRule="auto"/>
        <w:ind w:left="25" w:leftChars="12" w:firstLine="352" w:firstLineChars="147"/>
        <w:rPr>
          <w:rFonts w:hint="eastAsia" w:ascii="宋体" w:hAnsi="宋体" w:eastAsia="宋体" w:cs="宋体"/>
          <w:color w:val="auto"/>
          <w:sz w:val="24"/>
          <w:szCs w:val="24"/>
          <w:highlight w:val="none"/>
        </w:rPr>
      </w:pP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pPr>
        <w:rPr>
          <w:rFonts w:hint="eastAsia"/>
          <w:color w:val="auto"/>
          <w:highlight w:val="none"/>
        </w:rPr>
      </w:pPr>
    </w:p>
    <w:p>
      <w:pPr>
        <w:rPr>
          <w:rFonts w:hint="eastAsia"/>
          <w:color w:val="auto"/>
          <w:highlight w:val="none"/>
        </w:rPr>
      </w:pPr>
    </w:p>
    <w:p>
      <w:pPr>
        <w:rPr>
          <w:color w:val="auto"/>
          <w:highlight w:val="none"/>
        </w:rPr>
      </w:pPr>
    </w:p>
    <w:sectPr>
      <w:footerReference r:id="rId21" w:type="first"/>
      <w:headerReference r:id="rId19" w:type="default"/>
      <w:footerReference r:id="rId2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32D7C6E-FCFB-45CC-9F2E-5D55F5298F56}"/>
  </w:font>
  <w:font w:name="黑体">
    <w:panose1 w:val="02010609060101010101"/>
    <w:charset w:val="86"/>
    <w:family w:val="auto"/>
    <w:pitch w:val="default"/>
    <w:sig w:usb0="800002BF" w:usb1="38CF7CFA" w:usb2="00000016" w:usb3="00000000" w:csb0="00040001" w:csb1="00000000"/>
    <w:embedRegular r:id="rId2" w:fontKey="{ACDF42B4-9E10-4D36-911A-47459C2DB6BE}"/>
  </w:font>
  <w:font w:name="Courier New">
    <w:panose1 w:val="02070309020205020404"/>
    <w:charset w:val="01"/>
    <w:family w:val="modern"/>
    <w:pitch w:val="default"/>
    <w:sig w:usb0="E0002EFF" w:usb1="C0007843" w:usb2="00000009" w:usb3="00000000" w:csb0="400001FF" w:csb1="FFFF0000"/>
    <w:embedRegular r:id="rId3" w:fontKey="{34AF0752-0363-4EF8-801D-1CB3B5D9B15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355A5E7-96DB-49F5-8497-764D216C1093}"/>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89B14E0B-089D-4BAB-8ACD-0B168D58EE64}"/>
  </w:font>
  <w:font w:name="仿宋">
    <w:panose1 w:val="02010609060101010101"/>
    <w:charset w:val="86"/>
    <w:family w:val="modern"/>
    <w:pitch w:val="default"/>
    <w:sig w:usb0="800002BF" w:usb1="38CF7CFA" w:usb2="00000016" w:usb3="00000000" w:csb0="00040001" w:csb1="00000000"/>
    <w:embedRegular r:id="rId6" w:fontKey="{E03C5E2B-671D-469E-AEB6-BDCDB683F40E}"/>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7" w:fontKey="{35B1777B-531C-46F7-9D55-466E062C246B}"/>
  </w:font>
  <w:font w:name="方正小标宋简体">
    <w:panose1 w:val="02000000000000000000"/>
    <w:charset w:val="86"/>
    <w:family w:val="script"/>
    <w:pitch w:val="default"/>
    <w:sig w:usb0="00000000" w:usb1="00000000" w:usb2="00000000" w:usb3="00000000" w:csb0="00000000" w:csb1="00000000"/>
    <w:embedRegular r:id="rId8" w:fontKey="{2174E4D5-FDDB-4EF2-AD7A-0517B477757F}"/>
  </w:font>
  <w:font w:name="华文新魏">
    <w:altName w:val="宋体"/>
    <w:panose1 w:val="02010800040101010101"/>
    <w:charset w:val="86"/>
    <w:family w:val="auto"/>
    <w:pitch w:val="default"/>
    <w:sig w:usb0="00000000" w:usb1="00000000" w:usb2="00000000" w:usb3="00000000" w:csb0="00040000" w:csb1="00000000"/>
    <w:embedRegular r:id="rId9" w:fontKey="{10E8B721-EA40-4F6B-851A-9C5E24BCC3E5}"/>
  </w:font>
  <w:font w:name="Arial Unicode MS">
    <w:altName w:val="宋体"/>
    <w:panose1 w:val="020B0604020202020204"/>
    <w:charset w:val="86"/>
    <w:family w:val="swiss"/>
    <w:pitch w:val="default"/>
    <w:sig w:usb0="00000000" w:usb1="00000000" w:usb2="0000003F" w:usb3="00000000" w:csb0="603F01FF" w:csb1="FFFF0000"/>
    <w:embedRegular r:id="rId10" w:fontKey="{8B2C15CD-7945-41D4-9949-2EC7615DC60C}"/>
  </w:font>
  <w:font w:name="微软雅黑">
    <w:panose1 w:val="020B0503020204020204"/>
    <w:charset w:val="86"/>
    <w:family w:val="auto"/>
    <w:pitch w:val="default"/>
    <w:sig w:usb0="80000287" w:usb1="2ACF3C50" w:usb2="00000016" w:usb3="00000000" w:csb0="0004001F" w:csb1="00000000"/>
    <w:embedRegular r:id="rId11" w:fontKey="{609C4716-BADE-4185-9C15-C04F27983B71}"/>
  </w:font>
  <w:font w:name="MS Mincho">
    <w:altName w:val="Yu Gothic UI"/>
    <w:panose1 w:val="02020609040205080304"/>
    <w:charset w:val="80"/>
    <w:family w:val="modern"/>
    <w:pitch w:val="default"/>
    <w:sig w:usb0="00000000" w:usb1="00000000" w:usb2="00000012" w:usb3="00000000" w:csb0="4002009F" w:csb1="DFD70000"/>
    <w:embedRegular r:id="rId12" w:fontKey="{0BB20D9B-C748-4B95-AAE9-026556737DD8}"/>
  </w:font>
  <w:font w:name="楷体_GB2312">
    <w:altName w:val="楷体"/>
    <w:panose1 w:val="02010609030101010101"/>
    <w:charset w:val="86"/>
    <w:family w:val="modern"/>
    <w:pitch w:val="default"/>
    <w:sig w:usb0="00000000" w:usb1="00000000" w:usb2="00000000" w:usb3="00000000" w:csb0="00040000" w:csb1="00000000"/>
    <w:embedRegular r:id="rId13" w:fontKey="{0982ADBE-20EC-4885-9DFD-06871C36F2C1}"/>
  </w:font>
  <w:font w:name="Tahoma">
    <w:panose1 w:val="020B0604030504040204"/>
    <w:charset w:val="00"/>
    <w:family w:val="auto"/>
    <w:pitch w:val="default"/>
    <w:sig w:usb0="E1002EFF" w:usb1="C000605B" w:usb2="00000029" w:usb3="00000000" w:csb0="200101FF" w:csb1="20280000"/>
    <w:embedRegular r:id="rId14" w:fontKey="{4FA17194-8FBD-4AB3-A970-B7ACA7D98D3A}"/>
  </w:font>
  <w:font w:name="MingLiU_HKSCS">
    <w:altName w:val="PMingLiU-ExtB"/>
    <w:panose1 w:val="02020500000000000000"/>
    <w:charset w:val="88"/>
    <w:family w:val="roman"/>
    <w:pitch w:val="default"/>
    <w:sig w:usb0="00000000" w:usb1="00000000" w:usb2="00000016" w:usb3="00000000" w:csb0="00100001" w:csb1="00000000"/>
    <w:embedRegular r:id="rId15" w:fontKey="{CE74DE09-7BDF-4498-894F-831B3D1D7DCA}"/>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p>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uua8BAABNAwAADgAAAGRycy9lMm9Eb2MueG1srVPNahsxEL4X8g5C&#10;91hrQ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i7O7oMRxizPa/3jZ//y9//VM0IcN6kOsMe8pYGYarv2AyaM/ojPrHhTY/EVF&#10;BOPY6t2pvXJIRORH89l8XmFIYGy8ID57fR4gpjvpLclGQwHnV9rKt19iOqSOKbma87famDJD4/5x&#10;IGb2sMz9wDFbaVgNR0Er3+5QT4+jb6jD3aTE3DvsbN6S0YDRWI3GJoBed0htWnjFcLVJSKJwyxUO&#10;sMfCOLOi7rhfeSn+vpes179g+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rTuua8BAABN&#10;AwAADgAAAAAAAAABACAAAAAeAQAAZHJzL2Uyb0RvYy54bWxQSwUGAAAAAAYABgBZAQAAP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18"/>
                      <w:jc w:val="center"/>
                    </w:pPr>
                    <w:r>
                      <w:fldChar w:fldCharType="begin"/>
                    </w:r>
                    <w:r>
                      <w:instrText xml:space="preserve"> PAGE  \* MERGEFORMAT </w:instrText>
                    </w:r>
                    <w:r>
                      <w:fldChar w:fldCharType="separate"/>
                    </w:r>
                    <w:r>
                      <w:t>90</w:t>
                    </w:r>
                    <w:r>
                      <w:fldChar w:fldCharType="end"/>
                    </w:r>
                  </w:p>
                </w:txbxContent>
              </v:textbox>
            </v:shape>
          </w:pict>
        </mc:Fallback>
      </mc:AlternateContent>
    </w:r>
  </w:p>
  <w:p>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QvfLIBAABZAwAADgAAAGRycy9lMm9Eb2MueG1srVPNjtMwEL4j8Q6W&#10;7zTZHtgq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VHQvfLIB&#10;AABZAwAADgAAAAAAAAABACAAAAAeAQAAZHJzL2Uyb0RvYy54bWxQSwUGAAAAAAYABgBZAQAAQgUA&#10;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d70rIBAABZ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lqd70rIB&#10;AABZAwAADgAAAAAAAAABACAAAAAeAQAAZHJzL2Uyb0RvYy54bWxQSwUGAAAAAAYABgBZAQAAQgUA&#10;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i2KTEsQEA&#10;AFkDAAAOAAAAAAAAAAEAIAAAAB4BAABkcnMvZTJvRG9jLnhtbFBLBQYAAAAABgAGAFkBAABBBQAA&#10;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JArIBAABZAwAADgAAAGRycy9lMm9Eb2MueG1srVPNjtMwEL4j8Q6W&#10;7zTZHlA3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sm+JArIB&#10;AABZAwAADgAAAAAAAAABACAAAAAeAQAAZHJzL2Uyb0RvYy54bWxQSwUGAAAAAAYABgBZAQAAQgUA&#10;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20" w:hanging="4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left="420" w:hanging="420"/>
                            <w:jc w:val="center"/>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18"/>
                      <w:ind w:left="420" w:hanging="420"/>
                      <w:jc w:val="center"/>
                    </w:pPr>
                    <w:r>
                      <w:fldChar w:fldCharType="begin"/>
                    </w:r>
                    <w:r>
                      <w:instrText xml:space="preserve"> PAGE  \* MERGEFORMAT </w:instrText>
                    </w:r>
                    <w:r>
                      <w:fldChar w:fldCharType="separate"/>
                    </w:r>
                    <w:r>
                      <w:t>81</w:t>
                    </w:r>
                    <w:r>
                      <w:fldChar w:fldCharType="end"/>
                    </w:r>
                  </w:p>
                </w:txbxContent>
              </v:textbox>
            </v:shape>
          </w:pict>
        </mc:Fallback>
      </mc:AlternateContent>
    </w:r>
  </w:p>
  <w:p>
    <w:pPr>
      <w:pStyle w:val="18"/>
      <w:ind w:left="420" w:hanging="4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joGjn6wBAABNAwAA&#10;DgAAAAAAAAABACAAAAAeAQAAZHJzL2Uyb0RvYy54bWxQSwUGAAAAAAYABgBZAQAAPA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NNZC2025-C2-260140-XMZX</w:t>
    </w:r>
    <w:r>
      <w:rPr>
        <w:rFonts w:hint="eastAsia"/>
        <w:color w:val="auto"/>
      </w:rPr>
      <w:t>）</w:t>
    </w:r>
  </w:p>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NNZC2025-C2-260140-XMZX</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auto"/>
      </w:rPr>
    </w:pPr>
    <w:r>
      <w:rPr>
        <w:rFonts w:hint="eastAsia"/>
        <w:color w:val="auto"/>
      </w:rPr>
      <w:t>南宁市政府采购竞争性磋商采购文件（项目编号：</w:t>
    </w:r>
    <w:r>
      <w:rPr>
        <w:rFonts w:hint="eastAsia"/>
        <w:color w:val="auto"/>
        <w:lang w:eastAsia="zh-CN"/>
      </w:rPr>
      <w:t>NNZC2025-C2-260140-XMZX</w:t>
    </w:r>
    <w:r>
      <w:rPr>
        <w:rFonts w:hint="eastAsia"/>
        <w:color w:val="auto"/>
      </w:rPr>
      <w:t>）</w:t>
    </w:r>
  </w:p>
  <w:p>
    <w:pPr>
      <w:pStyle w:val="1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color w:val="auto"/>
      </w:rPr>
      <w:t>南宁市政府采购竞争性磋商采购文件（项目编号：</w:t>
    </w:r>
    <w:r>
      <w:rPr>
        <w:rFonts w:hint="eastAsia"/>
        <w:color w:val="auto"/>
        <w:lang w:eastAsia="zh-CN"/>
      </w:rPr>
      <w:t>NNZC2025-C2-260140-XMZX</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NGFkODFiMWViMDEyNjEyZmFlODJjYTJlMjI0NmQifQ=="/>
  </w:docVars>
  <w:rsids>
    <w:rsidRoot w:val="4A792BC1"/>
    <w:rsid w:val="003A6B66"/>
    <w:rsid w:val="00A67D58"/>
    <w:rsid w:val="028E4F47"/>
    <w:rsid w:val="02B80216"/>
    <w:rsid w:val="031501B1"/>
    <w:rsid w:val="03ED4337"/>
    <w:rsid w:val="0442423B"/>
    <w:rsid w:val="064F4F9D"/>
    <w:rsid w:val="06694FBD"/>
    <w:rsid w:val="0792100E"/>
    <w:rsid w:val="0927769E"/>
    <w:rsid w:val="0A0C3321"/>
    <w:rsid w:val="0B195A81"/>
    <w:rsid w:val="0B5E4333"/>
    <w:rsid w:val="0B7D0DF1"/>
    <w:rsid w:val="0C3A50F6"/>
    <w:rsid w:val="0C41127C"/>
    <w:rsid w:val="0CA32483"/>
    <w:rsid w:val="0E372937"/>
    <w:rsid w:val="0E7B0A75"/>
    <w:rsid w:val="0F1609AB"/>
    <w:rsid w:val="0F8F00B0"/>
    <w:rsid w:val="0FD83CA6"/>
    <w:rsid w:val="10BA7FBF"/>
    <w:rsid w:val="112847B9"/>
    <w:rsid w:val="112B39CA"/>
    <w:rsid w:val="11534786"/>
    <w:rsid w:val="11AE74B8"/>
    <w:rsid w:val="13B36212"/>
    <w:rsid w:val="14497709"/>
    <w:rsid w:val="14554682"/>
    <w:rsid w:val="158C0236"/>
    <w:rsid w:val="164E59A4"/>
    <w:rsid w:val="18324737"/>
    <w:rsid w:val="18406443"/>
    <w:rsid w:val="188B3EA1"/>
    <w:rsid w:val="196D545F"/>
    <w:rsid w:val="19AD7661"/>
    <w:rsid w:val="19B412DF"/>
    <w:rsid w:val="1B4B2B35"/>
    <w:rsid w:val="1B54323F"/>
    <w:rsid w:val="1D867E58"/>
    <w:rsid w:val="1D8B2357"/>
    <w:rsid w:val="1DF05A29"/>
    <w:rsid w:val="1F901EA7"/>
    <w:rsid w:val="1FEA45C9"/>
    <w:rsid w:val="208539D6"/>
    <w:rsid w:val="227B299A"/>
    <w:rsid w:val="22C32593"/>
    <w:rsid w:val="2431093C"/>
    <w:rsid w:val="252D5589"/>
    <w:rsid w:val="25AA7CDA"/>
    <w:rsid w:val="25BE5AC8"/>
    <w:rsid w:val="25CC2EDF"/>
    <w:rsid w:val="26A7481C"/>
    <w:rsid w:val="28D5118E"/>
    <w:rsid w:val="28E868B0"/>
    <w:rsid w:val="2C2D1DFD"/>
    <w:rsid w:val="2CD81465"/>
    <w:rsid w:val="2E556795"/>
    <w:rsid w:val="2F1B5F91"/>
    <w:rsid w:val="2FB77156"/>
    <w:rsid w:val="2FE645BF"/>
    <w:rsid w:val="319B115F"/>
    <w:rsid w:val="31F91ADC"/>
    <w:rsid w:val="3267783E"/>
    <w:rsid w:val="33342978"/>
    <w:rsid w:val="3345560D"/>
    <w:rsid w:val="33A474CF"/>
    <w:rsid w:val="341F5C57"/>
    <w:rsid w:val="35A3506A"/>
    <w:rsid w:val="35FA7C22"/>
    <w:rsid w:val="36956DC4"/>
    <w:rsid w:val="36DF1C32"/>
    <w:rsid w:val="376E466E"/>
    <w:rsid w:val="37ED732A"/>
    <w:rsid w:val="38B1344E"/>
    <w:rsid w:val="39870694"/>
    <w:rsid w:val="3A747564"/>
    <w:rsid w:val="3B1F25AF"/>
    <w:rsid w:val="3BAB5456"/>
    <w:rsid w:val="3D200751"/>
    <w:rsid w:val="3D6176CB"/>
    <w:rsid w:val="3E5C58AD"/>
    <w:rsid w:val="3EFF6AAC"/>
    <w:rsid w:val="3F470381"/>
    <w:rsid w:val="3F6057F8"/>
    <w:rsid w:val="40C625AD"/>
    <w:rsid w:val="43127AF9"/>
    <w:rsid w:val="432A1A6E"/>
    <w:rsid w:val="43516F22"/>
    <w:rsid w:val="443006B8"/>
    <w:rsid w:val="455A327C"/>
    <w:rsid w:val="45C02C36"/>
    <w:rsid w:val="48081CE6"/>
    <w:rsid w:val="48BD0371"/>
    <w:rsid w:val="49653B3C"/>
    <w:rsid w:val="49656BC0"/>
    <w:rsid w:val="4A050C18"/>
    <w:rsid w:val="4A792BC1"/>
    <w:rsid w:val="4AE21B38"/>
    <w:rsid w:val="4B4166C0"/>
    <w:rsid w:val="4B614574"/>
    <w:rsid w:val="4BAC74BE"/>
    <w:rsid w:val="4DAC0452"/>
    <w:rsid w:val="4F7479F9"/>
    <w:rsid w:val="4F7E2B86"/>
    <w:rsid w:val="4FDE6BE1"/>
    <w:rsid w:val="50D94BAC"/>
    <w:rsid w:val="51894D3E"/>
    <w:rsid w:val="51A77922"/>
    <w:rsid w:val="52490566"/>
    <w:rsid w:val="535950B1"/>
    <w:rsid w:val="536B0AA5"/>
    <w:rsid w:val="54120E10"/>
    <w:rsid w:val="58005F43"/>
    <w:rsid w:val="5928560F"/>
    <w:rsid w:val="5AAA6FB5"/>
    <w:rsid w:val="5C06444B"/>
    <w:rsid w:val="5CE72757"/>
    <w:rsid w:val="5CE868B8"/>
    <w:rsid w:val="5DA35C00"/>
    <w:rsid w:val="5FDB4F12"/>
    <w:rsid w:val="6116474A"/>
    <w:rsid w:val="61555AB1"/>
    <w:rsid w:val="61B21B87"/>
    <w:rsid w:val="62052439"/>
    <w:rsid w:val="6239745E"/>
    <w:rsid w:val="63042A79"/>
    <w:rsid w:val="65B90E14"/>
    <w:rsid w:val="65BD6DD7"/>
    <w:rsid w:val="660B0EF6"/>
    <w:rsid w:val="666F593F"/>
    <w:rsid w:val="66B81126"/>
    <w:rsid w:val="67375865"/>
    <w:rsid w:val="683F2481"/>
    <w:rsid w:val="68E85E7D"/>
    <w:rsid w:val="691A77E9"/>
    <w:rsid w:val="693B54BB"/>
    <w:rsid w:val="698C4A89"/>
    <w:rsid w:val="6CED7CC6"/>
    <w:rsid w:val="6D110330"/>
    <w:rsid w:val="6D723464"/>
    <w:rsid w:val="6DDB7D5E"/>
    <w:rsid w:val="6E0472B5"/>
    <w:rsid w:val="6E946696"/>
    <w:rsid w:val="7086322B"/>
    <w:rsid w:val="708B319F"/>
    <w:rsid w:val="721970A7"/>
    <w:rsid w:val="72D03AE8"/>
    <w:rsid w:val="7390022E"/>
    <w:rsid w:val="74890D53"/>
    <w:rsid w:val="749850D8"/>
    <w:rsid w:val="755911AE"/>
    <w:rsid w:val="75FA4D6A"/>
    <w:rsid w:val="762416C6"/>
    <w:rsid w:val="77DA4BE2"/>
    <w:rsid w:val="798C478A"/>
    <w:rsid w:val="7A374E51"/>
    <w:rsid w:val="7B60505B"/>
    <w:rsid w:val="7D3A35F4"/>
    <w:rsid w:val="7D807FDA"/>
    <w:rsid w:val="7D944D54"/>
    <w:rsid w:val="7F1E343E"/>
    <w:rsid w:val="7FE93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unhideWhenUsed/>
    <w:qFormat/>
    <w:uiPriority w:val="9"/>
    <w:pPr>
      <w:keepNext/>
      <w:keepLines/>
      <w:spacing w:before="260" w:after="260" w:line="416" w:lineRule="auto"/>
      <w:outlineLvl w:val="2"/>
    </w:pPr>
    <w:rPr>
      <w:sz w:val="32"/>
      <w:szCs w:val="32"/>
    </w:rPr>
  </w:style>
  <w:style w:type="paragraph" w:styleId="5">
    <w:name w:val="heading 4"/>
    <w:basedOn w:val="4"/>
    <w:next w:val="6"/>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qFormat/>
    <w:uiPriority w:val="0"/>
    <w:pPr>
      <w:keepNext/>
      <w:keepLines/>
      <w:spacing w:before="280" w:after="290" w:line="372" w:lineRule="auto"/>
      <w:outlineLvl w:val="4"/>
    </w:pPr>
    <w:rPr>
      <w:b w:val="0"/>
      <w:sz w:val="28"/>
    </w:rPr>
  </w:style>
  <w:style w:type="character" w:default="1" w:styleId="27">
    <w:name w:val="Default Paragraph Font"/>
    <w:semiHidden/>
    <w:qFormat/>
    <w:uiPriority w:val="0"/>
  </w:style>
  <w:style w:type="table" w:default="1" w:styleId="25">
    <w:name w:val="Normal Table"/>
    <w:semiHidden/>
    <w:qFormat/>
    <w:uiPriority w:val="0"/>
    <w:tblPr>
      <w:tblLayout w:type="fixed"/>
      <w:tblCellMar>
        <w:top w:w="0" w:type="dxa"/>
        <w:left w:w="108" w:type="dxa"/>
        <w:bottom w:w="0" w:type="dxa"/>
        <w:right w:w="108" w:type="dxa"/>
      </w:tblCellMar>
    </w:tblPr>
  </w:style>
  <w:style w:type="paragraph" w:styleId="7">
    <w:name w:val="Normal Indent"/>
    <w:basedOn w:val="1"/>
    <w:unhideWhenUsed/>
    <w:qFormat/>
    <w:uiPriority w:val="99"/>
    <w:pPr>
      <w:ind w:firstLine="420"/>
    </w:pPr>
    <w:rPr>
      <w:szCs w:val="20"/>
    </w:rPr>
  </w:style>
  <w:style w:type="paragraph" w:styleId="8">
    <w:name w:val="index 8"/>
    <w:basedOn w:val="1"/>
    <w:next w:val="1"/>
    <w:qFormat/>
    <w:uiPriority w:val="0"/>
    <w:pPr>
      <w:tabs>
        <w:tab w:val="left" w:pos="540"/>
        <w:tab w:val="left" w:pos="900"/>
      </w:tabs>
      <w:jc w:val="center"/>
    </w:pPr>
    <w:rPr>
      <w:rFonts w:hAnsi="宋体" w:cs="宋体"/>
      <w:color w:val="000000"/>
      <w:sz w:val="32"/>
      <w:szCs w:val="32"/>
    </w:rPr>
  </w:style>
  <w:style w:type="paragraph" w:styleId="9">
    <w:name w:val="List Number"/>
    <w:basedOn w:val="1"/>
    <w:qFormat/>
    <w:uiPriority w:val="0"/>
    <w:pPr>
      <w:numPr>
        <w:ilvl w:val="0"/>
        <w:numId w:val="1"/>
      </w:numPr>
    </w:pPr>
  </w:style>
  <w:style w:type="paragraph" w:styleId="10">
    <w:name w:val="annotation text"/>
    <w:basedOn w:val="1"/>
    <w:unhideWhenUsed/>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unhideWhenUsed/>
    <w:qFormat/>
    <w:uiPriority w:val="99"/>
    <w:pPr>
      <w:spacing w:after="120"/>
    </w:pPr>
  </w:style>
  <w:style w:type="paragraph" w:styleId="13">
    <w:name w:val="Body Text Indent"/>
    <w:basedOn w:val="1"/>
    <w:unhideWhenUsed/>
    <w:qFormat/>
    <w:uiPriority w:val="99"/>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1"/>
    <w:unhideWhenUsed/>
    <w:qFormat/>
    <w:uiPriority w:val="99"/>
    <w:rPr>
      <w:rFonts w:ascii="宋体" w:hAnsi="Courier New"/>
      <w:kern w:val="0"/>
      <w:sz w:val="20"/>
      <w:szCs w:val="21"/>
    </w:rPr>
  </w:style>
  <w:style w:type="paragraph" w:styleId="17">
    <w:name w:val="Date"/>
    <w:basedOn w:val="1"/>
    <w:next w:val="1"/>
    <w:unhideWhenUsed/>
    <w:qFormat/>
    <w:uiPriority w:val="99"/>
    <w:pPr>
      <w:ind w:left="100" w:leftChars="2500"/>
    </w:pPr>
  </w:style>
  <w:style w:type="paragraph" w:styleId="18">
    <w:name w:val="footer"/>
    <w:basedOn w:val="1"/>
    <w:unhideWhenUsed/>
    <w:qFormat/>
    <w:uiPriority w:val="0"/>
    <w:pPr>
      <w:tabs>
        <w:tab w:val="center" w:pos="4153"/>
        <w:tab w:val="right" w:pos="8306"/>
      </w:tabs>
      <w:snapToGrid w:val="0"/>
      <w:jc w:val="left"/>
    </w:pPr>
    <w:rPr>
      <w:kern w:val="0"/>
      <w:sz w:val="18"/>
      <w:szCs w:val="18"/>
    </w:rPr>
  </w:style>
  <w:style w:type="paragraph" w:styleId="19">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List"/>
    <w:basedOn w:val="1"/>
    <w:unhideWhenUsed/>
    <w:qFormat/>
    <w:uiPriority w:val="99"/>
    <w:pPr>
      <w:ind w:left="200" w:hanging="200" w:hangingChars="200"/>
      <w:contextualSpacing/>
    </w:pPr>
  </w:style>
  <w:style w:type="paragraph" w:styleId="22">
    <w:name w:val="table of figures"/>
    <w:basedOn w:val="1"/>
    <w:next w:val="1"/>
    <w:qFormat/>
    <w:uiPriority w:val="0"/>
    <w:pPr>
      <w:ind w:leftChars="200" w:hanging="200" w:hangingChars="200"/>
    </w:pPr>
    <w:rPr>
      <w:rFonts w:ascii="Times New Roman" w:hAnsi="Times New Roman" w:eastAsia="宋体" w:cs="Times New Roman"/>
    </w:rPr>
  </w:style>
  <w:style w:type="paragraph" w:styleId="23">
    <w:name w:val="toc 2"/>
    <w:basedOn w:val="1"/>
    <w:next w:val="1"/>
    <w:unhideWhenUsed/>
    <w:qFormat/>
    <w:uiPriority w:val="39"/>
    <w:pPr>
      <w:tabs>
        <w:tab w:val="right" w:leader="dot" w:pos="8296"/>
      </w:tabs>
      <w:ind w:left="420" w:leftChars="200"/>
    </w:pPr>
  </w:style>
  <w:style w:type="paragraph" w:styleId="24">
    <w:name w:val="Body Text First Indent 2"/>
    <w:basedOn w:val="13"/>
    <w:next w:val="1"/>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Strong"/>
    <w:basedOn w:val="27"/>
    <w:qFormat/>
    <w:uiPriority w:val="0"/>
    <w:rPr>
      <w:b/>
    </w:rPr>
  </w:style>
  <w:style w:type="character" w:styleId="29">
    <w:name w:val="Hyperlink"/>
    <w:unhideWhenUsed/>
    <w:qFormat/>
    <w:uiPriority w:val="99"/>
    <w:rPr>
      <w:color w:val="0000FF"/>
      <w:u w:val="single"/>
    </w:rPr>
  </w:style>
  <w:style w:type="paragraph" w:customStyle="1" w:styleId="30">
    <w:name w:val="正文_2_0"/>
    <w:next w:val="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页脚_2"/>
    <w:basedOn w:val="30"/>
    <w:unhideWhenUsed/>
    <w:qFormat/>
    <w:uiPriority w:val="99"/>
    <w:pPr>
      <w:tabs>
        <w:tab w:val="center" w:pos="4153"/>
        <w:tab w:val="right" w:pos="8306"/>
      </w:tabs>
      <w:snapToGrid w:val="0"/>
      <w:jc w:val="left"/>
    </w:pPr>
    <w:rPr>
      <w:sz w:val="18"/>
      <w:szCs w:val="18"/>
    </w:rPr>
  </w:style>
  <w:style w:type="paragraph" w:customStyle="1" w:styleId="32">
    <w:name w:val="表格文字"/>
    <w:basedOn w:val="13"/>
    <w:qFormat/>
    <w:uiPriority w:val="0"/>
    <w:pPr>
      <w:spacing w:before="60" w:after="60" w:line="240" w:lineRule="auto"/>
      <w:ind w:firstLine="0"/>
    </w:pPr>
    <w:rPr>
      <w:rFonts w:ascii="Times New Roman" w:hAnsi="Times New Roman"/>
      <w:szCs w:val="24"/>
    </w:rPr>
  </w:style>
  <w:style w:type="paragraph" w:customStyle="1" w:styleId="33">
    <w:name w:val="正文2"/>
    <w:basedOn w:val="1"/>
    <w:qFormat/>
    <w:uiPriority w:val="0"/>
    <w:pPr>
      <w:adjustRightInd w:val="0"/>
      <w:spacing w:before="156" w:line="360" w:lineRule="auto"/>
      <w:ind w:firstLine="510" w:firstLineChars="200"/>
    </w:pPr>
    <w:rPr>
      <w:kern w:val="0"/>
      <w:sz w:val="24"/>
      <w:szCs w:val="20"/>
    </w:rPr>
  </w:style>
  <w:style w:type="paragraph" w:customStyle="1" w:styleId="34">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10"/>
    <w:qFormat/>
    <w:uiPriority w:val="0"/>
    <w:rPr>
      <w:rFonts w:hint="default" w:ascii="Times New Roman" w:hAnsi="Times New Roman" w:cs="Times New Roman"/>
    </w:rPr>
  </w:style>
  <w:style w:type="paragraph" w:customStyle="1" w:styleId="39">
    <w:name w:val="正文_2"/>
    <w:basedOn w:val="4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3"/>
    <w:basedOn w:val="1"/>
    <w:qFormat/>
    <w:uiPriority w:val="0"/>
    <w:rPr>
      <w:szCs w:val="22"/>
    </w:rPr>
  </w:style>
  <w:style w:type="paragraph" w:customStyle="1" w:styleId="41">
    <w:name w:val="标题 2_1"/>
    <w:basedOn w:val="39"/>
    <w:next w:val="30"/>
    <w:qFormat/>
    <w:uiPriority w:val="99"/>
    <w:pPr>
      <w:keepNext/>
      <w:keepLines/>
      <w:spacing w:before="60" w:after="60" w:line="413" w:lineRule="auto"/>
      <w:outlineLvl w:val="1"/>
    </w:pPr>
    <w:rPr>
      <w:rFonts w:ascii="Arial" w:hAnsi="Arial" w:eastAsia="黑体"/>
      <w:b/>
      <w:bCs/>
      <w:szCs w:val="32"/>
    </w:rPr>
  </w:style>
  <w:style w:type="paragraph" w:customStyle="1" w:styleId="42">
    <w:name w:val="表格文字115"/>
    <w:basedOn w:val="1"/>
    <w:qFormat/>
    <w:uiPriority w:val="0"/>
    <w:pPr>
      <w:spacing w:before="25" w:after="25"/>
      <w:jc w:val="left"/>
    </w:pPr>
    <w:rPr>
      <w:bCs/>
      <w:spacing w:val="10"/>
      <w:kern w:val="0"/>
      <w:sz w:val="24"/>
    </w:rPr>
  </w:style>
  <w:style w:type="paragraph" w:customStyle="1" w:styleId="43">
    <w:name w:val="Normal Indent1"/>
    <w:basedOn w:val="1"/>
    <w:qFormat/>
    <w:uiPriority w:val="0"/>
    <w:pPr>
      <w:spacing w:line="660" w:lineRule="exact"/>
      <w:ind w:firstLine="720"/>
    </w:pPr>
    <w:rPr>
      <w:rFonts w:eastAsia="Cambria Math"/>
      <w:sz w:val="36"/>
      <w:szCs w:val="36"/>
    </w:rPr>
  </w:style>
  <w:style w:type="paragraph" w:customStyle="1" w:styleId="44">
    <w:name w:val="font5"/>
    <w:basedOn w:val="1"/>
    <w:qFormat/>
    <w:uiPriority w:val="0"/>
    <w:pPr>
      <w:widowControl/>
      <w:spacing w:before="100" w:beforeAutospacing="1" w:after="100" w:afterAutospacing="1"/>
      <w:jc w:val="left"/>
    </w:pPr>
    <w:rPr>
      <w:kern w:val="0"/>
      <w:sz w:val="24"/>
      <w:szCs w:val="20"/>
    </w:rPr>
  </w:style>
  <w:style w:type="paragraph" w:customStyle="1" w:styleId="45">
    <w:name w:val="正文文本 (2)4"/>
    <w:basedOn w:val="1"/>
    <w:qFormat/>
    <w:uiPriority w:val="0"/>
    <w:pPr>
      <w:shd w:val="clear" w:color="auto" w:fill="FFFFFF"/>
      <w:spacing w:before="300" w:line="439" w:lineRule="exact"/>
      <w:jc w:val="distribute"/>
    </w:pPr>
    <w:rPr>
      <w:rFonts w:ascii="MingLiU" w:hAnsi="MingLiU" w:eastAsia="MingLiU"/>
      <w:spacing w:val="20"/>
    </w:rPr>
  </w:style>
  <w:style w:type="character" w:customStyle="1" w:styleId="46">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7">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8">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paragraph" w:customStyle="1" w:styleId="52">
    <w:name w:val="Body text|1"/>
    <w:basedOn w:val="1"/>
    <w:qFormat/>
    <w:uiPriority w:val="0"/>
    <w:pPr>
      <w:spacing w:line="360" w:lineRule="auto"/>
      <w:ind w:firstLine="400"/>
    </w:pPr>
    <w:rPr>
      <w:rFonts w:ascii="宋体" w:hAnsi="宋体" w:cs="宋体"/>
      <w:kern w:val="0"/>
      <w:sz w:val="20"/>
      <w:szCs w:val="20"/>
      <w:lang w:val="zh-CN" w:bidi="zh-CN"/>
    </w:rPr>
  </w:style>
  <w:style w:type="paragraph" w:customStyle="1" w:styleId="53">
    <w:name w:val="Body text|1_1"/>
    <w:basedOn w:val="30"/>
    <w:qFormat/>
    <w:uiPriority w:val="0"/>
    <w:pPr>
      <w:spacing w:line="360" w:lineRule="auto"/>
      <w:ind w:firstLine="400"/>
    </w:pPr>
    <w:rPr>
      <w:rFonts w:ascii="宋体" w:hAnsi="宋体" w:eastAsia="宋体" w:cs="宋体"/>
      <w:color w:val="auto"/>
      <w:kern w:val="2"/>
      <w:sz w:val="20"/>
      <w:szCs w:val="2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30813</Words>
  <Characters>33586</Characters>
  <Lines>0</Lines>
  <Paragraphs>0</Paragraphs>
  <TotalTime>10</TotalTime>
  <ScaleCrop>false</ScaleCrop>
  <LinksUpToDate>false</LinksUpToDate>
  <CharactersWithSpaces>33868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吸香糖王力宏</cp:lastModifiedBy>
  <cp:lastPrinted>2023-09-11T02:23:00Z</cp:lastPrinted>
  <dcterms:modified xsi:type="dcterms:W3CDTF">2025-10-10T07:06:27Z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67EB9E9F86B944CDAE68BD33E3A8D97B_13</vt:lpwstr>
  </property>
  <property fmtid="{D5CDD505-2E9C-101B-9397-08002B2CF9AE}" pid="4" name="KSOTemplateDocerSaveRecord">
    <vt:lpwstr>eyJoZGlkIjoiNmI4OTIyODZmZDNkMjMzZWQ1ZTc1OTA5ZWYzY2ViOTUiLCJ1c2VySWQiOiIyNjUyNjk5MTkifQ==</vt:lpwstr>
  </property>
</Properties>
</file>