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7E0B5">
      <w:pPr>
        <w:pStyle w:val="21"/>
        <w:rPr>
          <w:rFonts w:hint="eastAsia" w:ascii="宋体" w:hAnsi="宋体" w:eastAsia="宋体"/>
          <w:b/>
          <w:color w:val="auto"/>
          <w:w w:val="95"/>
          <w:sz w:val="32"/>
          <w:szCs w:val="32"/>
          <w:highlight w:val="none"/>
          <w:lang w:eastAsia="zh-CN"/>
        </w:rPr>
        <w:sectPr>
          <w:headerReference r:id="rId3" w:type="default"/>
          <w:footerReference r:id="rId4" w:type="default"/>
          <w:pgSz w:w="11906" w:h="16838"/>
          <w:pgMar w:top="1134" w:right="1134" w:bottom="1134" w:left="1134" w:header="851" w:footer="992" w:gutter="0"/>
          <w:pgNumType w:start="0"/>
          <w:cols w:space="720" w:num="1"/>
          <w:titlePg/>
          <w:docGrid w:type="lines" w:linePitch="312" w:charSpace="0"/>
        </w:sectPr>
      </w:pPr>
      <w:r>
        <w:rPr>
          <w:rFonts w:hint="eastAsia" w:ascii="宋体" w:hAnsi="宋体" w:eastAsia="宋体"/>
          <w:b/>
          <w:color w:val="auto"/>
          <w:w w:val="95"/>
          <w:sz w:val="32"/>
          <w:szCs w:val="32"/>
          <w:highlight w:val="none"/>
          <w:lang w:eastAsia="zh-CN"/>
        </w:rPr>
        <w:drawing>
          <wp:inline distT="0" distB="0" distL="114300" distR="114300">
            <wp:extent cx="6108065" cy="9162415"/>
            <wp:effectExtent l="0" t="0" r="6985" b="635"/>
            <wp:docPr id="13" name="图片 13" descr="b46e60ec51986499ecd07787a4e16b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b46e60ec51986499ecd07787a4e16bfd"/>
                    <pic:cNvPicPr>
                      <a:picLocks noChangeAspect="1"/>
                    </pic:cNvPicPr>
                  </pic:nvPicPr>
                  <pic:blipFill>
                    <a:blip r:embed="rId13"/>
                    <a:stretch>
                      <a:fillRect/>
                    </a:stretch>
                  </pic:blipFill>
                  <pic:spPr>
                    <a:xfrm>
                      <a:off x="0" y="0"/>
                      <a:ext cx="6108065" cy="9162415"/>
                    </a:xfrm>
                    <a:prstGeom prst="rect">
                      <a:avLst/>
                    </a:prstGeom>
                  </pic:spPr>
                </pic:pic>
              </a:graphicData>
            </a:graphic>
          </wp:inline>
        </w:drawing>
      </w:r>
    </w:p>
    <w:p w14:paraId="1A366825">
      <w:pPr>
        <w:pStyle w:val="21"/>
        <w:rPr>
          <w:rFonts w:ascii="宋体" w:hAnsi="宋体"/>
          <w:b/>
          <w:color w:val="auto"/>
          <w:w w:val="95"/>
          <w:sz w:val="32"/>
          <w:szCs w:val="32"/>
          <w:highlight w:val="none"/>
        </w:rPr>
      </w:pPr>
    </w:p>
    <w:p w14:paraId="0B5F410D">
      <w:pPr>
        <w:pStyle w:val="21"/>
        <w:rPr>
          <w:rFonts w:ascii="宋体" w:hAnsi="宋体"/>
          <w:b/>
          <w:color w:val="auto"/>
          <w:w w:val="95"/>
          <w:sz w:val="32"/>
          <w:szCs w:val="32"/>
          <w:highlight w:val="none"/>
        </w:rPr>
      </w:pPr>
    </w:p>
    <w:p w14:paraId="3946CF1F">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8CCCDFF">
      <w:pPr>
        <w:spacing w:line="400" w:lineRule="exact"/>
        <w:jc w:val="center"/>
        <w:rPr>
          <w:rFonts w:hint="eastAsia" w:ascii="宋体" w:hAnsi="宋体"/>
          <w:b/>
          <w:color w:val="auto"/>
          <w:sz w:val="44"/>
          <w:szCs w:val="44"/>
          <w:highlight w:val="none"/>
        </w:rPr>
      </w:pPr>
    </w:p>
    <w:p w14:paraId="0CC3AEA8">
      <w:pPr>
        <w:pStyle w:val="15"/>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rFonts w:ascii="宋体" w:hAnsi="宋体"/>
          <w:b/>
          <w:color w:val="auto"/>
          <w:sz w:val="24"/>
          <w:highlight w:val="none"/>
        </w:rPr>
        <w:fldChar w:fldCharType="begin"/>
      </w:r>
      <w:r>
        <w:rPr>
          <w:rStyle w:val="19"/>
          <w:rFonts w:ascii="宋体" w:hAnsi="宋体"/>
          <w:b/>
          <w:color w:val="auto"/>
          <w:sz w:val="24"/>
          <w:highlight w:val="none"/>
        </w:rPr>
        <w:instrText xml:space="preserve"> </w:instrText>
      </w:r>
      <w:r>
        <w:rPr>
          <w:rFonts w:ascii="宋体" w:hAnsi="宋体"/>
          <w:b/>
          <w:color w:val="auto"/>
          <w:sz w:val="24"/>
          <w:highlight w:val="none"/>
        </w:rPr>
        <w:instrText xml:space="preserve">HYPERLINK \l "_Toc74322008"</w:instrText>
      </w:r>
      <w:r>
        <w:rPr>
          <w:rStyle w:val="19"/>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19"/>
          <w:rFonts w:hint="eastAsia" w:ascii="宋体" w:hAnsi="宋体"/>
          <w:b/>
          <w:color w:val="auto"/>
          <w:sz w:val="24"/>
          <w:highlight w:val="none"/>
        </w:rPr>
        <w:t>第一章</w:t>
      </w:r>
      <w:r>
        <w:rPr>
          <w:rStyle w:val="19"/>
          <w:rFonts w:ascii="宋体" w:hAnsi="宋体"/>
          <w:b/>
          <w:color w:val="auto"/>
          <w:sz w:val="24"/>
          <w:highlight w:val="none"/>
        </w:rPr>
        <w:t xml:space="preserve"> </w:t>
      </w:r>
      <w:r>
        <w:rPr>
          <w:rStyle w:val="19"/>
          <w:rFonts w:hint="eastAsia" w:ascii="宋体" w:hAnsi="宋体"/>
          <w:b/>
          <w:color w:val="auto"/>
          <w:sz w:val="24"/>
          <w:highlight w:val="none"/>
        </w:rPr>
        <w:t>竞争性谈判公告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_Toc74322008 \h </w:instrText>
      </w:r>
      <w:r>
        <w:rPr>
          <w:rFonts w:ascii="宋体" w:hAnsi="宋体"/>
          <w:b/>
          <w:color w:val="auto"/>
          <w:sz w:val="24"/>
          <w:highlight w:val="none"/>
        </w:rPr>
        <w:fldChar w:fldCharType="separate"/>
      </w:r>
      <w:r>
        <w:rPr>
          <w:rFonts w:ascii="宋体" w:hAnsi="宋体"/>
          <w:b/>
          <w:color w:val="auto"/>
          <w:sz w:val="24"/>
          <w:highlight w:val="none"/>
        </w:rPr>
        <w:t>1</w:t>
      </w:r>
      <w:r>
        <w:rPr>
          <w:rFonts w:ascii="宋体" w:hAnsi="宋体"/>
          <w:b/>
          <w:color w:val="auto"/>
          <w:sz w:val="24"/>
          <w:highlight w:val="none"/>
        </w:rPr>
        <w:fldChar w:fldCharType="end"/>
      </w:r>
      <w:r>
        <w:rPr>
          <w:rFonts w:ascii="宋体" w:hAnsi="宋体"/>
          <w:b/>
          <w:color w:val="auto"/>
          <w:sz w:val="24"/>
          <w:highlight w:val="none"/>
        </w:rPr>
        <w:fldChar w:fldCharType="end"/>
      </w:r>
    </w:p>
    <w:p w14:paraId="6CBEC486">
      <w:pPr>
        <w:pStyle w:val="15"/>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19"/>
          <w:rFonts w:ascii="宋体" w:hAnsi="宋体"/>
          <w:b/>
          <w:color w:val="auto"/>
          <w:sz w:val="24"/>
          <w:highlight w:val="none"/>
        </w:rPr>
        <w:instrText xml:space="preserve"> </w:instrText>
      </w:r>
      <w:r>
        <w:rPr>
          <w:rFonts w:ascii="宋体" w:hAnsi="宋体"/>
          <w:b/>
          <w:color w:val="auto"/>
          <w:sz w:val="24"/>
          <w:highlight w:val="none"/>
        </w:rPr>
        <w:instrText xml:space="preserve">HYPERLINK \l "_Toc74322009"</w:instrText>
      </w:r>
      <w:r>
        <w:rPr>
          <w:rStyle w:val="19"/>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19"/>
          <w:rFonts w:hint="eastAsia" w:ascii="宋体" w:hAnsi="宋体"/>
          <w:b/>
          <w:color w:val="auto"/>
          <w:sz w:val="24"/>
          <w:highlight w:val="none"/>
        </w:rPr>
        <w:t>第二章</w:t>
      </w:r>
      <w:r>
        <w:rPr>
          <w:rStyle w:val="19"/>
          <w:rFonts w:ascii="宋体" w:hAnsi="宋体"/>
          <w:b/>
          <w:color w:val="auto"/>
          <w:sz w:val="24"/>
          <w:highlight w:val="none"/>
        </w:rPr>
        <w:t xml:space="preserve"> </w:t>
      </w:r>
      <w:r>
        <w:rPr>
          <w:rStyle w:val="19"/>
          <w:rFonts w:hint="eastAsia" w:ascii="宋体" w:hAnsi="宋体"/>
          <w:b/>
          <w:color w:val="auto"/>
          <w:sz w:val="24"/>
          <w:highlight w:val="none"/>
        </w:rPr>
        <w:t>供应商须知</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_Toc74322009 \h </w:instrText>
      </w:r>
      <w:r>
        <w:rPr>
          <w:rFonts w:ascii="宋体" w:hAnsi="宋体"/>
          <w:b/>
          <w:color w:val="auto"/>
          <w:sz w:val="24"/>
          <w:highlight w:val="none"/>
        </w:rPr>
        <w:fldChar w:fldCharType="separate"/>
      </w:r>
      <w:r>
        <w:rPr>
          <w:rFonts w:ascii="宋体" w:hAnsi="宋体"/>
          <w:b/>
          <w:color w:val="auto"/>
          <w:sz w:val="24"/>
          <w:highlight w:val="none"/>
        </w:rPr>
        <w:t>5</w:t>
      </w:r>
      <w:r>
        <w:rPr>
          <w:rFonts w:ascii="宋体" w:hAnsi="宋体"/>
          <w:b/>
          <w:color w:val="auto"/>
          <w:sz w:val="24"/>
          <w:highlight w:val="none"/>
        </w:rPr>
        <w:fldChar w:fldCharType="end"/>
      </w:r>
      <w:r>
        <w:rPr>
          <w:rFonts w:ascii="宋体" w:hAnsi="宋体"/>
          <w:b/>
          <w:color w:val="auto"/>
          <w:sz w:val="24"/>
          <w:highlight w:val="none"/>
        </w:rPr>
        <w:fldChar w:fldCharType="end"/>
      </w:r>
    </w:p>
    <w:p w14:paraId="67D93D25">
      <w:pPr>
        <w:pStyle w:val="15"/>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19"/>
          <w:rFonts w:ascii="宋体" w:hAnsi="宋体"/>
          <w:b/>
          <w:color w:val="auto"/>
          <w:sz w:val="24"/>
          <w:highlight w:val="none"/>
        </w:rPr>
        <w:instrText xml:space="preserve"> </w:instrText>
      </w:r>
      <w:r>
        <w:rPr>
          <w:rFonts w:ascii="宋体" w:hAnsi="宋体"/>
          <w:b/>
          <w:color w:val="auto"/>
          <w:sz w:val="24"/>
          <w:highlight w:val="none"/>
        </w:rPr>
        <w:instrText xml:space="preserve">HYPERLINK \l "_Toc74322010"</w:instrText>
      </w:r>
      <w:r>
        <w:rPr>
          <w:rStyle w:val="19"/>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19"/>
          <w:rFonts w:hint="eastAsia" w:ascii="宋体" w:hAnsi="宋体"/>
          <w:b/>
          <w:color w:val="auto"/>
          <w:sz w:val="24"/>
          <w:highlight w:val="none"/>
        </w:rPr>
        <w:t>第三章</w:t>
      </w:r>
      <w:r>
        <w:rPr>
          <w:rStyle w:val="19"/>
          <w:rFonts w:ascii="宋体" w:hAnsi="宋体"/>
          <w:b/>
          <w:color w:val="auto"/>
          <w:sz w:val="24"/>
          <w:highlight w:val="none"/>
        </w:rPr>
        <w:t xml:space="preserve"> </w:t>
      </w:r>
      <w:r>
        <w:rPr>
          <w:rStyle w:val="19"/>
          <w:rFonts w:hint="eastAsia" w:ascii="宋体" w:hAnsi="宋体"/>
          <w:b/>
          <w:color w:val="auto"/>
          <w:sz w:val="24"/>
          <w:highlight w:val="none"/>
        </w:rPr>
        <w:t>采购需求</w:t>
      </w:r>
      <w:bookmarkStart w:id="0" w:name="_Hlt82166985"/>
      <w:r>
        <w:rPr>
          <w:rFonts w:ascii="宋体" w:hAnsi="宋体"/>
          <w:b/>
          <w:color w:val="auto"/>
          <w:sz w:val="24"/>
          <w:highlight w:val="none"/>
        </w:rPr>
        <w:tab/>
      </w:r>
      <w:bookmarkEnd w:id="0"/>
      <w:r>
        <w:rPr>
          <w:rFonts w:ascii="宋体" w:hAnsi="宋体"/>
          <w:b/>
          <w:color w:val="auto"/>
          <w:sz w:val="24"/>
          <w:highlight w:val="none"/>
        </w:rPr>
        <w:fldChar w:fldCharType="begin"/>
      </w:r>
      <w:r>
        <w:rPr>
          <w:rFonts w:ascii="宋体" w:hAnsi="宋体"/>
          <w:b/>
          <w:color w:val="auto"/>
          <w:sz w:val="24"/>
          <w:highlight w:val="none"/>
        </w:rPr>
        <w:instrText xml:space="preserve"> PAGEREF _Toc74322010 \h </w:instrText>
      </w:r>
      <w:r>
        <w:rPr>
          <w:rFonts w:ascii="宋体" w:hAnsi="宋体"/>
          <w:b/>
          <w:color w:val="auto"/>
          <w:sz w:val="24"/>
          <w:highlight w:val="none"/>
        </w:rPr>
        <w:fldChar w:fldCharType="separate"/>
      </w:r>
      <w:r>
        <w:rPr>
          <w:rFonts w:ascii="宋体" w:hAnsi="宋体"/>
          <w:b/>
          <w:color w:val="auto"/>
          <w:sz w:val="24"/>
          <w:highlight w:val="none"/>
        </w:rPr>
        <w:t>21</w:t>
      </w:r>
      <w:r>
        <w:rPr>
          <w:rFonts w:ascii="宋体" w:hAnsi="宋体"/>
          <w:b/>
          <w:color w:val="auto"/>
          <w:sz w:val="24"/>
          <w:highlight w:val="none"/>
        </w:rPr>
        <w:fldChar w:fldCharType="end"/>
      </w:r>
      <w:r>
        <w:rPr>
          <w:rFonts w:ascii="宋体" w:hAnsi="宋体"/>
          <w:b/>
          <w:color w:val="auto"/>
          <w:sz w:val="24"/>
          <w:highlight w:val="none"/>
        </w:rPr>
        <w:fldChar w:fldCharType="end"/>
      </w:r>
    </w:p>
    <w:p w14:paraId="53B6FC99">
      <w:pPr>
        <w:pStyle w:val="15"/>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19"/>
          <w:rFonts w:ascii="宋体" w:hAnsi="宋体"/>
          <w:b/>
          <w:color w:val="auto"/>
          <w:sz w:val="24"/>
          <w:highlight w:val="none"/>
        </w:rPr>
        <w:instrText xml:space="preserve"> </w:instrText>
      </w:r>
      <w:r>
        <w:rPr>
          <w:rFonts w:ascii="宋体" w:hAnsi="宋体"/>
          <w:b/>
          <w:color w:val="auto"/>
          <w:sz w:val="24"/>
          <w:highlight w:val="none"/>
        </w:rPr>
        <w:instrText xml:space="preserve">HYPERLINK \l "_Toc74322011"</w:instrText>
      </w:r>
      <w:r>
        <w:rPr>
          <w:rStyle w:val="19"/>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19"/>
          <w:rFonts w:hint="eastAsia" w:ascii="宋体" w:hAnsi="宋体"/>
          <w:b/>
          <w:color w:val="auto"/>
          <w:sz w:val="24"/>
          <w:highlight w:val="none"/>
        </w:rPr>
        <w:t>第四章</w:t>
      </w:r>
      <w:r>
        <w:rPr>
          <w:rStyle w:val="19"/>
          <w:rFonts w:ascii="宋体" w:hAnsi="宋体"/>
          <w:b/>
          <w:color w:val="auto"/>
          <w:sz w:val="24"/>
          <w:highlight w:val="none"/>
        </w:rPr>
        <w:t xml:space="preserve"> </w:t>
      </w:r>
      <w:r>
        <w:rPr>
          <w:rStyle w:val="19"/>
          <w:rFonts w:hint="eastAsia" w:ascii="宋体" w:hAnsi="宋体"/>
          <w:b/>
          <w:color w:val="auto"/>
          <w:sz w:val="24"/>
          <w:highlight w:val="none"/>
        </w:rPr>
        <w:t>评审程序和评定成交的标准</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_Toc74322011 \h </w:instrText>
      </w:r>
      <w:r>
        <w:rPr>
          <w:rFonts w:ascii="宋体" w:hAnsi="宋体"/>
          <w:b/>
          <w:color w:val="auto"/>
          <w:sz w:val="24"/>
          <w:highlight w:val="none"/>
        </w:rPr>
        <w:fldChar w:fldCharType="separate"/>
      </w:r>
      <w:r>
        <w:rPr>
          <w:rFonts w:ascii="宋体" w:hAnsi="宋体"/>
          <w:b/>
          <w:color w:val="auto"/>
          <w:sz w:val="24"/>
          <w:highlight w:val="none"/>
        </w:rPr>
        <w:t>25</w:t>
      </w:r>
      <w:r>
        <w:rPr>
          <w:rFonts w:ascii="宋体" w:hAnsi="宋体"/>
          <w:b/>
          <w:color w:val="auto"/>
          <w:sz w:val="24"/>
          <w:highlight w:val="none"/>
        </w:rPr>
        <w:fldChar w:fldCharType="end"/>
      </w:r>
      <w:r>
        <w:rPr>
          <w:rFonts w:ascii="宋体" w:hAnsi="宋体"/>
          <w:b/>
          <w:color w:val="auto"/>
          <w:sz w:val="24"/>
          <w:highlight w:val="none"/>
        </w:rPr>
        <w:fldChar w:fldCharType="end"/>
      </w:r>
    </w:p>
    <w:p w14:paraId="0DDEF858">
      <w:pPr>
        <w:pStyle w:val="15"/>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19"/>
          <w:rFonts w:ascii="宋体" w:hAnsi="宋体"/>
          <w:b/>
          <w:color w:val="auto"/>
          <w:sz w:val="24"/>
          <w:highlight w:val="none"/>
        </w:rPr>
        <w:instrText xml:space="preserve"> </w:instrText>
      </w:r>
      <w:r>
        <w:rPr>
          <w:rFonts w:ascii="宋体" w:hAnsi="宋体"/>
          <w:b/>
          <w:color w:val="auto"/>
          <w:sz w:val="24"/>
          <w:highlight w:val="none"/>
        </w:rPr>
        <w:instrText xml:space="preserve">HYPERLINK \l "_Toc74322012"</w:instrText>
      </w:r>
      <w:r>
        <w:rPr>
          <w:rStyle w:val="19"/>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19"/>
          <w:rFonts w:hint="eastAsia" w:ascii="宋体" w:hAnsi="宋体"/>
          <w:b/>
          <w:color w:val="auto"/>
          <w:sz w:val="24"/>
          <w:highlight w:val="none"/>
        </w:rPr>
        <w:t>第五章</w:t>
      </w:r>
      <w:r>
        <w:rPr>
          <w:rStyle w:val="19"/>
          <w:rFonts w:ascii="宋体" w:hAnsi="宋体"/>
          <w:b/>
          <w:color w:val="auto"/>
          <w:sz w:val="24"/>
          <w:highlight w:val="none"/>
        </w:rPr>
        <w:t xml:space="preserve"> </w:t>
      </w:r>
      <w:r>
        <w:rPr>
          <w:rStyle w:val="19"/>
          <w:rFonts w:hint="eastAsia" w:ascii="宋体" w:hAnsi="宋体"/>
          <w:b/>
          <w:color w:val="auto"/>
          <w:sz w:val="24"/>
          <w:highlight w:val="none"/>
        </w:rPr>
        <w:t>响应文件格式</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_Toc74322012 \h </w:instrText>
      </w:r>
      <w:r>
        <w:rPr>
          <w:rFonts w:ascii="宋体" w:hAnsi="宋体"/>
          <w:b/>
          <w:color w:val="auto"/>
          <w:sz w:val="24"/>
          <w:highlight w:val="none"/>
        </w:rPr>
        <w:fldChar w:fldCharType="separate"/>
      </w:r>
      <w:r>
        <w:rPr>
          <w:rFonts w:ascii="宋体" w:hAnsi="宋体"/>
          <w:b/>
          <w:color w:val="auto"/>
          <w:sz w:val="24"/>
          <w:highlight w:val="none"/>
        </w:rPr>
        <w:t>30</w:t>
      </w:r>
      <w:r>
        <w:rPr>
          <w:rFonts w:ascii="宋体" w:hAnsi="宋体"/>
          <w:b/>
          <w:color w:val="auto"/>
          <w:sz w:val="24"/>
          <w:highlight w:val="none"/>
        </w:rPr>
        <w:fldChar w:fldCharType="end"/>
      </w:r>
      <w:r>
        <w:rPr>
          <w:rFonts w:ascii="宋体" w:hAnsi="宋体"/>
          <w:b/>
          <w:color w:val="auto"/>
          <w:sz w:val="24"/>
          <w:highlight w:val="none"/>
        </w:rPr>
        <w:fldChar w:fldCharType="end"/>
      </w:r>
    </w:p>
    <w:p w14:paraId="0FBC406E">
      <w:pPr>
        <w:pStyle w:val="15"/>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19"/>
          <w:rFonts w:ascii="宋体" w:hAnsi="宋体"/>
          <w:b/>
          <w:color w:val="auto"/>
          <w:sz w:val="24"/>
          <w:highlight w:val="none"/>
        </w:rPr>
        <w:instrText xml:space="preserve"> </w:instrText>
      </w:r>
      <w:r>
        <w:rPr>
          <w:rFonts w:ascii="宋体" w:hAnsi="宋体"/>
          <w:b/>
          <w:color w:val="auto"/>
          <w:sz w:val="24"/>
          <w:highlight w:val="none"/>
        </w:rPr>
        <w:instrText xml:space="preserve">HYPERLINK \l "_Toc74322013"</w:instrText>
      </w:r>
      <w:r>
        <w:rPr>
          <w:rStyle w:val="19"/>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19"/>
          <w:rFonts w:hint="eastAsia" w:ascii="宋体" w:hAnsi="宋体"/>
          <w:b/>
          <w:color w:val="auto"/>
          <w:sz w:val="24"/>
          <w:highlight w:val="none"/>
        </w:rPr>
        <w:t>第六章</w:t>
      </w:r>
      <w:r>
        <w:rPr>
          <w:rStyle w:val="19"/>
          <w:rFonts w:ascii="宋体" w:hAnsi="宋体"/>
          <w:b/>
          <w:color w:val="auto"/>
          <w:sz w:val="24"/>
          <w:highlight w:val="none"/>
        </w:rPr>
        <w:t xml:space="preserve"> </w:t>
      </w:r>
      <w:r>
        <w:rPr>
          <w:rStyle w:val="19"/>
          <w:rFonts w:hint="eastAsia" w:ascii="宋体" w:hAnsi="宋体"/>
          <w:b/>
          <w:color w:val="auto"/>
          <w:sz w:val="24"/>
          <w:highlight w:val="none"/>
        </w:rPr>
        <w:t>合同文本</w:t>
      </w:r>
      <w:r>
        <w:rPr>
          <w:rFonts w:ascii="宋体" w:hAnsi="宋体"/>
          <w:b/>
          <w:color w:val="auto"/>
          <w:sz w:val="24"/>
          <w:highlight w:val="none"/>
        </w:rPr>
        <w:tab/>
      </w:r>
      <w:r>
        <w:rPr>
          <w:rFonts w:hint="eastAsia" w:ascii="宋体" w:hAnsi="宋体"/>
          <w:b/>
          <w:color w:val="auto"/>
          <w:sz w:val="24"/>
          <w:highlight w:val="none"/>
          <w:lang w:val="en-US" w:eastAsia="zh-CN"/>
        </w:rPr>
        <w:t>....</w:t>
      </w:r>
      <w:r>
        <w:rPr>
          <w:rFonts w:ascii="宋体" w:hAnsi="宋体"/>
          <w:b/>
          <w:color w:val="auto"/>
          <w:sz w:val="24"/>
          <w:highlight w:val="none"/>
        </w:rPr>
        <w:fldChar w:fldCharType="begin"/>
      </w:r>
      <w:r>
        <w:rPr>
          <w:rFonts w:ascii="宋体" w:hAnsi="宋体"/>
          <w:b/>
          <w:color w:val="auto"/>
          <w:sz w:val="24"/>
          <w:highlight w:val="none"/>
        </w:rPr>
        <w:instrText xml:space="preserve"> PAGEREF _Toc74322013 \h </w:instrText>
      </w:r>
      <w:r>
        <w:rPr>
          <w:rFonts w:ascii="宋体" w:hAnsi="宋体"/>
          <w:b/>
          <w:color w:val="auto"/>
          <w:sz w:val="24"/>
          <w:highlight w:val="none"/>
        </w:rPr>
        <w:fldChar w:fldCharType="separate"/>
      </w:r>
      <w:r>
        <w:rPr>
          <w:rFonts w:ascii="宋体" w:hAnsi="宋体"/>
          <w:b/>
          <w:color w:val="auto"/>
          <w:sz w:val="24"/>
          <w:highlight w:val="none"/>
        </w:rPr>
        <w:t>71</w:t>
      </w:r>
      <w:r>
        <w:rPr>
          <w:rFonts w:ascii="宋体" w:hAnsi="宋体"/>
          <w:b/>
          <w:color w:val="auto"/>
          <w:sz w:val="24"/>
          <w:highlight w:val="none"/>
        </w:rPr>
        <w:fldChar w:fldCharType="end"/>
      </w:r>
      <w:r>
        <w:rPr>
          <w:rFonts w:ascii="宋体" w:hAnsi="宋体"/>
          <w:b/>
          <w:color w:val="auto"/>
          <w:sz w:val="24"/>
          <w:highlight w:val="none"/>
        </w:rPr>
        <w:fldChar w:fldCharType="end"/>
      </w:r>
    </w:p>
    <w:p w14:paraId="6D591531"/>
    <w:p w14:paraId="3D62A4F0">
      <w:pPr>
        <w:rPr>
          <w:rFonts w:hint="default"/>
          <w:b/>
          <w:bCs/>
          <w:lang w:val="en-US"/>
        </w:rPr>
      </w:pPr>
      <w:r>
        <w:rPr>
          <w:rFonts w:hint="eastAsia"/>
          <w:b/>
          <w:bCs/>
          <w:sz w:val="24"/>
          <w:szCs w:val="24"/>
        </w:rPr>
        <w:t>第七章 质疑、投诉材料格式</w:t>
      </w:r>
      <w:r>
        <w:rPr>
          <w:rFonts w:hint="eastAsia" w:ascii="宋体" w:hAnsi="宋体" w:eastAsia="宋体" w:cs="Times New Roman"/>
          <w:b/>
          <w:color w:val="auto"/>
          <w:kern w:val="2"/>
          <w:sz w:val="24"/>
          <w:szCs w:val="24"/>
          <w:highlight w:val="none"/>
          <w:lang w:val="en-US" w:eastAsia="zh-CN" w:bidi="ar-SA"/>
        </w:rPr>
        <w:t>..............................................</w:t>
      </w:r>
      <w:r>
        <w:rPr>
          <w:rFonts w:hint="eastAsia" w:ascii="宋体" w:hAnsi="宋体" w:cs="Times New Roman"/>
          <w:b/>
          <w:color w:val="auto"/>
          <w:kern w:val="2"/>
          <w:sz w:val="24"/>
          <w:szCs w:val="24"/>
          <w:highlight w:val="none"/>
          <w:lang w:val="en-US" w:eastAsia="zh-CN" w:bidi="ar-SA"/>
        </w:rPr>
        <w:t>109</w:t>
      </w:r>
    </w:p>
    <w:p w14:paraId="75860D97"/>
    <w:p w14:paraId="7E5E69EC">
      <w:pPr>
        <w:pStyle w:val="16"/>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14:paraId="1BAF512C">
      <w:pPr>
        <w:spacing w:line="400" w:lineRule="exact"/>
        <w:jc w:val="left"/>
        <w:rPr>
          <w:rFonts w:hint="eastAsia" w:ascii="宋体" w:hAnsi="宋体"/>
          <w:b/>
          <w:color w:val="auto"/>
          <w:sz w:val="32"/>
          <w:szCs w:val="32"/>
          <w:highlight w:val="none"/>
        </w:rPr>
      </w:pPr>
    </w:p>
    <w:p w14:paraId="6C431863">
      <w:pPr>
        <w:spacing w:line="400" w:lineRule="exact"/>
        <w:jc w:val="center"/>
        <w:rPr>
          <w:rFonts w:hint="eastAsia" w:ascii="宋体" w:hAnsi="宋体"/>
          <w:b/>
          <w:color w:val="auto"/>
          <w:sz w:val="32"/>
          <w:szCs w:val="32"/>
          <w:highlight w:val="none"/>
        </w:rPr>
      </w:pPr>
    </w:p>
    <w:p w14:paraId="67012963">
      <w:pPr>
        <w:spacing w:line="400" w:lineRule="exact"/>
        <w:jc w:val="center"/>
        <w:rPr>
          <w:rFonts w:hint="eastAsia" w:ascii="宋体" w:hAnsi="宋体"/>
          <w:b/>
          <w:color w:val="auto"/>
          <w:sz w:val="32"/>
          <w:szCs w:val="32"/>
          <w:highlight w:val="none"/>
        </w:rPr>
      </w:pPr>
    </w:p>
    <w:p w14:paraId="589A16F7">
      <w:pPr>
        <w:spacing w:line="400" w:lineRule="exact"/>
        <w:jc w:val="center"/>
        <w:rPr>
          <w:rFonts w:hint="eastAsia" w:ascii="宋体" w:hAnsi="宋体"/>
          <w:b/>
          <w:color w:val="auto"/>
          <w:sz w:val="32"/>
          <w:szCs w:val="32"/>
          <w:highlight w:val="none"/>
        </w:rPr>
      </w:pPr>
    </w:p>
    <w:p w14:paraId="798FF551">
      <w:pPr>
        <w:spacing w:line="400" w:lineRule="exact"/>
        <w:jc w:val="center"/>
        <w:rPr>
          <w:rFonts w:hint="eastAsia" w:ascii="宋体" w:hAnsi="宋体"/>
          <w:b/>
          <w:color w:val="auto"/>
          <w:sz w:val="32"/>
          <w:szCs w:val="32"/>
          <w:highlight w:val="none"/>
        </w:rPr>
      </w:pPr>
    </w:p>
    <w:p w14:paraId="204051C6">
      <w:pPr>
        <w:spacing w:line="400" w:lineRule="exact"/>
        <w:rPr>
          <w:rFonts w:hint="eastAsia" w:ascii="宋体" w:hAnsi="宋体"/>
          <w:b/>
          <w:color w:val="auto"/>
          <w:sz w:val="32"/>
          <w:szCs w:val="32"/>
          <w:highlight w:val="none"/>
        </w:rPr>
        <w:sectPr>
          <w:pgSz w:w="11906" w:h="16838"/>
          <w:pgMar w:top="1134" w:right="1134" w:bottom="1134" w:left="1134" w:header="851" w:footer="992" w:gutter="0"/>
          <w:pgNumType w:start="0"/>
          <w:cols w:space="720" w:num="1"/>
          <w:titlePg/>
          <w:docGrid w:type="lines" w:linePitch="312" w:charSpace="0"/>
        </w:sectPr>
      </w:pPr>
    </w:p>
    <w:p w14:paraId="28A8AFA2">
      <w:pPr>
        <w:pStyle w:val="2"/>
        <w:spacing w:before="0" w:after="0" w:line="360" w:lineRule="auto"/>
        <w:jc w:val="center"/>
        <w:rPr>
          <w:rFonts w:hint="eastAsia"/>
          <w:color w:val="auto"/>
          <w:highlight w:val="none"/>
        </w:rPr>
      </w:pPr>
      <w:bookmarkStart w:id="1" w:name="_Toc74322008"/>
      <w:bookmarkStart w:id="2" w:name="_Toc32279"/>
      <w:bookmarkStart w:id="3" w:name="_Toc12321"/>
      <w:r>
        <w:rPr>
          <w:rFonts w:hint="eastAsia"/>
          <w:color w:val="auto"/>
          <w:highlight w:val="none"/>
        </w:rPr>
        <w:t>第一章 竞争性谈判公告</w:t>
      </w:r>
      <w:bookmarkEnd w:id="1"/>
      <w:bookmarkEnd w:id="2"/>
      <w:bookmarkEnd w:id="3"/>
    </w:p>
    <w:p w14:paraId="6FDDFA9C">
      <w:pPr>
        <w:snapToGrid w:val="0"/>
        <w:spacing w:before="156" w:beforeLines="50" w:line="360" w:lineRule="auto"/>
        <w:jc w:val="center"/>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lang w:val="en-US" w:eastAsia="zh-CN"/>
        </w:rPr>
        <w:t>广西汉容达项目管理有限公司关于</w:t>
      </w:r>
      <w:r>
        <w:rPr>
          <w:rFonts w:hint="eastAsia" w:ascii="宋体" w:hAnsi="宋体" w:eastAsia="宋体" w:cs="宋体"/>
          <w:b/>
          <w:bCs w:val="0"/>
          <w:color w:val="auto"/>
          <w:sz w:val="28"/>
          <w:szCs w:val="28"/>
          <w:highlight w:val="none"/>
          <w:lang w:eastAsia="zh-CN"/>
        </w:rPr>
        <w:t>南宁市社会福利院提升改造工程(一期)0.4KV电线路迁改及配电房整合优化工程（NNZC2025-J2-99138</w:t>
      </w:r>
      <w:r>
        <w:rPr>
          <w:rFonts w:hint="eastAsia" w:ascii="宋体" w:hAnsi="宋体" w:eastAsia="宋体" w:cs="宋体"/>
          <w:b/>
          <w:bCs w:val="0"/>
          <w:color w:val="auto"/>
          <w:sz w:val="28"/>
          <w:szCs w:val="28"/>
          <w:highlight w:val="none"/>
          <w:lang w:val="en-US" w:eastAsia="zh-CN"/>
        </w:rPr>
        <w:t>4</w:t>
      </w:r>
      <w:r>
        <w:rPr>
          <w:rFonts w:hint="eastAsia" w:ascii="宋体" w:hAnsi="宋体" w:eastAsia="宋体" w:cs="宋体"/>
          <w:b/>
          <w:bCs w:val="0"/>
          <w:color w:val="auto"/>
          <w:sz w:val="28"/>
          <w:szCs w:val="28"/>
          <w:highlight w:val="none"/>
          <w:lang w:eastAsia="zh-CN"/>
        </w:rPr>
        <w:t>-GXHR）</w:t>
      </w:r>
    </w:p>
    <w:p w14:paraId="6BA2C70C">
      <w:pPr>
        <w:snapToGrid w:val="0"/>
        <w:spacing w:before="156" w:beforeLines="50" w:line="360" w:lineRule="auto"/>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竞争性谈判公告</w:t>
      </w:r>
    </w:p>
    <w:p w14:paraId="2D792E4C"/>
    <w:p w14:paraId="10D5CFD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4" w:name="_Hlk37430271"/>
      <w:r>
        <w:rPr>
          <w:rFonts w:hint="eastAsia" w:ascii="宋体" w:hAnsi="宋体"/>
          <w:color w:val="auto"/>
          <w:szCs w:val="21"/>
          <w:highlight w:val="none"/>
        </w:rPr>
        <w:t>项目概况</w:t>
      </w:r>
    </w:p>
    <w:p w14:paraId="10700F8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南宁市社会福利院提升改造工程(一期)0.4KV电线路迁改及配电房整合优化工程</w:t>
      </w:r>
      <w:r>
        <w:rPr>
          <w:rFonts w:hint="eastAsia" w:ascii="宋体" w:hAnsi="宋体"/>
          <w:color w:val="auto"/>
          <w:szCs w:val="21"/>
          <w:highlight w:val="none"/>
        </w:rPr>
        <w:t>采购项目的潜在供应商应在政采云平台（https://www.zcygov.cn/）获取（下载）竞争性谈判文件，并于202</w:t>
      </w:r>
      <w:r>
        <w:rPr>
          <w:rFonts w:hint="eastAsia" w:ascii="宋体" w:hAnsi="宋体"/>
          <w:color w:val="auto"/>
          <w:szCs w:val="21"/>
          <w:highlight w:val="none"/>
          <w:lang w:val="en-US" w:eastAsia="zh-CN"/>
        </w:rPr>
        <w:t>5</w:t>
      </w:r>
      <w:r>
        <w:rPr>
          <w:rFonts w:hint="eastAsia" w:ascii="宋体" w:hAnsi="宋体"/>
          <w:color w:val="auto"/>
          <w:szCs w:val="21"/>
          <w:highlight w:val="none"/>
        </w:rPr>
        <w:t xml:space="preserve">年 </w:t>
      </w:r>
      <w:r>
        <w:rPr>
          <w:rFonts w:hint="eastAsia" w:ascii="宋体" w:hAnsi="宋体"/>
          <w:color w:val="auto"/>
          <w:szCs w:val="21"/>
          <w:highlight w:val="none"/>
          <w:lang w:val="en-US" w:eastAsia="zh-CN"/>
        </w:rPr>
        <w:t>12</w:t>
      </w:r>
      <w:r>
        <w:rPr>
          <w:rFonts w:hint="eastAsia" w:ascii="宋体" w:hAnsi="宋体"/>
          <w:color w:val="auto"/>
          <w:szCs w:val="21"/>
          <w:highlight w:val="none"/>
        </w:rPr>
        <w:t xml:space="preserve"> 月</w:t>
      </w:r>
      <w:r>
        <w:rPr>
          <w:rFonts w:hint="eastAsia" w:ascii="宋体" w:hAnsi="宋体"/>
          <w:color w:val="auto"/>
          <w:szCs w:val="21"/>
          <w:highlight w:val="none"/>
          <w:lang w:val="en-US" w:eastAsia="zh-CN"/>
        </w:rPr>
        <w:t>12</w:t>
      </w:r>
      <w:r>
        <w:rPr>
          <w:rFonts w:hint="eastAsia" w:ascii="宋体" w:hAnsi="宋体"/>
          <w:color w:val="auto"/>
          <w:szCs w:val="21"/>
          <w:highlight w:val="none"/>
        </w:rPr>
        <w:t>日</w:t>
      </w:r>
      <w:r>
        <w:rPr>
          <w:rFonts w:hint="eastAsia" w:ascii="宋体" w:hAnsi="宋体"/>
          <w:color w:val="auto"/>
          <w:szCs w:val="21"/>
          <w:highlight w:val="none"/>
          <w:lang w:val="en-US" w:eastAsia="zh-CN"/>
        </w:rPr>
        <w:t>09</w:t>
      </w:r>
      <w:r>
        <w:rPr>
          <w:rFonts w:hint="eastAsia" w:ascii="宋体" w:hAnsi="宋体"/>
          <w:color w:val="auto"/>
          <w:szCs w:val="21"/>
          <w:highlight w:val="none"/>
        </w:rPr>
        <w:t xml:space="preserve">时 </w:t>
      </w:r>
      <w:r>
        <w:rPr>
          <w:rFonts w:hint="eastAsia" w:ascii="宋体" w:hAnsi="宋体"/>
          <w:color w:val="auto"/>
          <w:szCs w:val="21"/>
          <w:highlight w:val="none"/>
          <w:lang w:val="en-US" w:eastAsia="zh-CN"/>
        </w:rPr>
        <w:t>30</w:t>
      </w:r>
      <w:r>
        <w:rPr>
          <w:rFonts w:hint="eastAsia" w:ascii="宋体" w:hAnsi="宋体"/>
          <w:color w:val="auto"/>
          <w:szCs w:val="21"/>
          <w:highlight w:val="none"/>
        </w:rPr>
        <w:t xml:space="preserve"> 分（北京时间）前提交响应</w:t>
      </w:r>
      <w:r>
        <w:rPr>
          <w:rFonts w:ascii="宋体" w:hAnsi="宋体"/>
          <w:color w:val="auto"/>
          <w:szCs w:val="21"/>
          <w:highlight w:val="none"/>
        </w:rPr>
        <w:t>文件</w:t>
      </w:r>
      <w:r>
        <w:rPr>
          <w:rFonts w:hint="eastAsia" w:ascii="宋体" w:hAnsi="宋体"/>
          <w:color w:val="auto"/>
          <w:szCs w:val="21"/>
          <w:highlight w:val="none"/>
        </w:rPr>
        <w:t>。</w:t>
      </w:r>
    </w:p>
    <w:p w14:paraId="56E6221C">
      <w:pPr>
        <w:spacing w:line="360" w:lineRule="auto"/>
        <w:rPr>
          <w:rFonts w:ascii="宋体" w:hAnsi="宋体"/>
          <w:color w:val="auto"/>
          <w:szCs w:val="21"/>
          <w:highlight w:val="none"/>
        </w:rPr>
      </w:pPr>
    </w:p>
    <w:p w14:paraId="471143E8">
      <w:pPr>
        <w:spacing w:line="360" w:lineRule="auto"/>
        <w:ind w:firstLine="361" w:firstLineChars="150"/>
        <w:rPr>
          <w:rFonts w:ascii="黑体" w:hAnsi="黑体" w:eastAsia="黑体"/>
          <w:b/>
          <w:bCs/>
          <w:color w:val="auto"/>
          <w:sz w:val="24"/>
          <w:highlight w:val="none"/>
        </w:rPr>
      </w:pPr>
      <w:bookmarkStart w:id="5" w:name="_Toc71365369"/>
      <w:bookmarkStart w:id="6" w:name="_Toc28359018"/>
      <w:bookmarkStart w:id="7" w:name="_Toc35393636"/>
      <w:bookmarkStart w:id="8" w:name="_Toc28359095"/>
      <w:bookmarkStart w:id="9" w:name="_Toc35393805"/>
      <w:bookmarkStart w:id="10" w:name="_Toc71366047"/>
      <w:r>
        <w:rPr>
          <w:rFonts w:hint="eastAsia" w:ascii="黑体" w:hAnsi="黑体" w:eastAsia="黑体"/>
          <w:b/>
          <w:bCs/>
          <w:color w:val="auto"/>
          <w:sz w:val="24"/>
          <w:highlight w:val="none"/>
        </w:rPr>
        <w:t>一、项目基本情况</w:t>
      </w:r>
    </w:p>
    <w:p w14:paraId="1E68F74C">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p>
    <w:p w14:paraId="01ACF45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南宁市社会福利院提升改造工程(一期)0.4KV电线路迁改及配电房整合优化工程</w:t>
      </w:r>
    </w:p>
    <w:p w14:paraId="6734B9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w:t>
      </w:r>
      <w:r>
        <w:rPr>
          <w:rFonts w:hint="eastAsia"/>
          <w:color w:val="auto"/>
          <w:sz w:val="21"/>
          <w:szCs w:val="21"/>
          <w:highlight w:val="none"/>
          <w:lang w:val="en-US" w:eastAsia="zh-CN"/>
        </w:rPr>
        <w:t xml:space="preserve"> </w:t>
      </w:r>
      <w:r>
        <w:rPr>
          <w:rFonts w:hint="eastAsia"/>
          <w:color w:val="auto"/>
          <w:sz w:val="21"/>
          <w:szCs w:val="21"/>
          <w:highlight w:val="none"/>
          <w:lang w:eastAsia="zh-CN"/>
        </w:rPr>
        <w:t>☑</w:t>
      </w:r>
      <w:r>
        <w:rPr>
          <w:rFonts w:hint="eastAsia"/>
          <w:color w:val="auto"/>
          <w:sz w:val="21"/>
          <w:szCs w:val="21"/>
          <w:highlight w:val="none"/>
        </w:rPr>
        <w:t xml:space="preserve">竞争性谈判 </w:t>
      </w:r>
      <w:r>
        <w:rPr>
          <w:rFonts w:hint="eastAsia"/>
          <w:color w:val="auto"/>
          <w:sz w:val="21"/>
          <w:szCs w:val="21"/>
          <w:highlight w:val="none"/>
          <w:lang w:val="en-US" w:eastAsia="zh-CN"/>
        </w:rPr>
        <w:t xml:space="preserve"> </w:t>
      </w:r>
    </w:p>
    <w:p w14:paraId="1AC25143">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预算金额：</w:t>
      </w:r>
      <w:r>
        <w:rPr>
          <w:spacing w:val="-2"/>
        </w:rPr>
        <w:t>1072656.95</w:t>
      </w:r>
      <w:r>
        <w:rPr>
          <w:rFonts w:hint="eastAsia" w:ascii="宋体" w:hAnsi="宋体"/>
          <w:color w:val="auto"/>
          <w:szCs w:val="21"/>
          <w:highlight w:val="none"/>
          <w:lang w:eastAsia="zh-CN"/>
        </w:rPr>
        <w:t>元</w:t>
      </w:r>
    </w:p>
    <w:p w14:paraId="5A768C26">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最高限价：</w:t>
      </w:r>
      <w:r>
        <w:rPr>
          <w:rFonts w:hint="eastAsia" w:ascii="宋体" w:hAnsi="宋体"/>
          <w:color w:val="auto"/>
          <w:szCs w:val="21"/>
          <w:highlight w:val="none"/>
          <w:lang w:eastAsia="zh-CN"/>
        </w:rPr>
        <w:t>1072656.95元</w:t>
      </w:r>
    </w:p>
    <w:p w14:paraId="7126CED4">
      <w:pPr>
        <w:spacing w:line="360" w:lineRule="auto"/>
        <w:ind w:firstLine="420" w:firstLineChars="200"/>
        <w:rPr>
          <w:rFonts w:ascii="宋体" w:hAnsi="宋体"/>
          <w:i/>
          <w:color w:val="auto"/>
          <w:szCs w:val="21"/>
          <w:highlight w:val="none"/>
        </w:rPr>
      </w:pPr>
      <w:r>
        <w:rPr>
          <w:rFonts w:hint="eastAsia" w:ascii="宋体" w:hAnsi="宋体"/>
          <w:color w:val="auto"/>
          <w:szCs w:val="21"/>
          <w:highlight w:val="none"/>
        </w:rPr>
        <w:t>采购</w:t>
      </w:r>
      <w:r>
        <w:rPr>
          <w:rFonts w:hint="eastAsia" w:ascii="宋体" w:hAnsi="宋体"/>
          <w:color w:val="auto"/>
          <w:szCs w:val="21"/>
          <w:highlight w:val="none"/>
          <w:lang w:val="en-US" w:eastAsia="zh-CN"/>
        </w:rPr>
        <w:t>内容</w:t>
      </w:r>
      <w:r>
        <w:rPr>
          <w:rFonts w:hint="eastAsia" w:ascii="宋体" w:hAnsi="宋体"/>
          <w:color w:val="auto"/>
          <w:szCs w:val="21"/>
          <w:highlight w:val="none"/>
        </w:rPr>
        <w:t>：</w:t>
      </w:r>
      <w:r>
        <w:rPr>
          <w:color w:val="auto"/>
        </w:rPr>
        <w:t>拆除原有两层配电房1座以及配套设备、电缆；新建配电房一座，新增变压器1台，高压柜3面，</w:t>
      </w:r>
      <w:r>
        <w:rPr>
          <w:color w:val="auto"/>
          <w:spacing w:val="-1"/>
        </w:rPr>
        <w:t>低压柜6面。</w:t>
      </w:r>
      <w:r>
        <w:rPr>
          <w:rFonts w:hint="eastAsia" w:ascii="宋体" w:hAnsi="宋体"/>
          <w:color w:val="auto"/>
          <w:szCs w:val="21"/>
          <w:highlight w:val="none"/>
          <w:lang w:eastAsia="zh-CN"/>
        </w:rPr>
        <w:t>具体内容详见施工图纸及工程量清单。</w:t>
      </w:r>
    </w:p>
    <w:p w14:paraId="2D837F1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工期</w:t>
      </w:r>
      <w:r>
        <w:rPr>
          <w:rFonts w:hint="eastAsia" w:ascii="宋体" w:hAnsi="宋体"/>
          <w:color w:val="auto"/>
          <w:szCs w:val="21"/>
          <w:highlight w:val="none"/>
        </w:rPr>
        <w:t>：</w:t>
      </w:r>
      <w:r>
        <w:rPr>
          <w:rFonts w:hint="eastAsia" w:ascii="宋体" w:hAnsi="宋体"/>
          <w:color w:val="auto"/>
          <w:szCs w:val="21"/>
          <w:highlight w:val="none"/>
          <w:lang w:val="en-US" w:eastAsia="zh-CN"/>
        </w:rPr>
        <w:t>55日历</w:t>
      </w:r>
      <w:r>
        <w:rPr>
          <w:rFonts w:hint="eastAsia" w:ascii="宋体" w:hAnsi="宋体"/>
          <w:color w:val="auto"/>
          <w:szCs w:val="21"/>
          <w:highlight w:val="none"/>
        </w:rPr>
        <w:t>天</w:t>
      </w:r>
      <w:r>
        <w:rPr>
          <w:rFonts w:hint="eastAsia" w:ascii="宋体" w:hAnsi="宋体" w:cs="宋体"/>
          <w:color w:val="auto"/>
          <w:szCs w:val="21"/>
          <w:highlight w:val="none"/>
        </w:rPr>
        <w:t>。</w:t>
      </w:r>
    </w:p>
    <w:p w14:paraId="498FD9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本项目是否接受联合体</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：否。</w:t>
      </w:r>
    </w:p>
    <w:p w14:paraId="002F3F9F">
      <w:pPr>
        <w:spacing w:line="360" w:lineRule="auto"/>
        <w:ind w:firstLine="361" w:firstLineChars="150"/>
        <w:rPr>
          <w:rFonts w:ascii="黑体" w:hAnsi="黑体" w:eastAsia="黑体"/>
          <w:b/>
          <w:bCs/>
          <w:color w:val="auto"/>
          <w:sz w:val="24"/>
          <w:highlight w:val="none"/>
        </w:rPr>
      </w:pPr>
      <w:r>
        <w:rPr>
          <w:rFonts w:hint="eastAsia" w:ascii="黑体" w:hAnsi="黑体" w:eastAsia="黑体"/>
          <w:b/>
          <w:bCs/>
          <w:color w:val="auto"/>
          <w:sz w:val="24"/>
          <w:highlight w:val="none"/>
        </w:rPr>
        <w:t>二、申请人的资格条件：</w:t>
      </w:r>
    </w:p>
    <w:p w14:paraId="42B481A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7BF151E6">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p>
    <w:p w14:paraId="3862879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sym w:font="Wingdings 2" w:char="0052"/>
      </w:r>
      <w:r>
        <w:rPr>
          <w:rFonts w:hint="eastAsia" w:ascii="宋体" w:hAnsi="宋体"/>
          <w:color w:val="auto"/>
          <w:szCs w:val="21"/>
          <w:highlight w:val="none"/>
        </w:rPr>
        <w:t>专门面向中小企业采购的项目（供应商应为</w:t>
      </w:r>
      <w:r>
        <w:rPr>
          <w:rFonts w:hint="eastAsia" w:ascii="宋体" w:hAnsi="宋体"/>
          <w:color w:val="auto"/>
          <w:szCs w:val="21"/>
          <w:highlight w:val="none"/>
          <w:lang w:eastAsia="zh-CN"/>
        </w:rPr>
        <w:t>中</w:t>
      </w:r>
      <w:r>
        <w:rPr>
          <w:rFonts w:hint="eastAsia" w:ascii="宋体" w:hAnsi="宋体"/>
          <w:color w:val="auto"/>
          <w:szCs w:val="21"/>
          <w:highlight w:val="none"/>
        </w:rPr>
        <w:t>小微企业、监狱企业、残疾人福利性单位)</w:t>
      </w:r>
    </w:p>
    <w:p w14:paraId="5D7A75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sym w:font="Wingdings 2" w:char="00A3"/>
      </w:r>
      <w:r>
        <w:rPr>
          <w:rFonts w:hint="eastAsia" w:ascii="宋体" w:hAnsi="宋体"/>
          <w:color w:val="auto"/>
          <w:szCs w:val="21"/>
          <w:highlight w:val="none"/>
        </w:rPr>
        <w:t>非专门面向中小企业采购的项目</w:t>
      </w:r>
    </w:p>
    <w:p w14:paraId="47395F83">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3、本项目的特定资格要求：</w:t>
      </w:r>
      <w:r>
        <w:rPr>
          <w:rFonts w:hint="eastAsia" w:ascii="宋体" w:hAnsi="宋体"/>
          <w:color w:val="auto"/>
          <w:szCs w:val="21"/>
          <w:highlight w:val="none"/>
          <w:u w:val="single"/>
          <w:lang w:val="en-US" w:eastAsia="zh-CN"/>
        </w:rPr>
        <w:t>供应商</w:t>
      </w:r>
      <w:r>
        <w:rPr>
          <w:rFonts w:hint="eastAsia" w:ascii="宋体" w:hAnsi="宋体"/>
          <w:color w:val="auto"/>
          <w:szCs w:val="21"/>
          <w:highlight w:val="none"/>
          <w:u w:val="single"/>
        </w:rPr>
        <w:t>须具备电力工程施工总承包三级及以上资质</w:t>
      </w:r>
      <w:r>
        <w:rPr>
          <w:rFonts w:hint="eastAsia" w:ascii="宋体" w:hAnsi="宋体"/>
          <w:color w:val="auto"/>
          <w:szCs w:val="21"/>
          <w:highlight w:val="none"/>
          <w:u w:val="single"/>
          <w:lang w:val="en-US" w:eastAsia="zh-CN"/>
        </w:rPr>
        <w:t>及</w:t>
      </w:r>
      <w:r>
        <w:rPr>
          <w:rFonts w:hint="eastAsia" w:ascii="宋体" w:hAnsi="宋体"/>
          <w:color w:val="auto"/>
          <w:szCs w:val="21"/>
          <w:highlight w:val="none"/>
          <w:u w:val="single"/>
        </w:rPr>
        <w:t>有效的《承装（修、试）电力设施许可证》</w:t>
      </w:r>
      <w:r>
        <w:rPr>
          <w:rFonts w:hint="eastAsia" w:ascii="宋体" w:hAnsi="宋体"/>
          <w:color w:val="auto"/>
          <w:szCs w:val="21"/>
          <w:highlight w:val="none"/>
          <w:u w:val="single"/>
          <w:lang w:eastAsia="zh-CN"/>
        </w:rPr>
        <w:t>承装类、承修类</w:t>
      </w:r>
      <w:r>
        <w:rPr>
          <w:rFonts w:hint="eastAsia" w:ascii="宋体" w:hAnsi="宋体"/>
          <w:color w:val="auto"/>
          <w:szCs w:val="21"/>
          <w:highlight w:val="none"/>
          <w:u w:val="single"/>
          <w:lang w:val="en-US" w:eastAsia="zh-CN"/>
        </w:rPr>
        <w:t>三</w:t>
      </w:r>
      <w:r>
        <w:rPr>
          <w:rFonts w:hint="eastAsia" w:ascii="宋体" w:hAnsi="宋体"/>
          <w:color w:val="auto"/>
          <w:szCs w:val="21"/>
          <w:highlight w:val="none"/>
          <w:u w:val="single"/>
          <w:lang w:eastAsia="zh-CN"/>
        </w:rPr>
        <w:t>级及以上</w:t>
      </w:r>
      <w:r>
        <w:rPr>
          <w:rFonts w:hint="eastAsia" w:ascii="宋体" w:hAnsi="宋体"/>
          <w:color w:val="auto"/>
          <w:szCs w:val="21"/>
          <w:highlight w:val="none"/>
          <w:u w:val="single"/>
        </w:rPr>
        <w:t>资质；有省级及以上建设行政主管部门颁发的安全生产许可证；并在人员、设备、资金等方面具备相应的施工能力。</w:t>
      </w:r>
      <w:r>
        <w:rPr>
          <w:rFonts w:hint="eastAsia" w:ascii="宋体" w:hAnsi="宋体" w:eastAsia="宋体" w:cs="宋体"/>
          <w:color w:val="auto"/>
          <w:szCs w:val="21"/>
          <w:highlight w:val="none"/>
          <w:u w:val="single"/>
          <w:lang w:eastAsia="zh-CN"/>
        </w:rPr>
        <w:t>拟任项目经理须具备机电工程专业二级注册建造师资格，具有省级（或以上）主管部门颁发的有效的《安全生产考核合格证书》（B类）。</w:t>
      </w:r>
    </w:p>
    <w:p w14:paraId="3173C631">
      <w:pPr>
        <w:spacing w:line="360" w:lineRule="auto"/>
        <w:ind w:firstLine="361" w:firstLineChars="150"/>
        <w:rPr>
          <w:rFonts w:ascii="黑体" w:hAnsi="黑体" w:eastAsia="黑体"/>
          <w:b/>
          <w:bCs/>
          <w:color w:val="auto"/>
          <w:sz w:val="24"/>
          <w:highlight w:val="none"/>
        </w:rPr>
      </w:pPr>
      <w:r>
        <w:rPr>
          <w:rFonts w:hint="eastAsia" w:ascii="黑体" w:hAnsi="黑体" w:eastAsia="黑体"/>
          <w:b/>
          <w:bCs/>
          <w:color w:val="auto"/>
          <w:sz w:val="24"/>
          <w:highlight w:val="none"/>
        </w:rPr>
        <w:t>三、获取竞争性谈判文件</w:t>
      </w:r>
    </w:p>
    <w:p w14:paraId="7ECA2CF1">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时间：自公告发布之日起。</w:t>
      </w:r>
    </w:p>
    <w:p w14:paraId="03FE3020">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地点：“政采云”平台（http：//www.zcygov.cn）。</w:t>
      </w:r>
    </w:p>
    <w:p w14:paraId="07AA9A6C">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rFonts w:hint="eastAsia" w:ascii="宋体" w:hAnsi="宋体" w:cs="宋体"/>
          <w:bCs/>
          <w:color w:val="auto"/>
          <w:kern w:val="0"/>
          <w:szCs w:val="21"/>
          <w:highlight w:val="none"/>
        </w:rPr>
        <w:fldChar w:fldCharType="begin"/>
      </w:r>
      <w:r>
        <w:rPr>
          <w:rFonts w:hint="eastAsia" w:ascii="宋体" w:hAnsi="宋体" w:cs="宋体"/>
          <w:bCs/>
          <w:color w:val="auto"/>
          <w:kern w:val="0"/>
          <w:szCs w:val="21"/>
          <w:highlight w:val="none"/>
        </w:rPr>
        <w:instrText xml:space="preserve"> HYPERLINK "" </w:instrText>
      </w:r>
      <w:r>
        <w:rPr>
          <w:rFonts w:hint="eastAsia" w:ascii="宋体" w:hAnsi="宋体" w:cs="宋体"/>
          <w:bCs/>
          <w:color w:val="auto"/>
          <w:kern w:val="0"/>
          <w:szCs w:val="21"/>
          <w:highlight w:val="none"/>
        </w:rPr>
        <w:fldChar w:fldCharType="separate"/>
      </w:r>
      <w:r>
        <w:rPr>
          <w:rFonts w:hint="eastAsia" w:ascii="宋体" w:hAnsi="宋体" w:cs="宋体"/>
          <w:bCs/>
          <w:color w:val="auto"/>
          <w:kern w:val="0"/>
          <w:szCs w:val="21"/>
          <w:highlight w:val="none"/>
        </w:rPr>
        <w:fldChar w:fldCharType="end"/>
      </w:r>
      <w:r>
        <w:rPr>
          <w:rFonts w:hint="eastAsia" w:ascii="宋体" w:hAnsi="宋体" w:cs="宋体"/>
          <w:bCs/>
          <w:color w:val="auto"/>
          <w:kern w:val="0"/>
          <w:szCs w:val="21"/>
          <w:highlight w:val="none"/>
        </w:rPr>
        <w:t>“政采云”平台（http：//www.zcygov.cn）下载竞争性谈判文件（操作路径：登录“政采云”平台-项目采购-获取采购文件-找到本项目-点击“申请获取采购文件”），电子响应文件制作需要基于“政采云”平台获取的竞争性谈判文件编制。</w:t>
      </w:r>
    </w:p>
    <w:p w14:paraId="4F55BD3F">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售价：0元。</w:t>
      </w:r>
    </w:p>
    <w:p w14:paraId="23C70ACB">
      <w:pPr>
        <w:spacing w:line="360" w:lineRule="auto"/>
        <w:ind w:firstLine="361" w:firstLineChars="150"/>
        <w:rPr>
          <w:rFonts w:ascii="黑体" w:hAnsi="黑体" w:eastAsia="黑体"/>
          <w:b/>
          <w:bCs/>
          <w:color w:val="auto"/>
          <w:sz w:val="24"/>
          <w:highlight w:val="none"/>
        </w:rPr>
      </w:pPr>
      <w:r>
        <w:rPr>
          <w:rFonts w:hint="eastAsia" w:ascii="黑体" w:hAnsi="黑体" w:eastAsia="黑体"/>
          <w:b/>
          <w:bCs/>
          <w:color w:val="auto"/>
          <w:sz w:val="24"/>
          <w:highlight w:val="none"/>
        </w:rPr>
        <w:t>四、响应文件提交</w:t>
      </w:r>
    </w:p>
    <w:p w14:paraId="006FE52C">
      <w:pPr>
        <w:spacing w:line="360" w:lineRule="auto"/>
        <w:ind w:left="422"/>
        <w:rPr>
          <w:rFonts w:ascii="宋体" w:hAnsi="宋体"/>
          <w:bCs/>
          <w:color w:val="auto"/>
          <w:szCs w:val="21"/>
          <w:highlight w:val="none"/>
          <w:u w:val="single"/>
        </w:rPr>
      </w:pPr>
      <w:r>
        <w:rPr>
          <w:rFonts w:hint="eastAsia" w:ascii="宋体" w:hAnsi="宋体" w:cs="宋体"/>
          <w:color w:val="auto"/>
          <w:szCs w:val="21"/>
          <w:highlight w:val="none"/>
        </w:rPr>
        <w:t>1、首次响应文件提交截止时间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 xml:space="preserve"> 日</w:t>
      </w:r>
      <w:r>
        <w:rPr>
          <w:rFonts w:hint="eastAsia" w:ascii="宋体" w:hAnsi="宋体"/>
          <w:color w:val="auto"/>
          <w:szCs w:val="21"/>
          <w:highlight w:val="none"/>
          <w:u w:val="single"/>
          <w:lang w:val="en-US" w:eastAsia="zh-CN"/>
        </w:rPr>
        <w:t>09</w:t>
      </w:r>
      <w:r>
        <w:rPr>
          <w:rFonts w:hint="eastAsia" w:ascii="宋体" w:hAnsi="宋体"/>
          <w:color w:val="auto"/>
          <w:szCs w:val="21"/>
          <w:highlight w:val="none"/>
          <w:u w:val="single"/>
        </w:rPr>
        <w:t xml:space="preserve">时 </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 xml:space="preserve"> 分（北京时间）</w:t>
      </w:r>
    </w:p>
    <w:p w14:paraId="2016B9CA">
      <w:pPr>
        <w:spacing w:line="360" w:lineRule="auto"/>
        <w:ind w:left="422"/>
        <w:rPr>
          <w:rFonts w:hint="eastAsia" w:ascii="宋体" w:hAnsi="宋体" w:cs="宋体"/>
          <w:color w:val="auto"/>
          <w:szCs w:val="21"/>
          <w:highlight w:val="none"/>
          <w:lang w:bidi="ar"/>
        </w:rPr>
      </w:pPr>
      <w:r>
        <w:rPr>
          <w:rFonts w:hint="eastAsia" w:ascii="宋体" w:hAnsi="宋体"/>
          <w:color w:val="auto"/>
          <w:szCs w:val="21"/>
          <w:highlight w:val="none"/>
        </w:rPr>
        <w:t>2、地点：</w:t>
      </w:r>
      <w:r>
        <w:rPr>
          <w:rFonts w:hint="eastAsia" w:ascii="宋体" w:hAnsi="宋体" w:cs="宋体"/>
          <w:color w:val="auto"/>
          <w:szCs w:val="21"/>
          <w:highlight w:val="none"/>
          <w:lang w:bidi="ar"/>
        </w:rPr>
        <w:t>通过“政采云”平台在线提交。</w:t>
      </w:r>
    </w:p>
    <w:p w14:paraId="0248F07B">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响应文件提交方式：本项目为全流程电子化项目，通过“政采云”平台（http：//www.zcygov.cn）实行在线电子响应，供应商应先安装“政采云电子交易客户端”（请自行前往“政采云”平台进行下载），并按照本项目采购文件和“政采云”平台的要求编制、加密后在</w:t>
      </w:r>
      <w:r>
        <w:rPr>
          <w:rFonts w:hint="eastAsia" w:ascii="宋体" w:hAnsi="宋体"/>
          <w:color w:val="auto"/>
          <w:szCs w:val="21"/>
          <w:highlight w:val="none"/>
          <w:lang w:val="en-US" w:eastAsia="zh-CN"/>
        </w:rPr>
        <w:t>竞</w:t>
      </w:r>
      <w:r>
        <w:rPr>
          <w:rFonts w:hint="eastAsia" w:ascii="宋体" w:hAnsi="宋体"/>
          <w:color w:val="auto"/>
          <w:szCs w:val="21"/>
          <w:highlight w:val="none"/>
        </w:rPr>
        <w:t>标截止时间前通过网络上传至“政采云”平台，</w:t>
      </w:r>
      <w:r>
        <w:rPr>
          <w:rFonts w:hint="eastAsia" w:ascii="宋体" w:hAnsi="宋体"/>
          <w:b/>
          <w:color w:val="auto"/>
          <w:szCs w:val="21"/>
          <w:highlight w:val="none"/>
        </w:rPr>
        <w:t>供应商在“政采云”平台提交电子版响应文件时，请填写参加远程采购活动经办人联系方式</w:t>
      </w:r>
      <w:r>
        <w:rPr>
          <w:rFonts w:hint="eastAsia" w:ascii="宋体" w:hAnsi="宋体"/>
          <w:color w:val="auto"/>
          <w:szCs w:val="21"/>
          <w:highlight w:val="none"/>
        </w:rPr>
        <w:t>。</w:t>
      </w:r>
    </w:p>
    <w:p w14:paraId="027DF564">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投标截止时间前，完成电子交易平台上的CA数字证书办理）及响应文件的提交。完成CA数字证书办理预计7日左右，</w:t>
      </w:r>
      <w:r>
        <w:rPr>
          <w:rFonts w:hint="eastAsia" w:ascii="宋体" w:hAnsi="宋体" w:cs="宋体"/>
          <w:color w:val="auto"/>
          <w:szCs w:val="21"/>
          <w:highlight w:val="none"/>
        </w:rPr>
        <w:t>供应商只需办理其中一家CA数字证书及签章</w:t>
      </w:r>
      <w:r>
        <w:rPr>
          <w:rFonts w:hint="eastAsia" w:ascii="宋体" w:hAnsi="宋体"/>
          <w:color w:val="auto"/>
          <w:szCs w:val="21"/>
          <w:highlight w:val="none"/>
        </w:rPr>
        <w:t>。</w:t>
      </w:r>
    </w:p>
    <w:p w14:paraId="7EEB1AD5">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74104A17">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w:t>
      </w:r>
    </w:p>
    <w:p w14:paraId="215043C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3、CA证书在线解密：首次响应文件开启时，须要供应商携带制作响应文件时用来加密的有效数字证书（CA认证）登录“政采云”平台电子开标大厅现场按规定时间对加密的响应文件进行解密，否则后果自负。</w:t>
      </w:r>
    </w:p>
    <w:p w14:paraId="47D60056">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4、供应商需要在具备有摄像头及语音功能且互联网网络状况良好的电脑登录“政采云”平台远程开标大厅参与本次</w:t>
      </w:r>
      <w:r>
        <w:rPr>
          <w:rFonts w:hint="eastAsia" w:ascii="宋体" w:hAnsi="宋体" w:cs="宋体"/>
          <w:color w:val="auto"/>
          <w:kern w:val="0"/>
          <w:szCs w:val="21"/>
          <w:highlight w:val="none"/>
          <w:lang w:val="en-US" w:eastAsia="zh-CN"/>
        </w:rPr>
        <w:t>谈判</w:t>
      </w:r>
      <w:r>
        <w:rPr>
          <w:rFonts w:hint="eastAsia" w:ascii="宋体" w:hAnsi="宋体" w:cs="宋体"/>
          <w:color w:val="auto"/>
          <w:kern w:val="0"/>
          <w:szCs w:val="21"/>
          <w:highlight w:val="none"/>
        </w:rPr>
        <w:t>，否则后果自负。</w:t>
      </w:r>
    </w:p>
    <w:p w14:paraId="1E67D8D3">
      <w:pPr>
        <w:spacing w:line="360" w:lineRule="auto"/>
        <w:ind w:firstLine="361" w:firstLineChars="150"/>
        <w:rPr>
          <w:rFonts w:ascii="黑体" w:hAnsi="黑体" w:eastAsia="黑体"/>
          <w:b/>
          <w:bCs/>
          <w:color w:val="auto"/>
          <w:sz w:val="24"/>
          <w:highlight w:val="none"/>
        </w:rPr>
      </w:pPr>
      <w:r>
        <w:rPr>
          <w:rFonts w:hint="eastAsia" w:ascii="黑体" w:hAnsi="黑体" w:eastAsia="黑体"/>
          <w:b/>
          <w:bCs/>
          <w:color w:val="auto"/>
          <w:sz w:val="24"/>
          <w:highlight w:val="none"/>
        </w:rPr>
        <w:t>五、开启</w:t>
      </w:r>
    </w:p>
    <w:p w14:paraId="24DB81CA">
      <w:pPr>
        <w:spacing w:line="276"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1、首次响应文件开启时间：</w:t>
      </w:r>
      <w:r>
        <w:rPr>
          <w:rFonts w:hint="eastAsia" w:ascii="宋体" w:hAnsi="宋体" w:cs="宋体"/>
          <w:bCs/>
          <w:color w:val="auto"/>
          <w:kern w:val="0"/>
          <w:szCs w:val="21"/>
          <w:highlight w:val="none"/>
          <w:u w:val="single"/>
        </w:rPr>
        <w:t>202</w:t>
      </w:r>
      <w:r>
        <w:rPr>
          <w:rFonts w:hint="eastAsia" w:ascii="宋体" w:hAnsi="宋体" w:cs="宋体"/>
          <w:bCs/>
          <w:color w:val="auto"/>
          <w:kern w:val="0"/>
          <w:szCs w:val="21"/>
          <w:highlight w:val="none"/>
          <w:u w:val="single"/>
          <w:lang w:val="en-US" w:eastAsia="zh-CN"/>
        </w:rPr>
        <w:t>5</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12</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12</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u w:val="single"/>
          <w:lang w:val="en-US" w:eastAsia="zh-CN"/>
        </w:rPr>
        <w:t>09</w:t>
      </w:r>
      <w:r>
        <w:rPr>
          <w:rFonts w:hint="eastAsia" w:ascii="宋体" w:hAnsi="宋体" w:cs="宋体"/>
          <w:bCs/>
          <w:color w:val="auto"/>
          <w:kern w:val="0"/>
          <w:szCs w:val="21"/>
          <w:highlight w:val="none"/>
          <w:u w:val="single"/>
        </w:rPr>
        <w:t>时</w:t>
      </w:r>
      <w:r>
        <w:rPr>
          <w:rFonts w:hint="eastAsia" w:ascii="宋体" w:hAnsi="宋体" w:cs="宋体"/>
          <w:bCs/>
          <w:color w:val="auto"/>
          <w:kern w:val="0"/>
          <w:szCs w:val="21"/>
          <w:highlight w:val="none"/>
          <w:u w:val="single"/>
          <w:lang w:val="en-US" w:eastAsia="zh-CN"/>
        </w:rPr>
        <w:t>30</w:t>
      </w:r>
      <w:r>
        <w:rPr>
          <w:rFonts w:hint="eastAsia" w:ascii="宋体" w:hAnsi="宋体" w:cs="宋体"/>
          <w:bCs/>
          <w:color w:val="auto"/>
          <w:kern w:val="0"/>
          <w:szCs w:val="21"/>
          <w:highlight w:val="none"/>
          <w:u w:val="single"/>
        </w:rPr>
        <w:t>分（北京时间）</w:t>
      </w:r>
    </w:p>
    <w:p w14:paraId="18E0F813">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2、地点：</w:t>
      </w:r>
      <w:r>
        <w:rPr>
          <w:rFonts w:hint="eastAsia" w:ascii="宋体" w:hAnsi="宋体" w:cs="宋体"/>
          <w:color w:val="auto"/>
          <w:szCs w:val="21"/>
          <w:highlight w:val="none"/>
          <w:lang w:bidi="ar"/>
        </w:rPr>
        <w:t>本项目将在“政采云”平台电子开标大厅解密、开启。</w:t>
      </w:r>
      <w:bookmarkStart w:id="1037" w:name="_GoBack"/>
      <w:bookmarkEnd w:id="1037"/>
    </w:p>
    <w:p w14:paraId="5BC55E71">
      <w:pPr>
        <w:spacing w:line="360" w:lineRule="auto"/>
        <w:ind w:firstLine="361" w:firstLineChars="150"/>
        <w:rPr>
          <w:rFonts w:ascii="黑体" w:hAnsi="黑体" w:eastAsia="黑体"/>
          <w:b/>
          <w:bCs/>
          <w:color w:val="auto"/>
          <w:sz w:val="24"/>
          <w:highlight w:val="none"/>
        </w:rPr>
      </w:pPr>
      <w:r>
        <w:rPr>
          <w:rFonts w:hint="eastAsia" w:ascii="黑体" w:hAnsi="黑体" w:eastAsia="黑体"/>
          <w:b/>
          <w:bCs/>
          <w:color w:val="auto"/>
          <w:sz w:val="24"/>
          <w:highlight w:val="none"/>
        </w:rPr>
        <w:t>六、公告期限</w:t>
      </w:r>
    </w:p>
    <w:p w14:paraId="42A46B9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1F4DC75B">
      <w:pPr>
        <w:spacing w:line="360" w:lineRule="auto"/>
        <w:ind w:firstLine="361" w:firstLineChars="150"/>
        <w:rPr>
          <w:rFonts w:ascii="黑体" w:hAnsi="黑体" w:eastAsia="黑体"/>
          <w:b/>
          <w:bCs/>
          <w:color w:val="auto"/>
          <w:sz w:val="24"/>
          <w:highlight w:val="none"/>
        </w:rPr>
      </w:pPr>
      <w:r>
        <w:rPr>
          <w:rFonts w:hint="eastAsia" w:ascii="黑体" w:hAnsi="黑体" w:eastAsia="黑体"/>
          <w:b/>
          <w:bCs/>
          <w:color w:val="auto"/>
          <w:sz w:val="24"/>
          <w:highlight w:val="none"/>
        </w:rPr>
        <w:t>七、其他补充事宜</w:t>
      </w:r>
    </w:p>
    <w:p w14:paraId="067D85EF">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1、竞标保证金（人民币）：本项目不收取谈判保证金。</w:t>
      </w:r>
    </w:p>
    <w:p w14:paraId="71D96989">
      <w:pPr>
        <w:wordWrap w:val="0"/>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kern w:val="0"/>
          <w:szCs w:val="21"/>
          <w:lang w:val="en-US" w:eastAsia="zh-CN"/>
        </w:rPr>
        <w:t>2、</w:t>
      </w:r>
      <w:r>
        <w:rPr>
          <w:rFonts w:hint="eastAsia" w:ascii="宋体" w:hAnsi="宋体" w:cs="宋体"/>
          <w:color w:val="auto"/>
          <w:kern w:val="0"/>
          <w:szCs w:val="21"/>
        </w:rPr>
        <w:t>采购意向公开链接：https://zfcg.gxzf.gov.cn/site/detail?parentId=66485&amp;articleId=8pbWsmZg6cVi0IJmxvJaIg==</w:t>
      </w:r>
    </w:p>
    <w:p w14:paraId="3B058768">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3</w:t>
      </w:r>
      <w:r>
        <w:rPr>
          <w:rFonts w:hint="eastAsia" w:ascii="宋体" w:hAnsi="宋体" w:cs="宋体"/>
          <w:color w:val="auto"/>
          <w:szCs w:val="21"/>
          <w:highlight w:val="none"/>
          <w:lang w:bidi="ar"/>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32AD957">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4</w:t>
      </w:r>
      <w:r>
        <w:rPr>
          <w:rFonts w:hint="eastAsia" w:ascii="宋体" w:hAnsi="宋体" w:cs="宋体"/>
          <w:color w:val="auto"/>
          <w:szCs w:val="21"/>
          <w:highlight w:val="none"/>
          <w:lang w:bidi="ar"/>
        </w:rPr>
        <w:t>、根据财政部《关于在政府采购活动中查询及使用信用记录有关问题的通知》（财库〔2016〕125号）的规定，对在“信用中国”网站(www.creditchina.gov.cn)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CE0C7A0">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5</w:t>
      </w:r>
      <w:r>
        <w:rPr>
          <w:rFonts w:hint="eastAsia" w:ascii="宋体" w:hAnsi="宋体" w:cs="宋体"/>
          <w:color w:val="auto"/>
          <w:szCs w:val="21"/>
          <w:highlight w:val="none"/>
          <w:lang w:bidi="ar"/>
        </w:rPr>
        <w:t>、网上查询地址：中国政府采购网（http://www.ccgp.gov.cn/）、广西政府采购网（http://zfcg.gxzf.gov.cn/）、全国公共资源交易平台（广西</w:t>
      </w:r>
      <w:r>
        <w:rPr>
          <w:rFonts w:hint="eastAsia" w:ascii="宋体" w:hAnsi="宋体" w:cs="宋体"/>
          <w:color w:val="auto"/>
          <w:szCs w:val="21"/>
          <w:highlight w:val="none"/>
          <w:lang w:val="en-US" w:eastAsia="zh-CN" w:bidi="ar"/>
        </w:rPr>
        <w:t>.</w:t>
      </w:r>
      <w:r>
        <w:rPr>
          <w:rFonts w:hint="eastAsia" w:ascii="宋体" w:hAnsi="宋体" w:cs="宋体"/>
          <w:color w:val="auto"/>
          <w:szCs w:val="21"/>
          <w:highlight w:val="none"/>
          <w:lang w:bidi="ar"/>
        </w:rPr>
        <w:t>南宁）（http://ggzy.jgswj.gxzf.gov.cn/nnggzy/）。</w:t>
      </w:r>
    </w:p>
    <w:p w14:paraId="3E0C4E00">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6</w:t>
      </w:r>
      <w:r>
        <w:rPr>
          <w:rFonts w:hint="eastAsia" w:ascii="宋体" w:hAnsi="宋体" w:cs="宋体"/>
          <w:color w:val="auto"/>
          <w:szCs w:val="21"/>
          <w:highlight w:val="none"/>
          <w:lang w:bidi="ar"/>
        </w:rPr>
        <w:t>、本项目需要落实的政府采购政策：</w:t>
      </w:r>
    </w:p>
    <w:p w14:paraId="7C99FC1A">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（1）政府采购促进中小企业发展。</w:t>
      </w:r>
    </w:p>
    <w:p w14:paraId="04486EC4">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（2）政府采购支持采用本国产品的政策。</w:t>
      </w:r>
    </w:p>
    <w:p w14:paraId="724D2311">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（3）政府采购促进残疾人就业政策。</w:t>
      </w:r>
    </w:p>
    <w:p w14:paraId="33C89880">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（4）政府采购支持监狱企业发展。</w:t>
      </w:r>
    </w:p>
    <w:p w14:paraId="744D63B0">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（5）扶持不发达地区和少数民族地区政策</w:t>
      </w:r>
    </w:p>
    <w:p w14:paraId="647DAEA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31E81D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若对项目采购电子交易系统操作有疑问，可登录“政采云”平台（https://www.zcygov.cn/），点击右侧咨询小采，获取采小蜜智能服务管家帮助，或拨打政采云服务热线</w:t>
      </w:r>
      <w:r>
        <w:rPr>
          <w:rFonts w:hint="eastAsia" w:ascii="宋体" w:hAnsi="宋体" w:cs="宋体"/>
          <w:color w:val="auto"/>
          <w:kern w:val="0"/>
          <w:szCs w:val="21"/>
          <w:highlight w:val="none"/>
          <w:lang w:eastAsia="zh-CN"/>
        </w:rPr>
        <w:t xml:space="preserve">95763 </w:t>
      </w:r>
      <w:r>
        <w:rPr>
          <w:rFonts w:hint="eastAsia" w:ascii="宋体" w:hAnsi="宋体" w:cs="宋体"/>
          <w:color w:val="auto"/>
          <w:kern w:val="0"/>
          <w:szCs w:val="21"/>
          <w:highlight w:val="none"/>
        </w:rPr>
        <w:t xml:space="preserve">获取热线服务帮助。 </w:t>
      </w:r>
    </w:p>
    <w:p w14:paraId="2031E76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本项目工程量清单及施工图以附件形式提供，潜在供应商可在</w:t>
      </w:r>
      <w:r>
        <w:rPr>
          <w:rFonts w:hint="eastAsia" w:ascii="宋体" w:hAnsi="宋体" w:cs="宋体"/>
          <w:color w:val="auto"/>
          <w:kern w:val="0"/>
          <w:szCs w:val="21"/>
          <w:highlight w:val="none"/>
          <w:lang w:eastAsia="zh-CN"/>
        </w:rPr>
        <w:t>谈判公告</w:t>
      </w:r>
      <w:r>
        <w:rPr>
          <w:rFonts w:hint="eastAsia" w:ascii="宋体" w:hAnsi="宋体" w:cs="宋体"/>
          <w:color w:val="auto"/>
          <w:kern w:val="0"/>
          <w:szCs w:val="21"/>
          <w:highlight w:val="none"/>
        </w:rPr>
        <w:t>页面的附件下载。</w:t>
      </w:r>
    </w:p>
    <w:p w14:paraId="3925CD1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附件： </w:t>
      </w:r>
    </w:p>
    <w:p w14:paraId="2CD8C43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1.CA证书申请方式及操作指南下载地址（现场申请方式见网址：http://www.ccgp-guangxi.gov.cn/OfficeService/DownloadArea/8354055.html?utm=a0003.39a112b4.cmp001.d0002.f0464b20ff2a11eb873141bf9e381949（广西政府采购网）/网上申请方式见网址： http://nncz.nanning.gov.cn/（南宁市财政局官网）-下载专区-南宁市政采云CA证书办理操作指南）</w:t>
      </w:r>
    </w:p>
    <w:p w14:paraId="53AEE7F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2.电子投标文件制作与投送教程（在此网址下载：</w:t>
      </w: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"http://nncz.nanning.gov.cn/（南宁市财政局官网）-下载专区）"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http://nncz.nanning.gov.cn/（南宁市财政局官网）-下载专区）</w:t>
      </w:r>
      <w:r>
        <w:rPr>
          <w:rFonts w:hint="eastAsia" w:ascii="宋体" w:hAnsi="宋体" w:cs="宋体"/>
          <w:color w:val="auto"/>
          <w:kern w:val="0"/>
          <w:szCs w:val="21"/>
          <w:highlight w:val="none"/>
        </w:rPr>
        <w:fldChar w:fldCharType="end"/>
      </w:r>
    </w:p>
    <w:p w14:paraId="0FA153AD">
      <w:pPr>
        <w:spacing w:line="360" w:lineRule="auto"/>
        <w:ind w:firstLine="420" w:firstLineChars="200"/>
        <w:rPr>
          <w:rFonts w:hint="eastAsia" w:ascii="宋体" w:hAnsi="宋体" w:cs="宋体"/>
          <w:color w:val="auto"/>
          <w:kern w:val="0"/>
          <w:szCs w:val="21"/>
          <w:highlight w:val="none"/>
        </w:rPr>
      </w:pPr>
    </w:p>
    <w:p w14:paraId="77078FF4">
      <w:pPr>
        <w:spacing w:line="360" w:lineRule="auto"/>
        <w:ind w:firstLine="420" w:firstLineChars="200"/>
        <w:rPr>
          <w:rFonts w:hint="eastAsia" w:ascii="宋体" w:hAnsi="宋体" w:cs="宋体"/>
          <w:color w:val="auto"/>
          <w:kern w:val="0"/>
          <w:szCs w:val="21"/>
          <w:highlight w:val="none"/>
        </w:rPr>
      </w:pPr>
    </w:p>
    <w:p w14:paraId="669060F9">
      <w:pPr>
        <w:spacing w:line="360" w:lineRule="auto"/>
        <w:ind w:firstLine="361" w:firstLineChars="150"/>
        <w:rPr>
          <w:rFonts w:hint="eastAsia" w:ascii="黑体" w:hAnsi="黑体" w:eastAsia="黑体"/>
          <w:b/>
          <w:bCs/>
          <w:color w:val="auto"/>
          <w:sz w:val="24"/>
          <w:highlight w:val="none"/>
        </w:rPr>
      </w:pPr>
      <w:r>
        <w:rPr>
          <w:rFonts w:hint="eastAsia" w:ascii="黑体" w:hAnsi="黑体" w:eastAsia="黑体"/>
          <w:b/>
          <w:bCs/>
          <w:color w:val="auto"/>
          <w:sz w:val="24"/>
          <w:highlight w:val="none"/>
        </w:rPr>
        <w:t>八、凡对本次采购提出询问，请按以下方式联系。</w:t>
      </w:r>
      <w:bookmarkEnd w:id="5"/>
      <w:bookmarkEnd w:id="6"/>
      <w:bookmarkEnd w:id="7"/>
      <w:bookmarkEnd w:id="8"/>
      <w:bookmarkEnd w:id="9"/>
      <w:bookmarkEnd w:id="10"/>
      <w:bookmarkStart w:id="11" w:name="_Toc35393806"/>
      <w:bookmarkStart w:id="12" w:name="_Toc35393637"/>
      <w:bookmarkStart w:id="13" w:name="_Toc28359019"/>
      <w:bookmarkStart w:id="14" w:name="_Toc28359096"/>
    </w:p>
    <w:p w14:paraId="7DBA2546">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20649ED0">
      <w:pPr>
        <w:spacing w:line="360" w:lineRule="auto"/>
        <w:ind w:firstLine="567" w:firstLineChars="270"/>
        <w:jc w:val="lef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lang w:eastAsia="zh-CN"/>
        </w:rPr>
        <w:t>南宁市社会福利院</w:t>
      </w:r>
    </w:p>
    <w:p w14:paraId="6FF5A6C8">
      <w:pPr>
        <w:spacing w:line="360" w:lineRule="auto"/>
        <w:ind w:firstLine="567" w:firstLineChars="27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南宁市新阳路北三里16号</w:t>
      </w:r>
    </w:p>
    <w:p w14:paraId="2530992B">
      <w:pPr>
        <w:spacing w:line="360" w:lineRule="auto"/>
        <w:ind w:firstLine="567" w:firstLineChars="270"/>
        <w:jc w:val="left"/>
        <w:rPr>
          <w:rFonts w:hint="eastAsia" w:ascii="宋体" w:hAnsi="宋体"/>
          <w:color w:val="auto"/>
          <w:szCs w:val="21"/>
          <w:highlight w:val="none"/>
          <w:lang w:val="en-US" w:eastAsia="zh-CN"/>
        </w:rPr>
      </w:pPr>
      <w:r>
        <w:rPr>
          <w:rFonts w:hint="eastAsia" w:ascii="宋体" w:hAnsi="宋体"/>
          <w:color w:val="auto"/>
          <w:szCs w:val="21"/>
          <w:highlight w:val="none"/>
        </w:rPr>
        <w:t>联系</w:t>
      </w:r>
      <w:r>
        <w:rPr>
          <w:rFonts w:hint="eastAsia" w:ascii="宋体" w:hAnsi="宋体"/>
          <w:color w:val="auto"/>
          <w:szCs w:val="21"/>
          <w:highlight w:val="none"/>
          <w:lang w:eastAsia="zh-CN"/>
        </w:rPr>
        <w:t>人</w:t>
      </w:r>
      <w:r>
        <w:rPr>
          <w:rFonts w:hint="eastAsia" w:ascii="宋体" w:hAnsi="宋体"/>
          <w:color w:val="auto"/>
          <w:szCs w:val="21"/>
          <w:highlight w:val="none"/>
        </w:rPr>
        <w:t>：</w:t>
      </w:r>
      <w:r>
        <w:rPr>
          <w:rFonts w:hint="eastAsia" w:ascii="宋体" w:hAnsi="宋体"/>
          <w:color w:val="auto"/>
          <w:szCs w:val="21"/>
          <w:highlight w:val="none"/>
          <w:lang w:val="en-US" w:eastAsia="zh-CN"/>
        </w:rPr>
        <w:t>梁工</w:t>
      </w:r>
      <w:r>
        <w:rPr>
          <w:rFonts w:hint="eastAsia" w:ascii="宋体" w:hAnsi="宋体"/>
          <w:color w:val="auto"/>
          <w:szCs w:val="21"/>
          <w:highlight w:val="none"/>
        </w:rPr>
        <w:t>，电话：</w:t>
      </w:r>
      <w:bookmarkStart w:id="15" w:name="_Toc28359009"/>
      <w:bookmarkStart w:id="16" w:name="_Toc28359086"/>
      <w:r>
        <w:rPr>
          <w:rFonts w:hint="eastAsia" w:ascii="宋体" w:hAnsi="宋体"/>
          <w:color w:val="auto"/>
          <w:szCs w:val="21"/>
          <w:highlight w:val="none"/>
          <w:lang w:val="en-US" w:eastAsia="zh-CN"/>
        </w:rPr>
        <w:t>0771-2807780</w:t>
      </w:r>
    </w:p>
    <w:p w14:paraId="6FC29CD9">
      <w:pPr>
        <w:spacing w:line="360" w:lineRule="auto"/>
        <w:ind w:firstLine="567" w:firstLineChars="270"/>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15"/>
      <w:bookmarkEnd w:id="16"/>
    </w:p>
    <w:p w14:paraId="21194E17">
      <w:pPr>
        <w:spacing w:line="360" w:lineRule="auto"/>
        <w:ind w:firstLine="567" w:firstLineChars="270"/>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s="Arial"/>
          <w:color w:val="auto"/>
          <w:szCs w:val="21"/>
          <w:highlight w:val="none"/>
          <w:lang w:eastAsia="zh-CN"/>
        </w:rPr>
        <w:t>广西汉容达项目管理有限公司</w:t>
      </w:r>
    </w:p>
    <w:p w14:paraId="64CFF75F">
      <w:pPr>
        <w:spacing w:line="360" w:lineRule="auto"/>
        <w:ind w:firstLine="567" w:firstLineChars="270"/>
        <w:rPr>
          <w:rFonts w:hint="eastAsia" w:ascii="宋体" w:hAnsi="宋体" w:eastAsia="宋体"/>
          <w:color w:val="auto"/>
          <w:szCs w:val="21"/>
          <w:highlight w:val="none"/>
          <w:lang w:eastAsia="zh-CN"/>
        </w:rPr>
      </w:pPr>
      <w:r>
        <w:rPr>
          <w:rFonts w:hint="eastAsia" w:ascii="宋体" w:hAnsi="宋体"/>
          <w:color w:val="auto"/>
          <w:szCs w:val="21"/>
          <w:highlight w:val="none"/>
        </w:rPr>
        <w:t>地　址：</w:t>
      </w:r>
      <w:r>
        <w:rPr>
          <w:rFonts w:hint="eastAsia" w:ascii="宋体" w:hAnsi="宋体"/>
          <w:color w:val="auto"/>
          <w:szCs w:val="21"/>
          <w:highlight w:val="none"/>
          <w:lang w:eastAsia="zh-CN"/>
        </w:rPr>
        <w:t>南宁市青秀区中新路9号广西九洲国际三十八层3806号房</w:t>
      </w:r>
    </w:p>
    <w:p w14:paraId="0E536873">
      <w:pPr>
        <w:spacing w:line="360" w:lineRule="auto"/>
        <w:ind w:firstLine="567" w:firstLineChars="270"/>
        <w:rPr>
          <w:rFonts w:hint="default" w:ascii="宋体" w:hAnsi="宋体" w:eastAsia="宋体"/>
          <w:color w:val="auto"/>
          <w:szCs w:val="21"/>
          <w:highlight w:val="none"/>
          <w:lang w:val="en-US" w:eastAsia="zh-CN"/>
        </w:rPr>
      </w:pPr>
      <w:r>
        <w:rPr>
          <w:rFonts w:hint="eastAsia" w:ascii="宋体" w:hAnsi="宋体"/>
          <w:color w:val="auto"/>
          <w:szCs w:val="21"/>
          <w:highlight w:val="none"/>
        </w:rPr>
        <w:t>联系方式：</w:t>
      </w:r>
      <w:bookmarkStart w:id="17" w:name="_Toc28359087"/>
      <w:bookmarkStart w:id="18" w:name="_Toc28359010"/>
      <w:r>
        <w:rPr>
          <w:rFonts w:hint="eastAsia" w:ascii="宋体" w:hAnsi="宋体"/>
          <w:color w:val="auto"/>
          <w:szCs w:val="21"/>
          <w:highlight w:val="none"/>
          <w:lang w:val="en-US" w:eastAsia="zh-CN"/>
        </w:rPr>
        <w:t>黎工</w:t>
      </w:r>
      <w:r>
        <w:rPr>
          <w:rFonts w:hint="eastAsia" w:ascii="宋体" w:hAnsi="宋体"/>
          <w:color w:val="auto"/>
          <w:szCs w:val="21"/>
          <w:highlight w:val="none"/>
        </w:rPr>
        <w:t>，电话：</w:t>
      </w:r>
      <w:r>
        <w:rPr>
          <w:rFonts w:hint="eastAsia" w:ascii="宋体" w:hAnsi="宋体"/>
          <w:color w:val="auto"/>
          <w:szCs w:val="21"/>
          <w:highlight w:val="none"/>
          <w:lang w:eastAsia="zh-CN"/>
        </w:rPr>
        <w:t>18</w:t>
      </w:r>
      <w:r>
        <w:rPr>
          <w:rFonts w:hint="eastAsia" w:ascii="宋体" w:hAnsi="宋体"/>
          <w:color w:val="auto"/>
          <w:szCs w:val="21"/>
          <w:highlight w:val="none"/>
          <w:lang w:val="en-US" w:eastAsia="zh-CN"/>
        </w:rPr>
        <w:t>677222153</w:t>
      </w:r>
    </w:p>
    <w:p w14:paraId="19C2A631">
      <w:pPr>
        <w:spacing w:line="360" w:lineRule="auto"/>
        <w:ind w:firstLine="567" w:firstLineChars="270"/>
        <w:rPr>
          <w:rFonts w:ascii="宋体" w:hAnsi="宋体"/>
          <w:color w:val="auto"/>
          <w:szCs w:val="21"/>
          <w:highlight w:val="none"/>
          <w:u w:val="singl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17"/>
      <w:bookmarkEnd w:id="18"/>
    </w:p>
    <w:p w14:paraId="2D9785FB">
      <w:pPr>
        <w:pStyle w:val="11"/>
        <w:spacing w:line="360" w:lineRule="auto"/>
        <w:ind w:firstLine="567" w:firstLineChars="270"/>
        <w:rPr>
          <w:rFonts w:hint="default" w:hAnsi="宋体"/>
          <w:color w:val="auto"/>
          <w:sz w:val="21"/>
          <w:highlight w:val="none"/>
          <w:lang w:val="en-US"/>
        </w:rPr>
      </w:pPr>
      <w:r>
        <w:rPr>
          <w:rFonts w:hint="eastAsia" w:hAnsi="宋体"/>
          <w:color w:val="auto"/>
          <w:sz w:val="21"/>
          <w:highlight w:val="none"/>
        </w:rPr>
        <w:t>项目联系人：</w:t>
      </w:r>
      <w:r>
        <w:rPr>
          <w:rFonts w:hint="eastAsia" w:hAnsi="宋体"/>
          <w:color w:val="auto"/>
          <w:szCs w:val="21"/>
          <w:highlight w:val="none"/>
          <w:lang w:val="en-US" w:eastAsia="zh-CN"/>
        </w:rPr>
        <w:t>黎工</w:t>
      </w:r>
    </w:p>
    <w:p w14:paraId="31EE2162">
      <w:pPr>
        <w:spacing w:line="360" w:lineRule="auto"/>
        <w:ind w:firstLine="567" w:firstLineChars="270"/>
        <w:rPr>
          <w:rFonts w:hint="default" w:ascii="宋体" w:hAnsi="宋体" w:eastAsia="宋体"/>
          <w:color w:val="auto"/>
          <w:szCs w:val="21"/>
          <w:highlight w:val="none"/>
          <w:lang w:val="en-US" w:eastAsia="zh-CN"/>
        </w:rPr>
      </w:pPr>
      <w:r>
        <w:rPr>
          <w:rFonts w:hint="eastAsia" w:ascii="宋体" w:hAnsi="宋体"/>
          <w:color w:val="auto"/>
          <w:szCs w:val="21"/>
          <w:highlight w:val="none"/>
        </w:rPr>
        <w:t>电　话：</w:t>
      </w:r>
      <w:r>
        <w:rPr>
          <w:rFonts w:hint="eastAsia" w:ascii="宋体" w:hAnsi="宋体"/>
          <w:color w:val="auto"/>
          <w:szCs w:val="21"/>
          <w:highlight w:val="none"/>
          <w:lang w:val="en-US" w:eastAsia="zh-CN"/>
        </w:rPr>
        <w:t>18677222153</w:t>
      </w:r>
    </w:p>
    <w:p w14:paraId="513DA6E3">
      <w:pPr>
        <w:spacing w:line="360" w:lineRule="auto"/>
        <w:rPr>
          <w:rFonts w:hint="eastAsia" w:ascii="宋体" w:hAnsi="宋体"/>
          <w:color w:val="auto"/>
          <w:szCs w:val="21"/>
          <w:highlight w:val="none"/>
        </w:rPr>
      </w:pPr>
    </w:p>
    <w:p w14:paraId="4776F908">
      <w:pPr>
        <w:spacing w:line="380" w:lineRule="exact"/>
        <w:rPr>
          <w:rFonts w:hint="eastAsia" w:ascii="宋体" w:hAnsi="宋体" w:cs="Arial"/>
          <w:color w:val="auto"/>
          <w:szCs w:val="21"/>
          <w:highlight w:val="none"/>
        </w:rPr>
      </w:pPr>
    </w:p>
    <w:p w14:paraId="418AF933">
      <w:pPr>
        <w:spacing w:line="380" w:lineRule="exact"/>
        <w:rPr>
          <w:rFonts w:hint="eastAsia" w:ascii="宋体" w:hAnsi="宋体" w:cs="Arial"/>
          <w:color w:val="auto"/>
          <w:szCs w:val="21"/>
          <w:highlight w:val="none"/>
        </w:rPr>
      </w:pPr>
    </w:p>
    <w:p w14:paraId="6F9EB648">
      <w:pPr>
        <w:spacing w:line="380" w:lineRule="exact"/>
        <w:ind w:firstLine="5775" w:firstLineChars="2750"/>
        <w:jc w:val="right"/>
        <w:rPr>
          <w:rFonts w:hint="eastAsia" w:ascii="宋体" w:hAnsi="宋体" w:eastAsia="宋体"/>
          <w:color w:val="auto"/>
          <w:szCs w:val="21"/>
          <w:highlight w:val="none"/>
          <w:lang w:eastAsia="zh-CN"/>
        </w:rPr>
      </w:pPr>
      <w:r>
        <w:rPr>
          <w:rFonts w:hint="eastAsia" w:ascii="宋体" w:hAnsi="宋体" w:cs="Arial"/>
          <w:color w:val="auto"/>
          <w:szCs w:val="21"/>
          <w:highlight w:val="none"/>
          <w:lang w:eastAsia="zh-CN"/>
        </w:rPr>
        <w:t>广西汉容达项目管理有限公司</w:t>
      </w:r>
    </w:p>
    <w:p w14:paraId="411FA7EA">
      <w:pPr>
        <w:spacing w:line="360" w:lineRule="auto"/>
        <w:ind w:firstLine="6195" w:firstLineChars="2950"/>
        <w:jc w:val="right"/>
        <w:rPr>
          <w:rFonts w:hint="eastAsia" w:ascii="宋体" w:hAnsi="宋体"/>
          <w:color w:val="auto"/>
          <w:highlight w:val="none"/>
        </w:rPr>
      </w:pPr>
      <w:r>
        <w:rPr>
          <w:rFonts w:hint="eastAsia" w:ascii="宋体" w:hAnsi="宋体"/>
          <w:color w:val="auto"/>
          <w:highlight w:val="none"/>
        </w:rPr>
        <w:t>202</w:t>
      </w:r>
      <w:r>
        <w:rPr>
          <w:rFonts w:hint="eastAsia" w:ascii="宋体" w:hAnsi="宋体"/>
          <w:color w:val="auto"/>
          <w:highlight w:val="none"/>
          <w:lang w:val="en-US" w:eastAsia="zh-CN"/>
        </w:rPr>
        <w:t>5</w:t>
      </w:r>
      <w:r>
        <w:rPr>
          <w:rFonts w:hint="eastAsia" w:ascii="宋体" w:hAnsi="宋体"/>
          <w:color w:val="auto"/>
          <w:highlight w:val="none"/>
        </w:rPr>
        <w:t>年</w:t>
      </w:r>
      <w:r>
        <w:rPr>
          <w:rFonts w:hint="eastAsia" w:ascii="宋体" w:hAnsi="宋体"/>
          <w:color w:val="auto"/>
          <w:highlight w:val="none"/>
          <w:lang w:val="en-US" w:eastAsia="zh-CN"/>
        </w:rPr>
        <w:t xml:space="preserve">12 </w:t>
      </w:r>
      <w:r>
        <w:rPr>
          <w:rFonts w:hint="eastAsia" w:ascii="宋体" w:hAnsi="宋体"/>
          <w:color w:val="auto"/>
          <w:highlight w:val="none"/>
        </w:rPr>
        <w:t>月</w:t>
      </w:r>
      <w:r>
        <w:rPr>
          <w:rFonts w:hint="eastAsia" w:ascii="宋体" w:hAnsi="宋体"/>
          <w:color w:val="auto"/>
          <w:highlight w:val="none"/>
          <w:lang w:val="en-US" w:eastAsia="zh-CN"/>
        </w:rPr>
        <w:t>8</w:t>
      </w:r>
      <w:r>
        <w:rPr>
          <w:rFonts w:hint="eastAsia" w:ascii="宋体" w:hAnsi="宋体"/>
          <w:color w:val="auto"/>
          <w:highlight w:val="none"/>
        </w:rPr>
        <w:t>日</w:t>
      </w:r>
      <w:bookmarkEnd w:id="11"/>
      <w:bookmarkEnd w:id="12"/>
      <w:bookmarkEnd w:id="13"/>
      <w:bookmarkEnd w:id="14"/>
    </w:p>
    <w:p w14:paraId="5554CC25">
      <w:pPr>
        <w:pStyle w:val="21"/>
        <w:rPr>
          <w:rFonts w:hint="eastAsia" w:ascii="宋体" w:hAnsi="宋体"/>
          <w:color w:val="auto"/>
          <w:highlight w:val="none"/>
        </w:rPr>
      </w:pPr>
    </w:p>
    <w:p w14:paraId="5DF60AA1">
      <w:pPr>
        <w:pStyle w:val="21"/>
        <w:rPr>
          <w:rFonts w:hint="eastAsia" w:ascii="宋体" w:hAnsi="宋体"/>
          <w:color w:val="auto"/>
          <w:highlight w:val="none"/>
        </w:rPr>
      </w:pPr>
    </w:p>
    <w:p w14:paraId="48F13C3C">
      <w:pPr>
        <w:pStyle w:val="21"/>
        <w:rPr>
          <w:rFonts w:hint="eastAsia" w:ascii="宋体" w:hAnsi="宋体"/>
          <w:color w:val="auto"/>
          <w:highlight w:val="none"/>
        </w:rPr>
      </w:pPr>
    </w:p>
    <w:p w14:paraId="3B991C58">
      <w:pPr>
        <w:pStyle w:val="21"/>
        <w:rPr>
          <w:rFonts w:hint="eastAsia" w:ascii="宋体" w:hAnsi="宋体"/>
          <w:color w:val="auto"/>
          <w:highlight w:val="none"/>
        </w:rPr>
      </w:pPr>
    </w:p>
    <w:p w14:paraId="3C035633">
      <w:pPr>
        <w:pStyle w:val="21"/>
        <w:rPr>
          <w:rFonts w:hint="eastAsia" w:ascii="宋体" w:hAnsi="宋体"/>
          <w:color w:val="auto"/>
          <w:highlight w:val="none"/>
        </w:rPr>
      </w:pPr>
    </w:p>
    <w:p w14:paraId="71DE8460">
      <w:pPr>
        <w:pStyle w:val="21"/>
        <w:rPr>
          <w:rFonts w:hint="eastAsia" w:ascii="宋体" w:hAnsi="宋体"/>
          <w:color w:val="auto"/>
          <w:highlight w:val="none"/>
        </w:rPr>
      </w:pPr>
    </w:p>
    <w:p w14:paraId="2B195AA9">
      <w:pPr>
        <w:pStyle w:val="21"/>
        <w:rPr>
          <w:rFonts w:hint="eastAsia" w:ascii="宋体" w:hAnsi="宋体"/>
          <w:color w:val="auto"/>
          <w:highlight w:val="none"/>
        </w:rPr>
      </w:pPr>
    </w:p>
    <w:p w14:paraId="46511DDD">
      <w:pPr>
        <w:pStyle w:val="2"/>
        <w:jc w:val="center"/>
        <w:rPr>
          <w:rFonts w:hint="eastAsia"/>
        </w:rPr>
      </w:pPr>
      <w:r>
        <w:rPr>
          <w:rFonts w:hint="eastAsia" w:ascii="宋体" w:hAnsi="宋体"/>
          <w:color w:val="auto"/>
          <w:highlight w:val="none"/>
        </w:rPr>
        <w:br w:type="page"/>
      </w:r>
      <w:bookmarkEnd w:id="4"/>
      <w:bookmarkStart w:id="19" w:name="_Toc74322009"/>
      <w:bookmarkStart w:id="20" w:name="_Toc19799"/>
      <w:bookmarkStart w:id="21" w:name="_Toc13717"/>
      <w:r>
        <w:rPr>
          <w:rFonts w:hint="eastAsia"/>
          <w:color w:val="auto"/>
          <w:highlight w:val="none"/>
        </w:rPr>
        <w:t>第二章 供应商须知</w:t>
      </w:r>
      <w:bookmarkEnd w:id="19"/>
      <w:bookmarkEnd w:id="20"/>
      <w:bookmarkEnd w:id="21"/>
    </w:p>
    <w:p w14:paraId="04C97D02">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2D54033E">
      <w:pPr>
        <w:spacing w:line="400" w:lineRule="exact"/>
        <w:jc w:val="center"/>
        <w:rPr>
          <w:rFonts w:hint="eastAsia" w:ascii="宋体" w:hAnsi="宋体"/>
          <w:b/>
          <w:color w:val="auto"/>
          <w:sz w:val="32"/>
          <w:szCs w:val="32"/>
          <w:highlight w:val="none"/>
        </w:rPr>
      </w:pPr>
    </w:p>
    <w:tbl>
      <w:tblPr>
        <w:tblStyle w:val="17"/>
        <w:tblW w:w="96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95"/>
      </w:tblGrid>
      <w:tr w14:paraId="15EC5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6C6683A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8695" w:type="dxa"/>
            <w:noWrap w:val="0"/>
            <w:vAlign w:val="top"/>
          </w:tcPr>
          <w:p w14:paraId="6BB2CF1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65D68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CE3C78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695" w:type="dxa"/>
            <w:noWrap w:val="0"/>
            <w:vAlign w:val="center"/>
          </w:tcPr>
          <w:p w14:paraId="2F5CC4C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供应商的资格条件：详见竞争性谈判公告</w:t>
            </w:r>
          </w:p>
        </w:tc>
      </w:tr>
      <w:tr w14:paraId="70AF0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C193A3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8695" w:type="dxa"/>
            <w:noWrap w:val="0"/>
            <w:vAlign w:val="center"/>
          </w:tcPr>
          <w:p w14:paraId="39C5E6F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不允许联合体投标。</w:t>
            </w:r>
          </w:p>
        </w:tc>
      </w:tr>
      <w:tr w14:paraId="2DE4A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45129E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8695" w:type="dxa"/>
            <w:noWrap w:val="0"/>
            <w:vAlign w:val="center"/>
          </w:tcPr>
          <w:p w14:paraId="3A1DE519">
            <w:pPr>
              <w:spacing w:line="360" w:lineRule="auto"/>
              <w:rPr>
                <w:rFonts w:hint="eastAsia" w:ascii="宋体" w:hAnsi="宋体" w:eastAsia="宋体" w:cs="宋体"/>
                <w:color w:val="auto"/>
                <w:szCs w:val="21"/>
                <w:highlight w:val="none"/>
                <w:lang w:eastAsia="zh-CN"/>
              </w:rPr>
            </w:pPr>
            <w:r>
              <w:rPr>
                <w:rFonts w:hint="eastAsia" w:ascii="宋体" w:hAnsi="宋体"/>
                <w:color w:val="auto"/>
                <w:szCs w:val="21"/>
                <w:highlight w:val="none"/>
              </w:rPr>
              <w:t>联合体竞标要求</w:t>
            </w:r>
            <w:r>
              <w:rPr>
                <w:rFonts w:hint="eastAsia" w:ascii="宋体" w:hAnsi="宋体"/>
                <w:color w:val="auto"/>
                <w:szCs w:val="21"/>
                <w:highlight w:val="none"/>
                <w:lang w:eastAsia="zh-CN"/>
              </w:rPr>
              <w:t>：</w:t>
            </w:r>
            <w:r>
              <w:rPr>
                <w:rFonts w:hint="eastAsia" w:ascii="宋体" w:hAnsi="宋体" w:cs="宋体"/>
                <w:color w:val="auto"/>
                <w:szCs w:val="21"/>
                <w:highlight w:val="none"/>
                <w:lang w:eastAsia="zh-CN"/>
              </w:rPr>
              <w:t>无</w:t>
            </w:r>
          </w:p>
        </w:tc>
      </w:tr>
      <w:tr w14:paraId="6F5CD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2B88E3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8695" w:type="dxa"/>
            <w:noWrap w:val="0"/>
            <w:vAlign w:val="center"/>
          </w:tcPr>
          <w:p w14:paraId="3C99228B">
            <w:pPr>
              <w:pStyle w:val="6"/>
              <w:spacing w:line="400" w:lineRule="exact"/>
              <w:rPr>
                <w:rFonts w:hint="eastAsia" w:ascii="宋体" w:hAnsi="宋体"/>
                <w:color w:val="auto"/>
                <w:szCs w:val="21"/>
                <w:highlight w:val="none"/>
                <w:u w:val="single"/>
                <w:lang w:val="en-US" w:eastAsia="zh-CN"/>
              </w:rPr>
            </w:pPr>
            <w:r>
              <w:rPr>
                <w:rFonts w:hint="eastAsia" w:ascii="宋体" w:hAnsi="宋体"/>
                <w:color w:val="auto"/>
                <w:szCs w:val="21"/>
                <w:highlight w:val="none"/>
                <w:lang w:val="en-US" w:eastAsia="zh-CN"/>
              </w:rPr>
              <w:t>本项目不允许分包。</w:t>
            </w:r>
          </w:p>
        </w:tc>
      </w:tr>
      <w:tr w14:paraId="1DB7A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8C9A3A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8695" w:type="dxa"/>
            <w:noWrap w:val="0"/>
            <w:vAlign w:val="center"/>
          </w:tcPr>
          <w:p w14:paraId="698B33ED">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41CC7F5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w:t>
            </w:r>
            <w:r>
              <w:rPr>
                <w:rFonts w:hint="eastAsia" w:ascii="宋体" w:hAnsi="宋体"/>
                <w:color w:val="auto"/>
                <w:szCs w:val="21"/>
                <w:highlight w:val="none"/>
              </w:rPr>
              <w:t>证明文件为其营业执照复印件（如营业执照或者事业单位法人证书或者执业许可证等）；供应商为自然人的，证明文件为其身份证复印件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E9CBE3A">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月至202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月内</w:t>
            </w:r>
            <w:r>
              <w:rPr>
                <w:rFonts w:hint="eastAsia" w:ascii="宋体" w:hAnsi="宋体" w:cs="宋体"/>
                <w:color w:val="auto"/>
                <w:szCs w:val="21"/>
                <w:highlight w:val="none"/>
                <w:u w:val="single"/>
                <w:lang w:eastAsia="zh-CN"/>
              </w:rPr>
              <w:t>任意</w:t>
            </w:r>
            <w:r>
              <w:rPr>
                <w:rFonts w:hint="eastAsia" w:ascii="宋体" w:hAnsi="宋体" w:cs="宋体"/>
                <w:color w:val="auto"/>
                <w:szCs w:val="21"/>
                <w:highlight w:val="none"/>
                <w:u w:val="single"/>
              </w:rPr>
              <w:t>连续3个月</w:t>
            </w:r>
            <w:r>
              <w:rPr>
                <w:rFonts w:hint="eastAsia" w:ascii="宋体" w:hAnsi="宋体" w:cs="宋体"/>
                <w:color w:val="auto"/>
                <w:szCs w:val="21"/>
                <w:highlight w:val="none"/>
              </w:rPr>
              <w:t>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F889A9B">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月至202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月内</w:t>
            </w:r>
            <w:r>
              <w:rPr>
                <w:rFonts w:hint="eastAsia" w:ascii="宋体" w:hAnsi="宋体" w:cs="宋体"/>
                <w:color w:val="auto"/>
                <w:szCs w:val="21"/>
                <w:highlight w:val="none"/>
                <w:u w:val="single"/>
                <w:lang w:eastAsia="zh-CN"/>
              </w:rPr>
              <w:t>任意</w:t>
            </w:r>
            <w:r>
              <w:rPr>
                <w:rFonts w:hint="eastAsia" w:ascii="宋体" w:hAnsi="宋体" w:cs="宋体"/>
                <w:color w:val="auto"/>
                <w:szCs w:val="21"/>
                <w:highlight w:val="none"/>
                <w:u w:val="single"/>
              </w:rPr>
              <w:t>连续3个月</w:t>
            </w:r>
            <w:r>
              <w:rPr>
                <w:rFonts w:hint="eastAsia" w:ascii="宋体" w:hAnsi="宋体" w:cs="宋体"/>
                <w:color w:val="auto"/>
                <w:szCs w:val="21"/>
                <w:highlight w:val="none"/>
              </w:rPr>
              <w:t>的依法缴纳社会保障资金的缴费凭证（专用收据或者社会保险缴纳清单）复印件；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2F51657">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年度</w:t>
            </w:r>
            <w:r>
              <w:rPr>
                <w:rFonts w:hint="eastAsia" w:ascii="宋体" w:hAnsi="宋体" w:cs="宋体"/>
                <w:color w:val="auto"/>
                <w:szCs w:val="21"/>
                <w:highlight w:val="none"/>
              </w:rPr>
              <w:t>经审计的财务状况报告复印件或者提供其基本开户银行出具的资信证明。（上述财务状况报告包括：供应商是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val="0"/>
                <w:bCs w:val="0"/>
                <w:color w:val="auto"/>
                <w:szCs w:val="21"/>
                <w:highlight w:val="none"/>
              </w:rPr>
              <w:t>；</w:t>
            </w:r>
            <w:r>
              <w:rPr>
                <w:rFonts w:hint="eastAsia" w:ascii="宋体" w:hAnsi="宋体" w:cs="宋体"/>
                <w:b/>
                <w:bCs/>
                <w:color w:val="auto"/>
                <w:szCs w:val="21"/>
                <w:highlight w:val="none"/>
                <w:lang w:val="en-US" w:eastAsia="zh-CN"/>
              </w:rPr>
              <w:t>审计报告必须有“注册会计师行业统一监管平台”赋码，无赋码视为无效报告。</w:t>
            </w:r>
            <w:r>
              <w:rPr>
                <w:rFonts w:hint="eastAsia" w:ascii="宋体" w:hAnsi="宋体" w:cs="宋体"/>
                <w:b/>
                <w:bCs/>
                <w:color w:val="auto"/>
                <w:szCs w:val="21"/>
                <w:highlight w:val="none"/>
              </w:rPr>
              <w:t>（必须提供，否则作无效响应处理）</w:t>
            </w:r>
          </w:p>
          <w:p w14:paraId="6DBE7E8B">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CE8ECC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861B8BE">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7、</w:t>
            </w:r>
            <w:r>
              <w:rPr>
                <w:rFonts w:hint="eastAsia" w:ascii="宋体" w:hAnsi="宋体"/>
                <w:color w:val="auto"/>
                <w:szCs w:val="21"/>
                <w:highlight w:val="none"/>
                <w:lang w:eastAsia="zh-CN"/>
              </w:rPr>
              <w:t>供应商须具备</w:t>
            </w:r>
            <w:r>
              <w:rPr>
                <w:rFonts w:hint="eastAsia" w:ascii="宋体" w:hAnsi="宋体"/>
                <w:color w:val="auto"/>
                <w:szCs w:val="21"/>
                <w:highlight w:val="none"/>
                <w:u w:val="single"/>
              </w:rPr>
              <w:t>电力工程施工总承包三级及以上资质</w:t>
            </w:r>
            <w:r>
              <w:rPr>
                <w:rFonts w:hint="eastAsia" w:ascii="宋体" w:hAnsi="宋体"/>
                <w:color w:val="auto"/>
                <w:szCs w:val="21"/>
                <w:highlight w:val="none"/>
                <w:u w:val="single"/>
                <w:lang w:val="en-US" w:eastAsia="zh-CN"/>
              </w:rPr>
              <w:t>及</w:t>
            </w:r>
            <w:r>
              <w:rPr>
                <w:rFonts w:hint="eastAsia" w:ascii="宋体" w:hAnsi="宋体"/>
                <w:color w:val="auto"/>
                <w:szCs w:val="21"/>
                <w:highlight w:val="none"/>
                <w:u w:val="single"/>
              </w:rPr>
              <w:t>有效的《承装（修、试）电力设施许可证》</w:t>
            </w:r>
            <w:r>
              <w:rPr>
                <w:rFonts w:hint="eastAsia" w:ascii="宋体" w:hAnsi="宋体"/>
                <w:color w:val="auto"/>
                <w:szCs w:val="21"/>
                <w:highlight w:val="none"/>
                <w:u w:val="single"/>
                <w:lang w:eastAsia="zh-CN"/>
              </w:rPr>
              <w:t>承装类、承修类</w:t>
            </w:r>
            <w:r>
              <w:rPr>
                <w:rFonts w:hint="eastAsia" w:ascii="宋体" w:hAnsi="宋体"/>
                <w:color w:val="auto"/>
                <w:szCs w:val="21"/>
                <w:highlight w:val="none"/>
                <w:u w:val="single"/>
                <w:lang w:val="en-US" w:eastAsia="zh-CN"/>
              </w:rPr>
              <w:t>三</w:t>
            </w:r>
            <w:r>
              <w:rPr>
                <w:rFonts w:hint="eastAsia" w:ascii="宋体" w:hAnsi="宋体"/>
                <w:color w:val="auto"/>
                <w:szCs w:val="21"/>
                <w:highlight w:val="none"/>
                <w:u w:val="single"/>
                <w:lang w:eastAsia="zh-CN"/>
              </w:rPr>
              <w:t>级及以上</w:t>
            </w:r>
            <w:r>
              <w:rPr>
                <w:rFonts w:hint="eastAsia" w:ascii="宋体" w:hAnsi="宋体"/>
                <w:color w:val="auto"/>
                <w:szCs w:val="21"/>
                <w:highlight w:val="none"/>
                <w:u w:val="single"/>
              </w:rPr>
              <w:t>资质；有省级及以上建设行政主管部门颁发的安全生产许可证；并在人员、设备、资金等方面具备相应的施工能力。</w:t>
            </w:r>
            <w:r>
              <w:rPr>
                <w:rFonts w:hint="eastAsia" w:ascii="宋体" w:hAnsi="宋体" w:eastAsia="宋体" w:cs="宋体"/>
                <w:color w:val="auto"/>
                <w:szCs w:val="21"/>
                <w:highlight w:val="none"/>
                <w:u w:val="single"/>
                <w:lang w:eastAsia="zh-CN"/>
              </w:rPr>
              <w:t>拟任项目经理须具备机电工程专业二级注册建造师资格，具有省级（或以上）主管部门颁发的有效的《安全生产考核合格证书》（B类）。</w:t>
            </w:r>
            <w:r>
              <w:rPr>
                <w:rFonts w:hint="eastAsia" w:ascii="宋体" w:hAnsi="宋体"/>
                <w:color w:val="auto"/>
                <w:szCs w:val="21"/>
                <w:highlight w:val="none"/>
              </w:rPr>
              <w:t>（</w:t>
            </w:r>
            <w:r>
              <w:rPr>
                <w:rFonts w:hint="eastAsia" w:ascii="宋体" w:hAnsi="宋体"/>
                <w:b/>
                <w:color w:val="auto"/>
                <w:szCs w:val="21"/>
                <w:highlight w:val="none"/>
              </w:rPr>
              <w:t>必须提供，否则响应文件按无效响应处理</w:t>
            </w:r>
            <w:r>
              <w:rPr>
                <w:rFonts w:hint="eastAsia" w:ascii="宋体" w:hAnsi="宋体"/>
                <w:color w:val="auto"/>
                <w:szCs w:val="21"/>
                <w:highlight w:val="none"/>
              </w:rPr>
              <w:t>）</w:t>
            </w:r>
          </w:p>
          <w:p w14:paraId="2309F187">
            <w:pPr>
              <w:snapToGrid w:val="0"/>
              <w:spacing w:line="360" w:lineRule="auto"/>
              <w:jc w:val="left"/>
              <w:rPr>
                <w:rFonts w:hint="eastAsia" w:ascii="宋体" w:hAnsi="宋体"/>
                <w:b/>
                <w:bCs/>
                <w:color w:val="auto"/>
                <w:szCs w:val="21"/>
                <w:highlight w:val="none"/>
              </w:rPr>
            </w:pPr>
            <w:r>
              <w:rPr>
                <w:rFonts w:hint="eastAsia" w:ascii="宋体" w:hAnsi="宋体"/>
                <w:color w:val="auto"/>
                <w:szCs w:val="21"/>
                <w:highlight w:val="none"/>
              </w:rPr>
              <w:t>8.承诺书；</w:t>
            </w:r>
            <w:r>
              <w:rPr>
                <w:rFonts w:hint="eastAsia" w:ascii="宋体" w:hAnsi="宋体"/>
                <w:b/>
                <w:bCs/>
                <w:color w:val="auto"/>
                <w:szCs w:val="21"/>
                <w:highlight w:val="none"/>
              </w:rPr>
              <w:t>（必须提供，否则响应文件按无效响应处理）</w:t>
            </w:r>
          </w:p>
          <w:p w14:paraId="6C28153B">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9、中小企业声明函或监狱企业由省级以上监狱管理局、戒毒管理局（含新疆生产建设兵团）出具的属于监狱企业的证明文件或残疾人福利性单位声明函（格式后附）；</w:t>
            </w:r>
            <w:r>
              <w:rPr>
                <w:rFonts w:hint="eastAsia" w:ascii="宋体" w:hAnsi="宋体"/>
                <w:b/>
                <w:bCs/>
                <w:color w:val="auto"/>
                <w:szCs w:val="21"/>
                <w:highlight w:val="none"/>
              </w:rPr>
              <w:t>（必须提供，否则响应文件按无效响应处理）</w:t>
            </w:r>
          </w:p>
          <w:p w14:paraId="3EFCA4EE">
            <w:pPr>
              <w:snapToGrid w:val="0"/>
              <w:spacing w:line="360" w:lineRule="auto"/>
              <w:jc w:val="left"/>
              <w:rPr>
                <w:rFonts w:hint="eastAsia" w:ascii="宋体" w:hAnsi="宋体" w:eastAsia="宋体" w:cs="宋体"/>
                <w:b/>
                <w:color w:val="auto"/>
                <w:szCs w:val="21"/>
                <w:highlight w:val="none"/>
                <w:lang w:eastAsia="zh-CN"/>
              </w:rPr>
            </w:pPr>
            <w:r>
              <w:rPr>
                <w:rFonts w:hint="eastAsia" w:ascii="宋体" w:hAnsi="宋体"/>
                <w:color w:val="auto"/>
                <w:szCs w:val="21"/>
                <w:highlight w:val="none"/>
              </w:rPr>
              <w:t>10、</w:t>
            </w:r>
            <w:r>
              <w:rPr>
                <w:rFonts w:hint="eastAsia" w:ascii="宋体" w:hAnsi="宋体" w:cs="宋体"/>
                <w:color w:val="auto"/>
                <w:szCs w:val="21"/>
                <w:highlight w:val="none"/>
              </w:rPr>
              <w:t>除谈判文件规定必须提供以外，供应商认为需要提供的其他证明材料；</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如有，请提供</w:t>
            </w:r>
            <w:r>
              <w:rPr>
                <w:rFonts w:hint="eastAsia" w:ascii="宋体" w:hAnsi="宋体" w:cs="宋体"/>
                <w:b/>
                <w:bCs/>
                <w:color w:val="auto"/>
                <w:szCs w:val="21"/>
                <w:highlight w:val="none"/>
                <w:lang w:eastAsia="zh-CN"/>
              </w:rPr>
              <w:t>）</w:t>
            </w:r>
          </w:p>
          <w:p w14:paraId="2B7BC50A">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106F3DC3">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1.以上标明“必须提供”的材料属于复印件的，必须加盖供应商公章，否则响应文件按无效响应处理。</w:t>
            </w:r>
          </w:p>
          <w:p w14:paraId="03AD8B4A">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2.竞标声明必须由法定代表人在规定签章处逐一签字并加盖供应商公章，否则响应文件按无效响应处理。</w:t>
            </w:r>
          </w:p>
          <w:p w14:paraId="6336996D">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3.供应商直接控股、管理关系信息表必须由法定代表人或者委托代理人在规定签章处逐一签字并加盖供应商公章，否则响应文件按无效响应处理。</w:t>
            </w:r>
          </w:p>
          <w:p w14:paraId="02807967">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4.联合体竞标时，第1-5项资格证明文件联合体各方均必须分别提供，联合体各方分别盖章和签字，否则响应文件按无效响应处理。</w:t>
            </w:r>
          </w:p>
          <w:p w14:paraId="0160596E">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b/>
                <w:bCs/>
                <w:color w:val="auto"/>
                <w:szCs w:val="21"/>
                <w:highlight w:val="none"/>
              </w:rPr>
              <w:t>5.分公司参加竞标的，应当取得总公司授权</w:t>
            </w:r>
            <w:r>
              <w:rPr>
                <w:rFonts w:hint="eastAsia" w:ascii="宋体" w:hAnsi="宋体" w:cs="宋体"/>
                <w:b/>
                <w:color w:val="auto"/>
                <w:szCs w:val="21"/>
                <w:highlight w:val="none"/>
              </w:rPr>
              <w:t>，否则响应文件按无效响应处理。</w:t>
            </w:r>
          </w:p>
        </w:tc>
      </w:tr>
      <w:tr w14:paraId="6CFA9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473E26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w:t>
            </w:r>
          </w:p>
        </w:tc>
        <w:tc>
          <w:tcPr>
            <w:tcW w:w="8695" w:type="dxa"/>
            <w:noWrap w:val="0"/>
            <w:vAlign w:val="center"/>
          </w:tcPr>
          <w:p w14:paraId="638D42B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商务文件组成</w:t>
            </w:r>
          </w:p>
          <w:p w14:paraId="223BD78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071954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DFD64A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8B2DAD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2FB10C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5.竞标人情况介绍。</w:t>
            </w:r>
          </w:p>
          <w:p w14:paraId="23B2E3D4">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注：</w:t>
            </w:r>
          </w:p>
          <w:p w14:paraId="7769EC09">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1.法定代表人授权委托书必须由法定代表人及委托代理人签字，并加盖供应商公章，否则响应文件按无效响应处理。</w:t>
            </w:r>
          </w:p>
          <w:p w14:paraId="5DA29CD0">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2.以上标明“必须提供”的材料属于复印件的扫描件的，必须加盖供应商电子公章，否则响应文件按无效响应处理。</w:t>
            </w:r>
          </w:p>
          <w:p w14:paraId="0C270D63">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技术文件组成</w:t>
            </w:r>
          </w:p>
          <w:p w14:paraId="02E9D8E8">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3E68F3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施工组织设计（包括但不限于：施工组织设计供应商应根据设计施工图纸、工程量清单进行施工组织设计，包含但不仅限于主要施工方法、拟投入的主要物资计划、劳动力安排计划、确保工程质量的技术组织措施、确保安全生产的技术组织措施、确保工期的技术组织措施、确保文明施工的技术组织措施等内容。格式自拟）；（</w:t>
            </w:r>
            <w:r>
              <w:rPr>
                <w:rFonts w:hint="eastAsia" w:ascii="宋体" w:hAnsi="宋体" w:cs="宋体"/>
                <w:b/>
                <w:color w:val="auto"/>
                <w:szCs w:val="21"/>
                <w:highlight w:val="none"/>
              </w:rPr>
              <w:t>必须提供且施工组织设计方案可行，否则响应文件按无效响应处理</w:t>
            </w:r>
            <w:r>
              <w:rPr>
                <w:rFonts w:hint="eastAsia" w:ascii="宋体" w:hAnsi="宋体" w:cs="宋体"/>
                <w:color w:val="auto"/>
                <w:szCs w:val="21"/>
                <w:highlight w:val="none"/>
              </w:rPr>
              <w:t>）</w:t>
            </w:r>
          </w:p>
          <w:p w14:paraId="162AB63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3.项目管理机构；</w:t>
            </w:r>
            <w:r>
              <w:rPr>
                <w:rFonts w:hint="eastAsia" w:ascii="宋体" w:hAnsi="宋体" w:cs="宋体"/>
                <w:b/>
                <w:bCs/>
                <w:color w:val="auto"/>
                <w:szCs w:val="21"/>
                <w:highlight w:val="none"/>
              </w:rPr>
              <w:t>（必须提供，否则响应文件按无效响应处理）</w:t>
            </w:r>
          </w:p>
          <w:p w14:paraId="5C97F44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4、拟委任的项目经理和技术负责人资历表(其中，①项目经理要求</w:t>
            </w:r>
            <w:r>
              <w:rPr>
                <w:rFonts w:hint="eastAsia" w:ascii="宋体" w:hAnsi="宋体" w:cs="宋体"/>
                <w:color w:val="auto"/>
                <w:szCs w:val="21"/>
                <w:highlight w:val="none"/>
                <w:lang w:val="en-US" w:eastAsia="zh-CN"/>
              </w:rPr>
              <w:t>机电工程专业</w:t>
            </w:r>
            <w:r>
              <w:rPr>
                <w:rFonts w:hint="eastAsia" w:ascii="宋体" w:hAnsi="宋体" w:cs="宋体"/>
                <w:color w:val="auto"/>
                <w:szCs w:val="21"/>
                <w:highlight w:val="none"/>
              </w:rPr>
              <w:t>工程师职称，</w:t>
            </w:r>
            <w:r>
              <w:rPr>
                <w:rFonts w:hint="eastAsia" w:ascii="宋体" w:hAnsi="宋体" w:cs="宋体"/>
                <w:color w:val="auto"/>
                <w:szCs w:val="21"/>
                <w:highlight w:val="none"/>
                <w:lang w:eastAsia="zh-CN"/>
              </w:rPr>
              <w:t>具备机电工程专业二级注册建造师资格，具有省级（或以上）主管部门颁发的有效的《安全生产考核合格证书》（B类）</w:t>
            </w:r>
            <w:r>
              <w:rPr>
                <w:rFonts w:hint="eastAsia" w:ascii="宋体" w:hAnsi="宋体" w:cs="宋体"/>
                <w:color w:val="auto"/>
                <w:szCs w:val="21"/>
                <w:highlight w:val="none"/>
              </w:rPr>
              <w:t>）；②技术负责人要求工程师或以上职称，具有有效的安全生产考核合格证（“三类人员”B类证书）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354C8E2">
            <w:pPr>
              <w:snapToGrid w:val="0"/>
              <w:spacing w:line="360" w:lineRule="auto"/>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5、供应商认为需要提供的其他有关资料。</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lang w:val="en-US" w:eastAsia="zh-CN"/>
              </w:rPr>
              <w:t>如有，请提供</w:t>
            </w:r>
            <w:r>
              <w:rPr>
                <w:rFonts w:hint="eastAsia" w:ascii="宋体" w:hAnsi="宋体" w:cs="宋体"/>
                <w:b/>
                <w:bCs w:val="0"/>
                <w:color w:val="auto"/>
                <w:szCs w:val="21"/>
                <w:highlight w:val="none"/>
                <w:lang w:eastAsia="zh-CN"/>
              </w:rPr>
              <w:t>）</w:t>
            </w:r>
          </w:p>
          <w:p w14:paraId="3A451635">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注：以上标明“必须提供”材料复印件的，必须加盖供应商公章，否则响应文件按无效响应处理。</w:t>
            </w:r>
          </w:p>
        </w:tc>
      </w:tr>
      <w:tr w14:paraId="41769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C627F2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12.1.3</w:t>
            </w:r>
          </w:p>
        </w:tc>
        <w:tc>
          <w:tcPr>
            <w:tcW w:w="8695" w:type="dxa"/>
            <w:noWrap w:val="0"/>
            <w:vAlign w:val="center"/>
          </w:tcPr>
          <w:p w14:paraId="4E26D4FC">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报价文件组成</w:t>
            </w:r>
          </w:p>
          <w:p w14:paraId="58015EE6">
            <w:pPr>
              <w:tabs>
                <w:tab w:val="left" w:pos="459"/>
              </w:tabs>
              <w:snapToGrid w:val="0"/>
              <w:spacing w:line="360" w:lineRule="auto"/>
              <w:jc w:val="left"/>
              <w:rPr>
                <w:rFonts w:hint="eastAsia" w:ascii="宋体" w:hAnsi="宋体" w:cs="宋体"/>
                <w:b/>
                <w:color w:val="auto"/>
                <w:szCs w:val="21"/>
                <w:highlight w:val="none"/>
              </w:rPr>
            </w:pPr>
            <w:r>
              <w:rPr>
                <w:rFonts w:hint="eastAsia" w:ascii="宋体" w:hAnsi="宋体" w:cs="宋体"/>
                <w:color w:val="auto"/>
                <w:szCs w:val="21"/>
                <w:highlight w:val="none"/>
              </w:rPr>
              <w:t>1.响应函及响应函附录；</w:t>
            </w:r>
            <w:r>
              <w:rPr>
                <w:rFonts w:hint="eastAsia" w:ascii="宋体" w:hAnsi="宋体" w:cs="宋体"/>
                <w:b/>
                <w:color w:val="auto"/>
                <w:szCs w:val="21"/>
                <w:highlight w:val="none"/>
              </w:rPr>
              <w:t>（必须提供，否则作无效响应处理）</w:t>
            </w:r>
          </w:p>
          <w:p w14:paraId="06102018">
            <w:pPr>
              <w:tabs>
                <w:tab w:val="left" w:pos="459"/>
              </w:tabs>
              <w:snapToGrid w:val="0"/>
              <w:spacing w:line="360" w:lineRule="auto"/>
              <w:jc w:val="left"/>
              <w:rPr>
                <w:rFonts w:hint="eastAsia"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已标价工程量清单。（</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434E765">
            <w:pPr>
              <w:snapToGrid w:val="0"/>
              <w:spacing w:line="360" w:lineRule="auto"/>
              <w:jc w:val="left"/>
              <w:rPr>
                <w:rFonts w:hint="eastAsia" w:ascii="宋体" w:hAnsi="宋体" w:cs="宋体"/>
                <w:b/>
                <w:color w:val="auto"/>
                <w:szCs w:val="21"/>
                <w:highlight w:val="none"/>
              </w:rPr>
            </w:pPr>
            <w:r>
              <w:rPr>
                <w:rFonts w:hint="eastAsia" w:ascii="宋体" w:hAnsi="宋体" w:cs="宋体"/>
                <w:b/>
                <w:bCs/>
                <w:color w:val="auto"/>
                <w:szCs w:val="21"/>
                <w:highlight w:val="none"/>
              </w:rPr>
              <w:t>注：上述材料必须在规定盖章处加盖供应商电子公章，否则</w:t>
            </w:r>
            <w:r>
              <w:rPr>
                <w:rFonts w:hint="eastAsia" w:ascii="宋体" w:hAnsi="宋体" w:cs="宋体"/>
                <w:b/>
                <w:color w:val="auto"/>
                <w:szCs w:val="21"/>
                <w:highlight w:val="none"/>
              </w:rPr>
              <w:t>作无效响应处理</w:t>
            </w:r>
            <w:r>
              <w:rPr>
                <w:rFonts w:hint="eastAsia" w:ascii="宋体" w:hAnsi="宋体" w:cs="宋体"/>
                <w:b/>
                <w:bCs/>
                <w:color w:val="auto"/>
                <w:szCs w:val="21"/>
                <w:highlight w:val="none"/>
              </w:rPr>
              <w:t>。</w:t>
            </w:r>
          </w:p>
        </w:tc>
      </w:tr>
      <w:tr w14:paraId="6C0B0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8A666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8695" w:type="dxa"/>
            <w:noWrap w:val="0"/>
            <w:vAlign w:val="center"/>
          </w:tcPr>
          <w:p w14:paraId="02B1B755">
            <w:pPr>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响应文件电子版要求</w:t>
            </w:r>
          </w:p>
          <w:p w14:paraId="2383F3CE">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响应文件格式”编写（第五章未附格式的，由供应商自行拟定），不可涂改并在规定加盖公章处加盖电子公章，否则响应文件按无效响应处理。</w:t>
            </w:r>
          </w:p>
          <w:p w14:paraId="298F9EA3">
            <w:pPr>
              <w:snapToGrid w:val="0"/>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2.响应文件电子版密封方式：电子响应文件通过平台有效CA加密后在“政采云”平台投送。（操作方式见公告附件“电子响应文件制作与投送教程” ）</w:t>
            </w:r>
          </w:p>
        </w:tc>
      </w:tr>
      <w:tr w14:paraId="7AD1C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8F8B42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8695" w:type="dxa"/>
            <w:noWrap w:val="0"/>
            <w:vAlign w:val="center"/>
          </w:tcPr>
          <w:p w14:paraId="52FE5B9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竞标报价是履行合同的最终价格，即满足全部采购需求所应提供的服务的价格；包括竞标服务的成本、运输（含保险）（如有）、技术服务、培训、税费等所有费用。</w:t>
            </w:r>
          </w:p>
          <w:p w14:paraId="0B2B2CD7">
            <w:pPr>
              <w:snapToGrid w:val="0"/>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（采购需求另有约定的，从其约定。）</w:t>
            </w:r>
          </w:p>
        </w:tc>
      </w:tr>
      <w:tr w14:paraId="4EA84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CA3F6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8695" w:type="dxa"/>
            <w:noWrap w:val="0"/>
            <w:vAlign w:val="center"/>
          </w:tcPr>
          <w:p w14:paraId="5DE83F42">
            <w:pPr>
              <w:pStyle w:val="4"/>
              <w:widowControl w:val="0"/>
              <w:tabs>
                <w:tab w:val="left" w:pos="720"/>
                <w:tab w:val="left" w:pos="840"/>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竞标有效期：首次响应文件提交截止之日起60日历天内。 </w:t>
            </w:r>
          </w:p>
        </w:tc>
      </w:tr>
      <w:tr w14:paraId="07AD6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56FD55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8695" w:type="dxa"/>
            <w:noWrap w:val="0"/>
            <w:vAlign w:val="center"/>
          </w:tcPr>
          <w:p w14:paraId="557A85D6">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olor w:val="auto"/>
                <w:szCs w:val="21"/>
                <w:highlight w:val="none"/>
              </w:rPr>
              <w:t>本项目不收取竞标保证金。</w:t>
            </w:r>
          </w:p>
        </w:tc>
      </w:tr>
      <w:tr w14:paraId="6CA9C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93DC34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18.2</w:t>
            </w:r>
          </w:p>
        </w:tc>
        <w:tc>
          <w:tcPr>
            <w:tcW w:w="8695" w:type="dxa"/>
            <w:noWrap w:val="0"/>
            <w:vAlign w:val="center"/>
          </w:tcPr>
          <w:p w14:paraId="4EBF453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响应文件应按资格证明文件、商务技术文件、报价文件分别编制，</w:t>
            </w:r>
            <w:r>
              <w:rPr>
                <w:rFonts w:hint="eastAsia" w:ascii="宋体" w:hAnsi="宋体" w:cs="宋体"/>
                <w:color w:val="auto"/>
                <w:szCs w:val="21"/>
                <w:highlight w:val="none"/>
                <w:lang w:bidi="ar"/>
              </w:rPr>
              <w:t>并按“政采云”平台的要求编制、加密、上传。</w:t>
            </w:r>
          </w:p>
        </w:tc>
      </w:tr>
      <w:tr w14:paraId="7C0E0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D165F1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8695" w:type="dxa"/>
            <w:noWrap w:val="0"/>
            <w:vAlign w:val="center"/>
          </w:tcPr>
          <w:p w14:paraId="376DE1B5">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首次响应文件提交截止时间：详见竞争性谈判公告。</w:t>
            </w:r>
          </w:p>
          <w:p w14:paraId="38C307BB">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首次响应文件提交地点：详见竞争性谈判公告。</w:t>
            </w:r>
          </w:p>
        </w:tc>
      </w:tr>
      <w:tr w14:paraId="319BA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22A1AB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8695" w:type="dxa"/>
            <w:noWrap w:val="0"/>
            <w:vAlign w:val="center"/>
          </w:tcPr>
          <w:p w14:paraId="45E2534E">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谈判小组的人数：3人。</w:t>
            </w:r>
          </w:p>
        </w:tc>
      </w:tr>
      <w:tr w14:paraId="3A579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EA31E9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25.2</w:t>
            </w:r>
          </w:p>
        </w:tc>
        <w:tc>
          <w:tcPr>
            <w:tcW w:w="8695" w:type="dxa"/>
            <w:noWrap w:val="0"/>
            <w:vAlign w:val="center"/>
          </w:tcPr>
          <w:p w14:paraId="339C98A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供应商的法定代表人或其委托代理人须携带加密时所用的CA锁按平台提示和采购文件的规定登录到“政采云”平台电子开标大厅签到并在发起解密指令之时起30分钟内完成对电子响应文件在线解密。</w:t>
            </w:r>
            <w:r>
              <w:rPr>
                <w:rFonts w:hint="eastAsia" w:ascii="宋体" w:hAnsi="宋体"/>
                <w:b/>
                <w:bCs/>
                <w:color w:val="auto"/>
                <w:szCs w:val="21"/>
                <w:highlight w:val="none"/>
              </w:rPr>
              <w:t>响应文件未按时解密的，视为响应文件无效。</w:t>
            </w:r>
          </w:p>
        </w:tc>
      </w:tr>
      <w:tr w14:paraId="4F48C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27E43CED">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26</w:t>
            </w:r>
          </w:p>
        </w:tc>
        <w:tc>
          <w:tcPr>
            <w:tcW w:w="8695" w:type="dxa"/>
            <w:noWrap w:val="0"/>
            <w:vAlign w:val="center"/>
          </w:tcPr>
          <w:p w14:paraId="57EC48A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660DB4A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78296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67B812F7">
            <w:pPr>
              <w:spacing w:line="360" w:lineRule="auto"/>
              <w:jc w:val="center"/>
              <w:rPr>
                <w:rFonts w:hint="eastAsia" w:ascii="宋体" w:hAnsi="宋体" w:cs="宋体"/>
                <w:color w:val="auto"/>
                <w:szCs w:val="21"/>
                <w:highlight w:val="none"/>
              </w:rPr>
            </w:pPr>
          </w:p>
        </w:tc>
        <w:tc>
          <w:tcPr>
            <w:tcW w:w="8695" w:type="dxa"/>
            <w:noWrap w:val="0"/>
            <w:vAlign w:val="center"/>
          </w:tcPr>
          <w:p w14:paraId="010E615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谈判的顺序：按“政采云”系统的编号顺序。</w:t>
            </w:r>
          </w:p>
          <w:p w14:paraId="0FC19C32">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符合谈判资格的供应商必须在接到谈判通知后规定时间内参加谈判，未在规定时间内参加谈判的视同放弃参加谈判权利，其响应文件按无效响应处理。</w:t>
            </w:r>
          </w:p>
          <w:p w14:paraId="1F23A62B">
            <w:pPr>
              <w:snapToGrid w:val="0"/>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参与谈判前，供应商法定代表人或者委托代理人必须向谈判小组出示本人有效证件原件[有效证件可以是身份证（含临时身份证明）或者护照的其中一项]。</w:t>
            </w:r>
          </w:p>
        </w:tc>
      </w:tr>
      <w:tr w14:paraId="0F2B9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992" w:type="dxa"/>
            <w:vMerge w:val="continue"/>
            <w:noWrap w:val="0"/>
            <w:vAlign w:val="center"/>
          </w:tcPr>
          <w:p w14:paraId="3A6F2EF0">
            <w:pPr>
              <w:spacing w:line="360" w:lineRule="auto"/>
              <w:jc w:val="center"/>
              <w:rPr>
                <w:rFonts w:hint="eastAsia" w:ascii="宋体" w:hAnsi="宋体" w:cs="宋体"/>
                <w:color w:val="auto"/>
                <w:szCs w:val="21"/>
                <w:highlight w:val="none"/>
              </w:rPr>
            </w:pPr>
          </w:p>
        </w:tc>
        <w:tc>
          <w:tcPr>
            <w:tcW w:w="8695" w:type="dxa"/>
            <w:noWrap w:val="0"/>
            <w:vAlign w:val="center"/>
          </w:tcPr>
          <w:p w14:paraId="7ABFD816">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评审价相同时，按照最后报价由低到高顺序依次推荐；最后报价相同时，按以下原则确定成交候选人的顺序：</w:t>
            </w:r>
          </w:p>
          <w:p w14:paraId="7E7BA3D6">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☑依次按带“▲”的实质性要求正偏离项数多的优先、均无正偏离或者正偏离项数一致时负偏离项数少的优先、质量保证期长优先、交货期短优先、故障响应时间短优先的顺序排列。</w:t>
            </w:r>
          </w:p>
          <w:p w14:paraId="5FAB9A1A">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□由谈判小组推荐代表随机抽取。</w:t>
            </w:r>
          </w:p>
        </w:tc>
      </w:tr>
      <w:tr w14:paraId="059BB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FE473A8">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8695" w:type="dxa"/>
            <w:noWrap w:val="0"/>
            <w:vAlign w:val="center"/>
          </w:tcPr>
          <w:p w14:paraId="034D26F3">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olor w:val="auto"/>
                <w:szCs w:val="21"/>
                <w:highlight w:val="none"/>
              </w:rPr>
              <w:t>本项目不收取履约保证金。</w:t>
            </w:r>
          </w:p>
          <w:p w14:paraId="33EED74E">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备注：</w:t>
            </w:r>
            <w:r>
              <w:rPr>
                <w:rFonts w:hint="eastAsia" w:ascii="宋体" w:hAnsi="宋体" w:cs="宋体"/>
                <w:color w:val="auto"/>
                <w:szCs w:val="21"/>
                <w:highlight w:val="none"/>
              </w:rPr>
              <w:br w:type="textWrapping"/>
            </w: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b/>
                <w:color w:val="auto"/>
                <w:szCs w:val="21"/>
                <w:highlight w:val="none"/>
              </w:rPr>
              <w:t xml:space="preserve"> </w:t>
            </w:r>
            <w:bookmarkStart w:id="22" w:name="_Hlk54170335"/>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22"/>
          </w:p>
          <w:p w14:paraId="222D61BE">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2</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履约保证金不足额缴纳的，或者金融、担保机构出具的保函额度不足的或者保函有效期低于合同履行期限（即签订采购合同之日起至履行完合同约定的权利及义务之日止）的，不予签订合同。</w:t>
            </w:r>
            <w:r>
              <w:rPr>
                <w:rFonts w:hint="eastAsia" w:ascii="宋体" w:hAnsi="宋体" w:cs="宋体"/>
                <w:b/>
                <w:color w:val="auto"/>
                <w:szCs w:val="21"/>
                <w:highlight w:val="none"/>
              </w:rPr>
              <w:br w:type="textWrapping"/>
            </w:r>
            <w:r>
              <w:rPr>
                <w:rFonts w:ascii="宋体" w:hAnsi="宋体" w:cs="宋体"/>
                <w:b/>
                <w:color w:val="auto"/>
                <w:szCs w:val="21"/>
                <w:highlight w:val="none"/>
              </w:rPr>
              <w:t>3.</w:t>
            </w:r>
            <w:r>
              <w:rPr>
                <w:rFonts w:hint="eastAsia" w:ascii="宋体" w:hAnsi="宋体" w:cs="宋体"/>
                <w:b/>
                <w:color w:val="auto"/>
                <w:szCs w:val="21"/>
                <w:highlight w:val="none"/>
              </w:rPr>
              <w:t>采用金融、担保机构出具的保函的，必须为无条件保函，否则不予签订合同。</w:t>
            </w:r>
          </w:p>
          <w:p w14:paraId="7CCA84E8">
            <w:pPr>
              <w:snapToGrid w:val="0"/>
              <w:spacing w:line="360" w:lineRule="auto"/>
              <w:rPr>
                <w:rFonts w:hint="eastAsia" w:ascii="宋体" w:hAnsi="宋体" w:cs="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76D99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E7BF80A">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8695" w:type="dxa"/>
            <w:noWrap w:val="0"/>
            <w:vAlign w:val="center"/>
          </w:tcPr>
          <w:p w14:paraId="7CD068F9">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2CE57C0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1、委托代理人负责签订合同的，须携带授权委托书及委托代理人身份证原件等其他资格证件。</w:t>
            </w:r>
          </w:p>
          <w:p w14:paraId="35BD33F0">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2、法定代表人负责签订合同的，须携带法定代表人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784E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D77EB2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8695" w:type="dxa"/>
            <w:noWrap w:val="0"/>
            <w:vAlign w:val="center"/>
          </w:tcPr>
          <w:p w14:paraId="738D716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接收质疑函方式：以纸质书面形式。</w:t>
            </w:r>
          </w:p>
          <w:p w14:paraId="4B56502D">
            <w:pPr>
              <w:pStyle w:val="11"/>
              <w:snapToGrid w:val="0"/>
              <w:spacing w:line="360" w:lineRule="auto"/>
              <w:rPr>
                <w:rFonts w:hint="eastAsia" w:hAnsi="宋体" w:cs="宋体"/>
                <w:color w:val="auto"/>
                <w:sz w:val="21"/>
                <w:highlight w:val="none"/>
                <w:lang w:val="en-US" w:eastAsia="zh-CN"/>
              </w:rPr>
            </w:pPr>
            <w:r>
              <w:rPr>
                <w:rFonts w:hint="eastAsia" w:hAnsi="宋体" w:cs="宋体"/>
                <w:color w:val="auto"/>
                <w:kern w:val="2"/>
                <w:sz w:val="21"/>
                <w:highlight w:val="none"/>
                <w:lang w:val="en-US" w:eastAsia="zh-CN"/>
              </w:rPr>
              <w:t>质疑联系部门及联系方式：</w:t>
            </w:r>
            <w:r>
              <w:rPr>
                <w:rFonts w:hint="eastAsia" w:hAnsi="宋体" w:cs="宋体"/>
                <w:color w:val="auto"/>
                <w:sz w:val="21"/>
                <w:highlight w:val="none"/>
                <w:lang w:val="en-US" w:eastAsia="zh-CN"/>
              </w:rPr>
              <w:t>广西汉容达项目管理有限公司，联系电话：18677222153 ，</w:t>
            </w:r>
            <w:r>
              <w:rPr>
                <w:rFonts w:hAnsi="宋体" w:cs="宋体"/>
                <w:color w:val="auto"/>
                <w:sz w:val="21"/>
                <w:highlight w:val="none"/>
                <w:lang w:val="en-US" w:eastAsia="zh-CN"/>
              </w:rPr>
              <w:t>通讯地址</w:t>
            </w:r>
            <w:r>
              <w:rPr>
                <w:rFonts w:hint="eastAsia" w:hAnsi="宋体" w:cs="宋体"/>
                <w:color w:val="auto"/>
                <w:sz w:val="21"/>
                <w:highlight w:val="none"/>
                <w:lang w:val="en-US" w:eastAsia="zh-CN"/>
              </w:rPr>
              <w:t>：南宁市青秀区中新路9号广西九洲国际三十八层3806号房</w:t>
            </w:r>
          </w:p>
          <w:p w14:paraId="0888AF40">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现场提交质疑办理业务时间：质疑期内每个工作日9时00分到12时00分，15时00分到18时00分。</w:t>
            </w:r>
          </w:p>
          <w:p w14:paraId="430FAFD8">
            <w:pPr>
              <w:snapToGrid w:val="0"/>
              <w:spacing w:line="380" w:lineRule="exac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受理投诉方式：纸质方式受理，投诉书正、副本（经过质疑的事项才可投诉）。</w:t>
            </w:r>
          </w:p>
          <w:p w14:paraId="2B4C5D57">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名称：</w:t>
            </w:r>
            <w:bookmarkStart w:id="23" w:name="PO_3000001871_PM036"/>
            <w:r>
              <w:rPr>
                <w:rFonts w:hint="eastAsia" w:ascii="宋体" w:hAnsi="宋体"/>
                <w:color w:val="auto"/>
                <w:szCs w:val="21"/>
                <w:highlight w:val="none"/>
              </w:rPr>
              <w:t>南宁市财政局政府采购监督管理科</w:t>
            </w:r>
            <w:bookmarkEnd w:id="23"/>
            <w:r>
              <w:rPr>
                <w:rFonts w:hint="eastAsia" w:ascii="宋体" w:hAnsi="宋体"/>
                <w:color w:val="auto"/>
                <w:szCs w:val="21"/>
                <w:highlight w:val="none"/>
              </w:rPr>
              <w:t xml:space="preserve"> </w:t>
            </w:r>
          </w:p>
          <w:p w14:paraId="3E27FCF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地址：</w:t>
            </w:r>
            <w:r>
              <w:rPr>
                <w:rFonts w:hint="eastAsia" w:hAnsi="宋体" w:cs="宋体"/>
                <w:color w:val="auto"/>
                <w:szCs w:val="21"/>
                <w:highlight w:val="none"/>
                <w:lang w:bidi="ar"/>
              </w:rPr>
              <w:t>南宁市青秀区东葛路</w:t>
            </w:r>
            <w:r>
              <w:rPr>
                <w:rFonts w:hAnsi="宋体"/>
                <w:color w:val="auto"/>
                <w:szCs w:val="21"/>
                <w:highlight w:val="none"/>
                <w:lang w:bidi="ar"/>
              </w:rPr>
              <w:t>129</w:t>
            </w:r>
            <w:r>
              <w:rPr>
                <w:rFonts w:hint="eastAsia" w:hAnsi="宋体" w:cs="宋体"/>
                <w:color w:val="auto"/>
                <w:szCs w:val="21"/>
                <w:highlight w:val="none"/>
                <w:lang w:bidi="ar"/>
              </w:rPr>
              <w:t>号</w:t>
            </w:r>
            <w:r>
              <w:rPr>
                <w:rFonts w:hint="eastAsia" w:hAnsi="宋体" w:cs="宋体"/>
                <w:color w:val="auto"/>
                <w:szCs w:val="21"/>
                <w:highlight w:val="none"/>
                <w:lang w:val="en-US" w:eastAsia="zh-CN" w:bidi="ar"/>
              </w:rPr>
              <w:t>七楼</w:t>
            </w:r>
            <w:r>
              <w:rPr>
                <w:rFonts w:hint="eastAsia" w:ascii="宋体" w:hAnsi="宋体" w:cs="宋体"/>
                <w:color w:val="auto"/>
                <w:szCs w:val="21"/>
              </w:rPr>
              <w:t xml:space="preserve"> </w:t>
            </w:r>
          </w:p>
          <w:p w14:paraId="281A1186">
            <w:pPr>
              <w:snapToGrid w:val="0"/>
              <w:spacing w:line="360" w:lineRule="auto"/>
              <w:rPr>
                <w:rFonts w:hint="eastAsia"/>
                <w:highlight w:val="none"/>
                <w:lang w:val="en-US" w:eastAsia="zh-CN"/>
              </w:rPr>
            </w:pPr>
            <w:r>
              <w:rPr>
                <w:rFonts w:hint="eastAsia" w:ascii="宋体" w:hAnsi="宋体"/>
                <w:color w:val="auto"/>
                <w:kern w:val="0"/>
                <w:szCs w:val="21"/>
                <w:highlight w:val="none"/>
              </w:rPr>
              <w:t>联系电话：</w:t>
            </w:r>
            <w:bookmarkStart w:id="24" w:name="PO_3000001871_PM038"/>
            <w:r>
              <w:rPr>
                <w:rFonts w:hint="eastAsia" w:ascii="宋体" w:hAnsi="宋体"/>
                <w:color w:val="auto"/>
                <w:kern w:val="0"/>
                <w:szCs w:val="21"/>
                <w:highlight w:val="none"/>
              </w:rPr>
              <w:t>0771-2189091</w:t>
            </w:r>
            <w:bookmarkEnd w:id="24"/>
          </w:p>
        </w:tc>
      </w:tr>
      <w:tr w14:paraId="79714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DA3349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8695" w:type="dxa"/>
            <w:noWrap w:val="0"/>
            <w:vAlign w:val="center"/>
          </w:tcPr>
          <w:p w14:paraId="1791E714">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 是否收取采购代理费：</w:t>
            </w:r>
          </w:p>
          <w:p w14:paraId="1AE57C6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sym w:font="Wingdings 2" w:char="0052"/>
            </w:r>
            <w:r>
              <w:rPr>
                <w:rFonts w:hint="eastAsia" w:hAnsi="宋体" w:cs="宋体"/>
                <w:color w:val="auto"/>
                <w:sz w:val="21"/>
                <w:highlight w:val="none"/>
                <w:lang w:val="en-US" w:eastAsia="zh-CN"/>
              </w:rPr>
              <w:t>是    □ 否</w:t>
            </w:r>
          </w:p>
          <w:p w14:paraId="31A9F7B7">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2.采购代理费支付方式：</w:t>
            </w:r>
          </w:p>
          <w:p w14:paraId="5CC109FD">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sym w:font="Wingdings 2" w:char="0052"/>
            </w:r>
            <w:r>
              <w:rPr>
                <w:rFonts w:hint="eastAsia" w:hAnsi="宋体" w:cs="宋体"/>
                <w:color w:val="auto"/>
                <w:sz w:val="21"/>
                <w:highlight w:val="none"/>
                <w:lang w:val="en-US" w:eastAsia="zh-CN"/>
              </w:rPr>
              <w:t>本项目代理费由成交供应商领取成交通知书前，一次性向采购代理机构支付。</w:t>
            </w:r>
          </w:p>
          <w:p w14:paraId="2D8DA80F">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□采购人支付。</w:t>
            </w:r>
          </w:p>
          <w:p w14:paraId="7B1C771D">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60647233">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sym w:font="Wingdings 2" w:char="0052"/>
            </w:r>
            <w:r>
              <w:rPr>
                <w:rFonts w:hint="eastAsia" w:hAnsi="宋体" w:cs="宋体"/>
                <w:color w:val="auto"/>
                <w:sz w:val="21"/>
                <w:highlight w:val="none"/>
                <w:lang w:val="en-US" w:eastAsia="zh-CN"/>
              </w:rPr>
              <w:t>以分标（☑成交金额/</w:t>
            </w:r>
            <w:r>
              <w:rPr>
                <w:rFonts w:hint="eastAsia" w:hAnsi="宋体" w:cs="宋体"/>
                <w:color w:val="auto"/>
                <w:sz w:val="21"/>
                <w:highlight w:val="none"/>
                <w:lang w:val="en-US" w:eastAsia="zh-CN"/>
              </w:rPr>
              <w:sym w:font="Wingdings 2" w:char="00A3"/>
            </w:r>
            <w:r>
              <w:rPr>
                <w:rFonts w:hint="eastAsia" w:hAnsi="宋体" w:cs="宋体"/>
                <w:color w:val="auto"/>
                <w:sz w:val="21"/>
                <w:highlight w:val="none"/>
                <w:lang w:val="en-US" w:eastAsia="zh-CN"/>
              </w:rPr>
              <w:t>采购预算/□暂定成交金额/□其他 ）为计费额，依据国家发展改革委发布的《国家发展改革委关于降低部分建设项目收费标准规范收费行为等有关问题的通知》（发改价格[2011]534号）文件规定计取，按工程类采用差额定率累进法计算出收费基准价格，采购代理收费以（</w:t>
            </w:r>
            <w:r>
              <w:rPr>
                <w:rFonts w:hint="eastAsia" w:hAnsi="宋体" w:cs="宋体"/>
                <w:color w:val="auto"/>
                <w:sz w:val="21"/>
                <w:highlight w:val="none"/>
                <w:lang w:val="en-US" w:eastAsia="zh-CN"/>
              </w:rPr>
              <w:sym w:font="Wingdings 2" w:char="0052"/>
            </w:r>
            <w:r>
              <w:rPr>
                <w:rFonts w:hint="eastAsia" w:hAnsi="宋体" w:cs="宋体"/>
                <w:color w:val="auto"/>
                <w:sz w:val="21"/>
                <w:highlight w:val="none"/>
                <w:lang w:val="en-US" w:eastAsia="zh-CN"/>
              </w:rPr>
              <w:t>收费基准价格/□收费基准价格下浮</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lang w:val="en-US" w:eastAsia="zh-CN"/>
              </w:rPr>
              <w:t>%/□收费基准价格上浮</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lang w:val="en-US" w:eastAsia="zh-CN"/>
              </w:rPr>
              <w:t>%）收取。</w:t>
            </w:r>
          </w:p>
          <w:p w14:paraId="621E0DFB">
            <w:pPr>
              <w:pStyle w:val="11"/>
              <w:snapToGrid w:val="0"/>
              <w:spacing w:line="360" w:lineRule="auto"/>
              <w:rPr>
                <w:rFonts w:hint="eastAsia" w:hAnsi="宋体" w:cs="宋体"/>
                <w:color w:val="auto"/>
                <w:sz w:val="21"/>
                <w:highlight w:val="none"/>
              </w:rPr>
            </w:pPr>
            <w:r>
              <w:rPr>
                <w:rFonts w:hint="eastAsia" w:hAnsi="宋体" w:cs="宋体"/>
                <w:color w:val="auto"/>
                <w:sz w:val="21"/>
                <w:highlight w:val="none"/>
                <w:lang w:val="en-US" w:eastAsia="zh-CN"/>
              </w:rPr>
              <w:t>4.</w:t>
            </w:r>
            <w:r>
              <w:rPr>
                <w:rFonts w:hint="eastAsia" w:hAnsi="宋体" w:cs="宋体"/>
                <w:color w:val="auto"/>
                <w:sz w:val="21"/>
                <w:highlight w:val="none"/>
              </w:rPr>
              <w:t>户名：</w:t>
            </w:r>
            <w:r>
              <w:rPr>
                <w:rFonts w:hint="eastAsia" w:hAnsi="宋体" w:cs="宋体"/>
                <w:color w:val="auto"/>
                <w:sz w:val="21"/>
                <w:highlight w:val="none"/>
                <w:lang w:val="en-US" w:eastAsia="zh-CN"/>
              </w:rPr>
              <w:t>广西汉容达项目管理有限公司</w:t>
            </w:r>
          </w:p>
          <w:p w14:paraId="4CA3720D">
            <w:pPr>
              <w:pStyle w:val="11"/>
              <w:snapToGrid w:val="0"/>
              <w:spacing w:line="360" w:lineRule="auto"/>
              <w:ind w:firstLine="210" w:firstLineChars="100"/>
              <w:rPr>
                <w:rFonts w:hint="eastAsia" w:hAnsi="宋体" w:cs="宋体"/>
                <w:color w:val="auto"/>
                <w:sz w:val="21"/>
                <w:highlight w:val="none"/>
              </w:rPr>
            </w:pPr>
            <w:r>
              <w:rPr>
                <w:rFonts w:hint="eastAsia" w:hAnsi="宋体" w:cs="宋体"/>
                <w:color w:val="auto"/>
                <w:sz w:val="21"/>
                <w:highlight w:val="none"/>
              </w:rPr>
              <w:t>开户行：</w:t>
            </w:r>
            <w:r>
              <w:rPr>
                <w:rFonts w:hint="eastAsia" w:ascii="宋体" w:hAnsi="宋体" w:cs="宋体"/>
                <w:color w:val="auto"/>
                <w:kern w:val="0"/>
                <w:szCs w:val="21"/>
                <w:lang w:val="en-US" w:eastAsia="zh-CN"/>
              </w:rPr>
              <w:t>平安银行南宁分行营业部</w:t>
            </w:r>
          </w:p>
          <w:p w14:paraId="4D03928B">
            <w:pPr>
              <w:pStyle w:val="11"/>
              <w:snapToGrid w:val="0"/>
              <w:spacing w:line="360" w:lineRule="auto"/>
              <w:ind w:firstLine="210" w:firstLineChars="100"/>
              <w:rPr>
                <w:rFonts w:hint="eastAsia" w:hAnsi="宋体" w:cs="宋体"/>
                <w:color w:val="auto"/>
                <w:sz w:val="21"/>
                <w:highlight w:val="none"/>
                <w:lang w:val="en-US" w:eastAsia="zh-CN"/>
              </w:rPr>
            </w:pPr>
            <w:r>
              <w:rPr>
                <w:rFonts w:hint="eastAsia" w:hAnsi="宋体" w:cs="宋体"/>
                <w:color w:val="auto"/>
                <w:sz w:val="21"/>
                <w:highlight w:val="none"/>
              </w:rPr>
              <w:t>帐号：</w:t>
            </w:r>
            <w:r>
              <w:rPr>
                <w:rFonts w:hint="eastAsia" w:ascii="宋体" w:hAnsi="宋体" w:cs="宋体"/>
                <w:color w:val="auto"/>
                <w:lang w:val="en-US" w:eastAsia="zh-CN"/>
              </w:rPr>
              <w:t>1505 4223 3300 52</w:t>
            </w:r>
          </w:p>
        </w:tc>
      </w:tr>
      <w:tr w14:paraId="1777B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E8E1D3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8695" w:type="dxa"/>
            <w:noWrap w:val="0"/>
            <w:vAlign w:val="center"/>
          </w:tcPr>
          <w:p w14:paraId="6480AB24">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解释：</w:t>
            </w:r>
            <w:r>
              <w:rPr>
                <w:rFonts w:hAnsi="宋体" w:cs="宋体"/>
                <w:color w:val="auto"/>
                <w:sz w:val="21"/>
                <w:highlight w:val="none"/>
                <w:lang w:val="en-US" w:eastAsia="zh-CN"/>
              </w:rPr>
              <w:t>构成本</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的各个组成文件应互为解释，互为说明；除</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中有特别规定外，仅适用于</w:t>
            </w:r>
            <w:r>
              <w:rPr>
                <w:rFonts w:hint="eastAsia" w:hAnsi="宋体" w:cs="宋体"/>
                <w:color w:val="auto"/>
                <w:sz w:val="21"/>
                <w:highlight w:val="none"/>
                <w:lang w:val="en-US" w:eastAsia="zh-CN"/>
              </w:rPr>
              <w:t>竞标</w:t>
            </w:r>
            <w:r>
              <w:rPr>
                <w:rFonts w:hAnsi="宋体" w:cs="宋体"/>
                <w:color w:val="auto"/>
                <w:sz w:val="21"/>
                <w:highlight w:val="none"/>
                <w:lang w:val="en-US" w:eastAsia="zh-CN"/>
              </w:rPr>
              <w:t>阶段的规定，按</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w:t>
            </w:r>
            <w:r>
              <w:rPr>
                <w:rFonts w:hint="eastAsia" w:hAnsi="宋体" w:cs="宋体"/>
                <w:color w:val="auto"/>
                <w:sz w:val="21"/>
                <w:highlight w:val="none"/>
                <w:lang w:val="en-US" w:eastAsia="zh-CN"/>
              </w:rPr>
              <w:t>竞争性谈判</w:t>
            </w:r>
            <w:r>
              <w:rPr>
                <w:rFonts w:hAnsi="宋体" w:cs="宋体"/>
                <w:color w:val="auto"/>
                <w:sz w:val="21"/>
                <w:highlight w:val="none"/>
                <w:lang w:val="en-US" w:eastAsia="zh-CN"/>
              </w:rPr>
              <w:t>公告、</w:t>
            </w:r>
            <w:r>
              <w:rPr>
                <w:rFonts w:hint="eastAsia" w:hAnsi="宋体" w:cs="宋体"/>
                <w:color w:val="auto"/>
                <w:sz w:val="21"/>
                <w:highlight w:val="none"/>
                <w:lang w:val="en-US" w:eastAsia="zh-CN"/>
              </w:rPr>
              <w:t>供应商</w:t>
            </w:r>
            <w:r>
              <w:rPr>
                <w:rFonts w:hAnsi="宋体" w:cs="宋体"/>
                <w:color w:val="auto"/>
                <w:sz w:val="21"/>
                <w:highlight w:val="none"/>
                <w:lang w:val="en-US" w:eastAsia="zh-CN"/>
              </w:rPr>
              <w:t>须知</w:t>
            </w:r>
            <w:r>
              <w:rPr>
                <w:rFonts w:hint="eastAsia" w:hAnsi="宋体" w:cs="宋体"/>
                <w:color w:val="auto"/>
                <w:sz w:val="21"/>
                <w:highlight w:val="none"/>
                <w:lang w:val="en-US" w:eastAsia="zh-CN"/>
              </w:rPr>
              <w:t>、采购需求</w:t>
            </w:r>
            <w:r>
              <w:rPr>
                <w:rFonts w:hAnsi="宋体" w:cs="宋体"/>
                <w:color w:val="auto"/>
                <w:sz w:val="21"/>
                <w:highlight w:val="none"/>
                <w:lang w:val="en-US" w:eastAsia="zh-CN"/>
              </w:rPr>
              <w:t>、</w:t>
            </w:r>
            <w:r>
              <w:rPr>
                <w:rFonts w:hint="eastAsia" w:hAnsi="宋体" w:cs="宋体"/>
                <w:color w:val="auto"/>
                <w:sz w:val="21"/>
                <w:highlight w:val="none"/>
                <w:lang w:val="en-US" w:eastAsia="zh-CN"/>
              </w:rPr>
              <w:t>评审程序和评定成交的标准</w:t>
            </w:r>
            <w:r>
              <w:rPr>
                <w:rFonts w:hAnsi="宋体" w:cs="宋体"/>
                <w:color w:val="auto"/>
                <w:sz w:val="21"/>
                <w:highlight w:val="none"/>
                <w:lang w:val="en-US" w:eastAsia="zh-CN"/>
              </w:rPr>
              <w:t>、</w:t>
            </w:r>
            <w:r>
              <w:rPr>
                <w:rFonts w:hint="eastAsia" w:hAnsi="宋体" w:cs="宋体"/>
                <w:color w:val="auto"/>
                <w:sz w:val="21"/>
                <w:highlight w:val="none"/>
                <w:lang w:val="en-US" w:eastAsia="zh-CN"/>
              </w:rPr>
              <w:t>响应</w:t>
            </w:r>
            <w:r>
              <w:rPr>
                <w:rFonts w:hAnsi="宋体" w:cs="宋体"/>
                <w:color w:val="auto"/>
                <w:sz w:val="21"/>
                <w:highlight w:val="none"/>
                <w:lang w:val="en-US" w:eastAsia="zh-CN"/>
              </w:rPr>
              <w:t>文件格式</w:t>
            </w:r>
            <w:r>
              <w:rPr>
                <w:rFonts w:hint="eastAsia" w:hAnsi="宋体" w:cs="宋体"/>
                <w:color w:val="auto"/>
                <w:sz w:val="21"/>
                <w:highlight w:val="none"/>
                <w:lang w:val="en-US" w:eastAsia="zh-CN"/>
              </w:rPr>
              <w:t>、合同文本</w:t>
            </w:r>
            <w:r>
              <w:rPr>
                <w:rFonts w:hAnsi="宋体" w:cs="宋体"/>
                <w:color w:val="auto"/>
                <w:sz w:val="21"/>
                <w:highlight w:val="none"/>
                <w:lang w:val="en-US" w:eastAsia="zh-CN"/>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与同步更新的</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不一致时以</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为准。按本款前述规定仍不能形成结论的，由</w:t>
            </w:r>
            <w:r>
              <w:rPr>
                <w:rFonts w:hint="eastAsia" w:hAnsi="宋体" w:cs="宋体"/>
                <w:color w:val="auto"/>
                <w:sz w:val="21"/>
                <w:highlight w:val="none"/>
                <w:lang w:val="en-US" w:eastAsia="zh-CN"/>
              </w:rPr>
              <w:t>采购</w:t>
            </w:r>
            <w:r>
              <w:rPr>
                <w:rFonts w:hAnsi="宋体" w:cs="宋体"/>
                <w:color w:val="auto"/>
                <w:sz w:val="21"/>
                <w:highlight w:val="none"/>
                <w:lang w:val="en-US" w:eastAsia="zh-CN"/>
              </w:rPr>
              <w:t>人</w:t>
            </w:r>
            <w:r>
              <w:rPr>
                <w:rFonts w:hint="eastAsia" w:hAnsi="宋体" w:cs="宋体"/>
                <w:color w:val="auto"/>
                <w:sz w:val="21"/>
                <w:highlight w:val="none"/>
                <w:lang w:val="en-US" w:eastAsia="zh-CN"/>
              </w:rPr>
              <w:t>或者采购代理机构</w:t>
            </w:r>
            <w:r>
              <w:rPr>
                <w:rFonts w:hAnsi="宋体" w:cs="宋体"/>
                <w:color w:val="auto"/>
                <w:sz w:val="21"/>
                <w:highlight w:val="none"/>
                <w:lang w:val="en-US" w:eastAsia="zh-CN"/>
              </w:rPr>
              <w:t>负责解释。</w:t>
            </w:r>
          </w:p>
        </w:tc>
      </w:tr>
      <w:tr w14:paraId="721E8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868B3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8695" w:type="dxa"/>
            <w:noWrap w:val="0"/>
            <w:vAlign w:val="center"/>
          </w:tcPr>
          <w:p w14:paraId="1096C14A">
            <w:pPr>
              <w:pStyle w:val="11"/>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1.本谈判文件中描述供应商的“公章”是指根据我国对公章的管理规定，用供应商法定主体行为名称制作的印章（含电子印章），除本谈判文件有特殊规定外，供应商的财务章、部门章、分公司章、工会章、合同章、竞标专用章、业务专用章及银行的转账章、现金收讫章、现金付讫章等其他形式印章均不能代替公章。</w:t>
            </w:r>
          </w:p>
          <w:p w14:paraId="60960B9E">
            <w:pPr>
              <w:pStyle w:val="11"/>
              <w:snapToGrid w:val="0"/>
              <w:spacing w:line="360" w:lineRule="auto"/>
              <w:rPr>
                <w:rFonts w:hint="eastAsia" w:hAnsi="宋体" w:cs="宋体"/>
                <w:color w:val="auto"/>
                <w:sz w:val="21"/>
                <w:highlight w:val="none"/>
                <w:lang w:val="en-US" w:eastAsia="zh-CN"/>
              </w:rPr>
            </w:pPr>
            <w:r>
              <w:rPr>
                <w:rFonts w:hAnsi="宋体" w:cs="宋体"/>
                <w:color w:val="auto"/>
                <w:sz w:val="21"/>
                <w:highlight w:val="none"/>
                <w:lang w:val="en-US" w:eastAsia="zh-CN"/>
              </w:rPr>
              <w:t>2</w:t>
            </w:r>
            <w:r>
              <w:rPr>
                <w:rFonts w:hint="eastAsia" w:hAnsi="宋体" w:cs="宋体"/>
                <w:color w:val="auto"/>
                <w:sz w:val="21"/>
                <w:highlight w:val="none"/>
                <w:lang w:val="en-US" w:eastAsia="zh-CN"/>
              </w:rPr>
              <w:t>.供应商为其他组织或者自然人时，本谈判文件规定的法定代表人指负责人或者自然人。本谈判文件所称负责人是指参加竞标的其他组织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lang w:val="en-US" w:eastAsia="zh-CN"/>
              </w:rPr>
              <w:t>营业执照或者执业许可证等证照上</w:t>
            </w:r>
            <w:r>
              <w:rPr>
                <w:rFonts w:hint="eastAsia" w:hAnsi="宋体" w:cs="宋体"/>
                <w:color w:val="auto"/>
                <w:sz w:val="21"/>
                <w:highlight w:val="none"/>
                <w:lang w:val="en-US" w:eastAsia="zh-CN"/>
              </w:rPr>
              <w:t>的负责人，本谈判文件所称自然人指参与竞标的自然人本人，</w:t>
            </w:r>
            <w:r>
              <w:rPr>
                <w:rFonts w:hint="eastAsia" w:hAnsi="宋体" w:cs="宋体"/>
                <w:bCs/>
                <w:color w:val="auto"/>
                <w:sz w:val="21"/>
                <w:highlight w:val="none"/>
                <w:lang w:val="en-US" w:eastAsia="zh-CN"/>
              </w:rPr>
              <w:t>且应具备独立承担民事责任能力，自然人应当为年满18岁以上成年人（十六周岁以上的未成年人，以自己的劳动收入为主要生活来源的，视为完全民事行为能力人）。</w:t>
            </w:r>
          </w:p>
          <w:p w14:paraId="64D26DD0">
            <w:pPr>
              <w:pStyle w:val="11"/>
              <w:snapToGrid w:val="0"/>
              <w:spacing w:line="360" w:lineRule="auto"/>
              <w:rPr>
                <w:rFonts w:hint="eastAsia" w:hAnsi="宋体" w:cs="宋体"/>
                <w:color w:val="auto"/>
                <w:sz w:val="21"/>
                <w:highlight w:val="none"/>
                <w:lang w:val="en-US" w:eastAsia="zh-CN"/>
              </w:rPr>
            </w:pPr>
            <w:r>
              <w:rPr>
                <w:rFonts w:hAnsi="宋体" w:cs="宋体"/>
                <w:color w:val="auto"/>
                <w:sz w:val="21"/>
                <w:highlight w:val="none"/>
                <w:lang w:val="en-US" w:eastAsia="zh-CN"/>
              </w:rPr>
              <w:t>3</w:t>
            </w:r>
            <w:r>
              <w:rPr>
                <w:rFonts w:hint="eastAsia" w:hAnsi="宋体" w:cs="宋体"/>
                <w:color w:val="auto"/>
                <w:sz w:val="21"/>
                <w:highlight w:val="none"/>
                <w:lang w:val="en-US" w:eastAsia="zh-CN"/>
              </w:rPr>
              <w:t>.本谈判文件中描述供应商的“签字”是指供应商的法定代表人或者委托代理人在文件规定签署处签名（含电子签名）的行为，私章、印鉴等其他形式均不能代替签字。</w:t>
            </w:r>
          </w:p>
          <w:p w14:paraId="4A53246B">
            <w:pPr>
              <w:pStyle w:val="11"/>
              <w:snapToGrid w:val="0"/>
              <w:spacing w:line="360" w:lineRule="auto"/>
              <w:rPr>
                <w:rFonts w:hint="eastAsia" w:hAnsi="宋体" w:cs="宋体"/>
                <w:color w:val="auto"/>
                <w:sz w:val="21"/>
                <w:highlight w:val="none"/>
                <w:lang w:val="en-US" w:eastAsia="zh-CN"/>
              </w:rPr>
            </w:pPr>
            <w:r>
              <w:rPr>
                <w:rFonts w:hAnsi="宋体" w:cs="宋体"/>
                <w:color w:val="auto"/>
                <w:sz w:val="21"/>
                <w:highlight w:val="none"/>
                <w:lang w:val="en-US" w:eastAsia="zh-CN"/>
              </w:rPr>
              <w:t>4</w:t>
            </w:r>
            <w:r>
              <w:rPr>
                <w:rFonts w:hint="eastAsia" w:hAnsi="宋体" w:cs="宋体"/>
                <w:color w:val="auto"/>
                <w:sz w:val="21"/>
                <w:highlight w:val="none"/>
                <w:lang w:val="en-US" w:eastAsia="zh-CN"/>
              </w:rPr>
              <w:t>.自然人竞标的，谈判文件规定盖章的地方自然人可以加盖手指指印。</w:t>
            </w:r>
          </w:p>
          <w:p w14:paraId="48F10702">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5、本谈判文件所称的“以上”“以下”“以内”“届满”，包括本数；所称的“不满”“超过”“以外”，不包括本数。</w:t>
            </w:r>
          </w:p>
        </w:tc>
      </w:tr>
    </w:tbl>
    <w:p w14:paraId="0F8F92B8">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593A8DD8">
      <w:pPr>
        <w:spacing w:line="400" w:lineRule="exact"/>
        <w:jc w:val="center"/>
        <w:rPr>
          <w:rFonts w:hint="eastAsia" w:ascii="宋体" w:hAnsi="宋体"/>
          <w:b/>
          <w:color w:val="auto"/>
          <w:sz w:val="32"/>
          <w:szCs w:val="32"/>
          <w:highlight w:val="none"/>
        </w:rPr>
      </w:pPr>
    </w:p>
    <w:p w14:paraId="73A25BAD">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0CCE97AD">
      <w:pPr>
        <w:spacing w:line="400" w:lineRule="exact"/>
        <w:rPr>
          <w:rFonts w:hint="eastAsia" w:ascii="宋体" w:hAnsi="宋体"/>
          <w:color w:val="auto"/>
          <w:szCs w:val="21"/>
          <w:highlight w:val="none"/>
        </w:rPr>
      </w:pPr>
    </w:p>
    <w:p w14:paraId="4EACF12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3CB422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1CAF22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5F4E6D0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6C12EE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04D325CB">
      <w:pPr>
        <w:spacing w:line="360" w:lineRule="auto"/>
        <w:ind w:firstLine="420" w:firstLineChars="200"/>
        <w:rPr>
          <w:rFonts w:hint="eastAsia" w:ascii="宋体" w:hAnsi="宋体"/>
          <w:b/>
          <w:color w:val="auto"/>
          <w:szCs w:val="21"/>
          <w:highlight w:val="none"/>
        </w:rPr>
      </w:pPr>
      <w:r>
        <w:rPr>
          <w:rFonts w:hint="eastAsia" w:ascii="宋体" w:hAnsi="宋体" w:cs="宋体"/>
          <w:color w:val="auto"/>
          <w:szCs w:val="21"/>
          <w:highlight w:val="none"/>
        </w:rPr>
        <w:t>2.2“采购代理机构”</w:t>
      </w:r>
      <w:r>
        <w:rPr>
          <w:rFonts w:hint="eastAsia" w:ascii="宋体" w:hAnsi="宋体"/>
          <w:bCs/>
          <w:color w:val="auto"/>
          <w:szCs w:val="21"/>
          <w:highlight w:val="none"/>
        </w:rPr>
        <w:t>是指政府采购集中采购机构和集中采购机构以外的采购代理机构。</w:t>
      </w:r>
    </w:p>
    <w:p w14:paraId="24E9BC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C0FE4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12C4D7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221D62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4F13B0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75DDD1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是指：供应商根据本谈判文件要求，编制包含报价、技术和服务等所有内容的文件。</w:t>
      </w:r>
    </w:p>
    <w:p w14:paraId="5C12D7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 “实质性要求”是指采购需求中带“▲”的条款或者不能负偏离的条款或者已经指明不满足按响应文件按无效响应处理的条款。</w:t>
      </w:r>
    </w:p>
    <w:p w14:paraId="5C0D0D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455199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71B184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3AE629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567012BD">
      <w:pPr>
        <w:spacing w:line="360" w:lineRule="auto"/>
        <w:ind w:firstLine="482" w:firstLineChars="200"/>
        <w:contextualSpacing/>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71CDB4F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0BAF5A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46615B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7D2B704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61F59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C9C62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6F6FEC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25" w:name="_Hlk65857072"/>
      <w:r>
        <w:rPr>
          <w:rFonts w:hint="eastAsia" w:ascii="宋体" w:hAnsi="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的扣除，用扣除后的价格参加评审。</w:t>
      </w:r>
      <w:bookmarkEnd w:id="25"/>
    </w:p>
    <w:p w14:paraId="7FCA057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14E1D1A5">
      <w:pPr>
        <w:spacing w:line="360" w:lineRule="auto"/>
        <w:ind w:firstLine="420" w:firstLineChars="200"/>
        <w:rPr>
          <w:rFonts w:hint="eastAsia" w:ascii="宋体" w:hAnsi="宋体" w:cs="宋体"/>
          <w:color w:val="auto"/>
          <w:szCs w:val="21"/>
          <w:highlight w:val="none"/>
        </w:rPr>
      </w:pPr>
      <w:bookmarkStart w:id="26" w:name="_Toc29153"/>
      <w:bookmarkStart w:id="27" w:name="_Toc11043"/>
      <w:bookmarkStart w:id="28" w:name="_Toc254970532"/>
      <w:bookmarkStart w:id="29" w:name="_Toc254970673"/>
      <w:r>
        <w:rPr>
          <w:rFonts w:hint="eastAsia" w:ascii="宋体" w:hAnsi="宋体" w:cs="宋体"/>
          <w:color w:val="auto"/>
          <w:szCs w:val="21"/>
          <w:highlight w:val="none"/>
        </w:rPr>
        <w:t>6.1本项目不允许转包。</w:t>
      </w:r>
      <w:bookmarkEnd w:id="26"/>
      <w:bookmarkEnd w:id="27"/>
    </w:p>
    <w:p w14:paraId="225E59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30" w:name="_Toc11657"/>
      <w:bookmarkStart w:id="31" w:name="_Toc11061"/>
      <w:r>
        <w:rPr>
          <w:rFonts w:hint="eastAsia" w:ascii="宋体" w:hAnsi="宋体" w:cs="宋体"/>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bookmarkEnd w:id="30"/>
      <w:bookmarkEnd w:id="31"/>
    </w:p>
    <w:p w14:paraId="42F0FE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32" w:name="_Toc30715"/>
      <w:bookmarkStart w:id="33" w:name="_Toc6058"/>
      <w:r>
        <w:rPr>
          <w:rFonts w:hint="eastAsia" w:ascii="宋体" w:hAnsi="宋体" w:cs="宋体"/>
          <w:color w:val="auto"/>
          <w:szCs w:val="21"/>
          <w:highlight w:val="none"/>
        </w:rPr>
        <w:t>6.3供应商根据谈判文件的规定和采购项目的实际情况，拟在成交后将成交项目的非主体、非关键性工作分包的，应当在响应文件中载明分包承担主体，分包承担主体应当具备相应资质条件且不得再次分包。</w:t>
      </w:r>
      <w:bookmarkEnd w:id="32"/>
      <w:bookmarkEnd w:id="33"/>
    </w:p>
    <w:p w14:paraId="7971886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28"/>
      <w:bookmarkEnd w:id="29"/>
    </w:p>
    <w:p w14:paraId="561A3B4A">
      <w:pPr>
        <w:spacing w:line="360" w:lineRule="auto"/>
        <w:ind w:firstLine="420" w:firstLineChars="200"/>
        <w:rPr>
          <w:rFonts w:hint="eastAsia" w:ascii="宋体" w:hAnsi="宋体" w:cs="宋体"/>
          <w:color w:val="auto"/>
          <w:szCs w:val="21"/>
          <w:highlight w:val="none"/>
        </w:rPr>
      </w:pPr>
      <w:bookmarkStart w:id="34" w:name="_8.1提供相同品牌产品且通过资格审查、符合性审查的不同投标人参加同一合"/>
      <w:bookmarkEnd w:id="34"/>
      <w:r>
        <w:rPr>
          <w:rFonts w:hint="eastAsia" w:ascii="宋体" w:hAnsi="宋体" w:cs="宋体"/>
          <w:color w:val="auto"/>
          <w:szCs w:val="21"/>
          <w:highlight w:val="none"/>
        </w:rPr>
        <w:t>7.1</w:t>
      </w:r>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320034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7.2供应商应仔细阅读谈判文件的所有内容，按照谈判文件的要求提交响应文件，并对所提供的全部资料的真实性承担法律责任。</w:t>
      </w:r>
    </w:p>
    <w:p w14:paraId="2C3ED3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7.3供应商在竞标活动中提供任何虚假材料,其响应文件按无效响应处理，并报监管部门查处；签订合同后发现的,成交供应商须依法赔偿采购人，且民事赔偿并不免除违法供应商的行政与刑事责任。</w:t>
      </w:r>
    </w:p>
    <w:p w14:paraId="5519E9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3F4791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71DB1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95F80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23183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4EF58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0152E8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83FE6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5B411A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2253A7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2EC11A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28FF6B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65BA8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0C0D7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69D124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w:t>
      </w:r>
      <w:bookmarkStart w:id="35" w:name="_Hlk54682620"/>
      <w:r>
        <w:rPr>
          <w:rFonts w:hint="eastAsia" w:ascii="宋体" w:hAnsi="宋体" w:cs="宋体"/>
          <w:color w:val="auto"/>
          <w:szCs w:val="21"/>
          <w:highlight w:val="none"/>
        </w:rPr>
        <w:t>，将报同级监督管理部门</w:t>
      </w:r>
      <w:bookmarkEnd w:id="35"/>
      <w:r>
        <w:rPr>
          <w:rFonts w:hint="eastAsia" w:ascii="宋体" w:hAnsi="宋体" w:cs="宋体"/>
          <w:color w:val="auto"/>
          <w:szCs w:val="21"/>
          <w:highlight w:val="none"/>
        </w:rPr>
        <w:t>：</w:t>
      </w:r>
    </w:p>
    <w:p w14:paraId="7D10A0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2295A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8E152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AEA86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841CB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B5B49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0AD58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15F73DC">
      <w:pPr>
        <w:spacing w:line="360" w:lineRule="auto"/>
        <w:ind w:left="1" w:firstLine="417" w:firstLineChars="199"/>
        <w:jc w:val="center"/>
        <w:rPr>
          <w:rFonts w:hint="eastAsia" w:ascii="宋体" w:hAnsi="宋体"/>
          <w:color w:val="auto"/>
          <w:highlight w:val="none"/>
        </w:rPr>
      </w:pPr>
      <w:bookmarkStart w:id="36" w:name="_Toc254970534"/>
      <w:bookmarkStart w:id="37" w:name="_Toc254970675"/>
    </w:p>
    <w:p w14:paraId="44B0B542">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二、谈判文件</w:t>
      </w:r>
      <w:bookmarkEnd w:id="36"/>
      <w:bookmarkEnd w:id="37"/>
    </w:p>
    <w:p w14:paraId="4EA7229F">
      <w:pPr>
        <w:spacing w:line="360" w:lineRule="auto"/>
        <w:jc w:val="center"/>
        <w:rPr>
          <w:rFonts w:hint="eastAsia" w:ascii="宋体" w:hAnsi="宋体"/>
          <w:color w:val="auto"/>
          <w:szCs w:val="21"/>
          <w:highlight w:val="none"/>
        </w:rPr>
      </w:pPr>
    </w:p>
    <w:p w14:paraId="204B8E7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51DD76A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（1）竞争性谈判公告；</w:t>
      </w:r>
    </w:p>
    <w:p w14:paraId="7DFDD76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7915F2D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5429EDE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（4）响应文件格式</w:t>
      </w:r>
    </w:p>
    <w:p w14:paraId="53E3352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（5）合同文本；</w:t>
      </w:r>
    </w:p>
    <w:p w14:paraId="247B465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（6）评审程序和评定成交的标准；</w:t>
      </w:r>
    </w:p>
    <w:p w14:paraId="7CCFC0F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01F8DDE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，以纸质书面形式向</w:t>
      </w:r>
      <w:r>
        <w:rPr>
          <w:rFonts w:ascii="宋体" w:hAnsi="宋体"/>
          <w:color w:val="auto"/>
          <w:szCs w:val="21"/>
          <w:highlight w:val="none"/>
        </w:rPr>
        <w:t>采购人、采购代理机构</w:t>
      </w:r>
      <w:r>
        <w:rPr>
          <w:rFonts w:hint="eastAsia" w:ascii="宋体" w:hAnsi="宋体"/>
          <w:color w:val="auto"/>
          <w:szCs w:val="21"/>
          <w:highlight w:val="none"/>
        </w:rPr>
        <w:t>提出</w:t>
      </w:r>
      <w:r>
        <w:rPr>
          <w:rFonts w:hint="eastAsia" w:ascii="宋体" w:hAnsi="宋体" w:cs="宋体"/>
          <w:color w:val="auto"/>
          <w:szCs w:val="21"/>
          <w:highlight w:val="none"/>
        </w:rPr>
        <w:t>，否则，由此产生的后果由供应商自行负责。</w:t>
      </w:r>
    </w:p>
    <w:p w14:paraId="2770B10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6A7B7D5E">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10.1</w:t>
      </w: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w:t>
      </w:r>
      <w:r>
        <w:rPr>
          <w:rFonts w:hint="eastAsia" w:ascii="宋体" w:hAnsi="宋体" w:cs="宋体"/>
          <w:color w:val="auto"/>
          <w:szCs w:val="21"/>
          <w:highlight w:val="none"/>
        </w:rPr>
        <w:t>澄清或者修改将在原公告发布媒体上发布更正公告。</w:t>
      </w:r>
      <w:r>
        <w:rPr>
          <w:rFonts w:ascii="宋体" w:hAnsi="宋体"/>
          <w:color w:val="auto"/>
          <w:szCs w:val="21"/>
          <w:highlight w:val="none"/>
        </w:rPr>
        <w:t>澄清或者修改的内容可能影响响应文件编制的，采购人、采购代理机构或者谈判小组应当在提交首次响应文件截止之日3个工作日前，</w:t>
      </w:r>
      <w:r>
        <w:rPr>
          <w:rFonts w:hint="eastAsia" w:ascii="宋体" w:hAnsi="宋体" w:cs="宋体"/>
          <w:color w:val="auto"/>
          <w:szCs w:val="21"/>
          <w:highlight w:val="none"/>
        </w:rPr>
        <w:t>在原公告发布媒体上发布更正公告；</w:t>
      </w:r>
      <w:r>
        <w:rPr>
          <w:rFonts w:ascii="宋体" w:hAnsi="宋体"/>
          <w:color w:val="auto"/>
          <w:szCs w:val="21"/>
          <w:highlight w:val="none"/>
        </w:rPr>
        <w:t>不足3个工作日的，应当顺延提交首次响应文件截止之日。</w:t>
      </w:r>
    </w:p>
    <w:p w14:paraId="58260190">
      <w:pPr>
        <w:spacing w:line="400" w:lineRule="exact"/>
        <w:ind w:firstLine="420" w:firstLineChars="200"/>
        <w:rPr>
          <w:rFonts w:hint="eastAsia" w:ascii="宋体" w:hAnsi="宋体"/>
          <w:color w:val="auto"/>
          <w:szCs w:val="21"/>
          <w:highlight w:val="none"/>
        </w:rPr>
      </w:pPr>
      <w:r>
        <w:rPr>
          <w:rFonts w:hint="eastAsia" w:ascii="宋体" w:hAnsi="宋体" w:cs="宋体"/>
          <w:color w:val="auto"/>
          <w:highlight w:val="none"/>
        </w:rPr>
        <w:t>10.2采购人和采购代理机构可以视采购具体情况，变更</w:t>
      </w:r>
      <w:r>
        <w:rPr>
          <w:rFonts w:hint="eastAsia" w:ascii="宋体" w:hAnsi="宋体" w:cs="宋体"/>
          <w:color w:val="auto"/>
          <w:szCs w:val="21"/>
          <w:highlight w:val="none"/>
        </w:rPr>
        <w:t>首次响应文件提交截止时间</w:t>
      </w:r>
      <w:r>
        <w:rPr>
          <w:rFonts w:hint="eastAsia" w:ascii="宋体" w:hAnsi="宋体" w:cs="宋体"/>
          <w:color w:val="auto"/>
          <w:highlight w:val="none"/>
        </w:rPr>
        <w:t>，</w:t>
      </w:r>
      <w:r>
        <w:rPr>
          <w:rFonts w:hint="eastAsia" w:ascii="宋体" w:hAnsi="宋体"/>
          <w:color w:val="auto"/>
          <w:highlight w:val="none"/>
        </w:rPr>
        <w:t>并</w:t>
      </w:r>
      <w:r>
        <w:rPr>
          <w:rFonts w:hint="eastAsia" w:ascii="宋体" w:hAnsi="宋体"/>
          <w:color w:val="auto"/>
          <w:szCs w:val="21"/>
          <w:highlight w:val="none"/>
        </w:rPr>
        <w:t>在原公告发布媒体上发布更正公告。</w:t>
      </w:r>
    </w:p>
    <w:p w14:paraId="7A7AE10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10.3</w:t>
      </w:r>
      <w:r>
        <w:rPr>
          <w:rFonts w:hint="eastAsia" w:ascii="宋体" w:hAnsi="宋体" w:cs="宋体"/>
          <w:color w:val="auto"/>
          <w:szCs w:val="21"/>
          <w:highlight w:val="none"/>
        </w:rPr>
        <w:t>谈判文件</w:t>
      </w:r>
      <w:r>
        <w:rPr>
          <w:rFonts w:hint="eastAsia" w:ascii="宋体" w:hAnsi="宋体"/>
          <w:color w:val="auto"/>
          <w:szCs w:val="21"/>
          <w:highlight w:val="none"/>
        </w:rPr>
        <w:t>澄清、答复、修改、补充的内容为</w:t>
      </w:r>
      <w:r>
        <w:rPr>
          <w:rFonts w:hint="eastAsia" w:ascii="宋体" w:hAnsi="宋体" w:cs="宋体"/>
          <w:color w:val="auto"/>
          <w:szCs w:val="21"/>
          <w:highlight w:val="none"/>
        </w:rPr>
        <w:t>谈判文件</w:t>
      </w:r>
      <w:r>
        <w:rPr>
          <w:rFonts w:hint="eastAsia" w:ascii="宋体" w:hAnsi="宋体"/>
          <w:color w:val="auto"/>
          <w:szCs w:val="21"/>
          <w:highlight w:val="none"/>
        </w:rPr>
        <w:t>的组成部分。</w:t>
      </w:r>
      <w:r>
        <w:rPr>
          <w:rFonts w:hint="eastAsia" w:ascii="宋体" w:hAnsi="宋体"/>
          <w:b/>
          <w:color w:val="auto"/>
          <w:szCs w:val="21"/>
          <w:highlight w:val="none"/>
        </w:rPr>
        <w:t>当</w:t>
      </w:r>
      <w:r>
        <w:rPr>
          <w:rFonts w:hint="eastAsia" w:ascii="宋体" w:hAnsi="宋体" w:cs="宋体"/>
          <w:b/>
          <w:color w:val="auto"/>
          <w:szCs w:val="21"/>
          <w:highlight w:val="none"/>
        </w:rPr>
        <w:t>谈判文件</w:t>
      </w:r>
      <w:r>
        <w:rPr>
          <w:rFonts w:hint="eastAsia" w:ascii="宋体" w:hAnsi="宋体"/>
          <w:b/>
          <w:color w:val="auto"/>
          <w:szCs w:val="21"/>
          <w:highlight w:val="none"/>
        </w:rPr>
        <w:t>与</w:t>
      </w:r>
      <w:r>
        <w:rPr>
          <w:rFonts w:hint="eastAsia" w:ascii="宋体" w:hAnsi="宋体" w:cs="宋体"/>
          <w:b/>
          <w:color w:val="auto"/>
          <w:szCs w:val="21"/>
          <w:highlight w:val="none"/>
        </w:rPr>
        <w:t>谈判文件</w:t>
      </w:r>
      <w:r>
        <w:rPr>
          <w:rFonts w:hint="eastAsia" w:ascii="宋体" w:hAnsi="宋体"/>
          <w:b/>
          <w:color w:val="auto"/>
          <w:szCs w:val="21"/>
          <w:highlight w:val="none"/>
        </w:rPr>
        <w:t>的澄清、答复、修改、补充通知就同一内容的表述不一致时，以最后发出的文件为准。</w:t>
      </w:r>
    </w:p>
    <w:p w14:paraId="619A6427">
      <w:pPr>
        <w:spacing w:line="400" w:lineRule="exact"/>
        <w:ind w:firstLine="422" w:firstLineChars="200"/>
        <w:rPr>
          <w:rFonts w:hint="eastAsia" w:ascii="宋体" w:hAnsi="宋体"/>
          <w:b/>
          <w:color w:val="auto"/>
          <w:szCs w:val="21"/>
          <w:highlight w:val="none"/>
        </w:rPr>
      </w:pPr>
      <w:r>
        <w:rPr>
          <w:rFonts w:hint="eastAsia" w:ascii="宋体" w:hAnsi="宋体" w:cs="宋体"/>
          <w:b/>
          <w:color w:val="auto"/>
          <w:highlight w:val="none"/>
        </w:rPr>
        <w:t>10.4</w:t>
      </w:r>
      <w:r>
        <w:rPr>
          <w:rFonts w:hint="eastAsia" w:ascii="宋体" w:hAnsi="宋体"/>
          <w:b/>
          <w:color w:val="auto"/>
          <w:szCs w:val="21"/>
          <w:highlight w:val="none"/>
        </w:rPr>
        <w:t>响应文件未按谈判文件的澄清、修改后的内容编制的，其响应文件作无效响应处理。</w:t>
      </w:r>
    </w:p>
    <w:p w14:paraId="447D40DC">
      <w:pPr>
        <w:spacing w:line="360" w:lineRule="auto"/>
        <w:ind w:firstLine="420" w:firstLineChars="200"/>
        <w:rPr>
          <w:rFonts w:hint="eastAsia" w:ascii="宋体" w:hAnsi="宋体"/>
          <w:color w:val="auto"/>
          <w:szCs w:val="21"/>
          <w:highlight w:val="none"/>
        </w:rPr>
      </w:pPr>
    </w:p>
    <w:p w14:paraId="6348C118">
      <w:pPr>
        <w:spacing w:line="360" w:lineRule="auto"/>
        <w:rPr>
          <w:rFonts w:hint="eastAsia" w:ascii="宋体" w:hAnsi="宋体"/>
          <w:color w:val="auto"/>
          <w:szCs w:val="21"/>
          <w:highlight w:val="none"/>
        </w:rPr>
      </w:pPr>
    </w:p>
    <w:p w14:paraId="7FF443DA">
      <w:pPr>
        <w:spacing w:line="360" w:lineRule="auto"/>
        <w:jc w:val="center"/>
        <w:rPr>
          <w:rFonts w:hint="eastAsia" w:ascii="宋体" w:hAnsi="宋体"/>
          <w:b/>
          <w:color w:val="auto"/>
          <w:szCs w:val="21"/>
          <w:highlight w:val="none"/>
        </w:rPr>
      </w:pPr>
      <w:r>
        <w:rPr>
          <w:rFonts w:hint="eastAsia" w:ascii="宋体" w:hAnsi="宋体"/>
          <w:b/>
          <w:color w:val="auto"/>
          <w:sz w:val="32"/>
          <w:szCs w:val="32"/>
          <w:highlight w:val="none"/>
        </w:rPr>
        <w:t>三、响应文件的编制</w:t>
      </w:r>
    </w:p>
    <w:p w14:paraId="75C92E13">
      <w:pPr>
        <w:spacing w:line="360" w:lineRule="auto"/>
        <w:rPr>
          <w:rFonts w:hint="eastAsia" w:ascii="宋体" w:hAnsi="宋体"/>
          <w:color w:val="auto"/>
          <w:szCs w:val="21"/>
          <w:highlight w:val="none"/>
        </w:rPr>
      </w:pPr>
    </w:p>
    <w:p w14:paraId="09CE684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5B1182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678463C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2B713B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响应文件由资格证明文件、报价商务技术文件两部分组成。</w:t>
      </w:r>
    </w:p>
    <w:p w14:paraId="0B284E58">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33579621">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2报价商务技术文件：详见“供应商须知前附表”</w:t>
      </w:r>
    </w:p>
    <w:p w14:paraId="1EC0731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2489CA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0C5C02B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37E3C0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供应商没有按照谈判文件要求提供全部资料，或者供应商没有对谈判文件在各方面作出实质性响应可能导致其响应文件按无效响应处理，是供应商应当考虑的风险。</w:t>
      </w:r>
    </w:p>
    <w:p w14:paraId="43990B8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4FEB94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7929C380">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165C5041">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5C6668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08E57AD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2B75A2BA">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411C5D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333B35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最后报价超过所竞标分标规定的采购预算金额或者最高限价的，其响应文件将按无效响应处理。</w:t>
      </w:r>
    </w:p>
    <w:p w14:paraId="4618F7C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1FA1C1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EDA6B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22D617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BB1B95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17.竞标保证金</w:t>
      </w:r>
    </w:p>
    <w:p w14:paraId="70B8359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275BCC6C">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17.2竞标保证金的退还</w:t>
      </w:r>
    </w:p>
    <w:p w14:paraId="308F93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olor w:val="auto"/>
          <w:szCs w:val="21"/>
          <w:highlight w:val="none"/>
        </w:rPr>
        <w:t>；</w:t>
      </w:r>
      <w:r>
        <w:rPr>
          <w:rFonts w:hint="eastAsia" w:ascii="宋体" w:hAnsi="宋体" w:cs="宋体"/>
          <w:color w:val="auto"/>
          <w:szCs w:val="21"/>
          <w:highlight w:val="none"/>
        </w:rPr>
        <w:t xml:space="preserve">成交供应商的竞标保证金自签订合同之日起5个工作日内退还。 </w:t>
      </w:r>
    </w:p>
    <w:p w14:paraId="41FD293B">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17.3竞标保证金不计息。</w:t>
      </w:r>
    </w:p>
    <w:p w14:paraId="3D031E4F">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331C0AFB">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（1）供应商在提交首次响应文件截止时间后撤回响应文件的；</w:t>
      </w:r>
    </w:p>
    <w:p w14:paraId="271CA8E3">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54D9FA8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0FE177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423F005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770001F2">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419B17A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2BBFC8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18.1供应商应按本谈判文件规定的格式和顺序编制、装订响应文件并标注页码，响应文件内容</w:t>
      </w:r>
      <w:r>
        <w:rPr>
          <w:rFonts w:hint="eastAsia" w:ascii="宋体" w:hAnsi="宋体" w:cs="宋体"/>
          <w:color w:val="auto"/>
          <w:spacing w:val="-6"/>
          <w:szCs w:val="21"/>
          <w:highlight w:val="none"/>
        </w:rPr>
        <w:t>不完整、编排混乱导致响应文件被误读、漏读或者查找不到相关内容的，</w:t>
      </w:r>
      <w:r>
        <w:rPr>
          <w:rFonts w:hint="eastAsia" w:ascii="宋体" w:hAnsi="宋体"/>
          <w:color w:val="auto"/>
          <w:highlight w:val="none"/>
        </w:rPr>
        <w:t>由此引发的</w:t>
      </w:r>
      <w:r>
        <w:rPr>
          <w:rFonts w:hint="eastAsia" w:ascii="宋体" w:hAnsi="宋体" w:cs="宋体"/>
          <w:color w:val="auto"/>
          <w:spacing w:val="-6"/>
          <w:szCs w:val="21"/>
          <w:highlight w:val="none"/>
        </w:rPr>
        <w:t>后果由供应商承担。</w:t>
      </w:r>
    </w:p>
    <w:p w14:paraId="449DE3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18.2响应文件应按资格证明文件、报价商务技术文件分别编制电子文件，</w:t>
      </w:r>
      <w:r>
        <w:rPr>
          <w:rFonts w:hint="eastAsia" w:ascii="宋体" w:hAnsi="宋体" w:cs="宋体"/>
          <w:color w:val="auto"/>
          <w:szCs w:val="21"/>
          <w:highlight w:val="none"/>
          <w:lang w:bidi="ar"/>
        </w:rPr>
        <w:t>并按“政采云”平台的要求编制、加密、上传。</w:t>
      </w:r>
    </w:p>
    <w:p w14:paraId="3EBBF7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w:t>
      </w:r>
      <w:bookmarkStart w:id="38" w:name="_Hlk65832699"/>
      <w:r>
        <w:rPr>
          <w:rFonts w:hint="eastAsia" w:ascii="宋体" w:hAnsi="宋体" w:cs="宋体"/>
          <w:color w:val="auto"/>
          <w:szCs w:val="21"/>
          <w:highlight w:val="none"/>
        </w:rPr>
        <w:t>3</w:t>
      </w:r>
      <w:r>
        <w:rPr>
          <w:rFonts w:hint="eastAsia" w:ascii="宋体" w:hAnsi="宋体"/>
          <w:color w:val="auto"/>
          <w:szCs w:val="21"/>
          <w:highlight w:val="none"/>
        </w:rPr>
        <w:t>响应文件须由供应商在规定位置盖公章并签字</w:t>
      </w:r>
      <w:bookmarkStart w:id="39" w:name="_Hlk65832569"/>
      <w:r>
        <w:rPr>
          <w:rFonts w:hint="eastAsia" w:ascii="宋体" w:hAnsi="宋体"/>
          <w:color w:val="auto"/>
          <w:szCs w:val="21"/>
          <w:highlight w:val="none"/>
        </w:rPr>
        <w:t>（具体以供应商须知前附表或响应文件格式规定为准）</w:t>
      </w:r>
      <w:bookmarkEnd w:id="38"/>
      <w:bookmarkEnd w:id="39"/>
      <w:r>
        <w:rPr>
          <w:rFonts w:hint="eastAsia" w:ascii="宋体" w:hAnsi="宋体" w:cs="宋体"/>
          <w:color w:val="auto"/>
          <w:szCs w:val="21"/>
          <w:highlight w:val="none"/>
        </w:rPr>
        <w:t>，否则其响应文件按无效响应处理。</w:t>
      </w:r>
    </w:p>
    <w:p w14:paraId="63A707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18.4响应文件中标注的供应商名称应与营业执照（事业单位法人证书、执业许可证、自然人身份证）及公章一致，否则其响应文件按无效响应处理。</w:t>
      </w:r>
    </w:p>
    <w:p w14:paraId="07FE94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5BD4E0BF">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olor w:val="auto"/>
          <w:sz w:val="24"/>
          <w:highlight w:val="none"/>
        </w:rPr>
        <w:t>19.响应文件的加密、解密</w:t>
      </w:r>
    </w:p>
    <w:p w14:paraId="3934B219">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19.1电子</w:t>
      </w:r>
      <w:r>
        <w:rPr>
          <w:rFonts w:hint="eastAsia" w:ascii="宋体" w:hAnsi="宋体" w:cs="宋体"/>
          <w:color w:val="auto"/>
          <w:szCs w:val="21"/>
          <w:highlight w:val="none"/>
        </w:rPr>
        <w:t>响应文件</w:t>
      </w:r>
      <w:r>
        <w:rPr>
          <w:rFonts w:hint="eastAsia" w:ascii="宋体" w:hAnsi="宋体"/>
          <w:color w:val="auto"/>
          <w:szCs w:val="21"/>
          <w:highlight w:val="none"/>
        </w:rPr>
        <w:t>编制完成后，供应商应按“政采云”平台的要求进行加密，并在规定时间内解密，否则，由此产生的后果由供应商自行负责。</w:t>
      </w:r>
    </w:p>
    <w:p w14:paraId="3BFA643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78B7162E">
      <w:pPr>
        <w:widowControl/>
        <w:spacing w:line="360" w:lineRule="auto"/>
        <w:ind w:firstLine="420" w:firstLineChars="200"/>
        <w:rPr>
          <w:rFonts w:hint="eastAsia" w:ascii="宋体" w:hAnsi="宋体" w:cs="宋体"/>
          <w:b/>
          <w:color w:val="auto"/>
          <w:szCs w:val="21"/>
          <w:highlight w:val="none"/>
          <w:lang w:bidi="ar"/>
        </w:rPr>
      </w:pPr>
      <w:r>
        <w:rPr>
          <w:rFonts w:hint="eastAsia" w:ascii="宋体" w:hAnsi="宋体" w:cs="宋体"/>
          <w:color w:val="auto"/>
          <w:szCs w:val="21"/>
          <w:highlight w:val="none"/>
        </w:rPr>
        <w:t>20.2</w:t>
      </w:r>
      <w:r>
        <w:rPr>
          <w:rFonts w:hint="eastAsia" w:ascii="宋体" w:hAnsi="宋体" w:cs="宋体"/>
          <w:color w:val="auto"/>
          <w:szCs w:val="21"/>
          <w:highlight w:val="none"/>
          <w:lang w:bidi="ar"/>
        </w:rPr>
        <w:t>本项目为全流程电子化政府采购项目，通过“政采云”平台（http：//www.zcygov.cn）实行在线电子竞标，供应商应先安装“政采云电子交易客户端”（请自行前往“政采云”平台进行下载），并按照本项目竞争性谈判文件和“政采云”平台的要求编制、加密后在首次响应文件提交截止时间前通过网络上传至“政采云”平台，</w:t>
      </w:r>
      <w:r>
        <w:rPr>
          <w:rFonts w:hint="eastAsia" w:ascii="宋体" w:hAnsi="宋体" w:cs="宋体"/>
          <w:b/>
          <w:color w:val="auto"/>
          <w:szCs w:val="21"/>
          <w:highlight w:val="none"/>
          <w:lang w:bidi="ar"/>
        </w:rPr>
        <w:t>供应商在“政采云”平台提交电子版响应文件时，请填写参加远程开标活动经办人联系方式。</w:t>
      </w:r>
    </w:p>
    <w:p w14:paraId="53BBC419">
      <w:pPr>
        <w:spacing w:line="360" w:lineRule="auto"/>
        <w:ind w:firstLine="420" w:firstLineChars="200"/>
        <w:rPr>
          <w:rFonts w:hint="eastAsia" w:ascii="宋体" w:hAnsi="宋体" w:cs="宋体"/>
          <w:bCs/>
          <w:color w:val="auto"/>
          <w:szCs w:val="21"/>
          <w:highlight w:val="none"/>
          <w:lang w:bidi="ar"/>
        </w:rPr>
      </w:pPr>
      <w:bookmarkStart w:id="40" w:name="_Toc30525"/>
      <w:bookmarkStart w:id="41" w:name="_Toc7445"/>
      <w:r>
        <w:rPr>
          <w:rFonts w:hint="eastAsia" w:ascii="宋体" w:hAnsi="宋体" w:cs="宋体"/>
          <w:bCs/>
          <w:color w:val="auto"/>
          <w:szCs w:val="21"/>
          <w:highlight w:val="none"/>
          <w:lang w:bidi="ar"/>
        </w:rPr>
        <w:t>2</w:t>
      </w:r>
      <w:r>
        <w:rPr>
          <w:rFonts w:hint="eastAsia" w:ascii="宋体" w:hAnsi="宋体" w:cs="宋体"/>
          <w:bCs/>
          <w:color w:val="auto"/>
          <w:szCs w:val="21"/>
          <w:highlight w:val="none"/>
          <w:lang w:eastAsia="zh-CN" w:bidi="ar"/>
        </w:rPr>
        <w:t>0</w:t>
      </w:r>
      <w:r>
        <w:rPr>
          <w:rFonts w:hint="eastAsia" w:ascii="宋体" w:hAnsi="宋体" w:cs="宋体"/>
          <w:bCs/>
          <w:color w:val="auto"/>
          <w:szCs w:val="21"/>
          <w:highlight w:val="none"/>
          <w:lang w:bidi="ar"/>
        </w:rPr>
        <w:t>.</w:t>
      </w:r>
      <w:r>
        <w:rPr>
          <w:rFonts w:hint="eastAsia" w:ascii="宋体" w:hAnsi="宋体" w:cs="宋体"/>
          <w:bCs/>
          <w:color w:val="auto"/>
          <w:szCs w:val="21"/>
          <w:highlight w:val="none"/>
          <w:lang w:eastAsia="zh-CN" w:bidi="ar"/>
        </w:rPr>
        <w:t>3</w:t>
      </w:r>
      <w:r>
        <w:rPr>
          <w:rFonts w:hint="eastAsia" w:ascii="宋体" w:hAnsi="宋体" w:cs="宋体"/>
          <w:bCs/>
          <w:color w:val="auto"/>
          <w:szCs w:val="21"/>
          <w:highlight w:val="none"/>
          <w:lang w:bidi="ar"/>
        </w:rPr>
        <w:t>未在规定时间内</w:t>
      </w:r>
      <w:r>
        <w:rPr>
          <w:rFonts w:hint="eastAsia" w:ascii="宋体" w:hAnsi="宋体" w:cs="宋体"/>
          <w:bCs/>
          <w:color w:val="auto"/>
          <w:szCs w:val="21"/>
          <w:highlight w:val="none"/>
          <w:lang w:eastAsia="zh-CN" w:bidi="ar"/>
        </w:rPr>
        <w:t>上传</w:t>
      </w:r>
      <w:r>
        <w:rPr>
          <w:rFonts w:hint="eastAsia" w:ascii="宋体" w:hAnsi="宋体" w:cs="宋体"/>
          <w:bCs/>
          <w:color w:val="auto"/>
          <w:szCs w:val="21"/>
          <w:highlight w:val="none"/>
          <w:lang w:bidi="ar"/>
        </w:rPr>
        <w:t>或者未按“政采云”平台的要求编制、加密的电子响应文件，“政采云”平台将拒收。</w:t>
      </w:r>
      <w:bookmarkEnd w:id="40"/>
      <w:bookmarkEnd w:id="41"/>
    </w:p>
    <w:p w14:paraId="597B671F">
      <w:pPr>
        <w:spacing w:line="360" w:lineRule="auto"/>
        <w:ind w:firstLine="420" w:firstLineChars="200"/>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20.4电子响应文件提交方式见“竞争性谈判公告”中“四、响应文件提交”。</w:t>
      </w:r>
    </w:p>
    <w:p w14:paraId="6240AF9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79A26473">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lang w:bidi="ar"/>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政采云”平台将予以拒收。</w:t>
      </w:r>
    </w:p>
    <w:p w14:paraId="593EC3D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22.首次响应文件的退回</w:t>
      </w:r>
    </w:p>
    <w:p w14:paraId="36D0D2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22.1在首次响应文件提交截止时间止提交响应文件的供应商不足3家时，</w:t>
      </w:r>
      <w:r>
        <w:rPr>
          <w:rFonts w:hint="eastAsia" w:ascii="宋体" w:hAnsi="宋体"/>
          <w:color w:val="auto"/>
          <w:szCs w:val="21"/>
          <w:highlight w:val="none"/>
        </w:rPr>
        <w:t>采购代理机构将根据“政采云”平台的操作将电子版响应文件退回，</w:t>
      </w:r>
      <w:r>
        <w:rPr>
          <w:rFonts w:hint="eastAsia" w:ascii="宋体" w:hAnsi="宋体" w:cs="宋体"/>
          <w:color w:val="auto"/>
          <w:szCs w:val="21"/>
          <w:highlight w:val="none"/>
        </w:rPr>
        <w:t>除此之外采购人和采购代理机构对已提交的电子响应文件概不退回。</w:t>
      </w:r>
    </w:p>
    <w:p w14:paraId="57CE4BC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p w14:paraId="670FF6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23.1供应商在首次响应文件提交截止时间后书面通知采购人、采购代理机构书面撤回响应文件的，将根据本须知正文17.4的规定不予退还其竞标保证金。</w:t>
      </w:r>
    </w:p>
    <w:p w14:paraId="5ADCAC11">
      <w:pPr>
        <w:spacing w:line="360" w:lineRule="auto"/>
        <w:ind w:firstLine="420" w:firstLineChars="200"/>
        <w:rPr>
          <w:rFonts w:hint="eastAsia" w:ascii="宋体" w:hAnsi="宋体"/>
          <w:color w:val="auto"/>
          <w:szCs w:val="21"/>
          <w:highlight w:val="none"/>
        </w:rPr>
      </w:pPr>
    </w:p>
    <w:p w14:paraId="10B9BB0C">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四、评审及谈判</w:t>
      </w:r>
    </w:p>
    <w:p w14:paraId="1F0A4817">
      <w:pPr>
        <w:spacing w:line="360" w:lineRule="auto"/>
        <w:ind w:left="420" w:firstLine="420"/>
        <w:rPr>
          <w:rFonts w:hint="eastAsia" w:ascii="宋体" w:hAnsi="宋体"/>
          <w:color w:val="auto"/>
          <w:szCs w:val="21"/>
          <w:highlight w:val="none"/>
        </w:rPr>
      </w:pPr>
    </w:p>
    <w:p w14:paraId="04B907B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5E70F8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竞争性谈判小组成立：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695D12CC">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r>
        <w:rPr>
          <w:rFonts w:hint="eastAsia" w:ascii="宋体" w:hAnsi="宋体" w:cs="宋体"/>
          <w:color w:val="auto"/>
          <w:szCs w:val="21"/>
          <w:highlight w:val="none"/>
          <w:lang w:val="en-US" w:eastAsia="zh-CN"/>
        </w:rPr>
        <w:t xml:space="preserve"> </w:t>
      </w:r>
    </w:p>
    <w:p w14:paraId="7152017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 xml:space="preserve"> 首次响应文件的开启</w:t>
      </w:r>
    </w:p>
    <w:p w14:paraId="516ED4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25.1首次响应文件由谈判小组或者采购代理机构在“供应商须知前附表”规定的时间开启。</w:t>
      </w:r>
    </w:p>
    <w:p w14:paraId="21219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供应商的法定代表人或其委托代理人须携带加密时所用的CA锁按平台提示和采购文件的规定登录到“政采云”平台电子开标大厅签到并在发起解密指令之时起30分钟内完成对电子响应文件在线解密。</w:t>
      </w:r>
      <w:r>
        <w:rPr>
          <w:rFonts w:hint="eastAsia" w:ascii="宋体" w:hAnsi="宋体"/>
          <w:b/>
          <w:bCs/>
          <w:color w:val="auto"/>
          <w:szCs w:val="21"/>
          <w:highlight w:val="none"/>
        </w:rPr>
        <w:t>响应文件未按时解密的，视为响应文件无效。</w:t>
      </w:r>
      <w:r>
        <w:rPr>
          <w:rFonts w:hint="eastAsia" w:ascii="宋体" w:hAnsi="宋体" w:cs="宋体"/>
          <w:color w:val="auto"/>
          <w:szCs w:val="21"/>
          <w:highlight w:val="none"/>
        </w:rPr>
        <w:t>（解密异常情况处理：详见本章26.2电子交易活动的中止。）</w:t>
      </w:r>
    </w:p>
    <w:p w14:paraId="612519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25.3成功解密响应文件的供应商不足3家的，不得谈判。</w:t>
      </w:r>
    </w:p>
    <w:p w14:paraId="1E7FBF7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 评审程序和评定成交的标准</w:t>
      </w:r>
    </w:p>
    <w:p w14:paraId="3F53A13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1谈判小组按照“第四章  评审程序和评定成交的标准”规定的评审程序对响应文件进行评审，并按照评定成交的标准推荐成交候选供应商。</w:t>
      </w:r>
    </w:p>
    <w:p w14:paraId="2AE681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26.2电子交易活动的中止。采购过程中出现以下情形，导致电子交易平台无法正常运行，或者无法保证电子交易的公平、公正和安全时，采购机构可中止电子交易活动：</w:t>
      </w:r>
    </w:p>
    <w:p w14:paraId="36B8CB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784108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476190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697E7B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4E7438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（4）其他无法保证电子交易的公平、公正和安全的情况。</w:t>
      </w:r>
    </w:p>
    <w:p w14:paraId="6C9F7A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26.3出现以上情形，不影响采购公平、公正性的，采购代理机构可以待上述情形消除后继续组织电子交易活动；影响或可能影响采购公平、公正性的，经采购代理机构确认后，应当重新采购。</w:t>
      </w:r>
    </w:p>
    <w:p w14:paraId="002D22EB">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49B437E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 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788B9622">
      <w:pPr>
        <w:pStyle w:val="6"/>
        <w:spacing w:line="360" w:lineRule="auto"/>
        <w:ind w:firstLine="420" w:firstLineChars="200"/>
        <w:jc w:val="both"/>
        <w:rPr>
          <w:rFonts w:ascii="宋体" w:hAnsi="宋体" w:cs="宋体"/>
          <w:color w:val="auto"/>
          <w:kern w:val="0"/>
          <w:szCs w:val="21"/>
          <w:highlight w:val="none"/>
        </w:rPr>
      </w:pPr>
      <w:r>
        <w:rPr>
          <w:rFonts w:ascii="宋体" w:hAnsi="宋体" w:cs="宋体"/>
          <w:color w:val="auto"/>
          <w:kern w:val="0"/>
          <w:szCs w:val="21"/>
          <w:highlight w:val="none"/>
        </w:rPr>
        <w:t>27</w:t>
      </w:r>
      <w:r>
        <w:rPr>
          <w:rFonts w:hint="eastAsia" w:ascii="宋体" w:hAnsi="宋体" w:cs="宋体"/>
          <w:color w:val="auto"/>
          <w:kern w:val="0"/>
          <w:szCs w:val="21"/>
          <w:highlight w:val="none"/>
        </w:rPr>
        <w:t>.2采购代理机构应当在成交供应商确定后2个工作日内，在省级以上财政部门指定的媒体上公告成交结果，同时向成交供应商发出成交通知书。</w:t>
      </w:r>
      <w:r>
        <w:rPr>
          <w:rFonts w:hint="eastAsia" w:ascii="宋体" w:hAnsi="宋体" w:cs="宋体"/>
          <w:b/>
          <w:color w:val="auto"/>
          <w:kern w:val="0"/>
          <w:szCs w:val="21"/>
          <w:highlight w:val="none"/>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kern w:val="0"/>
          <w:szCs w:val="21"/>
          <w:highlight w:val="none"/>
        </w:rPr>
        <w:t>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15CA7976">
      <w:pPr>
        <w:pStyle w:val="6"/>
        <w:spacing w:line="360" w:lineRule="auto"/>
        <w:ind w:firstLine="420" w:firstLineChars="200"/>
        <w:jc w:val="both"/>
        <w:rPr>
          <w:rFonts w:hint="eastAsia"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27.3出现下列情形之一的，采购人或者采购代理机构应当终止竞争性谈判采购活动，发布项目终止公告并说明原因，重新开展采购活动：</w:t>
      </w:r>
      <w:r>
        <w:rPr>
          <w:rFonts w:hint="eastAsia" w:ascii="宋体" w:hAnsi="宋体" w:cs="Courier New"/>
          <w:color w:val="auto"/>
          <w:szCs w:val="21"/>
          <w:highlight w:val="none"/>
        </w:rPr>
        <w:br w:type="textWrapping"/>
      </w:r>
      <w:r>
        <w:rPr>
          <w:rFonts w:hint="eastAsia" w:ascii="宋体" w:hAnsi="宋体" w:cs="Courier New"/>
          <w:color w:val="auto"/>
          <w:szCs w:val="21"/>
          <w:highlight w:val="none"/>
        </w:rPr>
        <w:t>　　（一）因情况变化，不再符合规定的竞争性谈判采购方式适用情形的；</w:t>
      </w:r>
      <w:r>
        <w:rPr>
          <w:rFonts w:hint="eastAsia" w:ascii="宋体" w:hAnsi="宋体" w:cs="Courier New"/>
          <w:color w:val="auto"/>
          <w:szCs w:val="21"/>
          <w:highlight w:val="none"/>
        </w:rPr>
        <w:br w:type="textWrapping"/>
      </w:r>
      <w:r>
        <w:rPr>
          <w:rFonts w:hint="eastAsia" w:ascii="宋体" w:hAnsi="宋体" w:cs="Courier New"/>
          <w:color w:val="auto"/>
          <w:szCs w:val="21"/>
          <w:highlight w:val="none"/>
        </w:rPr>
        <w:t>　　（二）出现影响采购公正的违法、违规行为的；</w:t>
      </w:r>
      <w:r>
        <w:rPr>
          <w:rFonts w:hint="eastAsia" w:ascii="宋体" w:hAnsi="宋体" w:cs="Courier New"/>
          <w:color w:val="auto"/>
          <w:szCs w:val="21"/>
          <w:highlight w:val="none"/>
        </w:rPr>
        <w:br w:type="textWrapping"/>
      </w:r>
      <w:r>
        <w:rPr>
          <w:rFonts w:hint="eastAsia" w:ascii="宋体" w:hAnsi="宋体" w:cs="Courier New"/>
          <w:color w:val="auto"/>
          <w:szCs w:val="21"/>
          <w:highlight w:val="none"/>
        </w:rPr>
        <w:t>　　（三）在采购过程中符合竞争要求的供应商或者报价未超过采购预算的供应商不足3家的，但</w:t>
      </w:r>
      <w:r>
        <w:rPr>
          <w:rFonts w:hint="eastAsia" w:ascii="宋体" w:hAnsi="宋体" w:cs="宋体"/>
          <w:color w:val="auto"/>
          <w:szCs w:val="21"/>
          <w:highlight w:val="none"/>
        </w:rPr>
        <w:t>“第四章 评审程序和评定成交的标准”第</w:t>
      </w:r>
      <w:r>
        <w:rPr>
          <w:rFonts w:ascii="宋体" w:hAnsi="宋体" w:cs="宋体"/>
          <w:color w:val="auto"/>
          <w:szCs w:val="21"/>
          <w:highlight w:val="none"/>
        </w:rPr>
        <w:t>3</w:t>
      </w:r>
      <w:r>
        <w:rPr>
          <w:rFonts w:hint="eastAsia" w:ascii="宋体" w:hAnsi="宋体" w:cs="宋体"/>
          <w:color w:val="auto"/>
          <w:szCs w:val="21"/>
          <w:highlight w:val="none"/>
        </w:rPr>
        <w:t>.7条规定的情形除外</w:t>
      </w:r>
      <w:r>
        <w:rPr>
          <w:rFonts w:hint="eastAsia" w:ascii="宋体" w:hAnsi="宋体" w:cs="Courier New"/>
          <w:color w:val="auto"/>
          <w:szCs w:val="21"/>
          <w:highlight w:val="none"/>
        </w:rPr>
        <w:t>。</w:t>
      </w:r>
    </w:p>
    <w:p w14:paraId="47975D56">
      <w:pPr>
        <w:pStyle w:val="6"/>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27.4在采购活动中因重大变故，采购任务取消的，采购人或者采购代理机构应当终止采购活动，通知所有参加采购活动的供应商。</w:t>
      </w:r>
    </w:p>
    <w:p w14:paraId="1B5A3BAD">
      <w:pPr>
        <w:pStyle w:val="6"/>
        <w:spacing w:line="360" w:lineRule="auto"/>
        <w:ind w:firstLine="420" w:firstLineChars="200"/>
        <w:rPr>
          <w:rFonts w:hint="eastAsia" w:ascii="宋体" w:hAnsi="宋体" w:cs="Courier New"/>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7.</w:t>
      </w:r>
      <w:r>
        <w:rPr>
          <w:rFonts w:hint="eastAsia" w:ascii="宋体" w:hAnsi="宋体"/>
          <w:bCs/>
          <w:color w:val="auto"/>
          <w:szCs w:val="21"/>
          <w:highlight w:val="none"/>
        </w:rPr>
        <w:t>5</w:t>
      </w:r>
      <w:r>
        <w:rPr>
          <w:rFonts w:hint="eastAsia" w:ascii="宋体" w:hAnsi="宋体" w:cs="Courier New"/>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color w:val="auto"/>
          <w:szCs w:val="21"/>
          <w:highlight w:val="none"/>
        </w:rPr>
        <w:t>拒绝签订政府采购合同的成交供应商不得参加对该项目重新开展的采购活动。</w:t>
      </w:r>
    </w:p>
    <w:p w14:paraId="0DD3D41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3834ABA5">
      <w:pPr>
        <w:pStyle w:val="6"/>
        <w:spacing w:line="360" w:lineRule="auto"/>
        <w:ind w:firstLine="420" w:firstLineChars="200"/>
        <w:rPr>
          <w:rFonts w:hint="eastAsia"/>
          <w:color w:val="auto"/>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color w:val="auto"/>
          <w:highlight w:val="none"/>
        </w:rPr>
        <w:t>与采购人</w:t>
      </w:r>
      <w:r>
        <w:rPr>
          <w:rFonts w:hint="eastAsia" w:ascii="宋体" w:hAnsi="宋体" w:cs="宋体"/>
          <w:color w:val="auto"/>
          <w:szCs w:val="21"/>
          <w:highlight w:val="none"/>
        </w:rPr>
        <w:t>签订合同。</w:t>
      </w:r>
    </w:p>
    <w:p w14:paraId="02073EC5">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.2在履约保证金退还日期前，若成交供应商的开户名称、开户银行、帐号有变动的，请以书面形式通知履约保证金收取单位，否则由此产生的后果由成交供应商自负。</w:t>
      </w:r>
    </w:p>
    <w:p w14:paraId="5406F290">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5CCBBD9E">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.1成交供应商在收到成交通知书</w:t>
      </w:r>
      <w:r>
        <w:rPr>
          <w:rFonts w:hint="eastAsia" w:ascii="宋体" w:hAnsi="宋体"/>
          <w:color w:val="auto"/>
          <w:szCs w:val="21"/>
          <w:highlight w:val="none"/>
        </w:rPr>
        <w:t>（书面或电子）</w:t>
      </w:r>
      <w:r>
        <w:rPr>
          <w:rFonts w:hint="eastAsia" w:ascii="宋体" w:hAnsi="宋体" w:cs="宋体"/>
          <w:color w:val="auto"/>
          <w:szCs w:val="21"/>
          <w:highlight w:val="none"/>
        </w:rPr>
        <w:t>后，按“供应商须知前附表”规定向采购人出示相关证明材料，经采购人核验合格后方可签订合同</w:t>
      </w:r>
      <w:r>
        <w:rPr>
          <w:rFonts w:hint="eastAsia" w:ascii="宋体" w:hAnsi="宋体"/>
          <w:color w:val="auto"/>
          <w:szCs w:val="21"/>
          <w:highlight w:val="none"/>
        </w:rPr>
        <w:t>（书面或电子）</w:t>
      </w:r>
      <w:r>
        <w:rPr>
          <w:rFonts w:hint="eastAsia" w:ascii="宋体" w:hAnsi="宋体" w:cs="宋体"/>
          <w:color w:val="auto"/>
          <w:szCs w:val="21"/>
          <w:highlight w:val="none"/>
        </w:rPr>
        <w:t>。</w:t>
      </w:r>
      <w:r>
        <w:rPr>
          <w:rFonts w:hint="eastAsia" w:ascii="宋体" w:hAnsi="宋体"/>
          <w:color w:val="auto"/>
          <w:szCs w:val="21"/>
          <w:highlight w:val="none"/>
        </w:rPr>
        <w:t>如成交供应商为联合体的，</w:t>
      </w:r>
      <w:r>
        <w:rPr>
          <w:rFonts w:ascii="宋体" w:hAnsi="宋体"/>
          <w:color w:val="auto"/>
          <w:szCs w:val="21"/>
          <w:highlight w:val="none"/>
        </w:rPr>
        <w:t>联合体各方应当共同与采购人签订采购合同，就采购合同约定的事项对采购人承担连带责任。</w:t>
      </w:r>
    </w:p>
    <w:p w14:paraId="1FB41677">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.2 签订合同时间：按成交通知书的规定与采购人签订政府采购合同</w:t>
      </w:r>
      <w:r>
        <w:rPr>
          <w:rFonts w:hint="eastAsia" w:ascii="宋体" w:hAnsi="宋体"/>
          <w:color w:val="auto"/>
          <w:szCs w:val="21"/>
          <w:highlight w:val="none"/>
        </w:rPr>
        <w:t>（最长不能超过25日）</w:t>
      </w:r>
      <w:r>
        <w:rPr>
          <w:rFonts w:hint="eastAsia" w:ascii="宋体" w:hAnsi="宋体" w:cs="宋体"/>
          <w:color w:val="auto"/>
          <w:szCs w:val="21"/>
          <w:highlight w:val="none"/>
        </w:rPr>
        <w:t>。</w:t>
      </w:r>
    </w:p>
    <w:p w14:paraId="6961D0E0">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.3</w:t>
      </w:r>
      <w:r>
        <w:rPr>
          <w:rFonts w:hint="eastAsia" w:ascii="宋体" w:hAnsi="宋体"/>
          <w:color w:val="auto"/>
          <w:szCs w:val="21"/>
          <w:highlight w:val="none"/>
        </w:rPr>
        <w:t>成交供应商拒绝与采购人签订合同的，按照本须知正文第</w:t>
      </w:r>
      <w:r>
        <w:rPr>
          <w:rFonts w:ascii="宋体" w:hAnsi="宋体"/>
          <w:color w:val="auto"/>
          <w:szCs w:val="21"/>
          <w:highlight w:val="none"/>
        </w:rPr>
        <w:t>27.</w:t>
      </w:r>
      <w:r>
        <w:rPr>
          <w:rFonts w:hint="eastAsia" w:ascii="宋体" w:hAnsi="宋体"/>
          <w:color w:val="auto"/>
          <w:szCs w:val="21"/>
          <w:highlight w:val="none"/>
        </w:rPr>
        <w:t>5</w:t>
      </w:r>
      <w:r>
        <w:rPr>
          <w:rFonts w:ascii="宋体" w:hAnsi="宋体"/>
          <w:color w:val="auto"/>
          <w:szCs w:val="21"/>
          <w:highlight w:val="none"/>
        </w:rPr>
        <w:t>条的规定</w:t>
      </w:r>
      <w:r>
        <w:rPr>
          <w:rFonts w:hint="eastAsia" w:ascii="宋体" w:hAnsi="宋体"/>
          <w:color w:val="auto"/>
          <w:szCs w:val="21"/>
          <w:highlight w:val="none"/>
        </w:rPr>
        <w:t>执行</w:t>
      </w:r>
      <w:r>
        <w:rPr>
          <w:rFonts w:hint="eastAsia" w:ascii="宋体" w:hAnsi="宋体" w:cs="宋体"/>
          <w:color w:val="auto"/>
          <w:szCs w:val="21"/>
          <w:highlight w:val="none"/>
        </w:rPr>
        <w:t>。</w:t>
      </w:r>
    </w:p>
    <w:p w14:paraId="06EE489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42E4EF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09E306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2455AD2D">
      <w:pPr>
        <w:pStyle w:val="5"/>
        <w:spacing w:after="120" w:line="360" w:lineRule="auto"/>
        <w:rPr>
          <w:rFonts w:hint="eastAsia"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2104997B">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.2供应商认为谈判文件、采购过程或者成交结果使自己的合法权益受到损害的，应当在知道或者应知其权益受到损害之日起7个工作日内，以纸质书面形式向采购人、采购代理机构提出质疑，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1AB715F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2CB80A6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536B92F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26CA9D7C">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DB317A6">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046D1CF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A34CA5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49DC17C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3C4AAEF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0B7D9DA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366C57A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7AC7764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176E7C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4900E5B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（1）对采购文件提出的质疑，依法通过澄清或者修改可以继续开展采购活动的，澄清或者修改采购文件后继续开展采购活动；否则应当修改采购文件后重新开展采购活动。</w:t>
      </w:r>
    </w:p>
    <w:p w14:paraId="11A23F5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66EA118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5996292">
      <w:pPr>
        <w:spacing w:line="360" w:lineRule="auto"/>
        <w:ind w:firstLine="420" w:firstLineChars="200"/>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34F3DB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7B6E40C7">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.1代理服务费：代理服务收取标准及缴费账户详见“供应商须知前附表”。</w:t>
      </w:r>
    </w:p>
    <w:p w14:paraId="379B1D3A">
      <w:pPr>
        <w:spacing w:line="360" w:lineRule="auto"/>
        <w:ind w:firstLine="482" w:firstLineChars="200"/>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33. 需要补充的其他内容</w:t>
      </w:r>
    </w:p>
    <w:p w14:paraId="7F8F8116">
      <w:pPr>
        <w:pStyle w:val="11"/>
        <w:spacing w:line="360" w:lineRule="auto"/>
        <w:ind w:firstLine="420" w:firstLineChars="200"/>
        <w:contextualSpacing/>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55094261">
      <w:pPr>
        <w:spacing w:line="360" w:lineRule="auto"/>
        <w:ind w:firstLine="420" w:firstLineChars="200"/>
        <w:contextualSpacing/>
        <w:rPr>
          <w:rFonts w:hAnsi="宋体"/>
          <w:color w:val="auto"/>
          <w:highlight w:val="none"/>
        </w:rPr>
      </w:pPr>
      <w:r>
        <w:rPr>
          <w:rFonts w:ascii="宋体" w:hAnsi="宋体" w:cs="宋体"/>
          <w:color w:val="auto"/>
          <w:kern w:val="0"/>
          <w:szCs w:val="21"/>
          <w:highlight w:val="none"/>
        </w:rPr>
        <w:t>33.2</w:t>
      </w:r>
      <w:r>
        <w:rPr>
          <w:rFonts w:hint="eastAsia" w:ascii="宋体" w:hAnsi="宋体" w:cs="宋体"/>
          <w:color w:val="auto"/>
          <w:kern w:val="0"/>
          <w:szCs w:val="21"/>
          <w:highlight w:val="none"/>
        </w:rPr>
        <w:t xml:space="preserve"> 其他事</w:t>
      </w:r>
      <w:r>
        <w:rPr>
          <w:rFonts w:hint="eastAsia" w:hAnsi="宋体"/>
          <w:color w:val="auto"/>
          <w:highlight w:val="none"/>
        </w:rPr>
        <w:t>项详见“供应商须知前附表”。</w:t>
      </w:r>
    </w:p>
    <w:p w14:paraId="78DECB57">
      <w:pPr>
        <w:pStyle w:val="11"/>
        <w:spacing w:line="360" w:lineRule="auto"/>
        <w:ind w:firstLine="400" w:firstLineChars="200"/>
        <w:contextualSpacing/>
        <w:rPr>
          <w:rFonts w:hint="eastAsia" w:hAnsi="宋体"/>
          <w:color w:val="auto"/>
          <w:sz w:val="21"/>
          <w:highlight w:val="none"/>
        </w:rPr>
      </w:pPr>
      <w:r>
        <w:rPr>
          <w:rFonts w:hint="eastAsia" w:hAnsi="宋体"/>
          <w:color w:val="auto"/>
          <w:highlight w:val="none"/>
        </w:rPr>
        <w:t>3</w:t>
      </w:r>
      <w:r>
        <w:rPr>
          <w:rFonts w:hAnsi="宋体"/>
          <w:color w:val="auto"/>
          <w:highlight w:val="none"/>
        </w:rPr>
        <w:t>3.3</w:t>
      </w:r>
      <w:bookmarkStart w:id="42" w:name="_Hlk65857140"/>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38B26B49">
      <w:pPr>
        <w:pStyle w:val="11"/>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FF3A854">
      <w:pPr>
        <w:pStyle w:val="11"/>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627DE09F">
      <w:pPr>
        <w:pStyle w:val="11"/>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120C4B3">
      <w:pPr>
        <w:pStyle w:val="11"/>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03969696">
      <w:pPr>
        <w:spacing w:line="360" w:lineRule="auto"/>
        <w:ind w:firstLine="420" w:firstLineChars="200"/>
        <w:contextualSpacing/>
        <w:rPr>
          <w:rFonts w:hint="eastAsia" w:ascii="宋体" w:hAnsi="宋体" w:cs="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bookmarkEnd w:id="42"/>
    </w:p>
    <w:p w14:paraId="7516F664">
      <w:pPr>
        <w:spacing w:line="360" w:lineRule="auto"/>
        <w:ind w:firstLine="482" w:firstLineChars="200"/>
        <w:contextualSpacing/>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4</w:t>
      </w:r>
      <w:r>
        <w:rPr>
          <w:rFonts w:hint="eastAsia" w:ascii="黑体" w:hAnsi="黑体" w:eastAsia="黑体" w:cs="宋体"/>
          <w:b/>
          <w:bCs/>
          <w:color w:val="auto"/>
          <w:sz w:val="24"/>
          <w:highlight w:val="none"/>
        </w:rPr>
        <w:t>. 政采贷相关说明</w:t>
      </w:r>
    </w:p>
    <w:p w14:paraId="1CCD2C86">
      <w:pPr>
        <w:widowControl w:val="0"/>
        <w:spacing w:line="360" w:lineRule="auto"/>
        <w:ind w:firstLine="420" w:firstLineChars="200"/>
        <w:jc w:val="both"/>
        <w:textAlignment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为优化政府采购营商环境，缓解供应商资金难题，南宁市政府采购试行政府采购信用融资制度，中标供应商如有融资需求，可凭政府采购合同通过以下方式申请政府采购信用融资贷款：</w:t>
      </w:r>
    </w:p>
    <w:p w14:paraId="3207A205">
      <w:pPr>
        <w:widowControl w:val="0"/>
        <w:numPr>
          <w:ilvl w:val="0"/>
          <w:numId w:val="2"/>
        </w:numPr>
        <w:spacing w:line="360" w:lineRule="auto"/>
        <w:ind w:firstLine="420" w:firstLineChars="200"/>
        <w:jc w:val="both"/>
        <w:textAlignment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线下渠道：在“南宁市公共资源交易中心”官网（网址：</w:t>
      </w:r>
      <w:r>
        <w:rPr>
          <w:rFonts w:hint="eastAsia" w:ascii="宋体" w:hAnsi="宋体" w:eastAsia="宋体" w:cs="Times New Roman"/>
          <w:kern w:val="0"/>
          <w:sz w:val="21"/>
          <w:szCs w:val="21"/>
          <w:lang w:val="en-US" w:eastAsia="zh-CN" w:bidi="ar-SA"/>
        </w:rPr>
        <w:fldChar w:fldCharType="begin"/>
      </w:r>
      <w:r>
        <w:rPr>
          <w:rFonts w:hint="eastAsia" w:ascii="宋体" w:hAnsi="宋体" w:eastAsia="宋体" w:cs="Times New Roman"/>
          <w:kern w:val="0"/>
          <w:sz w:val="21"/>
          <w:szCs w:val="21"/>
          <w:lang w:val="en-US" w:eastAsia="zh-CN" w:bidi="ar-SA"/>
        </w:rPr>
        <w:instrText xml:space="preserve"> HYPERLINK "http://www.nnggzy.org.cn）\“交易信息-政府采购-政府采购信用融资\”中融资银行和南宁市企业融资服务中心专栏信息申请政府采购信用融资。" </w:instrText>
      </w:r>
      <w:r>
        <w:rPr>
          <w:rFonts w:hint="eastAsia" w:ascii="宋体" w:hAnsi="宋体" w:eastAsia="宋体" w:cs="Times New Roman"/>
          <w:kern w:val="0"/>
          <w:sz w:val="21"/>
          <w:szCs w:val="21"/>
          <w:lang w:val="en-US" w:eastAsia="zh-CN" w:bidi="ar-SA"/>
        </w:rPr>
        <w:fldChar w:fldCharType="separate"/>
      </w:r>
      <w:r>
        <w:rPr>
          <w:rStyle w:val="19"/>
          <w:rFonts w:hint="eastAsia" w:ascii="Times New Roman" w:hAnsi="宋体" w:eastAsia="宋体" w:cs="Times New Roman"/>
          <w:kern w:val="2"/>
          <w:sz w:val="21"/>
          <w:szCs w:val="24"/>
          <w:lang w:val="en-US" w:eastAsia="zh-CN" w:bidi="ar-SA"/>
        </w:rPr>
        <w:t>http://www.nnggzy.org.cn）“交易信息-政府采购-政府采购信用融资”中融资银行和南宁市企业融资服务中心专栏信息申请政府采购信用融资。</w:t>
      </w:r>
      <w:r>
        <w:rPr>
          <w:rFonts w:hint="eastAsia" w:ascii="宋体" w:hAnsi="宋体" w:eastAsia="宋体" w:cs="Times New Roman"/>
          <w:kern w:val="0"/>
          <w:sz w:val="21"/>
          <w:szCs w:val="21"/>
          <w:lang w:val="en-US" w:eastAsia="zh-CN" w:bidi="ar-SA"/>
        </w:rPr>
        <w:fldChar w:fldCharType="end"/>
      </w:r>
    </w:p>
    <w:p w14:paraId="57BE3FE9">
      <w:pPr>
        <w:pStyle w:val="11"/>
        <w:numPr>
          <w:ilvl w:val="0"/>
          <w:numId w:val="2"/>
        </w:numPr>
        <w:spacing w:line="360" w:lineRule="auto"/>
        <w:ind w:firstLine="402" w:firstLineChars="200"/>
        <w:textAlignment w:val="center"/>
        <w:rPr>
          <w:rFonts w:hint="eastAsia"/>
        </w:rPr>
      </w:pPr>
      <w:r>
        <w:rPr>
          <w:rFonts w:hint="eastAsia" w:ascii="宋体" w:hAnsi="宋体" w:eastAsia="宋体" w:cs="Times New Roman"/>
          <w:b/>
          <w:kern w:val="0"/>
          <w:sz w:val="20"/>
          <w:szCs w:val="21"/>
          <w:lang w:val="en-US" w:eastAsia="zh-CN" w:bidi="ar-SA"/>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eastAsia="宋体" w:cs="Times New Roman"/>
          <w:b/>
          <w:kern w:val="0"/>
          <w:sz w:val="20"/>
          <w:szCs w:val="21"/>
          <w:lang w:val="en-US" w:eastAsia="zh-CN" w:bidi="ar-SA"/>
        </w:rPr>
        <w:br w:type="page"/>
      </w:r>
    </w:p>
    <w:p w14:paraId="5066415D">
      <w:pPr>
        <w:pStyle w:val="2"/>
        <w:spacing w:line="360" w:lineRule="auto"/>
        <w:jc w:val="center"/>
        <w:rPr>
          <w:rFonts w:hint="eastAsia" w:hAnsi="宋体"/>
          <w:color w:val="auto"/>
          <w:sz w:val="32"/>
          <w:szCs w:val="32"/>
          <w:highlight w:val="none"/>
        </w:rPr>
      </w:pPr>
      <w:bookmarkStart w:id="43" w:name="_Toc27253"/>
      <w:bookmarkStart w:id="44" w:name="_Toc26837"/>
      <w:bookmarkStart w:id="45" w:name="_Toc74322010"/>
      <w:r>
        <w:rPr>
          <w:rFonts w:hint="eastAsia"/>
          <w:color w:val="auto"/>
          <w:highlight w:val="none"/>
        </w:rPr>
        <w:t>第三章 采购需求</w:t>
      </w:r>
      <w:bookmarkEnd w:id="43"/>
      <w:bookmarkEnd w:id="44"/>
      <w:bookmarkEnd w:id="45"/>
    </w:p>
    <w:p w14:paraId="58E1A94D">
      <w:pPr>
        <w:spacing w:line="360" w:lineRule="auto"/>
        <w:jc w:val="left"/>
        <w:rPr>
          <w:rFonts w:hint="eastAsia" w:ascii="宋体" w:hAnsi="宋体" w:cs="宋体"/>
          <w:b/>
          <w:color w:val="auto"/>
          <w:szCs w:val="21"/>
          <w:highlight w:val="none"/>
        </w:rPr>
      </w:pPr>
      <w:bookmarkStart w:id="46" w:name="_Hlk48036094"/>
      <w:r>
        <w:rPr>
          <w:rFonts w:hint="eastAsia" w:ascii="宋体" w:hAnsi="宋体" w:cs="宋体"/>
          <w:b/>
          <w:color w:val="auto"/>
          <w:szCs w:val="21"/>
          <w:highlight w:val="none"/>
        </w:rPr>
        <w:t>说明：</w:t>
      </w:r>
    </w:p>
    <w:p w14:paraId="15838D58">
      <w:pPr>
        <w:spacing w:line="360" w:lineRule="auto"/>
        <w:ind w:firstLine="422" w:firstLineChars="200"/>
        <w:jc w:val="left"/>
        <w:rPr>
          <w:rFonts w:hint="eastAsia"/>
          <w:b/>
          <w:bCs/>
          <w:color w:val="auto"/>
          <w:highlight w:val="none"/>
        </w:rPr>
      </w:pPr>
      <w:r>
        <w:rPr>
          <w:rFonts w:hint="eastAsia"/>
          <w:b/>
          <w:bCs/>
          <w:color w:val="auto"/>
          <w:highlight w:val="none"/>
        </w:rPr>
        <w:t>1.为落实政府采购政策需满足的要求</w:t>
      </w:r>
    </w:p>
    <w:p w14:paraId="17A6B0E5">
      <w:pPr>
        <w:spacing w:line="360" w:lineRule="auto"/>
        <w:ind w:firstLine="422" w:firstLineChars="200"/>
        <w:jc w:val="left"/>
        <w:rPr>
          <w:rFonts w:hint="eastAsia"/>
          <w:b/>
          <w:bCs/>
          <w:color w:val="auto"/>
          <w:highlight w:val="none"/>
        </w:rPr>
      </w:pPr>
      <w:r>
        <w:rPr>
          <w:rFonts w:hint="eastAsia"/>
          <w:b/>
          <w:bCs/>
          <w:color w:val="auto"/>
          <w:highlight w:val="none"/>
        </w:rPr>
        <w:t>（1）本竞争性谈判采购文件所称中小企业必须符合《政府采购促进中小企业发展管理办法》（财库〔2020〕46号）的规定。</w:t>
      </w:r>
    </w:p>
    <w:p w14:paraId="5E2212D7">
      <w:pPr>
        <w:spacing w:line="360" w:lineRule="auto"/>
        <w:ind w:firstLine="422" w:firstLineChars="200"/>
        <w:jc w:val="left"/>
        <w:rPr>
          <w:rFonts w:hint="eastAsia"/>
          <w:b/>
          <w:bCs/>
          <w:color w:val="auto"/>
          <w:highlight w:val="none"/>
        </w:rPr>
      </w:pPr>
      <w:r>
        <w:rPr>
          <w:rFonts w:hint="eastAsia"/>
          <w:b/>
          <w:bCs/>
          <w:color w:val="auto"/>
          <w:highlight w:val="none"/>
        </w:rPr>
        <w:t>2.“实质性要求”是指采购需求中带“▲”的条款或者不能负偏离的条款或者已经指明不满足按响应文件作无效处理的条款。</w:t>
      </w:r>
    </w:p>
    <w:p w14:paraId="64D1E612">
      <w:pPr>
        <w:spacing w:line="360" w:lineRule="auto"/>
        <w:ind w:firstLine="422" w:firstLineChars="200"/>
        <w:jc w:val="left"/>
        <w:rPr>
          <w:rFonts w:hint="eastAsia"/>
          <w:b/>
          <w:bCs/>
          <w:color w:val="auto"/>
          <w:highlight w:val="none"/>
        </w:rPr>
      </w:pPr>
      <w:r>
        <w:rPr>
          <w:rFonts w:hint="eastAsia"/>
          <w:b/>
          <w:bCs/>
          <w:color w:val="auto"/>
          <w:highlight w:val="none"/>
        </w:rPr>
        <w:t>3.供应商必须自行为其竞标产品侵犯他人的知识产权或者专利成果的行为承担相应法律责任。</w:t>
      </w:r>
    </w:p>
    <w:p w14:paraId="1838E12A">
      <w:pPr>
        <w:spacing w:line="360" w:lineRule="auto"/>
        <w:ind w:firstLine="422" w:firstLineChars="200"/>
        <w:jc w:val="left"/>
        <w:rPr>
          <w:rFonts w:ascii="宋体" w:hAnsi="宋体" w:cs="Arial"/>
          <w:bCs/>
          <w:color w:val="auto"/>
          <w:szCs w:val="21"/>
          <w:highlight w:val="none"/>
          <w:u w:val="single"/>
        </w:rPr>
      </w:pPr>
      <w:r>
        <w:rPr>
          <w:rFonts w:hint="eastAsia" w:ascii="宋体" w:hAnsi="宋体" w:cs="Arial"/>
          <w:b/>
          <w:color w:val="auto"/>
          <w:szCs w:val="21"/>
          <w:highlight w:val="none"/>
        </w:rPr>
        <w:t>4.本项目中小企业划分标准所属行业名称：建筑业。</w:t>
      </w:r>
    </w:p>
    <w:tbl>
      <w:tblPr>
        <w:tblStyle w:val="17"/>
        <w:tblW w:w="9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977"/>
        <w:gridCol w:w="933"/>
        <w:gridCol w:w="7124"/>
      </w:tblGrid>
      <w:tr w14:paraId="26585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8" w:type="dxa"/>
            <w:noWrap w:val="0"/>
            <w:vAlign w:val="center"/>
          </w:tcPr>
          <w:p w14:paraId="007DEFEC">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977" w:type="dxa"/>
            <w:noWrap w:val="0"/>
            <w:vAlign w:val="center"/>
          </w:tcPr>
          <w:p w14:paraId="4084BCD7">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933" w:type="dxa"/>
            <w:noWrap w:val="0"/>
            <w:vAlign w:val="center"/>
          </w:tcPr>
          <w:p w14:paraId="6C3E1636">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7124" w:type="dxa"/>
            <w:noWrap w:val="0"/>
            <w:vAlign w:val="center"/>
          </w:tcPr>
          <w:p w14:paraId="5CDA396D">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eastAsia="宋体" w:cs="宋体"/>
                <w:color w:val="auto"/>
                <w:kern w:val="0"/>
                <w:sz w:val="24"/>
                <w:szCs w:val="24"/>
                <w:highlight w:val="none"/>
                <w:lang w:eastAsia="zh-CN"/>
              </w:rPr>
              <w:t>技</w:t>
            </w:r>
            <w:r>
              <w:rPr>
                <w:rFonts w:hint="eastAsia" w:ascii="宋体" w:hAnsi="宋体" w:eastAsia="宋体" w:cs="宋体"/>
                <w:color w:val="auto"/>
                <w:kern w:val="0"/>
                <w:sz w:val="24"/>
                <w:szCs w:val="24"/>
                <w:highlight w:val="none"/>
                <w:lang w:val="en-US" w:eastAsia="zh-CN"/>
              </w:rPr>
              <w:t>术</w:t>
            </w:r>
            <w:r>
              <w:rPr>
                <w:rFonts w:hint="eastAsia" w:ascii="宋体" w:hAnsi="宋体" w:eastAsia="宋体" w:cs="宋体"/>
                <w:color w:val="auto"/>
                <w:kern w:val="0"/>
                <w:sz w:val="24"/>
                <w:szCs w:val="24"/>
                <w:highlight w:val="none"/>
              </w:rPr>
              <w:t>需求</w:t>
            </w:r>
          </w:p>
        </w:tc>
      </w:tr>
      <w:tr w14:paraId="5656F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jc w:val="center"/>
        </w:trPr>
        <w:tc>
          <w:tcPr>
            <w:tcW w:w="648" w:type="dxa"/>
            <w:noWrap w:val="0"/>
            <w:vAlign w:val="center"/>
          </w:tcPr>
          <w:p w14:paraId="03611BCC">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77" w:type="dxa"/>
            <w:noWrap w:val="0"/>
            <w:vAlign w:val="center"/>
          </w:tcPr>
          <w:p w14:paraId="4273B312">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南宁市社会福利院提升改造工程(一期)0.4KV电线路迁改及配电房整合优化工程</w:t>
            </w:r>
          </w:p>
        </w:tc>
        <w:tc>
          <w:tcPr>
            <w:tcW w:w="933" w:type="dxa"/>
            <w:noWrap w:val="0"/>
            <w:vAlign w:val="center"/>
          </w:tcPr>
          <w:p w14:paraId="0713D49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7124" w:type="dxa"/>
            <w:noWrap w:val="0"/>
            <w:vAlign w:val="center"/>
          </w:tcPr>
          <w:p w14:paraId="60FA8AD5">
            <w:pPr>
              <w:pStyle w:val="22"/>
              <w:numPr>
                <w:ilvl w:val="0"/>
                <w:numId w:val="0"/>
              </w:numPr>
              <w:spacing w:line="276" w:lineRule="auto"/>
              <w:rPr>
                <w:rFonts w:hint="eastAsia" w:ascii="宋体" w:hAnsi="宋体" w:eastAsia="宋体" w:cs="宋体"/>
                <w:color w:val="auto"/>
                <w:szCs w:val="21"/>
                <w:highlight w:val="none"/>
                <w:lang w:val="en-US" w:eastAsia="zh-CN"/>
              </w:rPr>
            </w:pPr>
            <w:r>
              <w:rPr>
                <w:rFonts w:hint="eastAsia"/>
                <w:color w:val="auto"/>
                <w:highlight w:val="none"/>
                <w:lang w:val="en-US" w:eastAsia="zh-CN"/>
              </w:rPr>
              <w:t>1、工程内容</w:t>
            </w:r>
            <w:r>
              <w:rPr>
                <w:rFonts w:hint="eastAsia"/>
                <w:color w:val="auto"/>
                <w:highlight w:val="none"/>
                <w:lang w:eastAsia="zh-CN"/>
              </w:rPr>
              <w:t>：</w:t>
            </w:r>
            <w:r>
              <w:rPr>
                <w:rFonts w:hint="eastAsia" w:ascii="宋体" w:hAnsi="宋体" w:cs="宋体"/>
                <w:color w:val="auto"/>
                <w:szCs w:val="21"/>
                <w:lang w:eastAsia="zh-CN"/>
              </w:rPr>
              <w:t>南宁市社会福利院提升改造工程(一期)0.4KV电线路迁改及配电房整合优化工程</w:t>
            </w:r>
            <w:r>
              <w:rPr>
                <w:rFonts w:hint="eastAsia" w:ascii="宋体" w:hAnsi="宋体" w:cs="宋体"/>
                <w:color w:val="auto"/>
                <w:szCs w:val="21"/>
                <w:lang w:val="en-US" w:eastAsia="zh-CN"/>
              </w:rPr>
              <w:t>一项</w:t>
            </w:r>
            <w:r>
              <w:rPr>
                <w:rFonts w:hint="eastAsia"/>
                <w:color w:val="auto"/>
                <w:highlight w:val="none"/>
                <w:lang w:eastAsia="zh-CN"/>
              </w:rPr>
              <w:t>，</w:t>
            </w:r>
            <w:r>
              <w:t>拆除原有两层配电房1座以及配套设备、电缆；新建配电房一座，新增变压器1台，高压柜3面，</w:t>
            </w:r>
            <w:r>
              <w:rPr>
                <w:spacing w:val="-1"/>
              </w:rPr>
              <w:t>低压柜6面</w:t>
            </w:r>
            <w:r>
              <w:rPr>
                <w:rFonts w:hint="eastAsia"/>
                <w:spacing w:val="-1"/>
                <w:lang w:eastAsia="zh-CN"/>
              </w:rPr>
              <w:t>；</w:t>
            </w:r>
            <w:r>
              <w:rPr>
                <w:rFonts w:hint="eastAsia" w:hAnsi="宋体" w:cs="宋体"/>
                <w:color w:val="auto"/>
                <w:sz w:val="21"/>
                <w:highlight w:val="none"/>
              </w:rPr>
              <w:t>具体详见工程量清单</w:t>
            </w:r>
            <w:r>
              <w:rPr>
                <w:rFonts w:hint="eastAsia"/>
                <w:color w:val="auto"/>
                <w:highlight w:val="none"/>
                <w:lang w:eastAsia="zh-CN"/>
              </w:rPr>
              <w:t>。</w:t>
            </w:r>
          </w:p>
          <w:p w14:paraId="7FBEE2C0">
            <w:pPr>
              <w:pStyle w:val="22"/>
              <w:numPr>
                <w:ilvl w:val="0"/>
                <w:numId w:val="0"/>
              </w:numPr>
              <w:spacing w:line="276"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2、工程建设地点：</w:t>
            </w:r>
            <w:r>
              <w:rPr>
                <w:rFonts w:hint="eastAsia" w:ascii="宋体" w:hAnsi="宋体"/>
                <w:color w:val="auto"/>
                <w:szCs w:val="21"/>
                <w:highlight w:val="none"/>
                <w:lang w:eastAsia="zh-CN"/>
              </w:rPr>
              <w:t>南宁市社会福利院</w:t>
            </w:r>
            <w:r>
              <w:rPr>
                <w:rFonts w:hint="eastAsia" w:ascii="宋体" w:hAnsi="宋体"/>
                <w:color w:val="auto"/>
                <w:szCs w:val="21"/>
                <w:highlight w:val="none"/>
                <w:lang w:val="en-US" w:eastAsia="zh-CN"/>
              </w:rPr>
              <w:t>内</w:t>
            </w:r>
          </w:p>
          <w:p w14:paraId="2CA68716">
            <w:pPr>
              <w:pStyle w:val="22"/>
              <w:numPr>
                <w:ilvl w:val="0"/>
                <w:numId w:val="0"/>
              </w:numPr>
              <w:spacing w:line="276" w:lineRule="auto"/>
              <w:rPr>
                <w:rFonts w:hint="eastAsia" w:ascii="宋体" w:hAnsi="宋体" w:eastAsia="宋体" w:cs="宋体"/>
                <w:color w:val="auto"/>
                <w:sz w:val="21"/>
                <w:szCs w:val="21"/>
                <w:highlight w:val="none"/>
                <w:u w:val="none"/>
              </w:rPr>
            </w:pPr>
            <w:r>
              <w:rPr>
                <w:rFonts w:hint="eastAsia" w:ascii="宋体" w:hAnsi="宋体"/>
                <w:color w:val="auto"/>
                <w:szCs w:val="21"/>
                <w:highlight w:val="none"/>
              </w:rPr>
              <w:t>▲</w:t>
            </w:r>
            <w:r>
              <w:rPr>
                <w:rFonts w:hint="eastAsia" w:ascii="宋体" w:hAnsi="宋体" w:eastAsia="宋体" w:cs="宋体"/>
                <w:color w:val="auto"/>
                <w:sz w:val="21"/>
                <w:szCs w:val="21"/>
                <w:highlight w:val="none"/>
                <w:u w:val="none"/>
                <w:lang w:val="en-US" w:eastAsia="zh-CN"/>
              </w:rPr>
              <w:t>3、工期：</w:t>
            </w:r>
            <w:r>
              <w:rPr>
                <w:rFonts w:hint="eastAsia" w:ascii="宋体" w:hAnsi="宋体" w:cs="宋体"/>
                <w:color w:val="auto"/>
                <w:sz w:val="21"/>
                <w:szCs w:val="21"/>
                <w:highlight w:val="none"/>
                <w:u w:val="none"/>
                <w:lang w:val="en-US" w:eastAsia="zh-CN"/>
              </w:rPr>
              <w:t>55</w:t>
            </w:r>
            <w:r>
              <w:rPr>
                <w:rFonts w:hint="eastAsia" w:ascii="宋体" w:hAnsi="宋体" w:eastAsia="宋体" w:cs="宋体"/>
                <w:color w:val="auto"/>
                <w:sz w:val="21"/>
                <w:szCs w:val="21"/>
                <w:highlight w:val="none"/>
                <w:u w:val="none"/>
                <w:lang w:val="en-US" w:eastAsia="zh-CN"/>
              </w:rPr>
              <w:t>日历天</w:t>
            </w:r>
            <w:r>
              <w:rPr>
                <w:rFonts w:hint="eastAsia" w:ascii="宋体" w:hAnsi="宋体" w:eastAsia="宋体" w:cs="宋体"/>
                <w:color w:val="auto"/>
                <w:sz w:val="21"/>
                <w:szCs w:val="21"/>
                <w:highlight w:val="none"/>
                <w:u w:val="none"/>
              </w:rPr>
              <w:t>。</w:t>
            </w:r>
          </w:p>
          <w:p w14:paraId="6E0508CD">
            <w:pPr>
              <w:pStyle w:val="22"/>
              <w:numPr>
                <w:ilvl w:val="0"/>
                <w:numId w:val="0"/>
              </w:numPr>
              <w:spacing w:line="276" w:lineRule="auto"/>
              <w:rPr>
                <w:rFonts w:hint="default" w:ascii="宋体" w:hAnsi="宋体" w:eastAsia="宋体" w:cs="宋体"/>
                <w:color w:val="auto"/>
                <w:sz w:val="21"/>
                <w:szCs w:val="21"/>
                <w:highlight w:val="none"/>
                <w:u w:val="none"/>
                <w:lang w:val="en-US" w:eastAsia="zh-CN"/>
              </w:rPr>
            </w:pPr>
            <w:r>
              <w:rPr>
                <w:rFonts w:hint="eastAsia" w:ascii="宋体" w:hAnsi="宋体"/>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安全要求</w:t>
            </w:r>
            <w:r>
              <w:rPr>
                <w:rFonts w:hint="eastAsia" w:ascii="宋体" w:hAnsi="宋体"/>
                <w:bCs/>
                <w:color w:val="auto"/>
                <w:szCs w:val="21"/>
                <w:highlight w:val="none"/>
                <w:lang w:eastAsia="zh-CN"/>
              </w:rPr>
              <w:t>：</w:t>
            </w:r>
            <w:r>
              <w:rPr>
                <w:rFonts w:hint="eastAsia" w:ascii="宋体" w:hAnsi="宋体"/>
                <w:bCs/>
                <w:color w:val="auto"/>
                <w:szCs w:val="21"/>
                <w:highlight w:val="none"/>
              </w:rPr>
              <w:t>无安全生产责任事故。</w:t>
            </w:r>
          </w:p>
          <w:p w14:paraId="2626F334">
            <w:pPr>
              <w:pStyle w:val="22"/>
              <w:numPr>
                <w:ilvl w:val="0"/>
                <w:numId w:val="0"/>
              </w:numPr>
              <w:spacing w:line="276" w:lineRule="auto"/>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5、建设标准：执行国家现行的有关的工程建设标准、技术规范及强制性标准条文、以及施工图纸载明的其他有关规范标准。</w:t>
            </w:r>
          </w:p>
          <w:p w14:paraId="121A3C74">
            <w:pPr>
              <w:pStyle w:val="22"/>
              <w:numPr>
                <w:ilvl w:val="0"/>
                <w:numId w:val="0"/>
              </w:numPr>
              <w:spacing w:line="276" w:lineRule="auto"/>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6、质量要求：</w:t>
            </w:r>
            <w:r>
              <w:rPr>
                <w:rFonts w:hint="eastAsia"/>
                <w:color w:val="auto"/>
                <w:highlight w:val="none"/>
              </w:rPr>
              <w:t>达到现行国家验收规范合格标准</w:t>
            </w:r>
            <w:r>
              <w:rPr>
                <w:rFonts w:hint="eastAsia"/>
                <w:color w:val="auto"/>
                <w:highlight w:val="none"/>
                <w:lang w:eastAsia="zh-CN"/>
              </w:rPr>
              <w:t>。</w:t>
            </w:r>
          </w:p>
          <w:p w14:paraId="78DC2426">
            <w:pPr>
              <w:spacing w:line="400" w:lineRule="exact"/>
              <w:rPr>
                <w:rFonts w:hint="eastAsia"/>
                <w:color w:val="auto"/>
                <w:highlight w:val="none"/>
              </w:rPr>
            </w:pPr>
            <w:r>
              <w:rPr>
                <w:color w:val="auto"/>
                <w:highlight w:val="none"/>
              </w:rPr>
              <w:t>▲</w:t>
            </w:r>
            <w:r>
              <w:rPr>
                <w:rFonts w:hint="eastAsia"/>
                <w:color w:val="auto"/>
                <w:highlight w:val="none"/>
                <w:lang w:val="en-US" w:eastAsia="zh-CN"/>
              </w:rPr>
              <w:t>7</w:t>
            </w:r>
            <w:r>
              <w:rPr>
                <w:rFonts w:hint="eastAsia"/>
                <w:color w:val="auto"/>
                <w:highlight w:val="none"/>
              </w:rPr>
              <w:t>、人员要求：</w:t>
            </w:r>
          </w:p>
          <w:p w14:paraId="30D3A896">
            <w:pPr>
              <w:spacing w:line="400" w:lineRule="exact"/>
              <w:rPr>
                <w:rFonts w:hint="eastAsia"/>
                <w:color w:val="auto"/>
                <w:highlight w:val="none"/>
              </w:rPr>
            </w:pPr>
            <w:r>
              <w:rPr>
                <w:rFonts w:hint="eastAsia"/>
                <w:color w:val="auto"/>
                <w:highlight w:val="none"/>
              </w:rPr>
              <w:t>（1）项目经理：</w:t>
            </w:r>
            <w:r>
              <w:rPr>
                <w:rFonts w:hint="eastAsia"/>
                <w:color w:val="auto"/>
                <w:highlight w:val="none"/>
                <w:lang w:val="en-US" w:eastAsia="zh-CN"/>
              </w:rPr>
              <w:t>供应商</w:t>
            </w:r>
            <w:r>
              <w:rPr>
                <w:rFonts w:hint="eastAsia"/>
                <w:color w:val="auto"/>
                <w:highlight w:val="none"/>
              </w:rPr>
              <w:t>拟派</w:t>
            </w:r>
            <w:r>
              <w:rPr>
                <w:rFonts w:hint="eastAsia"/>
                <w:color w:val="auto"/>
                <w:highlight w:val="none"/>
                <w:lang w:eastAsia="zh-CN"/>
              </w:rPr>
              <w:t>拟任项目经理须具备机电工程专业二级注册建造师资格，具有省级（或以上）主管部门颁发的有效的《安全生产考核合格证书》（B类）</w:t>
            </w:r>
            <w:r>
              <w:rPr>
                <w:rFonts w:hint="eastAsia"/>
                <w:color w:val="auto"/>
                <w:highlight w:val="none"/>
              </w:rPr>
              <w:t>，</w:t>
            </w:r>
            <w:r>
              <w:rPr>
                <w:rFonts w:hint="eastAsia" w:ascii="宋体" w:hAnsi="宋体" w:cs="宋体"/>
                <w:color w:val="auto"/>
                <w:szCs w:val="21"/>
                <w:highlight w:val="none"/>
              </w:rPr>
              <w:t>且未担任其他在建项目或已中标未开工项目或已列为项目第一中标/成交候选人项目的项目经理。</w:t>
            </w:r>
            <w:r>
              <w:rPr>
                <w:rFonts w:hint="eastAsia"/>
                <w:color w:val="auto"/>
                <w:highlight w:val="none"/>
              </w:rPr>
              <w:t>提供供应商为其依法缴纳社会保险</w:t>
            </w:r>
            <w:r>
              <w:rPr>
                <w:color w:val="auto"/>
                <w:highlight w:val="none"/>
              </w:rPr>
              <w:t>（</w:t>
            </w:r>
            <w:r>
              <w:rPr>
                <w:rFonts w:hint="eastAsia"/>
                <w:color w:val="auto"/>
                <w:highlight w:val="none"/>
              </w:rPr>
              <w:t>20</w:t>
            </w:r>
            <w:r>
              <w:rPr>
                <w:rFonts w:hint="eastAsia"/>
                <w:color w:val="auto"/>
                <w:highlight w:val="none"/>
                <w:lang w:val="en-US" w:eastAsia="zh-CN"/>
              </w:rPr>
              <w:t>25</w:t>
            </w:r>
            <w:r>
              <w:rPr>
                <w:color w:val="auto"/>
                <w:highlight w:val="none"/>
              </w:rPr>
              <w:t>年</w:t>
            </w:r>
            <w:r>
              <w:rPr>
                <w:rFonts w:hint="eastAsia"/>
                <w:color w:val="auto"/>
                <w:highlight w:val="none"/>
                <w:lang w:val="en-US" w:eastAsia="zh-CN"/>
              </w:rPr>
              <w:t>6</w:t>
            </w:r>
            <w:r>
              <w:rPr>
                <w:color w:val="auto"/>
                <w:highlight w:val="none"/>
              </w:rPr>
              <w:t>月至</w:t>
            </w:r>
            <w:r>
              <w:rPr>
                <w:rFonts w:hint="eastAsia"/>
                <w:color w:val="auto"/>
                <w:highlight w:val="none"/>
              </w:rPr>
              <w:t>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11</w:t>
            </w:r>
            <w:r>
              <w:rPr>
                <w:color w:val="auto"/>
                <w:highlight w:val="none"/>
              </w:rPr>
              <w:t>月内</w:t>
            </w:r>
            <w:r>
              <w:rPr>
                <w:rFonts w:hint="eastAsia"/>
                <w:color w:val="auto"/>
                <w:highlight w:val="none"/>
              </w:rPr>
              <w:t>任意</w:t>
            </w:r>
            <w:r>
              <w:rPr>
                <w:color w:val="auto"/>
                <w:highlight w:val="none"/>
              </w:rPr>
              <w:t>连续</w:t>
            </w:r>
            <w:r>
              <w:rPr>
                <w:rFonts w:hint="eastAsia"/>
                <w:color w:val="auto"/>
                <w:highlight w:val="none"/>
              </w:rPr>
              <w:t>3</w:t>
            </w:r>
            <w:r>
              <w:rPr>
                <w:color w:val="auto"/>
                <w:highlight w:val="none"/>
              </w:rPr>
              <w:t>个月的</w:t>
            </w:r>
            <w:r>
              <w:rPr>
                <w:rFonts w:hint="eastAsia"/>
                <w:color w:val="auto"/>
                <w:highlight w:val="none"/>
              </w:rPr>
              <w:t>证明材料）。</w:t>
            </w:r>
          </w:p>
          <w:p w14:paraId="419E700F">
            <w:pPr>
              <w:spacing w:line="400" w:lineRule="exact"/>
              <w:rPr>
                <w:rFonts w:hint="eastAsia"/>
                <w:color w:val="auto"/>
                <w:highlight w:val="none"/>
              </w:rPr>
            </w:pPr>
            <w:r>
              <w:rPr>
                <w:rFonts w:hint="eastAsia"/>
                <w:color w:val="auto"/>
                <w:highlight w:val="none"/>
              </w:rPr>
              <w:t>（2）安全员：具备有效的安全生产考核合格证书（C类），提供供应商为其依法缴纳社会保险</w:t>
            </w:r>
            <w:r>
              <w:rPr>
                <w:color w:val="auto"/>
                <w:highlight w:val="none"/>
              </w:rPr>
              <w:t>（</w:t>
            </w:r>
            <w:r>
              <w:rPr>
                <w:rFonts w:hint="eastAsia"/>
                <w:color w:val="auto"/>
                <w:highlight w:val="none"/>
              </w:rPr>
              <w:t>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6</w:t>
            </w:r>
            <w:r>
              <w:rPr>
                <w:color w:val="auto"/>
                <w:highlight w:val="none"/>
              </w:rPr>
              <w:t>月至</w:t>
            </w:r>
            <w:r>
              <w:rPr>
                <w:rFonts w:hint="eastAsia"/>
                <w:color w:val="auto"/>
                <w:highlight w:val="none"/>
              </w:rPr>
              <w:t>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11</w:t>
            </w:r>
            <w:r>
              <w:rPr>
                <w:color w:val="auto"/>
                <w:highlight w:val="none"/>
              </w:rPr>
              <w:t>月内</w:t>
            </w:r>
            <w:r>
              <w:rPr>
                <w:rFonts w:hint="eastAsia"/>
                <w:color w:val="auto"/>
                <w:highlight w:val="none"/>
              </w:rPr>
              <w:t>任意</w:t>
            </w:r>
            <w:r>
              <w:rPr>
                <w:color w:val="auto"/>
                <w:highlight w:val="none"/>
              </w:rPr>
              <w:t>连续</w:t>
            </w:r>
            <w:r>
              <w:rPr>
                <w:rFonts w:hint="eastAsia"/>
                <w:color w:val="auto"/>
                <w:highlight w:val="none"/>
              </w:rPr>
              <w:t>3</w:t>
            </w:r>
            <w:r>
              <w:rPr>
                <w:color w:val="auto"/>
                <w:highlight w:val="none"/>
              </w:rPr>
              <w:t>个月的</w:t>
            </w:r>
            <w:r>
              <w:rPr>
                <w:rFonts w:hint="eastAsia"/>
                <w:color w:val="auto"/>
                <w:highlight w:val="none"/>
              </w:rPr>
              <w:t>证明材料）。</w:t>
            </w:r>
          </w:p>
          <w:p w14:paraId="05E6F857">
            <w:pPr>
              <w:spacing w:line="400" w:lineRule="exact"/>
              <w:rPr>
                <w:rFonts w:hint="eastAsia" w:ascii="宋体" w:hAnsi="宋体" w:eastAsia="宋体" w:cs="宋体"/>
                <w:color w:val="auto"/>
                <w:sz w:val="21"/>
                <w:szCs w:val="21"/>
                <w:highlight w:val="none"/>
                <w:u w:val="none"/>
                <w:lang w:val="en-US" w:eastAsia="zh-CN"/>
              </w:rPr>
            </w:pPr>
            <w:r>
              <w:rPr>
                <w:rFonts w:hint="eastAsia"/>
                <w:color w:val="auto"/>
                <w:highlight w:val="none"/>
              </w:rPr>
              <w:t>（3）施工员、质量员、材料员：</w:t>
            </w:r>
            <w:r>
              <w:rPr>
                <w:rFonts w:hint="eastAsia" w:cs="宋体"/>
                <w:color w:val="auto"/>
                <w:kern w:val="0"/>
                <w:highlight w:val="none"/>
              </w:rPr>
              <w:t>具有相应施工现场专业人</w:t>
            </w:r>
            <w:r>
              <w:rPr>
                <w:rFonts w:hint="eastAsia"/>
                <w:color w:val="auto"/>
                <w:highlight w:val="none"/>
              </w:rPr>
              <w:t>员职业培训合格证书并在有效期内，提供供应商为其依法缴纳社会保险</w:t>
            </w:r>
            <w:r>
              <w:rPr>
                <w:color w:val="auto"/>
                <w:highlight w:val="none"/>
              </w:rPr>
              <w:t>（</w:t>
            </w:r>
            <w:r>
              <w:rPr>
                <w:rFonts w:hint="eastAsia"/>
                <w:color w:val="auto"/>
                <w:highlight w:val="none"/>
              </w:rPr>
              <w:t>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6</w:t>
            </w:r>
            <w:r>
              <w:rPr>
                <w:color w:val="auto"/>
                <w:highlight w:val="none"/>
              </w:rPr>
              <w:t>月至</w:t>
            </w:r>
            <w:r>
              <w:rPr>
                <w:rFonts w:hint="eastAsia"/>
                <w:color w:val="auto"/>
                <w:highlight w:val="none"/>
              </w:rPr>
              <w:t>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11</w:t>
            </w:r>
            <w:r>
              <w:rPr>
                <w:color w:val="auto"/>
                <w:highlight w:val="none"/>
              </w:rPr>
              <w:t>月内连续</w:t>
            </w:r>
            <w:r>
              <w:rPr>
                <w:rFonts w:hint="eastAsia"/>
                <w:color w:val="auto"/>
                <w:highlight w:val="none"/>
              </w:rPr>
              <w:t>3</w:t>
            </w:r>
            <w:r>
              <w:rPr>
                <w:color w:val="auto"/>
                <w:highlight w:val="none"/>
              </w:rPr>
              <w:t>个月的</w:t>
            </w:r>
            <w:r>
              <w:rPr>
                <w:rFonts w:hint="eastAsia"/>
                <w:color w:val="auto"/>
                <w:highlight w:val="none"/>
              </w:rPr>
              <w:t>证明材料）。</w:t>
            </w:r>
          </w:p>
          <w:p w14:paraId="753E3B7B">
            <w:pPr>
              <w:pStyle w:val="22"/>
              <w:numPr>
                <w:ilvl w:val="0"/>
                <w:numId w:val="0"/>
              </w:numPr>
              <w:spacing w:line="276" w:lineRule="auto"/>
              <w:rPr>
                <w:rFonts w:hint="eastAsia"/>
                <w:color w:val="auto"/>
                <w:highlight w:val="none"/>
              </w:rPr>
            </w:pPr>
            <w:r>
              <w:rPr>
                <w:rFonts w:hint="eastAsia"/>
                <w:color w:val="auto"/>
                <w:highlight w:val="none"/>
                <w:lang w:val="en-US" w:eastAsia="zh-CN"/>
              </w:rPr>
              <w:t>8、</w:t>
            </w:r>
            <w:r>
              <w:rPr>
                <w:rFonts w:hint="eastAsia"/>
                <w:color w:val="auto"/>
                <w:highlight w:val="none"/>
              </w:rPr>
              <w:t>施工组织设计：</w:t>
            </w:r>
            <w:r>
              <w:rPr>
                <w:rFonts w:hint="eastAsia" w:ascii="宋体" w:hAnsi="宋体" w:cs="宋体"/>
                <w:color w:val="auto"/>
                <w:szCs w:val="21"/>
                <w:highlight w:val="none"/>
              </w:rPr>
              <w:t>施工组织设计供应商应根据设计施工图纸、工程量清单进行施工组织设计，包含但不仅限于主要施工方法、拟投入的主要物资计划、劳动力安排计划、确保工程质量的技术组织措施、确保安全生产的技术组织措施、确保工期的技术组织措施、确保文明施工的技术组织措施等内容</w:t>
            </w:r>
          </w:p>
          <w:p w14:paraId="199444E0">
            <w:pPr>
              <w:pStyle w:val="22"/>
              <w:numPr>
                <w:ilvl w:val="0"/>
                <w:numId w:val="0"/>
              </w:numPr>
              <w:spacing w:line="276" w:lineRule="auto"/>
              <w:rPr>
                <w:rFonts w:hint="default"/>
                <w:color w:val="auto"/>
                <w:highlight w:val="none"/>
                <w:lang w:val="en-US" w:eastAsia="zh-CN"/>
              </w:rPr>
            </w:pPr>
            <w:r>
              <w:rPr>
                <w:rFonts w:hint="eastAsia"/>
                <w:color w:val="auto"/>
                <w:highlight w:val="none"/>
                <w:lang w:val="en-US" w:eastAsia="zh-CN"/>
              </w:rPr>
              <w:t>9、</w:t>
            </w:r>
            <w:r>
              <w:rPr>
                <w:rFonts w:hint="eastAsia"/>
                <w:color w:val="auto"/>
                <w:highlight w:val="none"/>
              </w:rPr>
              <w:t>技术标准：</w:t>
            </w:r>
            <w:r>
              <w:rPr>
                <w:color w:val="auto"/>
                <w:highlight w:val="none"/>
              </w:rPr>
              <w:t>符合现行国家相关标准、行业标准、地方标准或者其他标准、规范。</w:t>
            </w:r>
          </w:p>
        </w:tc>
      </w:tr>
      <w:bookmarkEnd w:id="46"/>
      <w:tr w14:paraId="7AD88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82" w:type="dxa"/>
            <w:gridSpan w:val="4"/>
            <w:tcBorders>
              <w:top w:val="single" w:color="auto" w:sz="4" w:space="0"/>
              <w:left w:val="single" w:color="auto" w:sz="4" w:space="0"/>
              <w:bottom w:val="single" w:color="auto" w:sz="4" w:space="0"/>
              <w:right w:val="single" w:color="auto" w:sz="4" w:space="0"/>
            </w:tcBorders>
            <w:noWrap w:val="0"/>
            <w:vAlign w:val="top"/>
          </w:tcPr>
          <w:p w14:paraId="324EF5CE">
            <w:pPr>
              <w:spacing w:line="360" w:lineRule="auto"/>
              <w:rPr>
                <w:rFonts w:ascii="宋体" w:hAnsi="宋体"/>
                <w:color w:val="auto"/>
                <w:szCs w:val="21"/>
                <w:highlight w:val="none"/>
              </w:rPr>
            </w:pPr>
            <w:r>
              <w:rPr>
                <w:rFonts w:hint="eastAsia" w:ascii="宋体" w:hAnsi="宋体"/>
                <w:b/>
                <w:color w:val="auto"/>
                <w:szCs w:val="21"/>
                <w:highlight w:val="none"/>
              </w:rPr>
              <w:t>商务要求</w:t>
            </w:r>
          </w:p>
        </w:tc>
      </w:tr>
      <w:tr w14:paraId="5074C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82" w:type="dxa"/>
            <w:gridSpan w:val="4"/>
            <w:tcBorders>
              <w:top w:val="single" w:color="auto" w:sz="4" w:space="0"/>
              <w:left w:val="single" w:color="auto" w:sz="4" w:space="0"/>
              <w:bottom w:val="single" w:color="auto" w:sz="4" w:space="0"/>
              <w:right w:val="single" w:color="auto" w:sz="4" w:space="0"/>
            </w:tcBorders>
            <w:noWrap w:val="0"/>
            <w:vAlign w:val="center"/>
          </w:tcPr>
          <w:p w14:paraId="58CC6C86">
            <w:pPr>
              <w:numPr>
                <w:ilvl w:val="0"/>
                <w:numId w:val="0"/>
              </w:numPr>
              <w:spacing w:line="276" w:lineRule="auto"/>
              <w:ind w:leftChars="0"/>
              <w:rPr>
                <w:rFonts w:ascii="宋体" w:hAnsi="宋体"/>
                <w:bCs/>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一、合同签订时间：</w:t>
            </w:r>
            <w:r>
              <w:rPr>
                <w:rFonts w:hint="eastAsia" w:ascii="宋体" w:hAnsi="宋体"/>
                <w:color w:val="auto"/>
                <w:szCs w:val="21"/>
                <w:highlight w:val="none"/>
              </w:rPr>
              <w:t>成交通知书发出后</w:t>
            </w:r>
            <w:r>
              <w:rPr>
                <w:rFonts w:hint="eastAsia" w:ascii="宋体" w:hAnsi="宋体"/>
                <w:color w:val="auto"/>
                <w:szCs w:val="21"/>
                <w:highlight w:val="none"/>
                <w:lang w:val="en-US" w:eastAsia="zh-CN"/>
              </w:rPr>
              <w:t>5</w:t>
            </w:r>
            <w:r>
              <w:rPr>
                <w:rFonts w:hint="eastAsia" w:ascii="宋体" w:hAnsi="宋体"/>
                <w:color w:val="auto"/>
                <w:szCs w:val="21"/>
                <w:highlight w:val="none"/>
              </w:rPr>
              <w:t>日内。</w:t>
            </w:r>
          </w:p>
          <w:p w14:paraId="2FD23B7F">
            <w:pPr>
              <w:numPr>
                <w:ilvl w:val="0"/>
                <w:numId w:val="0"/>
              </w:numPr>
              <w:spacing w:line="276" w:lineRule="auto"/>
              <w:ind w:leftChars="0"/>
              <w:rPr>
                <w:rFonts w:hint="eastAsia" w:ascii="宋体" w:hAnsi="宋体"/>
                <w:b w:val="0"/>
                <w:bCs/>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二、</w:t>
            </w:r>
            <w:r>
              <w:rPr>
                <w:rFonts w:hint="eastAsia" w:ascii="宋体" w:hAnsi="宋体"/>
                <w:b w:val="0"/>
                <w:bCs/>
                <w:color w:val="auto"/>
                <w:szCs w:val="21"/>
                <w:highlight w:val="none"/>
              </w:rPr>
              <w:t>报价方式：</w:t>
            </w:r>
            <w:r>
              <w:rPr>
                <w:rFonts w:hint="eastAsia" w:ascii="宋体" w:hAnsi="宋体"/>
                <w:b/>
                <w:bCs w:val="0"/>
                <w:color w:val="auto"/>
                <w:szCs w:val="21"/>
                <w:highlight w:val="none"/>
              </w:rPr>
              <w:t>采用工程量清单报价方式，供应商已标价工程量清单的项目编码、项目名称及项目特征描述、计量单位、工程量须与招标工程量清单一致的，否则竞标无效；</w:t>
            </w:r>
            <w:r>
              <w:rPr>
                <w:rFonts w:hint="eastAsia" w:ascii="宋体" w:hAnsi="宋体"/>
                <w:b/>
                <w:bCs w:val="0"/>
                <w:color w:val="auto"/>
                <w:szCs w:val="21"/>
                <w:highlight w:val="none"/>
                <w:lang w:val="en-US" w:eastAsia="zh-CN"/>
              </w:rPr>
              <w:t>竞标</w:t>
            </w:r>
            <w:r>
              <w:rPr>
                <w:rFonts w:hint="eastAsia" w:ascii="宋体" w:hAnsi="宋体"/>
                <w:b/>
                <w:bCs w:val="0"/>
                <w:color w:val="auto"/>
                <w:szCs w:val="21"/>
                <w:highlight w:val="none"/>
              </w:rPr>
              <w:t>报价不得高于最高限价,否则竞标无效。</w:t>
            </w:r>
            <w:r>
              <w:rPr>
                <w:rFonts w:hint="eastAsia" w:ascii="宋体" w:hAnsi="宋体"/>
                <w:b w:val="0"/>
                <w:bCs/>
                <w:color w:val="auto"/>
                <w:szCs w:val="21"/>
                <w:highlight w:val="none"/>
              </w:rPr>
              <w:t>本项目采用二次报价方式，竞标人的最终报价如有变动，则必须以工程量清单报价表的格式编制提交，竞标人须提前做好相关准备并按时递交最终报价文件，否则</w:t>
            </w:r>
            <w:r>
              <w:rPr>
                <w:rFonts w:hint="eastAsia" w:ascii="宋体" w:hAnsi="宋体"/>
                <w:b w:val="0"/>
                <w:bCs/>
                <w:color w:val="auto"/>
                <w:szCs w:val="21"/>
                <w:highlight w:val="none"/>
                <w:lang w:val="en-US" w:eastAsia="zh-CN"/>
              </w:rPr>
              <w:t>竞标</w:t>
            </w:r>
            <w:r>
              <w:rPr>
                <w:rFonts w:hint="eastAsia" w:ascii="宋体" w:hAnsi="宋体"/>
                <w:b w:val="0"/>
                <w:bCs/>
                <w:color w:val="auto"/>
                <w:szCs w:val="21"/>
                <w:highlight w:val="none"/>
              </w:rPr>
              <w:t>无效。</w:t>
            </w:r>
          </w:p>
          <w:p w14:paraId="0018B276">
            <w:pPr>
              <w:numPr>
                <w:ilvl w:val="0"/>
                <w:numId w:val="0"/>
              </w:numPr>
              <w:spacing w:line="276" w:lineRule="auto"/>
              <w:ind w:leftChars="0"/>
              <w:rPr>
                <w:rFonts w:hint="eastAsia" w:ascii="宋体" w:hAnsi="宋体"/>
                <w:b/>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三、</w:t>
            </w:r>
            <w:r>
              <w:rPr>
                <w:rFonts w:hint="eastAsia" w:ascii="宋体" w:hAnsi="宋体"/>
                <w:b/>
                <w:color w:val="auto"/>
                <w:szCs w:val="21"/>
                <w:highlight w:val="none"/>
                <w:lang w:val="en-US" w:eastAsia="zh-CN"/>
              </w:rPr>
              <w:t>项目实施要求</w:t>
            </w:r>
            <w:r>
              <w:rPr>
                <w:rFonts w:hint="eastAsia" w:ascii="宋体" w:hAnsi="宋体"/>
                <w:b/>
                <w:color w:val="auto"/>
                <w:szCs w:val="21"/>
                <w:highlight w:val="none"/>
              </w:rPr>
              <w:t>：</w:t>
            </w:r>
          </w:p>
          <w:p w14:paraId="078B128B">
            <w:pPr>
              <w:spacing w:line="360" w:lineRule="auto"/>
              <w:ind w:firstLine="422" w:firstLineChars="200"/>
              <w:rPr>
                <w:rFonts w:hint="eastAsia" w:ascii="宋体" w:hAnsi="宋体" w:cs="宋体"/>
                <w:color w:val="auto"/>
                <w:szCs w:val="21"/>
                <w:highlight w:val="none"/>
              </w:rPr>
            </w:pPr>
            <w:bookmarkStart w:id="47" w:name="_Toc47471602"/>
            <w:r>
              <w:rPr>
                <w:rFonts w:hint="eastAsia" w:ascii="宋体" w:hAnsi="宋体" w:cs="宋体"/>
                <w:b/>
                <w:bCs/>
                <w:color w:val="auto"/>
                <w:szCs w:val="21"/>
                <w:highlight w:val="none"/>
              </w:rPr>
              <w:t>实施地点：</w:t>
            </w:r>
            <w:r>
              <w:rPr>
                <w:rFonts w:hint="eastAsia" w:ascii="宋体" w:hAnsi="宋体" w:cs="宋体"/>
                <w:b w:val="0"/>
                <w:bCs w:val="0"/>
                <w:color w:val="auto"/>
                <w:szCs w:val="21"/>
                <w:highlight w:val="none"/>
              </w:rPr>
              <w:t>南宁市社会福利院</w:t>
            </w:r>
            <w:r>
              <w:rPr>
                <w:rFonts w:hint="eastAsia" w:ascii="Arial" w:hAnsi="Arial" w:cs="Arial"/>
                <w:color w:val="auto"/>
                <w:spacing w:val="8"/>
                <w:kern w:val="0"/>
                <w:szCs w:val="21"/>
                <w:highlight w:val="none"/>
              </w:rPr>
              <w:t>采购人指定地点</w:t>
            </w:r>
          </w:p>
          <w:p w14:paraId="39022867">
            <w:pPr>
              <w:spacing w:line="360" w:lineRule="auto"/>
              <w:rPr>
                <w:rFonts w:hint="eastAsia" w:ascii="宋体" w:hAnsi="宋体" w:cs="宋体"/>
                <w:b/>
                <w:bCs/>
                <w:color w:val="auto"/>
                <w:szCs w:val="21"/>
                <w:highlight w:val="none"/>
              </w:rPr>
            </w:pPr>
            <w:r>
              <w:rPr>
                <w:rFonts w:hint="eastAsia" w:ascii="宋体" w:hAnsi="宋体" w:cs="宋体"/>
                <w:color w:val="auto"/>
                <w:szCs w:val="21"/>
              </w:rPr>
              <w:t>▲</w:t>
            </w: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、验收标准、规范：</w:t>
            </w:r>
          </w:p>
          <w:p w14:paraId="0EF9A20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1、根据采购单位的要求和国家现行的有关的工程建设标准、技术规范及强制性标准条文等有关规范标准。</w:t>
            </w:r>
          </w:p>
          <w:p w14:paraId="5E9757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2、验收过程中所产生的一切费用均由成交人承担。报价时应考虑相关费用。</w:t>
            </w:r>
          </w:p>
          <w:p w14:paraId="4BA087B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成交人在涉及货物部分验收时由采购单位对照采购文件的功能目标及技术指标全面核对检验，对所有要求出具的证明文件的原件进行核查，如不符合采购文件的技术需求及要求以及提供虚假承诺的，按相关规定做退货处理及违约处理，成交人承担所有责任和费用，采购人保留进一步追究责任的权利。</w:t>
            </w:r>
          </w:p>
          <w:p w14:paraId="0BA35C21">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五</w:t>
            </w:r>
            <w:r>
              <w:rPr>
                <w:rFonts w:hint="eastAsia" w:ascii="宋体" w:hAnsi="宋体" w:cs="宋体"/>
                <w:b/>
                <w:bCs/>
                <w:color w:val="auto"/>
                <w:szCs w:val="21"/>
                <w:highlight w:val="none"/>
              </w:rPr>
              <w:t>、售后服务要求</w:t>
            </w:r>
          </w:p>
          <w:p w14:paraId="6D4A89ED">
            <w:pPr>
              <w:spacing w:line="360" w:lineRule="auto"/>
              <w:rPr>
                <w:rFonts w:hint="eastAsia" w:ascii="宋体" w:hAnsi="宋体" w:cs="宋体"/>
                <w:color w:val="auto"/>
                <w:szCs w:val="21"/>
                <w:highlight w:val="none"/>
              </w:rPr>
            </w:pPr>
            <w:r>
              <w:rPr>
                <w:rFonts w:hint="eastAsia" w:ascii="宋体" w:hAnsi="宋体" w:cs="宋体"/>
                <w:color w:val="auto"/>
                <w:szCs w:val="21"/>
              </w:rPr>
              <w:t>▲</w:t>
            </w:r>
            <w:r>
              <w:rPr>
                <w:rFonts w:hint="eastAsia" w:ascii="宋体" w:hAnsi="宋体" w:cs="宋体"/>
                <w:color w:val="auto"/>
                <w:szCs w:val="21"/>
                <w:highlight w:val="none"/>
              </w:rPr>
              <w:t>1、涉及货物部分按国家有关产品“三包”规定执行“三包”，货物验收合格后，自安装验收合格之日起质保期≥2年；工程项目整体质保期≥2年。</w:t>
            </w:r>
          </w:p>
          <w:p w14:paraId="33982744">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rPr>
              <w:t>▲</w:t>
            </w:r>
            <w:r>
              <w:rPr>
                <w:rFonts w:hint="eastAsia" w:ascii="宋体" w:hAnsi="宋体" w:cs="宋体"/>
                <w:color w:val="auto"/>
                <w:szCs w:val="21"/>
                <w:highlight w:val="none"/>
                <w:lang w:val="en-US" w:eastAsia="zh-CN"/>
              </w:rPr>
              <w:t>3、</w:t>
            </w:r>
            <w:r>
              <w:rPr>
                <w:rFonts w:hint="eastAsia" w:ascii="宋体" w:hAnsi="宋体" w:eastAsia="宋体" w:cs="宋体"/>
                <w:color w:val="auto"/>
                <w:sz w:val="21"/>
                <w:szCs w:val="21"/>
                <w:highlight w:val="none"/>
                <w:u w:val="none"/>
                <w:lang w:val="en-US" w:eastAsia="zh-CN"/>
              </w:rPr>
              <w:t>工程售后服务技术人员要求：</w:t>
            </w:r>
            <w:r>
              <w:rPr>
                <w:rFonts w:hint="eastAsia" w:ascii="宋体" w:hAnsi="宋体" w:eastAsia="宋体" w:cs="宋体"/>
                <w:color w:val="auto"/>
                <w:sz w:val="21"/>
                <w:szCs w:val="21"/>
                <w:highlight w:val="none"/>
                <w:u w:val="single"/>
                <w:lang w:val="en-US" w:eastAsia="zh-CN"/>
              </w:rPr>
              <w:t>专职技术人员。</w:t>
            </w:r>
          </w:p>
          <w:p w14:paraId="7ADDB27E">
            <w:pPr>
              <w:spacing w:line="360" w:lineRule="auto"/>
              <w:rPr>
                <w:rFonts w:hint="eastAsia" w:ascii="宋体" w:hAnsi="宋体" w:cs="宋体"/>
                <w:color w:val="auto"/>
                <w:szCs w:val="21"/>
                <w:highlight w:val="none"/>
              </w:rPr>
            </w:pPr>
            <w:r>
              <w:rPr>
                <w:rFonts w:hint="eastAsia" w:ascii="宋体" w:hAnsi="宋体" w:cs="宋体"/>
                <w:color w:val="auto"/>
                <w:szCs w:val="21"/>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、故障响应时间：成交供应商在接到电话通知后，30分钟内做出响应，1小时内到达维修现场。一般问题应在12小时内解决，重大问题或其它无法迅速解决的问题应在24小时内解决。</w:t>
            </w:r>
          </w:p>
          <w:p w14:paraId="51D603E7">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、涉及货物部分免费送货上门，由成交人自行组织卸货，并负责卸货过程的安全，保证产品完整；免费安装调试，负责培训1～3名操作人员至能完全独立操作及日常维护及相关费用。</w:t>
            </w:r>
          </w:p>
          <w:p w14:paraId="3566D32B">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、涉及货物部分成交产品必须是全新、未使用过的产品。产品包装必须是未经使用的全新的合格产品，并按照原厂标准包装规格供货，不接受散装或拆包装件。</w:t>
            </w:r>
          </w:p>
          <w:p w14:paraId="49A6CFF0">
            <w:pPr>
              <w:spacing w:line="360" w:lineRule="auto"/>
              <w:rPr>
                <w:rFonts w:hint="eastAsia" w:ascii="宋体" w:hAnsi="宋体" w:cs="宋体"/>
                <w:color w:val="auto"/>
                <w:szCs w:val="21"/>
                <w:highlight w:val="none"/>
              </w:rPr>
            </w:pPr>
            <w:r>
              <w:rPr>
                <w:rFonts w:hint="eastAsia" w:ascii="宋体" w:hAnsi="宋体" w:cs="宋体"/>
                <w:color w:val="auto"/>
                <w:szCs w:val="21"/>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成交供应商在质量保修期内定期免费巡检，并提供终身有偿维修、维护服务。随时优惠提供备品备件，优惠提供产品更新、改造服务。质量问题处理：接到货物、工程出现质量问题通知后应立即作出详细的质量问题解决方案并在1小时内到达用户现场，按国家及行业标准对质量问题进行及时处理，特殊情况应在24小时内解决。</w:t>
            </w:r>
          </w:p>
          <w:p w14:paraId="4A81E3F6">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、其余部分按合同相关条款执行。</w:t>
            </w:r>
          </w:p>
          <w:bookmarkEnd w:id="47"/>
          <w:p w14:paraId="1095B879">
            <w:pPr>
              <w:spacing w:line="360" w:lineRule="auto"/>
              <w:rPr>
                <w:rFonts w:hint="eastAsia" w:ascii="宋体" w:hAnsi="宋体"/>
                <w:color w:val="auto"/>
                <w:szCs w:val="21"/>
                <w:highlight w:val="none"/>
              </w:rPr>
            </w:pPr>
          </w:p>
          <w:p w14:paraId="0D18CE03">
            <w:pPr>
              <w:spacing w:line="360" w:lineRule="auto"/>
              <w:rPr>
                <w:rFonts w:hint="eastAsia" w:ascii="宋体" w:hAnsi="宋体"/>
                <w:color w:val="auto"/>
                <w:szCs w:val="21"/>
                <w:highlight w:val="none"/>
              </w:rPr>
            </w:pPr>
          </w:p>
          <w:p w14:paraId="4C0659FD">
            <w:pPr>
              <w:spacing w:line="360" w:lineRule="auto"/>
              <w:rPr>
                <w:rFonts w:hint="eastAsia" w:ascii="宋体" w:hAnsi="宋体"/>
                <w:color w:val="auto"/>
                <w:szCs w:val="21"/>
                <w:highlight w:val="none"/>
              </w:rPr>
            </w:pPr>
          </w:p>
          <w:p w14:paraId="0CFF175A">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rPr>
              <w:t>▲</w:t>
            </w:r>
            <w:r>
              <w:rPr>
                <w:rFonts w:hint="eastAsia" w:ascii="宋体" w:hAnsi="宋体"/>
                <w:b/>
                <w:bCs/>
                <w:color w:val="auto"/>
                <w:szCs w:val="21"/>
                <w:highlight w:val="none"/>
                <w:lang w:val="en-US" w:eastAsia="zh-CN"/>
              </w:rPr>
              <w:t>六、付款方式：</w:t>
            </w:r>
          </w:p>
          <w:p w14:paraId="5AF5EA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（一）预付款：签订合同，工程项目达到开工条件后，采购人按工程合同价的</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w:t>
            </w:r>
            <w:r>
              <w:rPr>
                <w:rFonts w:hint="eastAsia" w:ascii="宋体" w:hAnsi="宋体" w:cs="宋体"/>
                <w:color w:val="auto"/>
                <w:szCs w:val="21"/>
                <w:highlight w:val="none"/>
              </w:rPr>
              <w:t>作为工程预付款支付给成交供应商；</w:t>
            </w:r>
          </w:p>
          <w:p w14:paraId="4CF4ACE0">
            <w:pPr>
              <w:numPr>
                <w:ilvl w:val="0"/>
                <w:numId w:val="0"/>
              </w:numPr>
              <w:spacing w:line="276" w:lineRule="auto"/>
              <w:ind w:leftChars="0" w:firstLine="420" w:firstLineChars="200"/>
              <w:rPr>
                <w:rFonts w:hint="eastAsia" w:ascii="宋体" w:hAnsi="宋体"/>
                <w:b w:val="0"/>
                <w:bCs/>
                <w:color w:val="auto"/>
                <w:szCs w:val="21"/>
                <w:highlight w:val="none"/>
              </w:rPr>
            </w:pPr>
            <w:r>
              <w:rPr>
                <w:rFonts w:hint="eastAsia" w:ascii="宋体" w:hAnsi="宋体" w:cs="宋体"/>
                <w:color w:val="auto"/>
                <w:szCs w:val="21"/>
                <w:highlight w:val="none"/>
              </w:rPr>
              <w:t>(二)工程进度款：工程竣工完成100%工程量并验收合格，采购人支付至合同价的80%；工程结算经有资质的结算审计部门（公司）审定后，采购人支付至工程结算总价的97%，余款两年后付清（无息）。</w:t>
            </w:r>
          </w:p>
          <w:p w14:paraId="755C6659">
            <w:pPr>
              <w:adjustRightInd w:val="0"/>
              <w:snapToGrid w:val="0"/>
              <w:spacing w:line="360" w:lineRule="auto"/>
              <w:rPr>
                <w:rFonts w:hint="eastAsia" w:ascii="宋体" w:hAnsi="宋体" w:eastAsia="宋体" w:cs="宋体"/>
                <w:b/>
                <w:bCs/>
                <w:color w:val="auto"/>
                <w:szCs w:val="21"/>
                <w:highlight w:val="none"/>
                <w:lang w:val="en-US" w:eastAsia="zh-CN"/>
              </w:rPr>
            </w:pPr>
            <w:r>
              <w:rPr>
                <w:rFonts w:hint="eastAsia" w:ascii="宋体" w:hAnsi="宋体"/>
                <w:b/>
                <w:bCs/>
                <w:color w:val="auto"/>
                <w:szCs w:val="21"/>
                <w:highlight w:val="none"/>
              </w:rPr>
              <w:t>▲</w:t>
            </w:r>
            <w:r>
              <w:rPr>
                <w:rFonts w:hint="eastAsia" w:ascii="宋体" w:hAnsi="宋体" w:eastAsia="宋体" w:cs="宋体"/>
                <w:b/>
                <w:bCs/>
                <w:color w:val="auto"/>
                <w:szCs w:val="21"/>
                <w:highlight w:val="none"/>
                <w:lang w:val="en-US" w:eastAsia="zh-CN"/>
              </w:rPr>
              <w:t>七、其他要求：</w:t>
            </w:r>
          </w:p>
          <w:p w14:paraId="04831868">
            <w:pPr>
              <w:adjustRightInd w:val="0"/>
              <w:snapToGrid w:val="0"/>
              <w:spacing w:line="360" w:lineRule="auto"/>
              <w:ind w:firstLine="210" w:firstLineChars="100"/>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u w:val="none"/>
                <w:lang w:val="en-US" w:eastAsia="zh-CN"/>
              </w:rPr>
              <w:t>为保证工程按质按量完工，本项目拟投入人员不得小于</w:t>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val="en-US" w:eastAsia="zh-CN"/>
              </w:rPr>
              <w:t>人。保证每人每天在岗，供应商须在响应文件中自行提供承诺函。</w:t>
            </w:r>
            <w:r>
              <w:rPr>
                <w:rFonts w:hint="default" w:ascii="宋体" w:hAnsi="宋体" w:eastAsia="宋体"/>
                <w:color w:val="auto"/>
                <w:szCs w:val="21"/>
                <w:highlight w:val="none"/>
                <w:lang w:val="en-US" w:eastAsia="zh-CN"/>
              </w:rPr>
              <w:t>（格式自拟，并由法定代表人签字同时</w:t>
            </w:r>
            <w:r>
              <w:rPr>
                <w:rFonts w:hint="eastAsia" w:ascii="宋体" w:hAnsi="宋体" w:eastAsia="宋体"/>
                <w:color w:val="auto"/>
                <w:szCs w:val="21"/>
                <w:highlight w:val="none"/>
                <w:lang w:val="en-US" w:eastAsia="zh-CN"/>
              </w:rPr>
              <w:t>加盖</w:t>
            </w:r>
            <w:r>
              <w:rPr>
                <w:rFonts w:hint="eastAsia" w:ascii="宋体" w:hAnsi="宋体" w:eastAsia="宋体" w:cs="Times New Roman"/>
                <w:color w:val="auto"/>
                <w:szCs w:val="21"/>
                <w:highlight w:val="none"/>
                <w:lang w:val="en-US" w:eastAsia="zh-CN"/>
              </w:rPr>
              <w:t>供应商CA签章</w:t>
            </w:r>
            <w:r>
              <w:rPr>
                <w:rFonts w:hint="default" w:ascii="宋体" w:hAnsi="宋体" w:eastAsia="宋体"/>
                <w:color w:val="auto"/>
                <w:szCs w:val="21"/>
                <w:highlight w:val="none"/>
                <w:lang w:val="en-US" w:eastAsia="zh-CN"/>
              </w:rPr>
              <w:t>）</w:t>
            </w:r>
          </w:p>
        </w:tc>
      </w:tr>
    </w:tbl>
    <w:p w14:paraId="1EA605A6">
      <w:pPr>
        <w:pStyle w:val="2"/>
        <w:rPr>
          <w:rFonts w:ascii="宋体" w:hAnsi="宋体" w:cs="宋体"/>
          <w:color w:val="auto"/>
          <w:sz w:val="20"/>
          <w:szCs w:val="20"/>
          <w:highlight w:val="none"/>
        </w:rPr>
        <w:sectPr>
          <w:pgSz w:w="11910" w:h="16840"/>
          <w:pgMar w:top="1440" w:right="1080" w:bottom="1440" w:left="1080" w:header="0" w:footer="0" w:gutter="0"/>
          <w:cols w:space="720" w:num="1"/>
        </w:sectPr>
      </w:pPr>
    </w:p>
    <w:p w14:paraId="01CF3B17">
      <w:pPr>
        <w:pStyle w:val="11"/>
        <w:jc w:val="left"/>
        <w:rPr>
          <w:rFonts w:hint="eastAsia" w:hAnsi="宋体" w:cs="宋体"/>
          <w:b/>
          <w:bCs/>
          <w:color w:val="auto"/>
          <w:sz w:val="32"/>
          <w:szCs w:val="32"/>
          <w:highlight w:val="none"/>
        </w:rPr>
      </w:pPr>
      <w:r>
        <w:rPr>
          <w:rFonts w:hint="eastAsia" w:hAnsi="宋体" w:cs="宋体"/>
          <w:b/>
          <w:bCs/>
          <w:color w:val="auto"/>
          <w:sz w:val="32"/>
          <w:szCs w:val="32"/>
          <w:highlight w:val="none"/>
        </w:rPr>
        <w:t>附件</w:t>
      </w:r>
      <w:r>
        <w:rPr>
          <w:rFonts w:hint="eastAsia" w:hAnsi="宋体" w:cs="宋体"/>
          <w:b/>
          <w:bCs/>
          <w:color w:val="auto"/>
          <w:sz w:val="32"/>
          <w:szCs w:val="32"/>
          <w:highlight w:val="none"/>
          <w:lang w:val="en-US" w:eastAsia="zh-CN"/>
        </w:rPr>
        <w:t>1</w:t>
      </w:r>
    </w:p>
    <w:p w14:paraId="069A49E7">
      <w:pPr>
        <w:spacing w:line="528" w:lineRule="exact"/>
        <w:ind w:firstLine="3614" w:firstLineChars="1000"/>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中小微企业划型标准</w:t>
      </w:r>
    </w:p>
    <w:tbl>
      <w:tblPr>
        <w:tblStyle w:val="17"/>
        <w:tblW w:w="9757" w:type="dxa"/>
        <w:tblInd w:w="250" w:type="dxa"/>
        <w:tblLayout w:type="fixed"/>
        <w:tblCellMar>
          <w:top w:w="0" w:type="dxa"/>
          <w:left w:w="108" w:type="dxa"/>
          <w:bottom w:w="0" w:type="dxa"/>
          <w:right w:w="108" w:type="dxa"/>
        </w:tblCellMar>
      </w:tblPr>
      <w:tblGrid>
        <w:gridCol w:w="2039"/>
        <w:gridCol w:w="2038"/>
        <w:gridCol w:w="874"/>
        <w:gridCol w:w="1893"/>
        <w:gridCol w:w="1748"/>
        <w:gridCol w:w="1165"/>
      </w:tblGrid>
      <w:tr w14:paraId="3B55B351">
        <w:tblPrEx>
          <w:tblCellMar>
            <w:top w:w="0" w:type="dxa"/>
            <w:left w:w="108" w:type="dxa"/>
            <w:bottom w:w="0" w:type="dxa"/>
            <w:right w:w="108" w:type="dxa"/>
          </w:tblCellMar>
        </w:tblPrEx>
        <w:trPr>
          <w:trHeight w:val="792" w:hRule="atLeast"/>
        </w:trPr>
        <w:tc>
          <w:tcPr>
            <w:tcW w:w="2039" w:type="dxa"/>
            <w:tcBorders>
              <w:top w:val="single" w:color="auto" w:sz="4" w:space="0"/>
              <w:left w:val="single" w:color="auto" w:sz="4" w:space="0"/>
              <w:bottom w:val="single" w:color="auto" w:sz="4" w:space="0"/>
              <w:right w:val="single" w:color="auto" w:sz="4" w:space="0"/>
            </w:tcBorders>
            <w:noWrap w:val="0"/>
            <w:vAlign w:val="center"/>
          </w:tcPr>
          <w:p w14:paraId="4F06061C">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2038" w:type="dxa"/>
            <w:tcBorders>
              <w:top w:val="single" w:color="auto" w:sz="4" w:space="0"/>
              <w:left w:val="nil"/>
              <w:bottom w:val="single" w:color="auto" w:sz="4" w:space="0"/>
              <w:right w:val="single" w:color="auto" w:sz="4" w:space="0"/>
            </w:tcBorders>
            <w:noWrap w:val="0"/>
            <w:vAlign w:val="center"/>
          </w:tcPr>
          <w:p w14:paraId="6584715B">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74" w:type="dxa"/>
            <w:tcBorders>
              <w:top w:val="single" w:color="auto" w:sz="4" w:space="0"/>
              <w:left w:val="nil"/>
              <w:bottom w:val="single" w:color="auto" w:sz="4" w:space="0"/>
              <w:right w:val="single" w:color="auto" w:sz="4" w:space="0"/>
            </w:tcBorders>
            <w:noWrap w:val="0"/>
            <w:vAlign w:val="center"/>
          </w:tcPr>
          <w:p w14:paraId="22D94FC5">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93" w:type="dxa"/>
            <w:tcBorders>
              <w:top w:val="single" w:color="auto" w:sz="4" w:space="0"/>
              <w:left w:val="nil"/>
              <w:bottom w:val="single" w:color="auto" w:sz="4" w:space="0"/>
              <w:right w:val="single" w:color="auto" w:sz="4" w:space="0"/>
            </w:tcBorders>
            <w:noWrap w:val="0"/>
            <w:vAlign w:val="center"/>
          </w:tcPr>
          <w:p w14:paraId="7718B504">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48" w:type="dxa"/>
            <w:tcBorders>
              <w:top w:val="single" w:color="auto" w:sz="4" w:space="0"/>
              <w:left w:val="nil"/>
              <w:bottom w:val="single" w:color="auto" w:sz="4" w:space="0"/>
              <w:right w:val="single" w:color="auto" w:sz="4" w:space="0"/>
            </w:tcBorders>
            <w:noWrap w:val="0"/>
            <w:vAlign w:val="center"/>
          </w:tcPr>
          <w:p w14:paraId="6D4AD030">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65" w:type="dxa"/>
            <w:tcBorders>
              <w:top w:val="single" w:color="auto" w:sz="4" w:space="0"/>
              <w:left w:val="nil"/>
              <w:bottom w:val="single" w:color="auto" w:sz="4" w:space="0"/>
              <w:right w:val="single" w:color="auto" w:sz="4" w:space="0"/>
            </w:tcBorders>
            <w:noWrap w:val="0"/>
            <w:vAlign w:val="center"/>
          </w:tcPr>
          <w:p w14:paraId="0137114A">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6ED0A5AF">
        <w:tblPrEx>
          <w:tblCellMar>
            <w:top w:w="0" w:type="dxa"/>
            <w:left w:w="108" w:type="dxa"/>
            <w:bottom w:w="0" w:type="dxa"/>
            <w:right w:w="108" w:type="dxa"/>
          </w:tblCellMar>
        </w:tblPrEx>
        <w:trPr>
          <w:trHeight w:val="311" w:hRule="atLeast"/>
        </w:trPr>
        <w:tc>
          <w:tcPr>
            <w:tcW w:w="2039" w:type="dxa"/>
            <w:tcBorders>
              <w:top w:val="nil"/>
              <w:left w:val="single" w:color="auto" w:sz="4" w:space="0"/>
              <w:bottom w:val="single" w:color="auto" w:sz="4" w:space="0"/>
              <w:right w:val="single" w:color="auto" w:sz="4" w:space="0"/>
            </w:tcBorders>
            <w:noWrap w:val="0"/>
            <w:vAlign w:val="center"/>
          </w:tcPr>
          <w:p w14:paraId="1A52AB7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2038" w:type="dxa"/>
            <w:tcBorders>
              <w:top w:val="nil"/>
              <w:left w:val="nil"/>
              <w:bottom w:val="single" w:color="auto" w:sz="4" w:space="0"/>
              <w:right w:val="single" w:color="auto" w:sz="4" w:space="0"/>
            </w:tcBorders>
            <w:noWrap w:val="0"/>
            <w:vAlign w:val="center"/>
          </w:tcPr>
          <w:p w14:paraId="457216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041C19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2468FB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48" w:type="dxa"/>
            <w:tcBorders>
              <w:top w:val="nil"/>
              <w:left w:val="nil"/>
              <w:bottom w:val="single" w:color="auto" w:sz="4" w:space="0"/>
              <w:right w:val="single" w:color="auto" w:sz="4" w:space="0"/>
            </w:tcBorders>
            <w:noWrap w:val="0"/>
            <w:vAlign w:val="center"/>
          </w:tcPr>
          <w:p w14:paraId="7028B4B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65" w:type="dxa"/>
            <w:tcBorders>
              <w:top w:val="nil"/>
              <w:left w:val="nil"/>
              <w:bottom w:val="single" w:color="auto" w:sz="4" w:space="0"/>
              <w:right w:val="single" w:color="auto" w:sz="4" w:space="0"/>
            </w:tcBorders>
            <w:noWrap w:val="0"/>
            <w:vAlign w:val="center"/>
          </w:tcPr>
          <w:p w14:paraId="03C0C24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FB01B70">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1C3EA74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2038" w:type="dxa"/>
            <w:tcBorders>
              <w:top w:val="nil"/>
              <w:left w:val="nil"/>
              <w:bottom w:val="single" w:color="auto" w:sz="4" w:space="0"/>
              <w:right w:val="single" w:color="auto" w:sz="4" w:space="0"/>
            </w:tcBorders>
            <w:noWrap w:val="0"/>
            <w:vAlign w:val="center"/>
          </w:tcPr>
          <w:p w14:paraId="0123F2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5857047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4DD925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48" w:type="dxa"/>
            <w:tcBorders>
              <w:top w:val="nil"/>
              <w:left w:val="nil"/>
              <w:bottom w:val="single" w:color="auto" w:sz="4" w:space="0"/>
              <w:right w:val="single" w:color="auto" w:sz="4" w:space="0"/>
            </w:tcBorders>
            <w:noWrap w:val="0"/>
            <w:vAlign w:val="center"/>
          </w:tcPr>
          <w:p w14:paraId="1D39422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65" w:type="dxa"/>
            <w:tcBorders>
              <w:top w:val="nil"/>
              <w:left w:val="nil"/>
              <w:bottom w:val="single" w:color="auto" w:sz="4" w:space="0"/>
              <w:right w:val="single" w:color="auto" w:sz="4" w:space="0"/>
            </w:tcBorders>
            <w:noWrap w:val="0"/>
            <w:vAlign w:val="center"/>
          </w:tcPr>
          <w:p w14:paraId="300F90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76037C0">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3FD44705">
            <w:pPr>
              <w:widowControl/>
              <w:jc w:val="center"/>
              <w:rPr>
                <w:rFonts w:hint="eastAsia" w:ascii="宋体" w:hAnsi="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627DF20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580C4CB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725FDBC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48" w:type="dxa"/>
            <w:tcBorders>
              <w:top w:val="nil"/>
              <w:left w:val="nil"/>
              <w:bottom w:val="single" w:color="auto" w:sz="4" w:space="0"/>
              <w:right w:val="single" w:color="auto" w:sz="4" w:space="0"/>
            </w:tcBorders>
            <w:noWrap w:val="0"/>
            <w:vAlign w:val="center"/>
          </w:tcPr>
          <w:p w14:paraId="5E5F33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65" w:type="dxa"/>
            <w:tcBorders>
              <w:top w:val="nil"/>
              <w:left w:val="nil"/>
              <w:bottom w:val="single" w:color="auto" w:sz="4" w:space="0"/>
              <w:right w:val="single" w:color="auto" w:sz="4" w:space="0"/>
            </w:tcBorders>
            <w:noWrap w:val="0"/>
            <w:vAlign w:val="center"/>
          </w:tcPr>
          <w:p w14:paraId="5E3BB5C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B94EE1D">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3D31744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2038" w:type="dxa"/>
            <w:tcBorders>
              <w:top w:val="nil"/>
              <w:left w:val="nil"/>
              <w:bottom w:val="single" w:color="auto" w:sz="4" w:space="0"/>
              <w:right w:val="single" w:color="auto" w:sz="4" w:space="0"/>
            </w:tcBorders>
            <w:noWrap w:val="0"/>
            <w:vAlign w:val="center"/>
          </w:tcPr>
          <w:p w14:paraId="01713F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165A3D3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617B0E4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48" w:type="dxa"/>
            <w:tcBorders>
              <w:top w:val="nil"/>
              <w:left w:val="nil"/>
              <w:bottom w:val="single" w:color="auto" w:sz="4" w:space="0"/>
              <w:right w:val="single" w:color="auto" w:sz="4" w:space="0"/>
            </w:tcBorders>
            <w:noWrap w:val="0"/>
            <w:vAlign w:val="center"/>
          </w:tcPr>
          <w:p w14:paraId="74CA0E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65" w:type="dxa"/>
            <w:tcBorders>
              <w:top w:val="nil"/>
              <w:left w:val="nil"/>
              <w:bottom w:val="single" w:color="auto" w:sz="4" w:space="0"/>
              <w:right w:val="single" w:color="auto" w:sz="4" w:space="0"/>
            </w:tcBorders>
            <w:noWrap w:val="0"/>
            <w:vAlign w:val="center"/>
          </w:tcPr>
          <w:p w14:paraId="576ADA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92E7DE3">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6C213424">
            <w:pPr>
              <w:widowControl/>
              <w:jc w:val="center"/>
              <w:rPr>
                <w:rFonts w:hint="eastAsia" w:ascii="宋体" w:hAnsi="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51D6896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74" w:type="dxa"/>
            <w:tcBorders>
              <w:top w:val="nil"/>
              <w:left w:val="nil"/>
              <w:bottom w:val="single" w:color="auto" w:sz="4" w:space="0"/>
              <w:right w:val="single" w:color="auto" w:sz="4" w:space="0"/>
            </w:tcBorders>
            <w:noWrap w:val="0"/>
            <w:vAlign w:val="center"/>
          </w:tcPr>
          <w:p w14:paraId="1642E4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2AB865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48" w:type="dxa"/>
            <w:tcBorders>
              <w:top w:val="nil"/>
              <w:left w:val="nil"/>
              <w:bottom w:val="single" w:color="auto" w:sz="4" w:space="0"/>
              <w:right w:val="single" w:color="auto" w:sz="4" w:space="0"/>
            </w:tcBorders>
            <w:noWrap w:val="0"/>
            <w:vAlign w:val="center"/>
          </w:tcPr>
          <w:p w14:paraId="083B09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65" w:type="dxa"/>
            <w:tcBorders>
              <w:top w:val="nil"/>
              <w:left w:val="nil"/>
              <w:bottom w:val="single" w:color="auto" w:sz="4" w:space="0"/>
              <w:right w:val="single" w:color="auto" w:sz="4" w:space="0"/>
            </w:tcBorders>
            <w:noWrap w:val="0"/>
            <w:vAlign w:val="center"/>
          </w:tcPr>
          <w:p w14:paraId="44020A0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4BFBDC1C">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58DFE3B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2038" w:type="dxa"/>
            <w:tcBorders>
              <w:top w:val="nil"/>
              <w:left w:val="nil"/>
              <w:bottom w:val="single" w:color="auto" w:sz="4" w:space="0"/>
              <w:right w:val="single" w:color="auto" w:sz="4" w:space="0"/>
            </w:tcBorders>
            <w:noWrap w:val="0"/>
            <w:vAlign w:val="center"/>
          </w:tcPr>
          <w:p w14:paraId="6C676F3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1D7F35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424A3D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48" w:type="dxa"/>
            <w:tcBorders>
              <w:top w:val="nil"/>
              <w:left w:val="nil"/>
              <w:bottom w:val="single" w:color="auto" w:sz="4" w:space="0"/>
              <w:right w:val="single" w:color="auto" w:sz="4" w:space="0"/>
            </w:tcBorders>
            <w:noWrap w:val="0"/>
            <w:vAlign w:val="center"/>
          </w:tcPr>
          <w:p w14:paraId="5793FDA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65" w:type="dxa"/>
            <w:tcBorders>
              <w:top w:val="nil"/>
              <w:left w:val="nil"/>
              <w:bottom w:val="single" w:color="auto" w:sz="4" w:space="0"/>
              <w:right w:val="single" w:color="auto" w:sz="4" w:space="0"/>
            </w:tcBorders>
            <w:noWrap w:val="0"/>
            <w:vAlign w:val="center"/>
          </w:tcPr>
          <w:p w14:paraId="1F06D1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778C7DF0">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50CEAC4E">
            <w:pPr>
              <w:widowControl/>
              <w:jc w:val="center"/>
              <w:rPr>
                <w:rFonts w:hint="eastAsia" w:ascii="宋体" w:hAnsi="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79A0987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2B5FC1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61BC82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48" w:type="dxa"/>
            <w:tcBorders>
              <w:top w:val="nil"/>
              <w:left w:val="nil"/>
              <w:bottom w:val="single" w:color="auto" w:sz="4" w:space="0"/>
              <w:right w:val="single" w:color="auto" w:sz="4" w:space="0"/>
            </w:tcBorders>
            <w:noWrap w:val="0"/>
            <w:vAlign w:val="center"/>
          </w:tcPr>
          <w:p w14:paraId="6322158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65" w:type="dxa"/>
            <w:tcBorders>
              <w:top w:val="nil"/>
              <w:left w:val="nil"/>
              <w:bottom w:val="single" w:color="auto" w:sz="4" w:space="0"/>
              <w:right w:val="single" w:color="auto" w:sz="4" w:space="0"/>
            </w:tcBorders>
            <w:noWrap w:val="0"/>
            <w:vAlign w:val="center"/>
          </w:tcPr>
          <w:p w14:paraId="16262E0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997DB28">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0AF4A87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2038" w:type="dxa"/>
            <w:tcBorders>
              <w:top w:val="nil"/>
              <w:left w:val="nil"/>
              <w:bottom w:val="single" w:color="auto" w:sz="4" w:space="0"/>
              <w:right w:val="single" w:color="auto" w:sz="4" w:space="0"/>
            </w:tcBorders>
            <w:noWrap w:val="0"/>
            <w:vAlign w:val="center"/>
          </w:tcPr>
          <w:p w14:paraId="617D87B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7DD1B54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3EEA05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48" w:type="dxa"/>
            <w:tcBorders>
              <w:top w:val="nil"/>
              <w:left w:val="nil"/>
              <w:bottom w:val="single" w:color="auto" w:sz="4" w:space="0"/>
              <w:right w:val="single" w:color="auto" w:sz="4" w:space="0"/>
            </w:tcBorders>
            <w:noWrap w:val="0"/>
            <w:vAlign w:val="center"/>
          </w:tcPr>
          <w:p w14:paraId="0612647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65" w:type="dxa"/>
            <w:tcBorders>
              <w:top w:val="nil"/>
              <w:left w:val="nil"/>
              <w:bottom w:val="single" w:color="auto" w:sz="4" w:space="0"/>
              <w:right w:val="single" w:color="auto" w:sz="4" w:space="0"/>
            </w:tcBorders>
            <w:noWrap w:val="0"/>
            <w:vAlign w:val="center"/>
          </w:tcPr>
          <w:p w14:paraId="51F68A2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D8A149B">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1BDD6234">
            <w:pPr>
              <w:widowControl/>
              <w:jc w:val="center"/>
              <w:rPr>
                <w:rFonts w:hint="eastAsia" w:ascii="宋体" w:hAnsi="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62089F9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395BD80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6F207A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48" w:type="dxa"/>
            <w:tcBorders>
              <w:top w:val="nil"/>
              <w:left w:val="nil"/>
              <w:bottom w:val="single" w:color="auto" w:sz="4" w:space="0"/>
              <w:right w:val="single" w:color="auto" w:sz="4" w:space="0"/>
            </w:tcBorders>
            <w:noWrap w:val="0"/>
            <w:vAlign w:val="center"/>
          </w:tcPr>
          <w:p w14:paraId="3DAF2F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65" w:type="dxa"/>
            <w:tcBorders>
              <w:top w:val="nil"/>
              <w:left w:val="nil"/>
              <w:bottom w:val="single" w:color="auto" w:sz="4" w:space="0"/>
              <w:right w:val="single" w:color="auto" w:sz="4" w:space="0"/>
            </w:tcBorders>
            <w:noWrap w:val="0"/>
            <w:vAlign w:val="center"/>
          </w:tcPr>
          <w:p w14:paraId="04FDE4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58FBB26">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1CBBBB7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2038" w:type="dxa"/>
            <w:tcBorders>
              <w:top w:val="nil"/>
              <w:left w:val="nil"/>
              <w:bottom w:val="single" w:color="auto" w:sz="4" w:space="0"/>
              <w:right w:val="single" w:color="auto" w:sz="4" w:space="0"/>
            </w:tcBorders>
            <w:noWrap w:val="0"/>
            <w:vAlign w:val="center"/>
          </w:tcPr>
          <w:p w14:paraId="5746C4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099301B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5E625E7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48" w:type="dxa"/>
            <w:tcBorders>
              <w:top w:val="nil"/>
              <w:left w:val="nil"/>
              <w:bottom w:val="single" w:color="auto" w:sz="4" w:space="0"/>
              <w:right w:val="single" w:color="auto" w:sz="4" w:space="0"/>
            </w:tcBorders>
            <w:noWrap w:val="0"/>
            <w:vAlign w:val="center"/>
          </w:tcPr>
          <w:p w14:paraId="144422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65" w:type="dxa"/>
            <w:tcBorders>
              <w:top w:val="nil"/>
              <w:left w:val="nil"/>
              <w:bottom w:val="single" w:color="auto" w:sz="4" w:space="0"/>
              <w:right w:val="single" w:color="auto" w:sz="4" w:space="0"/>
            </w:tcBorders>
            <w:noWrap w:val="0"/>
            <w:vAlign w:val="center"/>
          </w:tcPr>
          <w:p w14:paraId="137E45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86D7A29">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182974B2">
            <w:pPr>
              <w:widowControl/>
              <w:jc w:val="center"/>
              <w:rPr>
                <w:rFonts w:hint="eastAsia" w:ascii="宋体" w:hAnsi="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419424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029E65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6FAC56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48" w:type="dxa"/>
            <w:tcBorders>
              <w:top w:val="nil"/>
              <w:left w:val="nil"/>
              <w:bottom w:val="single" w:color="auto" w:sz="4" w:space="0"/>
              <w:right w:val="single" w:color="auto" w:sz="4" w:space="0"/>
            </w:tcBorders>
            <w:noWrap w:val="0"/>
            <w:vAlign w:val="center"/>
          </w:tcPr>
          <w:p w14:paraId="3DEB4BD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65" w:type="dxa"/>
            <w:tcBorders>
              <w:top w:val="nil"/>
              <w:left w:val="nil"/>
              <w:bottom w:val="single" w:color="auto" w:sz="4" w:space="0"/>
              <w:right w:val="single" w:color="auto" w:sz="4" w:space="0"/>
            </w:tcBorders>
            <w:noWrap w:val="0"/>
            <w:vAlign w:val="center"/>
          </w:tcPr>
          <w:p w14:paraId="539E96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77D6E57">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0A4BC31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2038" w:type="dxa"/>
            <w:tcBorders>
              <w:top w:val="nil"/>
              <w:left w:val="nil"/>
              <w:bottom w:val="single" w:color="auto" w:sz="4" w:space="0"/>
              <w:right w:val="single" w:color="auto" w:sz="4" w:space="0"/>
            </w:tcBorders>
            <w:noWrap w:val="0"/>
            <w:vAlign w:val="center"/>
          </w:tcPr>
          <w:p w14:paraId="7EF585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73F42D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47FB31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48" w:type="dxa"/>
            <w:tcBorders>
              <w:top w:val="nil"/>
              <w:left w:val="nil"/>
              <w:bottom w:val="single" w:color="auto" w:sz="4" w:space="0"/>
              <w:right w:val="single" w:color="auto" w:sz="4" w:space="0"/>
            </w:tcBorders>
            <w:noWrap w:val="0"/>
            <w:vAlign w:val="center"/>
          </w:tcPr>
          <w:p w14:paraId="26B61F2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65" w:type="dxa"/>
            <w:tcBorders>
              <w:top w:val="nil"/>
              <w:left w:val="nil"/>
              <w:bottom w:val="single" w:color="auto" w:sz="4" w:space="0"/>
              <w:right w:val="single" w:color="auto" w:sz="4" w:space="0"/>
            </w:tcBorders>
            <w:noWrap w:val="0"/>
            <w:vAlign w:val="center"/>
          </w:tcPr>
          <w:p w14:paraId="725E66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08AD205">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3551D372">
            <w:pPr>
              <w:widowControl/>
              <w:jc w:val="center"/>
              <w:rPr>
                <w:rFonts w:hint="eastAsia" w:ascii="宋体" w:hAnsi="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262E0F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012FB2D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468EA0E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48" w:type="dxa"/>
            <w:tcBorders>
              <w:top w:val="nil"/>
              <w:left w:val="nil"/>
              <w:bottom w:val="single" w:color="auto" w:sz="4" w:space="0"/>
              <w:right w:val="single" w:color="auto" w:sz="4" w:space="0"/>
            </w:tcBorders>
            <w:noWrap w:val="0"/>
            <w:vAlign w:val="center"/>
          </w:tcPr>
          <w:p w14:paraId="74E322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65" w:type="dxa"/>
            <w:tcBorders>
              <w:top w:val="nil"/>
              <w:left w:val="nil"/>
              <w:bottom w:val="single" w:color="auto" w:sz="4" w:space="0"/>
              <w:right w:val="single" w:color="auto" w:sz="4" w:space="0"/>
            </w:tcBorders>
            <w:noWrap w:val="0"/>
            <w:vAlign w:val="center"/>
          </w:tcPr>
          <w:p w14:paraId="0993D0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98E7CAE">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74ED871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2038" w:type="dxa"/>
            <w:tcBorders>
              <w:top w:val="nil"/>
              <w:left w:val="nil"/>
              <w:bottom w:val="single" w:color="auto" w:sz="4" w:space="0"/>
              <w:right w:val="single" w:color="auto" w:sz="4" w:space="0"/>
            </w:tcBorders>
            <w:noWrap w:val="0"/>
            <w:vAlign w:val="center"/>
          </w:tcPr>
          <w:p w14:paraId="0F6227A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0ADB02D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7C2E13E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48" w:type="dxa"/>
            <w:tcBorders>
              <w:top w:val="nil"/>
              <w:left w:val="nil"/>
              <w:bottom w:val="single" w:color="auto" w:sz="4" w:space="0"/>
              <w:right w:val="single" w:color="auto" w:sz="4" w:space="0"/>
            </w:tcBorders>
            <w:noWrap w:val="0"/>
            <w:vAlign w:val="center"/>
          </w:tcPr>
          <w:p w14:paraId="3C7AA62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65" w:type="dxa"/>
            <w:tcBorders>
              <w:top w:val="nil"/>
              <w:left w:val="nil"/>
              <w:bottom w:val="single" w:color="auto" w:sz="4" w:space="0"/>
              <w:right w:val="single" w:color="auto" w:sz="4" w:space="0"/>
            </w:tcBorders>
            <w:noWrap w:val="0"/>
            <w:vAlign w:val="center"/>
          </w:tcPr>
          <w:p w14:paraId="30D276E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D621E8E">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58746609">
            <w:pPr>
              <w:widowControl/>
              <w:jc w:val="center"/>
              <w:rPr>
                <w:rFonts w:hint="eastAsia" w:ascii="宋体" w:hAnsi="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69B183B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1545592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1E9669B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48" w:type="dxa"/>
            <w:tcBorders>
              <w:top w:val="nil"/>
              <w:left w:val="nil"/>
              <w:bottom w:val="single" w:color="auto" w:sz="4" w:space="0"/>
              <w:right w:val="single" w:color="auto" w:sz="4" w:space="0"/>
            </w:tcBorders>
            <w:noWrap w:val="0"/>
            <w:vAlign w:val="center"/>
          </w:tcPr>
          <w:p w14:paraId="0CE92F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65" w:type="dxa"/>
            <w:tcBorders>
              <w:top w:val="nil"/>
              <w:left w:val="nil"/>
              <w:bottom w:val="single" w:color="auto" w:sz="4" w:space="0"/>
              <w:right w:val="single" w:color="auto" w:sz="4" w:space="0"/>
            </w:tcBorders>
            <w:noWrap w:val="0"/>
            <w:vAlign w:val="center"/>
          </w:tcPr>
          <w:p w14:paraId="2FACE6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C0967A1">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7AC0C15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2038" w:type="dxa"/>
            <w:tcBorders>
              <w:top w:val="nil"/>
              <w:left w:val="nil"/>
              <w:bottom w:val="single" w:color="auto" w:sz="4" w:space="0"/>
              <w:right w:val="single" w:color="auto" w:sz="4" w:space="0"/>
            </w:tcBorders>
            <w:noWrap w:val="0"/>
            <w:vAlign w:val="center"/>
          </w:tcPr>
          <w:p w14:paraId="768D54B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4E2C65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03AF9AA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48" w:type="dxa"/>
            <w:tcBorders>
              <w:top w:val="nil"/>
              <w:left w:val="nil"/>
              <w:bottom w:val="single" w:color="auto" w:sz="4" w:space="0"/>
              <w:right w:val="single" w:color="auto" w:sz="4" w:space="0"/>
            </w:tcBorders>
            <w:noWrap w:val="0"/>
            <w:vAlign w:val="center"/>
          </w:tcPr>
          <w:p w14:paraId="04F700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65" w:type="dxa"/>
            <w:tcBorders>
              <w:top w:val="nil"/>
              <w:left w:val="nil"/>
              <w:bottom w:val="single" w:color="auto" w:sz="4" w:space="0"/>
              <w:right w:val="single" w:color="auto" w:sz="4" w:space="0"/>
            </w:tcBorders>
            <w:noWrap w:val="0"/>
            <w:vAlign w:val="center"/>
          </w:tcPr>
          <w:p w14:paraId="7286526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2D2A04C">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6E80F68F">
            <w:pPr>
              <w:widowControl/>
              <w:jc w:val="center"/>
              <w:rPr>
                <w:rFonts w:hint="eastAsia" w:ascii="宋体" w:hAnsi="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2A4B25C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7F54D3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502D2F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48" w:type="dxa"/>
            <w:tcBorders>
              <w:top w:val="nil"/>
              <w:left w:val="nil"/>
              <w:bottom w:val="single" w:color="auto" w:sz="4" w:space="0"/>
              <w:right w:val="single" w:color="auto" w:sz="4" w:space="0"/>
            </w:tcBorders>
            <w:noWrap w:val="0"/>
            <w:vAlign w:val="center"/>
          </w:tcPr>
          <w:p w14:paraId="7D6BA1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65" w:type="dxa"/>
            <w:tcBorders>
              <w:top w:val="nil"/>
              <w:left w:val="nil"/>
              <w:bottom w:val="single" w:color="auto" w:sz="4" w:space="0"/>
              <w:right w:val="single" w:color="auto" w:sz="4" w:space="0"/>
            </w:tcBorders>
            <w:noWrap w:val="0"/>
            <w:vAlign w:val="center"/>
          </w:tcPr>
          <w:p w14:paraId="60A6986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AB28C42">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00DA444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2038" w:type="dxa"/>
            <w:tcBorders>
              <w:top w:val="nil"/>
              <w:left w:val="nil"/>
              <w:bottom w:val="single" w:color="auto" w:sz="4" w:space="0"/>
              <w:right w:val="single" w:color="auto" w:sz="4" w:space="0"/>
            </w:tcBorders>
            <w:noWrap w:val="0"/>
            <w:vAlign w:val="center"/>
          </w:tcPr>
          <w:p w14:paraId="0145B4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594DF79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1EEBF55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48" w:type="dxa"/>
            <w:tcBorders>
              <w:top w:val="nil"/>
              <w:left w:val="nil"/>
              <w:bottom w:val="single" w:color="auto" w:sz="4" w:space="0"/>
              <w:right w:val="single" w:color="auto" w:sz="4" w:space="0"/>
            </w:tcBorders>
            <w:noWrap w:val="0"/>
            <w:vAlign w:val="center"/>
          </w:tcPr>
          <w:p w14:paraId="6811AE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65" w:type="dxa"/>
            <w:tcBorders>
              <w:top w:val="nil"/>
              <w:left w:val="nil"/>
              <w:bottom w:val="single" w:color="auto" w:sz="4" w:space="0"/>
              <w:right w:val="single" w:color="auto" w:sz="4" w:space="0"/>
            </w:tcBorders>
            <w:noWrap w:val="0"/>
            <w:vAlign w:val="center"/>
          </w:tcPr>
          <w:p w14:paraId="07D2DA8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6D5CAEB">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197CCF4A">
            <w:pPr>
              <w:widowControl/>
              <w:jc w:val="center"/>
              <w:rPr>
                <w:rFonts w:hint="eastAsia" w:ascii="宋体" w:hAnsi="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0EB2C6A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10662E3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129DA0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48" w:type="dxa"/>
            <w:tcBorders>
              <w:top w:val="nil"/>
              <w:left w:val="nil"/>
              <w:bottom w:val="single" w:color="auto" w:sz="4" w:space="0"/>
              <w:right w:val="single" w:color="auto" w:sz="4" w:space="0"/>
            </w:tcBorders>
            <w:noWrap w:val="0"/>
            <w:vAlign w:val="center"/>
          </w:tcPr>
          <w:p w14:paraId="47B4099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65" w:type="dxa"/>
            <w:tcBorders>
              <w:top w:val="nil"/>
              <w:left w:val="nil"/>
              <w:bottom w:val="single" w:color="auto" w:sz="4" w:space="0"/>
              <w:right w:val="single" w:color="auto" w:sz="4" w:space="0"/>
            </w:tcBorders>
            <w:noWrap w:val="0"/>
            <w:vAlign w:val="center"/>
          </w:tcPr>
          <w:p w14:paraId="060E2D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1A6A7FA">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0B9159F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2038" w:type="dxa"/>
            <w:tcBorders>
              <w:top w:val="nil"/>
              <w:left w:val="nil"/>
              <w:bottom w:val="single" w:color="auto" w:sz="4" w:space="0"/>
              <w:right w:val="single" w:color="auto" w:sz="4" w:space="0"/>
            </w:tcBorders>
            <w:noWrap w:val="0"/>
            <w:vAlign w:val="center"/>
          </w:tcPr>
          <w:p w14:paraId="49C93C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241014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051E6F0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48" w:type="dxa"/>
            <w:tcBorders>
              <w:top w:val="nil"/>
              <w:left w:val="nil"/>
              <w:bottom w:val="single" w:color="auto" w:sz="4" w:space="0"/>
              <w:right w:val="single" w:color="auto" w:sz="4" w:space="0"/>
            </w:tcBorders>
            <w:noWrap w:val="0"/>
            <w:vAlign w:val="center"/>
          </w:tcPr>
          <w:p w14:paraId="5D22F01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65" w:type="dxa"/>
            <w:tcBorders>
              <w:top w:val="nil"/>
              <w:left w:val="nil"/>
              <w:bottom w:val="single" w:color="auto" w:sz="4" w:space="0"/>
              <w:right w:val="single" w:color="auto" w:sz="4" w:space="0"/>
            </w:tcBorders>
            <w:noWrap w:val="0"/>
            <w:vAlign w:val="center"/>
          </w:tcPr>
          <w:p w14:paraId="3EDB452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27938B9">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05B1023F">
            <w:pPr>
              <w:widowControl/>
              <w:jc w:val="center"/>
              <w:rPr>
                <w:rFonts w:hint="eastAsia" w:ascii="宋体" w:hAnsi="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22AD77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10706BE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3C6A3E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48" w:type="dxa"/>
            <w:tcBorders>
              <w:top w:val="nil"/>
              <w:left w:val="nil"/>
              <w:bottom w:val="single" w:color="auto" w:sz="4" w:space="0"/>
              <w:right w:val="single" w:color="auto" w:sz="4" w:space="0"/>
            </w:tcBorders>
            <w:noWrap w:val="0"/>
            <w:vAlign w:val="center"/>
          </w:tcPr>
          <w:p w14:paraId="39D0743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65" w:type="dxa"/>
            <w:tcBorders>
              <w:top w:val="nil"/>
              <w:left w:val="nil"/>
              <w:bottom w:val="single" w:color="auto" w:sz="4" w:space="0"/>
              <w:right w:val="single" w:color="auto" w:sz="4" w:space="0"/>
            </w:tcBorders>
            <w:noWrap w:val="0"/>
            <w:vAlign w:val="center"/>
          </w:tcPr>
          <w:p w14:paraId="4449F3F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59D07B3">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1354674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2038" w:type="dxa"/>
            <w:tcBorders>
              <w:top w:val="nil"/>
              <w:left w:val="nil"/>
              <w:bottom w:val="single" w:color="auto" w:sz="4" w:space="0"/>
              <w:right w:val="single" w:color="auto" w:sz="4" w:space="0"/>
            </w:tcBorders>
            <w:noWrap w:val="0"/>
            <w:vAlign w:val="center"/>
          </w:tcPr>
          <w:p w14:paraId="6F0A10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3C85E52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4AE6BED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48" w:type="dxa"/>
            <w:tcBorders>
              <w:top w:val="nil"/>
              <w:left w:val="nil"/>
              <w:bottom w:val="single" w:color="auto" w:sz="4" w:space="0"/>
              <w:right w:val="single" w:color="auto" w:sz="4" w:space="0"/>
            </w:tcBorders>
            <w:noWrap w:val="0"/>
            <w:vAlign w:val="center"/>
          </w:tcPr>
          <w:p w14:paraId="05A4D2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65" w:type="dxa"/>
            <w:tcBorders>
              <w:top w:val="nil"/>
              <w:left w:val="nil"/>
              <w:bottom w:val="single" w:color="auto" w:sz="4" w:space="0"/>
              <w:right w:val="single" w:color="auto" w:sz="4" w:space="0"/>
            </w:tcBorders>
            <w:noWrap w:val="0"/>
            <w:vAlign w:val="center"/>
          </w:tcPr>
          <w:p w14:paraId="02F6552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5C7A640">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741C23C2">
            <w:pPr>
              <w:widowControl/>
              <w:jc w:val="center"/>
              <w:rPr>
                <w:rFonts w:hint="eastAsia" w:ascii="宋体" w:hAnsi="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21ADCB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22BB546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798C16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48" w:type="dxa"/>
            <w:tcBorders>
              <w:top w:val="nil"/>
              <w:left w:val="nil"/>
              <w:bottom w:val="single" w:color="auto" w:sz="4" w:space="0"/>
              <w:right w:val="single" w:color="auto" w:sz="4" w:space="0"/>
            </w:tcBorders>
            <w:noWrap w:val="0"/>
            <w:vAlign w:val="center"/>
          </w:tcPr>
          <w:p w14:paraId="2FFE2D4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65" w:type="dxa"/>
            <w:tcBorders>
              <w:top w:val="nil"/>
              <w:left w:val="nil"/>
              <w:bottom w:val="single" w:color="auto" w:sz="4" w:space="0"/>
              <w:right w:val="single" w:color="auto" w:sz="4" w:space="0"/>
            </w:tcBorders>
            <w:noWrap w:val="0"/>
            <w:vAlign w:val="center"/>
          </w:tcPr>
          <w:p w14:paraId="29CECC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1D89094">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58F7822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2038" w:type="dxa"/>
            <w:tcBorders>
              <w:top w:val="nil"/>
              <w:left w:val="nil"/>
              <w:bottom w:val="single" w:color="auto" w:sz="4" w:space="0"/>
              <w:right w:val="single" w:color="auto" w:sz="4" w:space="0"/>
            </w:tcBorders>
            <w:noWrap w:val="0"/>
            <w:vAlign w:val="center"/>
          </w:tcPr>
          <w:p w14:paraId="5AEFEDE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05BE07D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39C6017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48" w:type="dxa"/>
            <w:tcBorders>
              <w:top w:val="nil"/>
              <w:left w:val="nil"/>
              <w:bottom w:val="single" w:color="auto" w:sz="4" w:space="0"/>
              <w:right w:val="single" w:color="auto" w:sz="4" w:space="0"/>
            </w:tcBorders>
            <w:noWrap w:val="0"/>
            <w:vAlign w:val="center"/>
          </w:tcPr>
          <w:p w14:paraId="10FAB0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65" w:type="dxa"/>
            <w:tcBorders>
              <w:top w:val="nil"/>
              <w:left w:val="nil"/>
              <w:bottom w:val="single" w:color="auto" w:sz="4" w:space="0"/>
              <w:right w:val="single" w:color="auto" w:sz="4" w:space="0"/>
            </w:tcBorders>
            <w:noWrap w:val="0"/>
            <w:vAlign w:val="center"/>
          </w:tcPr>
          <w:p w14:paraId="57662A8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59DF50F">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5B14D517">
            <w:pPr>
              <w:widowControl/>
              <w:jc w:val="center"/>
              <w:rPr>
                <w:rFonts w:hint="eastAsia" w:ascii="宋体" w:hAnsi="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186577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74" w:type="dxa"/>
            <w:tcBorders>
              <w:top w:val="nil"/>
              <w:left w:val="nil"/>
              <w:bottom w:val="single" w:color="auto" w:sz="4" w:space="0"/>
              <w:right w:val="single" w:color="auto" w:sz="4" w:space="0"/>
            </w:tcBorders>
            <w:noWrap w:val="0"/>
            <w:vAlign w:val="center"/>
          </w:tcPr>
          <w:p w14:paraId="34A5D1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07C9AFF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48" w:type="dxa"/>
            <w:tcBorders>
              <w:top w:val="nil"/>
              <w:left w:val="nil"/>
              <w:bottom w:val="single" w:color="auto" w:sz="4" w:space="0"/>
              <w:right w:val="single" w:color="auto" w:sz="4" w:space="0"/>
            </w:tcBorders>
            <w:noWrap w:val="0"/>
            <w:vAlign w:val="center"/>
          </w:tcPr>
          <w:p w14:paraId="0301FCE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65" w:type="dxa"/>
            <w:tcBorders>
              <w:top w:val="nil"/>
              <w:left w:val="nil"/>
              <w:bottom w:val="single" w:color="auto" w:sz="4" w:space="0"/>
              <w:right w:val="single" w:color="auto" w:sz="4" w:space="0"/>
            </w:tcBorders>
            <w:noWrap w:val="0"/>
            <w:vAlign w:val="center"/>
          </w:tcPr>
          <w:p w14:paraId="0B9C81A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5091DEB5">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3D2C5DA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2038" w:type="dxa"/>
            <w:tcBorders>
              <w:top w:val="nil"/>
              <w:left w:val="nil"/>
              <w:bottom w:val="single" w:color="auto" w:sz="4" w:space="0"/>
              <w:right w:val="single" w:color="auto" w:sz="4" w:space="0"/>
            </w:tcBorders>
            <w:noWrap w:val="0"/>
            <w:vAlign w:val="center"/>
          </w:tcPr>
          <w:p w14:paraId="7B82C5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77E6BF3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0CB8F24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48" w:type="dxa"/>
            <w:tcBorders>
              <w:top w:val="nil"/>
              <w:left w:val="nil"/>
              <w:bottom w:val="single" w:color="auto" w:sz="4" w:space="0"/>
              <w:right w:val="single" w:color="auto" w:sz="4" w:space="0"/>
            </w:tcBorders>
            <w:noWrap w:val="0"/>
            <w:vAlign w:val="center"/>
          </w:tcPr>
          <w:p w14:paraId="298C175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65" w:type="dxa"/>
            <w:tcBorders>
              <w:top w:val="nil"/>
              <w:left w:val="nil"/>
              <w:bottom w:val="single" w:color="auto" w:sz="4" w:space="0"/>
              <w:right w:val="single" w:color="auto" w:sz="4" w:space="0"/>
            </w:tcBorders>
            <w:noWrap w:val="0"/>
            <w:vAlign w:val="center"/>
          </w:tcPr>
          <w:p w14:paraId="6551D8F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905AB40">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0C7D69AE">
            <w:pPr>
              <w:widowControl/>
              <w:jc w:val="center"/>
              <w:rPr>
                <w:rFonts w:hint="eastAsia" w:ascii="宋体" w:hAnsi="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448F81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74" w:type="dxa"/>
            <w:tcBorders>
              <w:top w:val="nil"/>
              <w:left w:val="nil"/>
              <w:bottom w:val="single" w:color="auto" w:sz="4" w:space="0"/>
              <w:right w:val="single" w:color="auto" w:sz="4" w:space="0"/>
            </w:tcBorders>
            <w:noWrap w:val="0"/>
            <w:vAlign w:val="center"/>
          </w:tcPr>
          <w:p w14:paraId="2AC93C2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35101A2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48" w:type="dxa"/>
            <w:tcBorders>
              <w:top w:val="nil"/>
              <w:left w:val="nil"/>
              <w:bottom w:val="single" w:color="auto" w:sz="4" w:space="0"/>
              <w:right w:val="single" w:color="auto" w:sz="4" w:space="0"/>
            </w:tcBorders>
            <w:noWrap w:val="0"/>
            <w:vAlign w:val="center"/>
          </w:tcPr>
          <w:p w14:paraId="747D30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65" w:type="dxa"/>
            <w:tcBorders>
              <w:top w:val="nil"/>
              <w:left w:val="nil"/>
              <w:bottom w:val="single" w:color="auto" w:sz="4" w:space="0"/>
              <w:right w:val="single" w:color="auto" w:sz="4" w:space="0"/>
            </w:tcBorders>
            <w:noWrap w:val="0"/>
            <w:vAlign w:val="center"/>
          </w:tcPr>
          <w:p w14:paraId="1DD18E0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67A977EA">
        <w:tblPrEx>
          <w:tblCellMar>
            <w:top w:w="0" w:type="dxa"/>
            <w:left w:w="108" w:type="dxa"/>
            <w:bottom w:w="0" w:type="dxa"/>
            <w:right w:w="108" w:type="dxa"/>
          </w:tblCellMar>
        </w:tblPrEx>
        <w:trPr>
          <w:trHeight w:val="311" w:hRule="atLeast"/>
        </w:trPr>
        <w:tc>
          <w:tcPr>
            <w:tcW w:w="2039" w:type="dxa"/>
            <w:vMerge w:val="restart"/>
            <w:tcBorders>
              <w:top w:val="nil"/>
              <w:left w:val="single" w:color="auto" w:sz="4" w:space="0"/>
              <w:bottom w:val="single" w:color="auto" w:sz="4" w:space="0"/>
              <w:right w:val="single" w:color="auto" w:sz="4" w:space="0"/>
            </w:tcBorders>
            <w:noWrap w:val="0"/>
            <w:vAlign w:val="center"/>
          </w:tcPr>
          <w:p w14:paraId="22FF31E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2038" w:type="dxa"/>
            <w:tcBorders>
              <w:top w:val="nil"/>
              <w:left w:val="nil"/>
              <w:bottom w:val="single" w:color="auto" w:sz="4" w:space="0"/>
              <w:right w:val="single" w:color="auto" w:sz="4" w:space="0"/>
            </w:tcBorders>
            <w:noWrap w:val="0"/>
            <w:vAlign w:val="center"/>
          </w:tcPr>
          <w:p w14:paraId="052A25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607A2C9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6577987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48" w:type="dxa"/>
            <w:tcBorders>
              <w:top w:val="nil"/>
              <w:left w:val="nil"/>
              <w:bottom w:val="single" w:color="auto" w:sz="4" w:space="0"/>
              <w:right w:val="single" w:color="auto" w:sz="4" w:space="0"/>
            </w:tcBorders>
            <w:noWrap w:val="0"/>
            <w:vAlign w:val="center"/>
          </w:tcPr>
          <w:p w14:paraId="777FF14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65" w:type="dxa"/>
            <w:tcBorders>
              <w:top w:val="nil"/>
              <w:left w:val="nil"/>
              <w:bottom w:val="single" w:color="auto" w:sz="4" w:space="0"/>
              <w:right w:val="single" w:color="auto" w:sz="4" w:space="0"/>
            </w:tcBorders>
            <w:noWrap w:val="0"/>
            <w:vAlign w:val="center"/>
          </w:tcPr>
          <w:p w14:paraId="660C4D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EF6CBD8">
        <w:tblPrEx>
          <w:tblCellMar>
            <w:top w:w="0" w:type="dxa"/>
            <w:left w:w="108" w:type="dxa"/>
            <w:bottom w:w="0" w:type="dxa"/>
            <w:right w:w="108" w:type="dxa"/>
          </w:tblCellMar>
        </w:tblPrEx>
        <w:trPr>
          <w:trHeight w:val="311" w:hRule="atLeast"/>
        </w:trPr>
        <w:tc>
          <w:tcPr>
            <w:tcW w:w="2039" w:type="dxa"/>
            <w:vMerge w:val="continue"/>
            <w:tcBorders>
              <w:top w:val="nil"/>
              <w:left w:val="single" w:color="auto" w:sz="4" w:space="0"/>
              <w:bottom w:val="single" w:color="auto" w:sz="4" w:space="0"/>
              <w:right w:val="single" w:color="auto" w:sz="4" w:space="0"/>
            </w:tcBorders>
            <w:noWrap w:val="0"/>
            <w:vAlign w:val="center"/>
          </w:tcPr>
          <w:p w14:paraId="5E774A66">
            <w:pPr>
              <w:widowControl/>
              <w:jc w:val="center"/>
              <w:rPr>
                <w:rFonts w:hint="eastAsia" w:ascii="宋体" w:hAnsi="宋体" w:cs="宋体"/>
                <w:b/>
                <w:bCs/>
                <w:color w:val="auto"/>
                <w:kern w:val="0"/>
                <w:sz w:val="18"/>
                <w:szCs w:val="18"/>
                <w:highlight w:val="none"/>
              </w:rPr>
            </w:pPr>
          </w:p>
        </w:tc>
        <w:tc>
          <w:tcPr>
            <w:tcW w:w="2038" w:type="dxa"/>
            <w:tcBorders>
              <w:top w:val="nil"/>
              <w:left w:val="nil"/>
              <w:bottom w:val="single" w:color="auto" w:sz="4" w:space="0"/>
              <w:right w:val="single" w:color="auto" w:sz="4" w:space="0"/>
            </w:tcBorders>
            <w:noWrap w:val="0"/>
            <w:vAlign w:val="center"/>
          </w:tcPr>
          <w:p w14:paraId="409337C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74" w:type="dxa"/>
            <w:tcBorders>
              <w:top w:val="nil"/>
              <w:left w:val="nil"/>
              <w:bottom w:val="single" w:color="auto" w:sz="4" w:space="0"/>
              <w:right w:val="single" w:color="auto" w:sz="4" w:space="0"/>
            </w:tcBorders>
            <w:noWrap w:val="0"/>
            <w:vAlign w:val="center"/>
          </w:tcPr>
          <w:p w14:paraId="1AC9AE3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3" w:type="dxa"/>
            <w:tcBorders>
              <w:top w:val="nil"/>
              <w:left w:val="nil"/>
              <w:bottom w:val="single" w:color="auto" w:sz="4" w:space="0"/>
              <w:right w:val="single" w:color="auto" w:sz="4" w:space="0"/>
            </w:tcBorders>
            <w:noWrap w:val="0"/>
            <w:vAlign w:val="center"/>
          </w:tcPr>
          <w:p w14:paraId="076059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48" w:type="dxa"/>
            <w:tcBorders>
              <w:top w:val="nil"/>
              <w:left w:val="nil"/>
              <w:bottom w:val="single" w:color="auto" w:sz="4" w:space="0"/>
              <w:right w:val="single" w:color="auto" w:sz="4" w:space="0"/>
            </w:tcBorders>
            <w:noWrap w:val="0"/>
            <w:vAlign w:val="center"/>
          </w:tcPr>
          <w:p w14:paraId="7AAED3E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65" w:type="dxa"/>
            <w:tcBorders>
              <w:top w:val="nil"/>
              <w:left w:val="nil"/>
              <w:bottom w:val="single" w:color="auto" w:sz="4" w:space="0"/>
              <w:right w:val="single" w:color="auto" w:sz="4" w:space="0"/>
            </w:tcBorders>
            <w:noWrap w:val="0"/>
            <w:vAlign w:val="center"/>
          </w:tcPr>
          <w:p w14:paraId="1925A4A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709E8FC">
        <w:tblPrEx>
          <w:tblCellMar>
            <w:top w:w="0" w:type="dxa"/>
            <w:left w:w="108" w:type="dxa"/>
            <w:bottom w:w="0" w:type="dxa"/>
            <w:right w:w="108" w:type="dxa"/>
          </w:tblCellMar>
        </w:tblPrEx>
        <w:trPr>
          <w:trHeight w:val="334" w:hRule="atLeast"/>
        </w:trPr>
        <w:tc>
          <w:tcPr>
            <w:tcW w:w="2039" w:type="dxa"/>
            <w:tcBorders>
              <w:top w:val="nil"/>
              <w:left w:val="single" w:color="auto" w:sz="4" w:space="0"/>
              <w:bottom w:val="single" w:color="auto" w:sz="4" w:space="0"/>
              <w:right w:val="single" w:color="auto" w:sz="4" w:space="0"/>
            </w:tcBorders>
            <w:noWrap w:val="0"/>
            <w:vAlign w:val="center"/>
          </w:tcPr>
          <w:p w14:paraId="2DE6281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2038" w:type="dxa"/>
            <w:tcBorders>
              <w:top w:val="nil"/>
              <w:left w:val="nil"/>
              <w:bottom w:val="single" w:color="auto" w:sz="4" w:space="0"/>
              <w:right w:val="single" w:color="auto" w:sz="4" w:space="0"/>
            </w:tcBorders>
            <w:noWrap w:val="0"/>
            <w:vAlign w:val="center"/>
          </w:tcPr>
          <w:p w14:paraId="7CBD67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74" w:type="dxa"/>
            <w:tcBorders>
              <w:top w:val="nil"/>
              <w:left w:val="nil"/>
              <w:bottom w:val="single" w:color="auto" w:sz="4" w:space="0"/>
              <w:right w:val="single" w:color="auto" w:sz="4" w:space="0"/>
            </w:tcBorders>
            <w:noWrap w:val="0"/>
            <w:vAlign w:val="center"/>
          </w:tcPr>
          <w:p w14:paraId="26FCAE1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3" w:type="dxa"/>
            <w:tcBorders>
              <w:top w:val="nil"/>
              <w:left w:val="nil"/>
              <w:bottom w:val="single" w:color="auto" w:sz="4" w:space="0"/>
              <w:right w:val="single" w:color="auto" w:sz="4" w:space="0"/>
            </w:tcBorders>
            <w:noWrap w:val="0"/>
            <w:vAlign w:val="center"/>
          </w:tcPr>
          <w:p w14:paraId="6F72B4B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48" w:type="dxa"/>
            <w:tcBorders>
              <w:top w:val="nil"/>
              <w:left w:val="nil"/>
              <w:bottom w:val="single" w:color="auto" w:sz="4" w:space="0"/>
              <w:right w:val="single" w:color="auto" w:sz="4" w:space="0"/>
            </w:tcBorders>
            <w:noWrap w:val="0"/>
            <w:vAlign w:val="center"/>
          </w:tcPr>
          <w:p w14:paraId="455436B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65" w:type="dxa"/>
            <w:tcBorders>
              <w:top w:val="nil"/>
              <w:left w:val="nil"/>
              <w:bottom w:val="single" w:color="auto" w:sz="4" w:space="0"/>
              <w:right w:val="single" w:color="auto" w:sz="4" w:space="0"/>
            </w:tcBorders>
            <w:noWrap w:val="0"/>
            <w:vAlign w:val="center"/>
          </w:tcPr>
          <w:p w14:paraId="3DB5A2F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CBADDE4">
      <w:pPr>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7A2F30E">
      <w:pPr>
        <w:pStyle w:val="2"/>
        <w:rPr>
          <w:rFonts w:ascii="宋体" w:hAnsi="宋体" w:cs="宋体"/>
          <w:color w:val="auto"/>
          <w:sz w:val="20"/>
          <w:szCs w:val="20"/>
          <w:highlight w:val="none"/>
        </w:rPr>
        <w:sectPr>
          <w:pgSz w:w="11910" w:h="16840"/>
          <w:pgMar w:top="1440" w:right="1080" w:bottom="1440" w:left="1080" w:header="0" w:footer="0" w:gutter="0"/>
          <w:cols w:space="720" w:num="1"/>
        </w:sectPr>
      </w:pPr>
    </w:p>
    <w:p w14:paraId="08D34877">
      <w:pPr>
        <w:pStyle w:val="2"/>
        <w:jc w:val="center"/>
        <w:rPr>
          <w:rFonts w:hint="eastAsia"/>
          <w:color w:val="auto"/>
          <w:highlight w:val="none"/>
        </w:rPr>
      </w:pPr>
      <w:bookmarkStart w:id="48" w:name="_Toc25737"/>
      <w:bookmarkStart w:id="49" w:name="_Toc74322011"/>
      <w:bookmarkStart w:id="50" w:name="_Toc28537"/>
      <w:r>
        <w:rPr>
          <w:rFonts w:hint="eastAsia"/>
          <w:color w:val="auto"/>
          <w:highlight w:val="none"/>
        </w:rPr>
        <w:t xml:space="preserve">第四章  </w:t>
      </w:r>
      <w:bookmarkStart w:id="51" w:name="_Hlk68601507"/>
      <w:r>
        <w:rPr>
          <w:rFonts w:hint="eastAsia"/>
          <w:color w:val="auto"/>
          <w:highlight w:val="none"/>
        </w:rPr>
        <w:t>评审程序和评定成交的标准</w:t>
      </w:r>
      <w:bookmarkEnd w:id="48"/>
      <w:bookmarkEnd w:id="49"/>
      <w:bookmarkEnd w:id="50"/>
      <w:bookmarkEnd w:id="51"/>
    </w:p>
    <w:p w14:paraId="051862D3">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w:t>
      </w:r>
    </w:p>
    <w:p w14:paraId="3F024CF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5A51C4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由谈判小组确认谈判文件。</w:t>
      </w:r>
    </w:p>
    <w:p w14:paraId="0F24069C">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5AC40042">
      <w:pPr>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745F8C2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“信用中国”网站（www.creditchina.gov.cn）、中国政府采购网（</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"http://www.ccgp.gov.cn" </w:instrText>
      </w:r>
      <w:r>
        <w:rPr>
          <w:rFonts w:ascii="宋体" w:hAnsi="宋体" w:cs="宋体"/>
          <w:color w:val="auto"/>
          <w:szCs w:val="21"/>
          <w:highlight w:val="none"/>
        </w:rPr>
        <w:fldChar w:fldCharType="separate"/>
      </w:r>
      <w:r>
        <w:rPr>
          <w:rFonts w:cs="宋体"/>
          <w:color w:val="auto"/>
          <w:highlight w:val="none"/>
        </w:rPr>
        <w:t>www.ccgp.gov.cn</w:t>
      </w:r>
      <w:r>
        <w:rPr>
          <w:rFonts w:ascii="宋体" w:hAnsi="宋体" w:cs="宋体"/>
          <w:color w:val="auto"/>
          <w:szCs w:val="21"/>
          <w:highlight w:val="none"/>
        </w:rPr>
        <w:fldChar w:fldCharType="end"/>
      </w:r>
      <w:r>
        <w:rPr>
          <w:rFonts w:ascii="宋体" w:hAnsi="宋体" w:cs="宋体"/>
          <w:color w:val="auto"/>
          <w:szCs w:val="21"/>
          <w:highlight w:val="none"/>
        </w:rPr>
        <w:t>）</w:t>
      </w:r>
      <w:r>
        <w:rPr>
          <w:rFonts w:hint="eastAsia" w:ascii="宋体" w:hAnsi="宋体" w:cs="宋体"/>
          <w:color w:val="auto"/>
          <w:szCs w:val="21"/>
          <w:highlight w:val="none"/>
        </w:rPr>
        <w:t xml:space="preserve"> </w:t>
      </w:r>
    </w:p>
    <w:p w14:paraId="53B177D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w:t>
      </w:r>
      <w:r>
        <w:rPr>
          <w:rFonts w:ascii="宋体" w:hAnsi="宋体" w:cs="宋体"/>
          <w:color w:val="auto"/>
          <w:szCs w:val="21"/>
          <w:highlight w:val="none"/>
        </w:rPr>
        <w:t>资格审查结束前</w:t>
      </w:r>
    </w:p>
    <w:p w14:paraId="104A043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（3）查询记录和证据留存方式：将查询网站中的查询记录截图并作为评审资料保存。</w:t>
      </w:r>
    </w:p>
    <w:p w14:paraId="26797DD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（4）信用信息使用规则：信用信息使用规则：根据财政部《关于在政府采购活动中查询及使用信用记录有关问题的通知》（财库〔2016〕125号）的规定，对在“信用中国”网站(www.creditchina.gov.cn)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F5FD267">
      <w:pPr>
        <w:snapToGrid w:val="0"/>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.2资格审查标准为本谈判文件中载明对供应商资格要求的条件。本项目资格审查采用合格制，凡符合谈判文件规定的供应商资格要求的供应商均通过资格审查。</w:t>
      </w:r>
    </w:p>
    <w:p w14:paraId="0DDCE79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 供应商有下列情形之一的，资格审查不通过，其响应文件按无效响应处理：</w:t>
      </w:r>
    </w:p>
    <w:p w14:paraId="578CBA9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00226FC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（2）响应文件中的资格证明文件缺少任一项“供应商须知前附表”资格证明文件规定的“必须提供”的文件资料的；</w:t>
      </w:r>
    </w:p>
    <w:p w14:paraId="29CB11C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（3）响应文件中的资格证明文件出现任一项不符合“供应商须知前附表”资格证明文件规定的“必须提供”的文件资料要求或者无效的；</w:t>
      </w:r>
    </w:p>
    <w:p w14:paraId="3878A5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31C2BD4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w:t>
      </w:r>
      <w:r>
        <w:rPr>
          <w:rFonts w:hint="eastAsia" w:ascii="宋体" w:hAnsi="宋体" w:cs="宋体"/>
          <w:color w:val="auto"/>
          <w:szCs w:val="21"/>
          <w:highlight w:val="none"/>
        </w:rPr>
        <w:t>.7条规定除外）的，不得进入符合性审查环节，应当重新开展采购活动。</w:t>
      </w:r>
    </w:p>
    <w:p w14:paraId="68E4B27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169C6F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由谈判小组对</w:t>
      </w:r>
      <w:r>
        <w:rPr>
          <w:rFonts w:hint="eastAsia" w:ascii="宋体" w:hAnsi="宋体"/>
          <w:color w:val="auto"/>
          <w:szCs w:val="21"/>
          <w:highlight w:val="none"/>
        </w:rPr>
        <w:t>资格审查的合格</w:t>
      </w:r>
      <w:r>
        <w:rPr>
          <w:rFonts w:hint="eastAsia" w:ascii="宋体" w:hAnsi="宋体" w:cs="宋体"/>
          <w:color w:val="auto"/>
          <w:szCs w:val="21"/>
          <w:highlight w:val="none"/>
        </w:rPr>
        <w:t>的供应商的响应文件进行竞标报价、商务、技术等实质性要求符合性审查，以确定其是否满足谈判文件的实质性要求。</w:t>
      </w:r>
    </w:p>
    <w:p w14:paraId="47DBB2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27838D">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w:t>
      </w:r>
      <w:r>
        <w:rPr>
          <w:rFonts w:hint="eastAsia" w:ascii="宋体" w:hAnsi="宋体" w:cs="宋体"/>
          <w:color w:val="auto"/>
          <w:highlight w:val="none"/>
        </w:rPr>
        <w:t>有利于采购人</w:t>
      </w:r>
      <w:r>
        <w:rPr>
          <w:rFonts w:hint="eastAsia" w:ascii="宋体" w:hAnsi="宋体" w:cs="宋体"/>
          <w:color w:val="auto"/>
          <w:szCs w:val="21"/>
          <w:highlight w:val="none"/>
        </w:rPr>
        <w:t>的原则由谈判小组进行判定。供应商的澄清、说明或者更正必须由法定代表人或者其委托代理人签字或者加盖供应商公章。</w:t>
      </w:r>
    </w:p>
    <w:p w14:paraId="2367995C">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71DC11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3589D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29174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C993B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43AC7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B333F0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65324F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在评审时，如发现下列情形之一的，将被视为响应文件无效响应处理：</w:t>
      </w:r>
    </w:p>
    <w:p w14:paraId="10E34E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6F210B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61EB08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349E58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727FE7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4）响应文件中的报价商务技术文件出现任一项不符合“供应商须知前附表”中“必须提供”或者“委托时必须提供”文件资料要求的规定或者提供的报价商务技术文件无效。</w:t>
      </w:r>
    </w:p>
    <w:p w14:paraId="61FAD6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5）商务条款中标“▲”的条款发生负偏离或者允许负偏离的条款数超过“供应商须知前附表”规定项数的；</w:t>
      </w:r>
    </w:p>
    <w:p w14:paraId="2F4242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72B2CA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594E78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17E900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6C342D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40FAA1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11）技术要求中标“▲”的条款发生负偏离或允许负偏离的条款数超过“供应商须知前附表”规定项数的；</w:t>
      </w:r>
    </w:p>
    <w:p w14:paraId="175A57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12）虚假竞标，或者出现其他情形而导致被谈判小组认定无效的；</w:t>
      </w:r>
    </w:p>
    <w:p w14:paraId="374D3F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bookmarkStart w:id="52"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52"/>
    </w:p>
    <w:p w14:paraId="4FEEBC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14）响应文件标注的项目名称或者项目编号与谈判文件标注的项目名称或者项目编号不一致的；</w:t>
      </w:r>
    </w:p>
    <w:p w14:paraId="4BB5C0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b/>
          <w:color w:val="auto"/>
          <w:szCs w:val="21"/>
          <w:highlight w:val="none"/>
        </w:rPr>
        <w:t>谈判文件明确不允许分包，响应文件拟分包的；</w:t>
      </w:r>
    </w:p>
    <w:p w14:paraId="7BE44D2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6）未响应谈判文件实质性要求；</w:t>
      </w:r>
    </w:p>
    <w:p w14:paraId="098A6B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17）法律、法规和谈判文件规定的其他无效情形。</w:t>
      </w:r>
    </w:p>
    <w:p w14:paraId="5E1474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6BAE53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 报价商务技术文件中规定的“竞标报价表”的；</w:t>
      </w:r>
    </w:p>
    <w:p w14:paraId="3A2609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385AB7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的；供应商未就所竞标分标的单项内容作唯一报价的；供应商未就所竞标分标的全部内容作完整唯一总价报价的；供应商响应文件中存在有选择、有条件报价的（谈判文件允许有备选方案或者其他约定的除外）；</w:t>
      </w:r>
    </w:p>
    <w:p w14:paraId="649AA1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4）最后报价超过所竞标分标规定的采购预算金额或者最高限价的（如本项目公布了最高限价）； </w:t>
      </w:r>
    </w:p>
    <w:p w14:paraId="633538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5）修正后的报价，供应商不确认的；或者经供应商确认修正后的最后报价超过所竞标分标规定的采购预算金额或者最高限价（如本项目公布了最高限价）；</w:t>
      </w:r>
    </w:p>
    <w:p w14:paraId="0C4815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响应文件响应的标的数量及单位与竞争性谈判采购文件要求实质性不一致的。</w:t>
      </w:r>
    </w:p>
    <w:p w14:paraId="7BD4130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响应处理。谈判小组应当将资格和符合性不通过的情况告知有关供应商。谈判小组从符合谈判文件规定的相应资格条件的供应商名单中确定不少于3家的供应商参加谈判。</w:t>
      </w:r>
    </w:p>
    <w:p w14:paraId="4407F41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投标文件或者经评审实质性响应招标文件要求的供应商只有两家时，采购人、采购代理机构按照《政府采购非招标采购方式管理办法》（财政部74号令）第四条经本级财政部门批准后可以与该两家供应商进行竞争性谈判采购。</w:t>
      </w:r>
    </w:p>
    <w:p w14:paraId="134C322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.8通过符合性审查的合格供应商不足3家的，不得进入谈判环节，应当重新开展采购活动。</w:t>
      </w:r>
    </w:p>
    <w:p w14:paraId="5876BFA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2EE71D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谈判小组按照“供应商须知前附表”第2</w:t>
      </w:r>
      <w:r>
        <w:rPr>
          <w:rFonts w:ascii="宋体" w:hAnsi="宋体" w:cs="宋体"/>
          <w:color w:val="auto"/>
          <w:kern w:val="0"/>
          <w:szCs w:val="21"/>
          <w:highlight w:val="none"/>
        </w:rPr>
        <w:t>6</w:t>
      </w:r>
      <w:r>
        <w:rPr>
          <w:rFonts w:hint="eastAsia" w:ascii="宋体" w:hAnsi="宋体" w:cs="宋体"/>
          <w:color w:val="auto"/>
          <w:kern w:val="0"/>
          <w:szCs w:val="21"/>
          <w:highlight w:val="none"/>
        </w:rPr>
        <w:t>条确定的</w:t>
      </w:r>
      <w:r>
        <w:rPr>
          <w:rFonts w:hint="eastAsia" w:ascii="宋体" w:hAnsi="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6B1A26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15C3F7B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对谈判文件作出的实质性变动是谈判文件的有效组成部分，谈判小组应当及时以电子谈判记录形式同时通知所有参加谈判的供应商。</w:t>
      </w:r>
    </w:p>
    <w:p w14:paraId="0F1520A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供应商必须按照谈判文件的变动情况和谈判小组的要求以电子回函的形式重新提交响应文件，并由其法定代表人或者委托代理人签字或者加盖供应商公章。由委托代理人签字的，</w:t>
      </w:r>
      <w:r>
        <w:rPr>
          <w:rFonts w:hint="eastAsia" w:ascii="宋体" w:hAnsi="宋体" w:cs="宋体"/>
          <w:bCs/>
          <w:color w:val="auto"/>
          <w:szCs w:val="21"/>
          <w:highlight w:val="none"/>
        </w:rPr>
        <w:t>若委托代理人不是响应文件中授权的委托代理人时，必须同时出示有效的授权委托书原件</w:t>
      </w:r>
      <w:r>
        <w:rPr>
          <w:rFonts w:hint="eastAsia" w:ascii="宋体" w:hAnsi="宋体" w:cs="宋体"/>
          <w:color w:val="auto"/>
          <w:szCs w:val="21"/>
          <w:highlight w:val="none"/>
        </w:rPr>
        <w:t>。供应商为自然人的，必须由本人签字并附身份证明。参加谈判的供应商未在规定时间内以电子回函的形式重新提交响应文件的，视同退出谈判，其响应文件按无效响应处理。</w:t>
      </w:r>
    </w:p>
    <w:p w14:paraId="58D6DF6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700AB09A">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6</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p>
    <w:p w14:paraId="3F820E4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最后报价</w:t>
      </w:r>
    </w:p>
    <w:p w14:paraId="225662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以电子文件形式提交最后报价，提交最后报价的供应商不得少于3家，除本章第3.7条外，否则必须重新采购。</w:t>
      </w:r>
    </w:p>
    <w:p w14:paraId="446CA88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以电子文件形式提交最后报价。</w:t>
      </w:r>
    </w:p>
    <w:p w14:paraId="7B7B3BB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w:t>
      </w:r>
    </w:p>
    <w:p w14:paraId="41AC1D7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已经提交响应文件的供应商，在提交最后报价之前，可以根据谈判情况退出谈判。采购人、采购代理机构将退还退出谈判的供应商的保证金。</w:t>
      </w:r>
    </w:p>
    <w:p w14:paraId="0F9CA18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供应商未在规定时间内提交最后报价的，视为退出谈判，其响应文件按无效响应处理。</w:t>
      </w:r>
    </w:p>
    <w:p w14:paraId="725B5C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谈判小组收齐某一分标最后报价后或达到规定时间后统一开启，谈判小组对最后报价进行有效性、完整性和响应程度的审查。</w:t>
      </w:r>
    </w:p>
    <w:p w14:paraId="4C90C6A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响应文件首次及最后报价出现前后不一致的，按照本章第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20C262C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经供应商确认修正后的最后报价作为评审及签订合同的依据。</w:t>
      </w:r>
    </w:p>
    <w:p w14:paraId="289B89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9</w:t>
      </w:r>
      <w:r>
        <w:rPr>
          <w:rFonts w:hint="eastAsia" w:ascii="宋体" w:hAnsi="宋体" w:cs="宋体"/>
          <w:color w:val="auto"/>
          <w:szCs w:val="21"/>
          <w:highlight w:val="none"/>
        </w:rPr>
        <w:t>供应商出现最后报价按无效响应处理或者响应文件按无效响应处理时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7901BA9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5.10</w:t>
      </w:r>
      <w:r>
        <w:rPr>
          <w:rFonts w:hint="eastAsia" w:ascii="宋体" w:hAnsi="宋体" w:cs="宋体"/>
          <w:color w:val="auto"/>
          <w:szCs w:val="21"/>
          <w:highlight w:val="none"/>
        </w:rPr>
        <w:t>最后报价结束后，谈判小组不得再与供应商进行任何形式的商谈。</w:t>
      </w:r>
    </w:p>
    <w:p w14:paraId="1232DBEB">
      <w:pPr>
        <w:spacing w:line="360" w:lineRule="auto"/>
        <w:ind w:firstLine="472" w:firstLineChars="196"/>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w:t>
      </w:r>
    </w:p>
    <w:p w14:paraId="1AC141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评标价为供应商的最后报价进行政策性扣除后的价格，评标价只是作为评审时使用。最终成交供应商的成交金额等于最后报价（如有修正，以确认修正后的最后报价为准）。</w:t>
      </w:r>
    </w:p>
    <w:p w14:paraId="7DC9635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6.2</w:t>
      </w:r>
      <w:r>
        <w:rPr>
          <w:rFonts w:hint="eastAsia" w:ascii="宋体" w:hAnsi="宋体" w:cs="宋体"/>
          <w:color w:val="auto"/>
          <w:szCs w:val="21"/>
          <w:highlight w:val="none"/>
        </w:rPr>
        <w:t>政策性扣除计算方法。</w:t>
      </w:r>
    </w:p>
    <w:p w14:paraId="0D0767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根据《政府采购促进中小企业发展管理办法》的规定，供应商属于《政府采购促进中小企业发展管理办法》</w:t>
      </w:r>
      <w:r>
        <w:rPr>
          <w:rFonts w:ascii="宋体" w:hAnsi="宋体" w:cs="宋体"/>
          <w:color w:val="auto"/>
          <w:szCs w:val="21"/>
          <w:highlight w:val="none"/>
        </w:rPr>
        <w:t>规定的小微企业</w:t>
      </w:r>
      <w:r>
        <w:rPr>
          <w:rFonts w:hint="eastAsia" w:ascii="宋体" w:hAnsi="宋体" w:cs="宋体"/>
          <w:color w:val="auto"/>
          <w:szCs w:val="21"/>
          <w:highlight w:val="none"/>
        </w:rPr>
        <w:t>的，对竞标报价</w:t>
      </w:r>
      <w:r>
        <w:rPr>
          <w:rFonts w:ascii="宋体" w:hAnsi="宋体" w:cs="宋体"/>
          <w:color w:val="auto"/>
          <w:szCs w:val="21"/>
          <w:highlight w:val="none"/>
        </w:rPr>
        <w:t>给予10%（工程项目为5%）的扣除，用扣除后的价格参加评审</w:t>
      </w:r>
      <w:r>
        <w:rPr>
          <w:rFonts w:hint="eastAsia" w:ascii="宋体" w:hAnsi="宋体" w:cs="宋体"/>
          <w:color w:val="auto"/>
          <w:szCs w:val="21"/>
          <w:highlight w:val="none"/>
        </w:rPr>
        <w:t>；</w:t>
      </w:r>
      <w:r>
        <w:rPr>
          <w:rFonts w:ascii="宋体" w:hAnsi="宋体" w:cs="宋体"/>
          <w:color w:val="auto"/>
          <w:szCs w:val="21"/>
          <w:highlight w:val="none"/>
        </w:rPr>
        <w:t>大中型企业与小微企业组成联合体或者大中型企业向一家或者多家小微企业分包，</w:t>
      </w:r>
      <w:r>
        <w:rPr>
          <w:rFonts w:hint="eastAsia" w:ascii="宋体" w:hAnsi="宋体" w:cs="宋体"/>
          <w:color w:val="auto"/>
          <w:szCs w:val="21"/>
          <w:highlight w:val="none"/>
        </w:rPr>
        <w:t>且</w:t>
      </w:r>
      <w:r>
        <w:rPr>
          <w:rFonts w:ascii="宋体" w:hAnsi="宋体" w:cs="宋体"/>
          <w:color w:val="auto"/>
          <w:szCs w:val="21"/>
          <w:highlight w:val="none"/>
        </w:rPr>
        <w:t>联合协议或者分包意向协议约定小微企业的合同份额占到合同总金额30%以上的，对联合体或者大中型企业的报价给予3%（工程项目为2%）的扣除，用扣除后的价格参加评审</w:t>
      </w:r>
      <w:r>
        <w:rPr>
          <w:rFonts w:hint="eastAsia" w:ascii="宋体" w:hAnsi="宋体" w:cs="宋体"/>
          <w:color w:val="auto"/>
          <w:szCs w:val="21"/>
          <w:highlight w:val="none"/>
        </w:rPr>
        <w:t>。符合上述规定对报价给予扣除的，扣除后的价格为评标价，即评标价=最后报价×（1 - 扣除比例）。</w:t>
      </w:r>
      <w:r>
        <w:rPr>
          <w:rFonts w:hint="eastAsia" w:ascii="宋体" w:hAnsi="宋体" w:cs="宋体"/>
          <w:b/>
          <w:bCs/>
          <w:color w:val="auto"/>
          <w:szCs w:val="21"/>
          <w:highlight w:val="none"/>
        </w:rPr>
        <w:t>本项目专门面向中小企业采购，不享受政府采购政策性扣除。</w:t>
      </w:r>
    </w:p>
    <w:p w14:paraId="70856909">
      <w:pPr>
        <w:spacing w:line="360" w:lineRule="auto"/>
        <w:ind w:firstLine="420" w:firstLineChars="200"/>
        <w:rPr>
          <w:rFonts w:hint="eastAsia" w:ascii="宋体" w:hAnsi="宋体" w:cs="宋体"/>
          <w:b/>
          <w:bCs/>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r>
        <w:rPr>
          <w:rFonts w:hint="eastAsia" w:ascii="宋体" w:hAnsi="宋体" w:cs="宋体"/>
          <w:b/>
          <w:bCs/>
          <w:color w:val="auto"/>
          <w:szCs w:val="21"/>
          <w:highlight w:val="none"/>
        </w:rPr>
        <w:t>本项目专门面向中小企业采购，不享受政府采购政策性扣除。</w:t>
      </w:r>
    </w:p>
    <w:p w14:paraId="2CBD7FB5">
      <w:pPr>
        <w:spacing w:line="360" w:lineRule="auto"/>
        <w:ind w:firstLine="420" w:firstLineChars="200"/>
        <w:rPr>
          <w:rFonts w:hint="eastAsia" w:ascii="宋体" w:hAnsi="宋体" w:cs="宋体"/>
          <w:b/>
          <w:bCs/>
          <w:color w:val="auto"/>
          <w:highlight w:val="none"/>
        </w:rPr>
      </w:pPr>
      <w:r>
        <w:rPr>
          <w:rFonts w:ascii="宋体" w:hAnsi="宋体" w:cs="宋体"/>
          <w:color w:val="auto"/>
          <w:szCs w:val="21"/>
          <w:highlight w:val="none"/>
        </w:rPr>
        <w:t>6.4</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r>
        <w:rPr>
          <w:rFonts w:hint="eastAsia" w:ascii="宋体" w:hAnsi="宋体" w:cs="宋体"/>
          <w:b/>
          <w:bCs/>
          <w:color w:val="auto"/>
          <w:highlight w:val="none"/>
        </w:rPr>
        <w:t>本项目专门面向中小企业采购，不享受政府采购政策性扣除。</w:t>
      </w:r>
    </w:p>
    <w:p w14:paraId="556E1336">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6.5</w:t>
      </w:r>
      <w:r>
        <w:rPr>
          <w:rFonts w:hint="eastAsia" w:ascii="宋体" w:hAnsi="宋体" w:cs="宋体"/>
          <w:color w:val="auto"/>
          <w:highlight w:val="none"/>
        </w:rPr>
        <w:t>除上述情况外，评标价＝最后报价。</w:t>
      </w:r>
    </w:p>
    <w:p w14:paraId="1CB2DE6B">
      <w:pPr>
        <w:spacing w:line="360" w:lineRule="auto"/>
        <w:ind w:firstLine="420" w:firstLineChars="200"/>
        <w:rPr>
          <w:rFonts w:hint="eastAsia" w:ascii="宋体" w:hAnsi="宋体" w:cs="宋体"/>
          <w:b/>
          <w:bCs/>
          <w:color w:val="auto"/>
          <w:highlight w:val="none"/>
        </w:rPr>
      </w:pPr>
      <w:r>
        <w:rPr>
          <w:rFonts w:ascii="宋体" w:hAnsi="宋体" w:cs="宋体"/>
          <w:color w:val="auto"/>
          <w:highlight w:val="none"/>
        </w:rPr>
        <w:t>6.</w:t>
      </w:r>
      <w:r>
        <w:rPr>
          <w:rFonts w:hint="eastAsia" w:ascii="宋体" w:hAnsi="宋体" w:cs="宋体"/>
          <w:color w:val="auto"/>
          <w:highlight w:val="none"/>
          <w:lang w:val="en-US" w:eastAsia="zh-CN"/>
        </w:rPr>
        <w:t>6</w:t>
      </w:r>
      <w:r>
        <w:rPr>
          <w:rFonts w:hint="eastAsia" w:ascii="宋体" w:hAnsi="宋体" w:cs="宋体"/>
          <w:b/>
          <w:bCs/>
          <w:color w:val="auto"/>
          <w:highlight w:val="none"/>
        </w:rPr>
        <w:t>谈判小组认为，某谈判供应商的最终竞标报价明显低于其他实质性响应谈判文件的谈判供应商的最终报价，有可能影响产品质量或者不能诚信履约的，可要求其在评标现场合理的时间内提供书面说明，必要时提交相关证明材料；谈判供应商不能证明其报价合理性的，谈判小组可将其作为未实质性响应谈判文件处理。</w:t>
      </w:r>
    </w:p>
    <w:p w14:paraId="0341B3DB">
      <w:pPr>
        <w:spacing w:line="360" w:lineRule="auto"/>
        <w:ind w:firstLine="420" w:firstLineChars="200"/>
        <w:rPr>
          <w:rFonts w:hint="eastAsia" w:ascii="宋体" w:hAnsi="宋体" w:cs="宋体"/>
          <w:color w:val="auto"/>
          <w:highlight w:val="none"/>
        </w:rPr>
      </w:pPr>
    </w:p>
    <w:p w14:paraId="1FF9B8DD">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二、评定成交的标准</w:t>
      </w:r>
    </w:p>
    <w:p w14:paraId="4F762C0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7.</w:t>
      </w:r>
      <w:r>
        <w:rPr>
          <w:rFonts w:hint="eastAsia" w:ascii="黑体" w:hAnsi="黑体" w:eastAsia="黑体" w:cs="宋体"/>
          <w:b/>
          <w:bCs/>
          <w:color w:val="auto"/>
          <w:sz w:val="24"/>
          <w:highlight w:val="none"/>
        </w:rPr>
        <w:t xml:space="preserve"> 成交候选人推荐原则</w:t>
      </w:r>
    </w:p>
    <w:p w14:paraId="4C9B0D7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谈判小组应当从质量和服务均能满足谈判文件实质性响应要求的供应商中，按照评标价由低到高的顺序提出3名以上成交候选人（评标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w:t>
      </w:r>
    </w:p>
    <w:p w14:paraId="5075CB55">
      <w:pPr>
        <w:bidi w:val="0"/>
        <w:rPr>
          <w:rFonts w:hint="eastAsia"/>
          <w:color w:val="auto"/>
          <w:highlight w:val="none"/>
        </w:rPr>
      </w:pPr>
      <w:r>
        <w:rPr>
          <w:color w:val="auto"/>
          <w:highlight w:val="none"/>
        </w:rPr>
        <w:br w:type="page"/>
      </w:r>
    </w:p>
    <w:p w14:paraId="1C70BEDE">
      <w:pPr>
        <w:rPr>
          <w:rFonts w:hint="eastAsia"/>
          <w:color w:val="auto"/>
          <w:highlight w:val="none"/>
        </w:rPr>
      </w:pPr>
    </w:p>
    <w:p w14:paraId="0FFECA75">
      <w:pPr>
        <w:rPr>
          <w:rFonts w:hint="eastAsia"/>
          <w:color w:val="auto"/>
          <w:highlight w:val="none"/>
        </w:rPr>
      </w:pPr>
    </w:p>
    <w:p w14:paraId="32F2E52B">
      <w:pPr>
        <w:rPr>
          <w:rFonts w:hint="eastAsia"/>
          <w:color w:val="auto"/>
          <w:highlight w:val="none"/>
        </w:rPr>
      </w:pPr>
    </w:p>
    <w:p w14:paraId="5E735757">
      <w:pPr>
        <w:rPr>
          <w:rFonts w:hint="eastAsia"/>
          <w:color w:val="auto"/>
          <w:highlight w:val="none"/>
        </w:rPr>
      </w:pPr>
    </w:p>
    <w:p w14:paraId="60FA967D">
      <w:pPr>
        <w:rPr>
          <w:rFonts w:hint="eastAsia"/>
          <w:color w:val="auto"/>
          <w:highlight w:val="none"/>
        </w:rPr>
      </w:pPr>
    </w:p>
    <w:p w14:paraId="61182FE8">
      <w:pPr>
        <w:rPr>
          <w:rFonts w:hint="eastAsia"/>
          <w:color w:val="auto"/>
          <w:highlight w:val="none"/>
        </w:rPr>
      </w:pPr>
    </w:p>
    <w:p w14:paraId="48BE8D15">
      <w:pPr>
        <w:rPr>
          <w:rFonts w:hint="eastAsia"/>
          <w:color w:val="auto"/>
          <w:highlight w:val="none"/>
        </w:rPr>
      </w:pPr>
    </w:p>
    <w:p w14:paraId="2D2E048F">
      <w:pPr>
        <w:rPr>
          <w:rFonts w:hint="eastAsia"/>
          <w:color w:val="auto"/>
          <w:highlight w:val="none"/>
        </w:rPr>
      </w:pPr>
    </w:p>
    <w:p w14:paraId="14F18BAA">
      <w:pPr>
        <w:pStyle w:val="2"/>
        <w:jc w:val="center"/>
        <w:rPr>
          <w:rFonts w:hint="eastAsia"/>
          <w:color w:val="auto"/>
          <w:highlight w:val="none"/>
        </w:rPr>
      </w:pPr>
      <w:bookmarkStart w:id="53" w:name="_Toc15275"/>
      <w:bookmarkStart w:id="54" w:name="_Toc28534"/>
      <w:bookmarkStart w:id="55" w:name="_Toc74322012"/>
      <w:r>
        <w:rPr>
          <w:rFonts w:hint="eastAsia"/>
          <w:color w:val="auto"/>
          <w:highlight w:val="none"/>
        </w:rPr>
        <w:t>第五章 响应文件格式</w:t>
      </w:r>
      <w:bookmarkEnd w:id="53"/>
      <w:bookmarkEnd w:id="54"/>
      <w:bookmarkEnd w:id="55"/>
    </w:p>
    <w:p w14:paraId="7C290B75">
      <w:pPr>
        <w:spacing w:line="240" w:lineRule="atLeast"/>
        <w:rPr>
          <w:rFonts w:hint="eastAsia" w:ascii="宋体" w:hAnsi="宋体"/>
          <w:b/>
          <w:color w:val="auto"/>
          <w:sz w:val="32"/>
          <w:szCs w:val="32"/>
          <w:highlight w:val="none"/>
        </w:rPr>
      </w:pPr>
    </w:p>
    <w:p w14:paraId="68CE0A68">
      <w:pPr>
        <w:spacing w:line="240" w:lineRule="atLeast"/>
        <w:rPr>
          <w:rFonts w:hint="eastAsia" w:ascii="宋体" w:hAnsi="宋体"/>
          <w:b/>
          <w:color w:val="auto"/>
          <w:sz w:val="32"/>
          <w:szCs w:val="32"/>
          <w:highlight w:val="none"/>
        </w:rPr>
      </w:pPr>
    </w:p>
    <w:p w14:paraId="16807188">
      <w:pPr>
        <w:spacing w:line="240" w:lineRule="atLeast"/>
        <w:rPr>
          <w:rFonts w:hint="eastAsia" w:ascii="宋体" w:hAnsi="宋体"/>
          <w:b/>
          <w:color w:val="auto"/>
          <w:sz w:val="32"/>
          <w:szCs w:val="32"/>
          <w:highlight w:val="none"/>
        </w:rPr>
      </w:pPr>
    </w:p>
    <w:p w14:paraId="2A23C015">
      <w:pPr>
        <w:spacing w:line="240" w:lineRule="atLeast"/>
        <w:rPr>
          <w:rFonts w:hint="eastAsia" w:ascii="宋体" w:hAnsi="宋体"/>
          <w:b/>
          <w:color w:val="auto"/>
          <w:sz w:val="32"/>
          <w:szCs w:val="32"/>
          <w:highlight w:val="none"/>
        </w:rPr>
      </w:pPr>
    </w:p>
    <w:p w14:paraId="6B5999C0">
      <w:pPr>
        <w:spacing w:line="240" w:lineRule="atLeast"/>
        <w:rPr>
          <w:rFonts w:hint="eastAsia" w:ascii="宋体" w:hAnsi="宋体"/>
          <w:b/>
          <w:color w:val="auto"/>
          <w:sz w:val="32"/>
          <w:szCs w:val="32"/>
          <w:highlight w:val="none"/>
        </w:rPr>
      </w:pPr>
    </w:p>
    <w:p w14:paraId="0E5B1E0D">
      <w:pPr>
        <w:spacing w:line="240" w:lineRule="atLeast"/>
        <w:rPr>
          <w:rFonts w:hint="eastAsia" w:ascii="宋体" w:hAnsi="宋体"/>
          <w:b/>
          <w:color w:val="auto"/>
          <w:sz w:val="32"/>
          <w:szCs w:val="32"/>
          <w:highlight w:val="none"/>
        </w:rPr>
      </w:pPr>
    </w:p>
    <w:p w14:paraId="0AF08CD8">
      <w:pPr>
        <w:spacing w:line="240" w:lineRule="atLeast"/>
        <w:rPr>
          <w:rFonts w:hint="eastAsia" w:ascii="宋体" w:hAnsi="宋体"/>
          <w:b/>
          <w:color w:val="auto"/>
          <w:sz w:val="32"/>
          <w:szCs w:val="32"/>
          <w:highlight w:val="none"/>
        </w:rPr>
      </w:pPr>
    </w:p>
    <w:p w14:paraId="5D5E1B91">
      <w:pPr>
        <w:spacing w:line="240" w:lineRule="atLeast"/>
        <w:rPr>
          <w:rFonts w:hint="eastAsia" w:ascii="宋体" w:hAnsi="宋体"/>
          <w:b/>
          <w:color w:val="auto"/>
          <w:sz w:val="32"/>
          <w:szCs w:val="32"/>
          <w:highlight w:val="none"/>
        </w:rPr>
      </w:pPr>
    </w:p>
    <w:p w14:paraId="4DCEDA29">
      <w:pPr>
        <w:spacing w:line="240" w:lineRule="atLeast"/>
        <w:rPr>
          <w:rFonts w:hint="eastAsia" w:ascii="宋体" w:hAnsi="宋体"/>
          <w:b/>
          <w:color w:val="auto"/>
          <w:sz w:val="32"/>
          <w:szCs w:val="32"/>
          <w:highlight w:val="none"/>
        </w:rPr>
      </w:pPr>
    </w:p>
    <w:p w14:paraId="71BE4315">
      <w:pPr>
        <w:spacing w:line="240" w:lineRule="atLeast"/>
        <w:rPr>
          <w:rFonts w:hint="eastAsia" w:ascii="宋体" w:hAnsi="宋体"/>
          <w:b/>
          <w:color w:val="auto"/>
          <w:sz w:val="32"/>
          <w:szCs w:val="32"/>
          <w:highlight w:val="none"/>
        </w:rPr>
      </w:pPr>
    </w:p>
    <w:p w14:paraId="79C051F1">
      <w:pPr>
        <w:spacing w:line="240" w:lineRule="atLeast"/>
        <w:rPr>
          <w:rFonts w:hint="eastAsia" w:ascii="宋体" w:hAnsi="宋体"/>
          <w:b/>
          <w:color w:val="auto"/>
          <w:sz w:val="32"/>
          <w:szCs w:val="32"/>
          <w:highlight w:val="none"/>
        </w:rPr>
      </w:pPr>
    </w:p>
    <w:p w14:paraId="279592FE">
      <w:pPr>
        <w:spacing w:line="240" w:lineRule="atLeast"/>
        <w:rPr>
          <w:rFonts w:hint="eastAsia" w:ascii="宋体" w:hAnsi="宋体"/>
          <w:b/>
          <w:color w:val="auto"/>
          <w:sz w:val="32"/>
          <w:szCs w:val="32"/>
          <w:highlight w:val="none"/>
        </w:rPr>
      </w:pPr>
    </w:p>
    <w:p w14:paraId="1548EF1A">
      <w:pPr>
        <w:spacing w:line="240" w:lineRule="atLeast"/>
        <w:rPr>
          <w:rFonts w:hint="eastAsia" w:ascii="宋体" w:hAnsi="宋体"/>
          <w:b/>
          <w:color w:val="auto"/>
          <w:sz w:val="32"/>
          <w:szCs w:val="32"/>
          <w:highlight w:val="none"/>
        </w:rPr>
      </w:pPr>
    </w:p>
    <w:p w14:paraId="697AE5F5">
      <w:pPr>
        <w:spacing w:line="240" w:lineRule="atLeast"/>
        <w:rPr>
          <w:rFonts w:hint="eastAsia" w:ascii="宋体" w:hAnsi="宋体"/>
          <w:b/>
          <w:color w:val="auto"/>
          <w:sz w:val="32"/>
          <w:szCs w:val="32"/>
          <w:highlight w:val="none"/>
        </w:rPr>
      </w:pPr>
    </w:p>
    <w:p w14:paraId="59FC715F">
      <w:pPr>
        <w:bidi w:val="0"/>
        <w:rPr>
          <w:rFonts w:hint="eastAsia"/>
          <w:color w:val="auto"/>
          <w:highlight w:val="none"/>
        </w:rPr>
      </w:pPr>
    </w:p>
    <w:p w14:paraId="2C9D078E">
      <w:pPr>
        <w:spacing w:line="240" w:lineRule="atLeast"/>
        <w:rPr>
          <w:rFonts w:hint="eastAsia"/>
          <w:b/>
          <w:color w:val="auto"/>
          <w:sz w:val="32"/>
          <w:szCs w:val="32"/>
          <w:highlight w:val="none"/>
        </w:rPr>
      </w:pPr>
      <w:bookmarkStart w:id="56" w:name="_Toc71365382"/>
      <w:bookmarkStart w:id="57" w:name="_Toc71366060"/>
      <w:r>
        <w:rPr>
          <w:b/>
          <w:color w:val="auto"/>
          <w:sz w:val="32"/>
          <w:szCs w:val="32"/>
          <w:highlight w:val="none"/>
        </w:rPr>
        <w:br w:type="page"/>
      </w:r>
      <w:r>
        <w:rPr>
          <w:rFonts w:hint="eastAsia"/>
          <w:b/>
          <w:color w:val="auto"/>
          <w:sz w:val="32"/>
          <w:szCs w:val="32"/>
          <w:highlight w:val="none"/>
        </w:rPr>
        <w:t>一、资格证明文件格式</w:t>
      </w:r>
      <w:bookmarkEnd w:id="56"/>
      <w:bookmarkEnd w:id="57"/>
    </w:p>
    <w:p w14:paraId="207234C9">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17EC3C6B">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C788DE2">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p>
    <w:p w14:paraId="65CEA72C">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7061CA5E">
      <w:pPr>
        <w:snapToGrid w:val="0"/>
        <w:spacing w:before="120" w:beforeLines="50" w:after="50"/>
        <w:rPr>
          <w:rFonts w:hint="eastAsia" w:ascii="宋体" w:hAnsi="宋体" w:eastAsia="宋体" w:cs="宋体"/>
          <w:color w:val="auto"/>
          <w:sz w:val="24"/>
          <w:szCs w:val="20"/>
          <w:highlight w:val="none"/>
        </w:rPr>
      </w:pPr>
    </w:p>
    <w:p w14:paraId="669FE2D8">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资  格  证  明  文  件</w:t>
      </w:r>
    </w:p>
    <w:p w14:paraId="69EE37D8">
      <w:pPr>
        <w:snapToGrid w:val="0"/>
        <w:spacing w:before="120" w:beforeLines="50" w:after="50"/>
        <w:rPr>
          <w:rFonts w:hint="eastAsia" w:ascii="宋体" w:hAnsi="宋体"/>
          <w:bCs/>
          <w:color w:val="auto"/>
          <w:sz w:val="24"/>
          <w:szCs w:val="20"/>
          <w:highlight w:val="none"/>
        </w:rPr>
      </w:pPr>
    </w:p>
    <w:p w14:paraId="684418CC">
      <w:pPr>
        <w:snapToGrid w:val="0"/>
        <w:spacing w:before="120" w:beforeLines="50" w:after="50"/>
        <w:rPr>
          <w:rFonts w:hint="eastAsia" w:ascii="宋体" w:hAnsi="宋体"/>
          <w:bCs/>
          <w:color w:val="auto"/>
          <w:sz w:val="24"/>
          <w:szCs w:val="20"/>
          <w:highlight w:val="none"/>
        </w:rPr>
      </w:pPr>
    </w:p>
    <w:p w14:paraId="7996C005">
      <w:pPr>
        <w:snapToGrid w:val="0"/>
        <w:spacing w:before="120" w:beforeLines="50" w:after="50"/>
        <w:rPr>
          <w:rFonts w:hint="eastAsia" w:ascii="宋体" w:hAnsi="宋体"/>
          <w:bCs/>
          <w:color w:val="auto"/>
          <w:sz w:val="24"/>
          <w:szCs w:val="20"/>
          <w:highlight w:val="none"/>
        </w:rPr>
      </w:pPr>
    </w:p>
    <w:p w14:paraId="5193D8C8">
      <w:pPr>
        <w:snapToGrid w:val="0"/>
        <w:spacing w:before="120" w:beforeLines="50" w:after="50"/>
        <w:rPr>
          <w:rFonts w:hint="eastAsia" w:ascii="宋体" w:hAnsi="宋体"/>
          <w:bCs/>
          <w:color w:val="auto"/>
          <w:sz w:val="24"/>
          <w:szCs w:val="20"/>
          <w:highlight w:val="none"/>
        </w:rPr>
      </w:pPr>
    </w:p>
    <w:p w14:paraId="713B7CEA">
      <w:pPr>
        <w:snapToGrid w:val="0"/>
        <w:spacing w:before="120" w:beforeLines="50" w:after="50"/>
        <w:rPr>
          <w:rFonts w:hint="eastAsia" w:ascii="宋体" w:hAnsi="宋体"/>
          <w:bCs/>
          <w:color w:val="auto"/>
          <w:sz w:val="24"/>
          <w:szCs w:val="20"/>
          <w:highlight w:val="none"/>
        </w:rPr>
      </w:pPr>
    </w:p>
    <w:p w14:paraId="328B3EB3">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0A97AF3">
      <w:pPr>
        <w:snapToGrid w:val="0"/>
        <w:spacing w:before="120" w:beforeLines="50" w:after="50"/>
        <w:ind w:firstLine="720" w:firstLineChars="225"/>
        <w:rPr>
          <w:rFonts w:hint="eastAsia" w:ascii="宋体" w:hAnsi="宋体" w:cs="仿宋_GB2312"/>
          <w:bCs/>
          <w:color w:val="auto"/>
          <w:sz w:val="32"/>
          <w:szCs w:val="32"/>
          <w:highlight w:val="none"/>
        </w:rPr>
      </w:pPr>
    </w:p>
    <w:p w14:paraId="37D16221">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E111724">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D428C42">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w:t>
      </w:r>
    </w:p>
    <w:p w14:paraId="56A36796">
      <w:pPr>
        <w:snapToGrid w:val="0"/>
        <w:spacing w:before="120" w:beforeLines="50" w:after="50"/>
        <w:ind w:firstLine="720" w:firstLineChars="225"/>
        <w:rPr>
          <w:rFonts w:hint="eastAsia" w:ascii="宋体" w:hAnsi="宋体" w:cs="仿宋_GB2312"/>
          <w:bCs/>
          <w:color w:val="auto"/>
          <w:sz w:val="32"/>
          <w:szCs w:val="32"/>
          <w:highlight w:val="none"/>
        </w:rPr>
      </w:pPr>
    </w:p>
    <w:p w14:paraId="000CD297">
      <w:pPr>
        <w:pStyle w:val="5"/>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C681051">
      <w:pPr>
        <w:snapToGrid w:val="0"/>
        <w:spacing w:before="120" w:beforeLines="50" w:after="50"/>
        <w:ind w:firstLine="640" w:firstLineChars="200"/>
        <w:rPr>
          <w:rFonts w:hint="eastAsia" w:ascii="宋体" w:hAnsi="宋体" w:cs="仿宋_GB2312"/>
          <w:bCs/>
          <w:color w:val="auto"/>
          <w:sz w:val="32"/>
          <w:szCs w:val="32"/>
          <w:highlight w:val="none"/>
        </w:rPr>
      </w:pPr>
    </w:p>
    <w:p w14:paraId="47E65B83">
      <w:pPr>
        <w:pStyle w:val="5"/>
        <w:snapToGrid w:val="0"/>
        <w:spacing w:before="50" w:after="50"/>
        <w:ind w:firstLine="720" w:firstLineChars="225"/>
        <w:rPr>
          <w:rFonts w:hint="eastAsia" w:ascii="宋体" w:hAnsi="宋体" w:cs="仿宋_GB2312"/>
          <w:bCs/>
          <w:color w:val="auto"/>
          <w:sz w:val="32"/>
          <w:szCs w:val="32"/>
          <w:highlight w:val="none"/>
        </w:rPr>
      </w:pPr>
    </w:p>
    <w:p w14:paraId="436C1D7D">
      <w:pPr>
        <w:pStyle w:val="5"/>
        <w:snapToGrid w:val="0"/>
        <w:spacing w:before="50" w:after="50"/>
        <w:ind w:firstLine="1280" w:firstLineChars="400"/>
        <w:rPr>
          <w:rFonts w:hint="eastAsia" w:ascii="宋体" w:hAnsi="宋体" w:cs="仿宋_GB2312"/>
          <w:bCs/>
          <w:color w:val="auto"/>
          <w:sz w:val="32"/>
          <w:szCs w:val="32"/>
          <w:highlight w:val="none"/>
        </w:rPr>
      </w:pPr>
    </w:p>
    <w:p w14:paraId="52D7AF87">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2172348">
      <w:pPr>
        <w:snapToGrid w:val="0"/>
        <w:spacing w:before="120"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3252BD9F">
      <w:pPr>
        <w:snapToGrid w:val="0"/>
        <w:spacing w:before="120" w:beforeLines="50" w:after="50" w:line="360" w:lineRule="auto"/>
        <w:rPr>
          <w:rFonts w:hint="eastAsia" w:ascii="宋体" w:hAnsi="宋体"/>
          <w:color w:val="auto"/>
          <w:sz w:val="24"/>
          <w:szCs w:val="20"/>
          <w:highlight w:val="none"/>
        </w:rPr>
      </w:pPr>
      <w:r>
        <w:rPr>
          <w:rFonts w:hint="eastAsia" w:ascii="宋体" w:hAnsi="宋体"/>
          <w:color w:val="auto"/>
          <w:sz w:val="24"/>
          <w:szCs w:val="20"/>
          <w:highlight w:val="none"/>
        </w:rPr>
        <w:t>一、营业执照(或事业法人登记证或其他工商等登记证明材料)复印件（供应商为自然人的，须提供自然人的身份证明）…………………………………………………………………（页码）</w:t>
      </w:r>
    </w:p>
    <w:p w14:paraId="144917CC">
      <w:pPr>
        <w:snapToGrid w:val="0"/>
        <w:spacing w:before="120" w:beforeLines="50" w:after="50" w:line="360" w:lineRule="auto"/>
        <w:rPr>
          <w:rFonts w:hint="eastAsia" w:ascii="宋体" w:hAnsi="宋体"/>
          <w:color w:val="auto"/>
          <w:sz w:val="24"/>
          <w:szCs w:val="20"/>
          <w:highlight w:val="none"/>
        </w:rPr>
      </w:pPr>
      <w:r>
        <w:rPr>
          <w:rFonts w:hint="eastAsia" w:ascii="宋体" w:hAnsi="宋体"/>
          <w:color w:val="auto"/>
          <w:sz w:val="24"/>
          <w:szCs w:val="20"/>
          <w:highlight w:val="none"/>
        </w:rPr>
        <w:t>二、符合参与政府采购活动的资格条件依法缴纳税收、社会保障资金等方面的材料…（页码）</w:t>
      </w:r>
    </w:p>
    <w:p w14:paraId="67E57A94">
      <w:pPr>
        <w:snapToGrid w:val="0"/>
        <w:spacing w:before="120" w:beforeLines="50" w:after="50" w:line="360" w:lineRule="auto"/>
        <w:rPr>
          <w:rFonts w:hint="eastAsia" w:ascii="宋体" w:hAnsi="宋体"/>
          <w:color w:val="auto"/>
          <w:sz w:val="24"/>
          <w:szCs w:val="20"/>
          <w:highlight w:val="none"/>
        </w:rPr>
      </w:pPr>
      <w:r>
        <w:rPr>
          <w:rFonts w:hint="eastAsia" w:ascii="宋体" w:hAnsi="宋体"/>
          <w:color w:val="auto"/>
          <w:sz w:val="24"/>
          <w:szCs w:val="20"/>
          <w:highlight w:val="none"/>
        </w:rPr>
        <w:t>三、财务状况报告方面的材料………………………………………………………………（页码）</w:t>
      </w:r>
    </w:p>
    <w:p w14:paraId="0DFD329B">
      <w:pPr>
        <w:snapToGrid w:val="0"/>
        <w:spacing w:before="120" w:beforeLines="50" w:after="50" w:line="360" w:lineRule="auto"/>
        <w:rPr>
          <w:rFonts w:hint="eastAsia" w:ascii="宋体" w:hAnsi="宋体"/>
          <w:color w:val="auto"/>
          <w:sz w:val="24"/>
          <w:szCs w:val="20"/>
          <w:highlight w:val="none"/>
        </w:rPr>
      </w:pPr>
      <w:r>
        <w:rPr>
          <w:rFonts w:hint="eastAsia" w:ascii="宋体" w:hAnsi="宋体"/>
          <w:color w:val="auto"/>
          <w:sz w:val="24"/>
          <w:szCs w:val="20"/>
          <w:highlight w:val="none"/>
        </w:rPr>
        <w:t>四、供应商直接控股股东信息………………………………………………………………（页码）</w:t>
      </w:r>
    </w:p>
    <w:p w14:paraId="6D9ACA2F">
      <w:pPr>
        <w:snapToGrid w:val="0"/>
        <w:spacing w:before="120" w:beforeLines="50" w:after="50" w:line="360" w:lineRule="auto"/>
        <w:rPr>
          <w:rFonts w:hint="eastAsia" w:ascii="宋体" w:hAnsi="宋体"/>
          <w:color w:val="auto"/>
          <w:sz w:val="24"/>
          <w:szCs w:val="20"/>
          <w:highlight w:val="none"/>
        </w:rPr>
      </w:pPr>
      <w:r>
        <w:rPr>
          <w:rFonts w:hint="eastAsia" w:ascii="宋体" w:hAnsi="宋体"/>
          <w:color w:val="auto"/>
          <w:sz w:val="24"/>
          <w:szCs w:val="20"/>
          <w:highlight w:val="none"/>
        </w:rPr>
        <w:t>五、供应商直接关联关系信息表……………………………………………………………（页码）</w:t>
      </w:r>
    </w:p>
    <w:p w14:paraId="28F6A642">
      <w:pPr>
        <w:snapToGrid w:val="0"/>
        <w:spacing w:before="120" w:beforeLines="50" w:after="50" w:line="360" w:lineRule="auto"/>
        <w:rPr>
          <w:rFonts w:hint="eastAsia" w:ascii="宋体" w:hAnsi="宋体"/>
          <w:color w:val="auto"/>
          <w:sz w:val="24"/>
          <w:szCs w:val="20"/>
          <w:highlight w:val="none"/>
        </w:rPr>
      </w:pPr>
      <w:r>
        <w:rPr>
          <w:rFonts w:hint="eastAsia" w:ascii="宋体" w:hAnsi="宋体"/>
          <w:color w:val="auto"/>
          <w:sz w:val="24"/>
          <w:szCs w:val="20"/>
          <w:highlight w:val="none"/>
        </w:rPr>
        <w:t>六、资格声明函………………………………………………………………………………（页码）</w:t>
      </w:r>
    </w:p>
    <w:p w14:paraId="4C77A821">
      <w:pPr>
        <w:spacing w:line="360" w:lineRule="auto"/>
        <w:rPr>
          <w:rFonts w:hint="eastAsia" w:ascii="宋体" w:hAnsi="宋体"/>
          <w:color w:val="auto"/>
          <w:sz w:val="24"/>
          <w:szCs w:val="20"/>
          <w:highlight w:val="none"/>
        </w:rPr>
      </w:pPr>
      <w:r>
        <w:rPr>
          <w:rFonts w:hint="eastAsia" w:ascii="宋体" w:hAnsi="宋体"/>
          <w:color w:val="auto"/>
          <w:sz w:val="24"/>
          <w:szCs w:val="20"/>
          <w:highlight w:val="none"/>
        </w:rPr>
        <w:t>七、</w:t>
      </w:r>
      <w:r>
        <w:rPr>
          <w:rFonts w:hint="eastAsia" w:ascii="宋体" w:hAnsi="宋体"/>
          <w:color w:val="auto"/>
          <w:sz w:val="24"/>
          <w:szCs w:val="20"/>
          <w:highlight w:val="none"/>
          <w:lang w:eastAsia="zh-CN"/>
        </w:rPr>
        <w:t>供应商须具备电力工程施工总承包三级及以上资质</w:t>
      </w:r>
      <w:r>
        <w:rPr>
          <w:rFonts w:hint="eastAsia" w:ascii="宋体" w:hAnsi="宋体"/>
          <w:color w:val="auto"/>
          <w:sz w:val="24"/>
          <w:szCs w:val="20"/>
          <w:highlight w:val="none"/>
          <w:lang w:val="en-US" w:eastAsia="zh-CN"/>
        </w:rPr>
        <w:t>及</w:t>
      </w:r>
      <w:r>
        <w:rPr>
          <w:rFonts w:hint="eastAsia" w:ascii="宋体" w:hAnsi="宋体"/>
          <w:color w:val="auto"/>
          <w:sz w:val="24"/>
          <w:szCs w:val="20"/>
          <w:highlight w:val="none"/>
          <w:lang w:eastAsia="zh-CN"/>
        </w:rPr>
        <w:t>有效的《承装（修、试）电力设施许可证》承装类、承修类</w:t>
      </w:r>
      <w:r>
        <w:rPr>
          <w:rFonts w:hint="eastAsia" w:ascii="宋体" w:hAnsi="宋体"/>
          <w:color w:val="auto"/>
          <w:sz w:val="24"/>
          <w:szCs w:val="20"/>
          <w:highlight w:val="none"/>
          <w:lang w:val="en-US" w:eastAsia="zh-CN"/>
        </w:rPr>
        <w:t>三</w:t>
      </w:r>
      <w:r>
        <w:rPr>
          <w:rFonts w:hint="eastAsia" w:ascii="宋体" w:hAnsi="宋体"/>
          <w:color w:val="auto"/>
          <w:sz w:val="24"/>
          <w:szCs w:val="20"/>
          <w:highlight w:val="none"/>
          <w:lang w:eastAsia="zh-CN"/>
        </w:rPr>
        <w:t>级及以上资质；有省级及以上建设行政主管部门颁发的安全生产许可证；并在人员、设备、资金等方面具备相应的施工能力</w:t>
      </w:r>
      <w:r>
        <w:rPr>
          <w:rFonts w:hint="eastAsia" w:ascii="宋体" w:hAnsi="宋体"/>
          <w:color w:val="auto"/>
          <w:sz w:val="24"/>
          <w:szCs w:val="20"/>
          <w:highlight w:val="none"/>
        </w:rPr>
        <w:t>………………………………………………………（页码）</w:t>
      </w:r>
    </w:p>
    <w:p w14:paraId="57892B93">
      <w:pPr>
        <w:snapToGrid w:val="0"/>
        <w:spacing w:before="120" w:beforeLines="50" w:after="50" w:line="360" w:lineRule="auto"/>
        <w:rPr>
          <w:rFonts w:hint="eastAsia" w:ascii="宋体" w:hAnsi="宋体"/>
          <w:color w:val="auto"/>
          <w:sz w:val="24"/>
          <w:szCs w:val="20"/>
          <w:highlight w:val="none"/>
        </w:rPr>
      </w:pPr>
      <w:r>
        <w:rPr>
          <w:rFonts w:hint="eastAsia" w:ascii="宋体" w:hAnsi="宋体"/>
          <w:color w:val="auto"/>
          <w:sz w:val="24"/>
          <w:szCs w:val="20"/>
          <w:highlight w:val="none"/>
        </w:rPr>
        <w:t>八、承诺书……………………………………………………………………………………（页码）</w:t>
      </w:r>
    </w:p>
    <w:p w14:paraId="444933CB">
      <w:pPr>
        <w:snapToGrid w:val="0"/>
        <w:spacing w:before="120" w:beforeLines="50" w:after="50" w:line="360" w:lineRule="auto"/>
        <w:rPr>
          <w:rFonts w:hint="eastAsia" w:ascii="宋体" w:hAnsi="宋体"/>
          <w:color w:val="auto"/>
          <w:sz w:val="24"/>
          <w:szCs w:val="20"/>
          <w:highlight w:val="none"/>
        </w:rPr>
      </w:pPr>
      <w:r>
        <w:rPr>
          <w:rFonts w:hint="eastAsia" w:ascii="宋体" w:hAnsi="宋体"/>
          <w:color w:val="auto"/>
          <w:sz w:val="24"/>
          <w:szCs w:val="20"/>
          <w:highlight w:val="none"/>
        </w:rPr>
        <w:t>九、中小企业声明函或残疾人福利性单位声明函或监狱企业证明………………………（页码）</w:t>
      </w:r>
    </w:p>
    <w:p w14:paraId="2C2B408A">
      <w:pPr>
        <w:snapToGrid w:val="0"/>
        <w:spacing w:before="120" w:beforeLines="50" w:after="50" w:line="360" w:lineRule="auto"/>
        <w:rPr>
          <w:rFonts w:hint="eastAsia" w:ascii="宋体" w:hAnsi="宋体"/>
          <w:color w:val="auto"/>
          <w:sz w:val="24"/>
          <w:szCs w:val="20"/>
          <w:highlight w:val="none"/>
        </w:rPr>
      </w:pPr>
    </w:p>
    <w:p w14:paraId="726D91C5">
      <w:pPr>
        <w:snapToGrid w:val="0"/>
        <w:spacing w:before="120" w:beforeLines="50" w:after="50" w:line="360" w:lineRule="auto"/>
        <w:rPr>
          <w:rFonts w:hint="eastAsia" w:ascii="宋体" w:hAnsi="宋体"/>
          <w:color w:val="auto"/>
          <w:sz w:val="24"/>
          <w:szCs w:val="20"/>
          <w:highlight w:val="none"/>
        </w:rPr>
      </w:pPr>
    </w:p>
    <w:p w14:paraId="6BB3A4C0">
      <w:pPr>
        <w:snapToGrid w:val="0"/>
        <w:spacing w:before="120" w:beforeLines="50" w:after="50" w:line="360" w:lineRule="auto"/>
        <w:rPr>
          <w:rFonts w:hint="eastAsia" w:ascii="宋体" w:hAnsi="宋体"/>
          <w:color w:val="auto"/>
          <w:sz w:val="24"/>
          <w:szCs w:val="20"/>
          <w:highlight w:val="none"/>
        </w:rPr>
      </w:pPr>
      <w:r>
        <w:rPr>
          <w:rFonts w:hint="eastAsia" w:ascii="宋体" w:hAnsi="宋体"/>
          <w:color w:val="auto"/>
          <w:sz w:val="24"/>
          <w:szCs w:val="20"/>
          <w:highlight w:val="none"/>
        </w:rPr>
        <w:t>注：以上目录是编制供应商响应文件的基本格式要求，各供应商可根据自身情况进一步细化。</w:t>
      </w:r>
    </w:p>
    <w:p w14:paraId="531B1D0D">
      <w:pPr>
        <w:snapToGrid w:val="0"/>
        <w:spacing w:before="120" w:beforeLines="50" w:after="50" w:line="360" w:lineRule="auto"/>
        <w:rPr>
          <w:rFonts w:ascii="宋体" w:hAnsi="宋体"/>
          <w:color w:val="auto"/>
          <w:sz w:val="24"/>
          <w:szCs w:val="20"/>
          <w:highlight w:val="none"/>
        </w:rPr>
      </w:pPr>
      <w:r>
        <w:rPr>
          <w:rFonts w:ascii="宋体" w:hAnsi="宋体"/>
          <w:color w:val="auto"/>
          <w:sz w:val="24"/>
          <w:szCs w:val="20"/>
          <w:highlight w:val="none"/>
        </w:rPr>
        <w:t xml:space="preserve"> </w:t>
      </w:r>
    </w:p>
    <w:p w14:paraId="0ECA52D3">
      <w:pPr>
        <w:spacing w:line="360" w:lineRule="auto"/>
        <w:rPr>
          <w:rFonts w:hint="eastAsia" w:ascii="宋体" w:hAnsi="宋体"/>
          <w:color w:val="auto"/>
          <w:szCs w:val="21"/>
          <w:highlight w:val="none"/>
        </w:rPr>
      </w:pPr>
    </w:p>
    <w:p w14:paraId="7BC2A5E8">
      <w:pPr>
        <w:spacing w:line="360" w:lineRule="auto"/>
        <w:rPr>
          <w:rFonts w:hint="eastAsia" w:ascii="宋体" w:hAnsi="宋体"/>
          <w:color w:val="auto"/>
          <w:szCs w:val="21"/>
          <w:highlight w:val="none"/>
        </w:rPr>
      </w:pPr>
    </w:p>
    <w:p w14:paraId="417DAFD8">
      <w:pPr>
        <w:spacing w:line="360" w:lineRule="auto"/>
        <w:rPr>
          <w:rFonts w:hint="eastAsia" w:ascii="宋体" w:hAnsi="宋体"/>
          <w:color w:val="auto"/>
          <w:szCs w:val="21"/>
          <w:highlight w:val="none"/>
        </w:rPr>
      </w:pPr>
    </w:p>
    <w:p w14:paraId="1CD16843">
      <w:pPr>
        <w:spacing w:line="360" w:lineRule="auto"/>
        <w:rPr>
          <w:rFonts w:hint="eastAsia" w:ascii="宋体" w:hAnsi="宋体"/>
          <w:color w:val="auto"/>
          <w:szCs w:val="21"/>
          <w:highlight w:val="none"/>
        </w:rPr>
      </w:pPr>
    </w:p>
    <w:p w14:paraId="2317DAEA">
      <w:pPr>
        <w:spacing w:line="300" w:lineRule="auto"/>
        <w:rPr>
          <w:rFonts w:hint="eastAsia" w:ascii="宋体" w:hAnsi="宋体"/>
          <w:color w:val="auto"/>
          <w:szCs w:val="21"/>
          <w:highlight w:val="none"/>
        </w:rPr>
      </w:pPr>
    </w:p>
    <w:p w14:paraId="0590BFE6">
      <w:pPr>
        <w:spacing w:line="300" w:lineRule="auto"/>
        <w:rPr>
          <w:rFonts w:hint="eastAsia" w:ascii="宋体" w:hAnsi="宋体"/>
          <w:color w:val="auto"/>
          <w:szCs w:val="21"/>
          <w:highlight w:val="none"/>
        </w:rPr>
      </w:pPr>
    </w:p>
    <w:p w14:paraId="3F5389F1">
      <w:pPr>
        <w:spacing w:line="300" w:lineRule="auto"/>
        <w:rPr>
          <w:rFonts w:hint="eastAsia" w:ascii="宋体" w:hAnsi="宋体"/>
          <w:color w:val="auto"/>
          <w:szCs w:val="21"/>
          <w:highlight w:val="none"/>
        </w:rPr>
      </w:pPr>
    </w:p>
    <w:p w14:paraId="0944B6B5">
      <w:pPr>
        <w:spacing w:line="300" w:lineRule="auto"/>
        <w:rPr>
          <w:rFonts w:hint="eastAsia" w:ascii="宋体" w:hAnsi="宋体"/>
          <w:color w:val="auto"/>
          <w:szCs w:val="21"/>
          <w:highlight w:val="none"/>
        </w:rPr>
      </w:pPr>
    </w:p>
    <w:p w14:paraId="5FD0C2F7">
      <w:pPr>
        <w:spacing w:line="300" w:lineRule="auto"/>
        <w:rPr>
          <w:rFonts w:hint="eastAsia" w:ascii="宋体" w:hAnsi="宋体"/>
          <w:color w:val="auto"/>
          <w:szCs w:val="21"/>
          <w:highlight w:val="none"/>
        </w:rPr>
      </w:pPr>
    </w:p>
    <w:p w14:paraId="3BDD811C">
      <w:pPr>
        <w:spacing w:line="300" w:lineRule="auto"/>
        <w:rPr>
          <w:rFonts w:hint="eastAsia" w:ascii="宋体" w:hAnsi="宋体"/>
          <w:color w:val="auto"/>
          <w:szCs w:val="21"/>
          <w:highlight w:val="none"/>
        </w:rPr>
      </w:pPr>
    </w:p>
    <w:p w14:paraId="61E24B26">
      <w:pPr>
        <w:spacing w:line="320" w:lineRule="exact"/>
        <w:jc w:val="left"/>
        <w:rPr>
          <w:rFonts w:hint="eastAsia" w:ascii="宋体" w:hAnsi="宋体"/>
          <w:color w:val="auto"/>
          <w:szCs w:val="21"/>
          <w:highlight w:val="none"/>
        </w:rPr>
      </w:pPr>
    </w:p>
    <w:p w14:paraId="543BD0A2">
      <w:pPr>
        <w:pStyle w:val="11"/>
        <w:spacing w:line="360" w:lineRule="auto"/>
        <w:rPr>
          <w:rFonts w:hint="eastAsia" w:hAnsi="宋体" w:cs="宋体"/>
          <w:b/>
          <w:color w:val="auto"/>
          <w:sz w:val="30"/>
          <w:szCs w:val="30"/>
          <w:highlight w:val="none"/>
        </w:rPr>
      </w:pPr>
      <w:r>
        <w:rPr>
          <w:rFonts w:hint="eastAsia" w:hAnsi="宋体" w:cs="宋体"/>
          <w:b/>
          <w:color w:val="auto"/>
          <w:sz w:val="30"/>
          <w:szCs w:val="30"/>
          <w:highlight w:val="none"/>
        </w:rPr>
        <w:t>一、营业执照复印件</w:t>
      </w:r>
    </w:p>
    <w:p w14:paraId="26623143">
      <w:pPr>
        <w:pStyle w:val="11"/>
        <w:spacing w:line="360" w:lineRule="auto"/>
        <w:ind w:firstLine="602" w:firstLineChars="200"/>
        <w:rPr>
          <w:rFonts w:hint="eastAsia" w:hAnsi="宋体" w:cs="宋体"/>
          <w:b/>
          <w:color w:val="auto"/>
          <w:sz w:val="30"/>
          <w:szCs w:val="30"/>
          <w:highlight w:val="none"/>
        </w:rPr>
      </w:pPr>
    </w:p>
    <w:p w14:paraId="78B9E824">
      <w:pPr>
        <w:pStyle w:val="12"/>
        <w:ind w:left="5250"/>
        <w:rPr>
          <w:rFonts w:hint="eastAsia" w:ascii="宋体" w:hAnsi="宋体" w:cs="宋体"/>
          <w:color w:val="auto"/>
          <w:highlight w:val="none"/>
        </w:rPr>
      </w:pPr>
    </w:p>
    <w:p w14:paraId="1DE4C806">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998A53A">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AD682CB">
      <w:pPr>
        <w:snapToGrid w:val="0"/>
        <w:spacing w:before="120" w:beforeLines="50" w:after="50"/>
        <w:rPr>
          <w:rFonts w:hint="eastAsia" w:ascii="宋体" w:hAnsi="宋体" w:cs="宋体"/>
          <w:color w:val="auto"/>
          <w:sz w:val="24"/>
          <w:szCs w:val="20"/>
          <w:highlight w:val="none"/>
        </w:rPr>
      </w:pPr>
    </w:p>
    <w:p w14:paraId="2FC1B473">
      <w:pPr>
        <w:pStyle w:val="11"/>
        <w:spacing w:line="360" w:lineRule="auto"/>
        <w:ind w:firstLine="602" w:firstLineChars="200"/>
        <w:rPr>
          <w:rFonts w:hint="eastAsia" w:hAnsi="宋体" w:cs="宋体"/>
          <w:b/>
          <w:color w:val="auto"/>
          <w:sz w:val="30"/>
          <w:szCs w:val="30"/>
          <w:highlight w:val="none"/>
        </w:rPr>
      </w:pPr>
    </w:p>
    <w:p w14:paraId="3DF1ECDE">
      <w:pPr>
        <w:pStyle w:val="11"/>
        <w:spacing w:line="360" w:lineRule="auto"/>
        <w:ind w:firstLine="602" w:firstLineChars="200"/>
        <w:rPr>
          <w:rFonts w:hint="eastAsia" w:hAnsi="宋体" w:cs="宋体"/>
          <w:b/>
          <w:color w:val="auto"/>
          <w:sz w:val="30"/>
          <w:szCs w:val="30"/>
          <w:highlight w:val="none"/>
        </w:rPr>
      </w:pPr>
    </w:p>
    <w:p w14:paraId="1F8A3D64">
      <w:pPr>
        <w:pStyle w:val="11"/>
        <w:spacing w:line="360" w:lineRule="auto"/>
        <w:rPr>
          <w:rFonts w:hint="eastAsia" w:hAnsi="宋体" w:cs="宋体"/>
          <w:b/>
          <w:color w:val="auto"/>
          <w:sz w:val="30"/>
          <w:szCs w:val="30"/>
          <w:highlight w:val="none"/>
        </w:rPr>
      </w:pPr>
      <w:r>
        <w:rPr>
          <w:rFonts w:hint="eastAsia" w:hAnsi="宋体" w:cs="宋体"/>
          <w:b/>
          <w:color w:val="auto"/>
          <w:sz w:val="30"/>
          <w:szCs w:val="30"/>
          <w:highlight w:val="none"/>
        </w:rPr>
        <w:t>二、符合参与政府采购活动的资格条件依法缴纳税收、社会保障资金等方面的材料</w:t>
      </w:r>
    </w:p>
    <w:p w14:paraId="35B233DA">
      <w:pPr>
        <w:spacing w:line="300" w:lineRule="auto"/>
        <w:rPr>
          <w:rFonts w:hint="eastAsia" w:ascii="宋体" w:hAnsi="宋体" w:cs="宋体"/>
          <w:color w:val="auto"/>
          <w:szCs w:val="21"/>
          <w:highlight w:val="none"/>
        </w:rPr>
      </w:pPr>
    </w:p>
    <w:p w14:paraId="100F07EE">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36059DB">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45D1C6F3">
      <w:pPr>
        <w:spacing w:line="300" w:lineRule="auto"/>
        <w:rPr>
          <w:rFonts w:hint="eastAsia" w:ascii="宋体" w:hAnsi="宋体" w:cs="宋体"/>
          <w:color w:val="auto"/>
          <w:szCs w:val="21"/>
          <w:highlight w:val="none"/>
        </w:rPr>
      </w:pPr>
    </w:p>
    <w:p w14:paraId="2B2EC8CC">
      <w:pPr>
        <w:spacing w:line="300" w:lineRule="auto"/>
        <w:ind w:firstLine="596" w:firstLineChars="198"/>
        <w:rPr>
          <w:rFonts w:hint="eastAsia" w:ascii="宋体" w:hAnsi="宋体" w:cs="宋体"/>
          <w:b/>
          <w:color w:val="auto"/>
          <w:kern w:val="0"/>
          <w:sz w:val="30"/>
          <w:szCs w:val="30"/>
          <w:highlight w:val="none"/>
        </w:rPr>
      </w:pPr>
    </w:p>
    <w:p w14:paraId="5DCD042F">
      <w:pPr>
        <w:spacing w:line="300" w:lineRule="auto"/>
        <w:ind w:firstLine="596" w:firstLineChars="198"/>
        <w:rPr>
          <w:rFonts w:hint="eastAsia" w:ascii="宋体" w:hAnsi="宋体" w:cs="宋体"/>
          <w:b/>
          <w:color w:val="auto"/>
          <w:kern w:val="0"/>
          <w:sz w:val="30"/>
          <w:szCs w:val="30"/>
          <w:highlight w:val="none"/>
        </w:rPr>
      </w:pPr>
    </w:p>
    <w:p w14:paraId="219765C2">
      <w:pPr>
        <w:spacing w:line="300" w:lineRule="auto"/>
        <w:ind w:firstLine="596" w:firstLineChars="198"/>
        <w:rPr>
          <w:rFonts w:hint="eastAsia" w:ascii="宋体" w:hAnsi="宋体" w:cs="宋体"/>
          <w:b/>
          <w:color w:val="auto"/>
          <w:kern w:val="0"/>
          <w:sz w:val="30"/>
          <w:szCs w:val="30"/>
          <w:highlight w:val="none"/>
        </w:rPr>
      </w:pPr>
    </w:p>
    <w:p w14:paraId="2728919C">
      <w:pPr>
        <w:spacing w:line="300" w:lineRule="auto"/>
        <w:ind w:firstLine="596" w:firstLineChars="198"/>
        <w:rPr>
          <w:rFonts w:hint="eastAsia" w:ascii="宋体" w:hAnsi="宋体" w:cs="宋体"/>
          <w:b/>
          <w:color w:val="auto"/>
          <w:kern w:val="0"/>
          <w:sz w:val="30"/>
          <w:szCs w:val="30"/>
          <w:highlight w:val="none"/>
        </w:rPr>
      </w:pPr>
    </w:p>
    <w:p w14:paraId="07A8E66D">
      <w:pPr>
        <w:spacing w:line="300" w:lineRule="auto"/>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三、财务状况报告方面的材料</w:t>
      </w:r>
    </w:p>
    <w:p w14:paraId="7B67C04B">
      <w:pPr>
        <w:spacing w:line="300" w:lineRule="auto"/>
        <w:rPr>
          <w:rFonts w:hint="eastAsia" w:ascii="宋体" w:hAnsi="宋体" w:cs="宋体"/>
          <w:color w:val="auto"/>
          <w:szCs w:val="21"/>
          <w:highlight w:val="none"/>
        </w:rPr>
      </w:pPr>
    </w:p>
    <w:p w14:paraId="5BAFF585">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4E9AB3A">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AB0482E">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4E18635">
      <w:pPr>
        <w:snapToGrid w:val="0"/>
        <w:spacing w:before="120" w:beforeLines="50" w:after="50"/>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四、供应商直接控股股东信息表</w:t>
      </w:r>
    </w:p>
    <w:p w14:paraId="4AD37251">
      <w:pPr>
        <w:snapToGrid w:val="0"/>
        <w:spacing w:before="120" w:beforeLines="50" w:after="50"/>
        <w:rPr>
          <w:rFonts w:hint="eastAsia" w:ascii="宋体" w:hAnsi="宋体"/>
          <w:b/>
          <w:color w:val="auto"/>
          <w:sz w:val="32"/>
          <w:szCs w:val="32"/>
          <w:highlight w:val="none"/>
        </w:rPr>
      </w:pPr>
    </w:p>
    <w:p w14:paraId="7622DE36">
      <w:pPr>
        <w:snapToGrid w:val="0"/>
        <w:spacing w:before="50" w:after="120" w:afterLines="50"/>
        <w:rPr>
          <w:rFonts w:hint="eastAsia" w:ascii="宋体" w:hAnsi="宋体"/>
          <w:b/>
          <w:color w:val="auto"/>
          <w:sz w:val="32"/>
          <w:szCs w:val="32"/>
          <w:highlight w:val="none"/>
        </w:rPr>
      </w:pPr>
    </w:p>
    <w:tbl>
      <w:tblPr>
        <w:tblStyle w:val="17"/>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0B9AC7B">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AAB98AD">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DD9B581">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AF451DE">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7C582C1">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11A3D87">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7070579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CC6B68">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B91AAA">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C9CB8B">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D8A794">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E45F85">
            <w:pPr>
              <w:widowControl/>
              <w:spacing w:line="360" w:lineRule="auto"/>
              <w:jc w:val="center"/>
              <w:rPr>
                <w:rFonts w:hint="eastAsia" w:ascii="宋体" w:hAnsi="宋体" w:cs="宋体"/>
                <w:color w:val="auto"/>
                <w:kern w:val="0"/>
                <w:sz w:val="28"/>
                <w:szCs w:val="28"/>
                <w:highlight w:val="none"/>
              </w:rPr>
            </w:pPr>
          </w:p>
        </w:tc>
      </w:tr>
      <w:tr w14:paraId="5932482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78B177">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65D805">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9BDF00">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397A41">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9CB81B">
            <w:pPr>
              <w:widowControl/>
              <w:spacing w:line="360" w:lineRule="auto"/>
              <w:jc w:val="center"/>
              <w:rPr>
                <w:rFonts w:hint="eastAsia" w:ascii="宋体" w:hAnsi="宋体" w:cs="宋体"/>
                <w:color w:val="auto"/>
                <w:kern w:val="0"/>
                <w:sz w:val="28"/>
                <w:szCs w:val="28"/>
                <w:highlight w:val="none"/>
              </w:rPr>
            </w:pPr>
          </w:p>
        </w:tc>
      </w:tr>
      <w:tr w14:paraId="548E75F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162855">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546D17">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669A20">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F4B9CE">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7CF5AA">
            <w:pPr>
              <w:widowControl/>
              <w:spacing w:line="360" w:lineRule="auto"/>
              <w:jc w:val="center"/>
              <w:rPr>
                <w:rFonts w:hint="eastAsia" w:ascii="宋体" w:hAnsi="宋体" w:cs="宋体"/>
                <w:color w:val="auto"/>
                <w:kern w:val="0"/>
                <w:sz w:val="28"/>
                <w:szCs w:val="28"/>
                <w:highlight w:val="none"/>
              </w:rPr>
            </w:pPr>
          </w:p>
        </w:tc>
      </w:tr>
      <w:tr w14:paraId="52ED5D4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A545F5">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6198A4">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8CFEE4">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B9B708">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750AE7">
            <w:pPr>
              <w:widowControl/>
              <w:spacing w:line="360" w:lineRule="auto"/>
              <w:jc w:val="center"/>
              <w:rPr>
                <w:rFonts w:hint="eastAsia" w:ascii="宋体" w:hAnsi="宋体" w:cs="宋体"/>
                <w:color w:val="auto"/>
                <w:kern w:val="0"/>
                <w:sz w:val="28"/>
                <w:szCs w:val="28"/>
                <w:highlight w:val="none"/>
              </w:rPr>
            </w:pPr>
          </w:p>
        </w:tc>
      </w:tr>
    </w:tbl>
    <w:p w14:paraId="6C56268F">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54644D17">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4F725E7">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8F3BA6D">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42FB62B1">
      <w:pPr>
        <w:spacing w:line="360" w:lineRule="auto"/>
        <w:ind w:firstLine="420" w:firstLineChars="200"/>
        <w:contextualSpacing/>
        <w:jc w:val="left"/>
        <w:rPr>
          <w:rFonts w:ascii="宋体" w:hAnsi="宋体" w:cs="宋体"/>
          <w:color w:val="auto"/>
          <w:szCs w:val="21"/>
          <w:highlight w:val="none"/>
        </w:rPr>
      </w:pPr>
    </w:p>
    <w:p w14:paraId="7F91F406">
      <w:pPr>
        <w:spacing w:line="360" w:lineRule="auto"/>
        <w:ind w:firstLine="560" w:firstLineChars="200"/>
        <w:contextualSpacing/>
        <w:jc w:val="left"/>
        <w:rPr>
          <w:rFonts w:hint="eastAsia" w:ascii="宋体" w:hAnsi="宋体" w:cs="宋体"/>
          <w:color w:val="auto"/>
          <w:sz w:val="28"/>
          <w:szCs w:val="28"/>
          <w:highlight w:val="none"/>
        </w:rPr>
      </w:pPr>
    </w:p>
    <w:p w14:paraId="03A5E374">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0FAAE7C5">
      <w:pPr>
        <w:spacing w:line="360" w:lineRule="auto"/>
        <w:ind w:right="480" w:firstLine="3360" w:firstLineChars="1400"/>
        <w:contextualSpacing/>
        <w:rPr>
          <w:rFonts w:hint="eastAsia" w:ascii="宋体" w:hAnsi="宋体" w:cs="宋体"/>
          <w:color w:val="auto"/>
          <w:sz w:val="24"/>
          <w:highlight w:val="none"/>
          <w:u w:val="single"/>
        </w:rPr>
      </w:pPr>
      <w:r>
        <w:rPr>
          <w:rFonts w:hint="eastAsia" w:ascii="宋体" w:hAnsi="宋体" w:cs="宋体"/>
          <w:color w:val="auto"/>
          <w:sz w:val="24"/>
          <w:highlight w:val="none"/>
        </w:rPr>
        <w:t xml:space="preserve">供应商（盖公章 ）： </w:t>
      </w:r>
      <w:r>
        <w:rPr>
          <w:rFonts w:hint="eastAsia" w:ascii="宋体" w:hAnsi="宋体" w:cs="宋体"/>
          <w:color w:val="auto"/>
          <w:sz w:val="24"/>
          <w:highlight w:val="none"/>
          <w:u w:val="single"/>
        </w:rPr>
        <w:t xml:space="preserve">                              </w:t>
      </w:r>
    </w:p>
    <w:p w14:paraId="041590F2">
      <w:pPr>
        <w:spacing w:line="360" w:lineRule="auto"/>
        <w:ind w:right="480" w:firstLine="5280" w:firstLineChars="2200"/>
        <w:contextualSpacing/>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2F25F3A2">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167DBF68">
      <w:pPr>
        <w:snapToGrid w:val="0"/>
        <w:rPr>
          <w:rFonts w:hint="eastAsia" w:ascii="宋体" w:hAnsi="宋体"/>
          <w:b/>
          <w:color w:val="auto"/>
          <w:sz w:val="32"/>
          <w:szCs w:val="32"/>
          <w:highlight w:val="none"/>
        </w:rPr>
      </w:pPr>
      <w:r>
        <w:rPr>
          <w:rFonts w:hint="eastAsia" w:ascii="宋体" w:hAnsi="宋体"/>
          <w:b/>
          <w:color w:val="auto"/>
          <w:sz w:val="32"/>
          <w:szCs w:val="32"/>
          <w:highlight w:val="none"/>
        </w:rPr>
        <w:t>五、供应商直接管理关系信息表</w:t>
      </w:r>
    </w:p>
    <w:p w14:paraId="625301A9">
      <w:pPr>
        <w:snapToGrid w:val="0"/>
        <w:jc w:val="center"/>
        <w:rPr>
          <w:rFonts w:hint="eastAsia" w:ascii="宋体" w:hAnsi="宋体"/>
          <w:b/>
          <w:color w:val="auto"/>
          <w:sz w:val="32"/>
          <w:szCs w:val="32"/>
          <w:highlight w:val="none"/>
        </w:rPr>
      </w:pPr>
    </w:p>
    <w:tbl>
      <w:tblPr>
        <w:tblStyle w:val="17"/>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88EAB2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9A88F1D">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B0AB76">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B9F9A0">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E74ED77">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43DB0BD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6F09DA">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3AB445">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17EDFF">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2D5689">
            <w:pPr>
              <w:widowControl/>
              <w:wordWrap w:val="0"/>
              <w:spacing w:line="200" w:lineRule="atLeast"/>
              <w:jc w:val="center"/>
              <w:rPr>
                <w:rFonts w:ascii="宋体" w:hAnsi="宋体" w:cs="宋体"/>
                <w:color w:val="auto"/>
                <w:kern w:val="0"/>
                <w:sz w:val="28"/>
                <w:szCs w:val="28"/>
                <w:highlight w:val="none"/>
              </w:rPr>
            </w:pPr>
          </w:p>
        </w:tc>
      </w:tr>
      <w:tr w14:paraId="44D9445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5C3723">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776DE5">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43AE39">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5B3C7E">
            <w:pPr>
              <w:widowControl/>
              <w:wordWrap w:val="0"/>
              <w:spacing w:line="200" w:lineRule="atLeast"/>
              <w:jc w:val="center"/>
              <w:rPr>
                <w:rFonts w:ascii="宋体" w:hAnsi="宋体" w:cs="宋体"/>
                <w:color w:val="auto"/>
                <w:kern w:val="0"/>
                <w:sz w:val="28"/>
                <w:szCs w:val="28"/>
                <w:highlight w:val="none"/>
              </w:rPr>
            </w:pPr>
          </w:p>
        </w:tc>
      </w:tr>
      <w:tr w14:paraId="470E7B4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783D68">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1B8518">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88B9AB">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457823">
            <w:pPr>
              <w:widowControl/>
              <w:wordWrap w:val="0"/>
              <w:spacing w:line="200" w:lineRule="atLeast"/>
              <w:jc w:val="center"/>
              <w:rPr>
                <w:rFonts w:ascii="宋体" w:hAnsi="宋体" w:cs="宋体"/>
                <w:color w:val="auto"/>
                <w:kern w:val="0"/>
                <w:sz w:val="28"/>
                <w:szCs w:val="28"/>
                <w:highlight w:val="none"/>
              </w:rPr>
            </w:pPr>
          </w:p>
        </w:tc>
      </w:tr>
      <w:tr w14:paraId="05AFC24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FDB398">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7E5FA2">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3D8F86">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504CC1">
            <w:pPr>
              <w:widowControl/>
              <w:wordWrap w:val="0"/>
              <w:spacing w:line="200" w:lineRule="atLeast"/>
              <w:jc w:val="center"/>
              <w:rPr>
                <w:rFonts w:ascii="宋体" w:hAnsi="宋体" w:cs="宋体"/>
                <w:color w:val="auto"/>
                <w:kern w:val="0"/>
                <w:sz w:val="28"/>
                <w:szCs w:val="28"/>
                <w:highlight w:val="none"/>
              </w:rPr>
            </w:pPr>
          </w:p>
        </w:tc>
      </w:tr>
    </w:tbl>
    <w:p w14:paraId="6764FA6B">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19F235E5">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8A4146C">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7FAB04B9">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073577B5">
      <w:pPr>
        <w:spacing w:line="360" w:lineRule="auto"/>
        <w:contextualSpacing/>
        <w:jc w:val="left"/>
        <w:rPr>
          <w:rFonts w:hint="eastAsia" w:ascii="宋体" w:hAnsi="宋体"/>
          <w:color w:val="auto"/>
          <w:sz w:val="28"/>
          <w:szCs w:val="28"/>
          <w:highlight w:val="none"/>
        </w:rPr>
      </w:pPr>
    </w:p>
    <w:p w14:paraId="450CC14C">
      <w:pPr>
        <w:spacing w:line="360" w:lineRule="auto"/>
        <w:contextualSpacing/>
        <w:jc w:val="left"/>
        <w:rPr>
          <w:rFonts w:hint="eastAsia" w:ascii="宋体" w:hAnsi="宋体"/>
          <w:color w:val="auto"/>
          <w:sz w:val="28"/>
          <w:szCs w:val="28"/>
          <w:highlight w:val="none"/>
        </w:rPr>
      </w:pPr>
    </w:p>
    <w:p w14:paraId="0E22ECF0">
      <w:pPr>
        <w:spacing w:line="360" w:lineRule="auto"/>
        <w:contextualSpacing/>
        <w:jc w:val="left"/>
        <w:rPr>
          <w:rFonts w:hint="eastAsia"/>
          <w:color w:val="auto"/>
          <w:sz w:val="28"/>
          <w:szCs w:val="28"/>
          <w:highlight w:val="none"/>
        </w:rPr>
      </w:pPr>
    </w:p>
    <w:p w14:paraId="21F0465E">
      <w:pPr>
        <w:spacing w:line="360" w:lineRule="auto"/>
        <w:contextualSpacing/>
        <w:jc w:val="left"/>
        <w:rPr>
          <w:rFonts w:hint="eastAsia"/>
          <w:color w:val="auto"/>
          <w:sz w:val="28"/>
          <w:szCs w:val="28"/>
          <w:highlight w:val="none"/>
        </w:rPr>
      </w:pPr>
    </w:p>
    <w:p w14:paraId="591E1275">
      <w:pPr>
        <w:spacing w:line="360" w:lineRule="auto"/>
        <w:contextualSpacing/>
        <w:jc w:val="left"/>
        <w:rPr>
          <w:rFonts w:hint="eastAsia"/>
          <w:color w:val="auto"/>
          <w:sz w:val="28"/>
          <w:szCs w:val="28"/>
          <w:highlight w:val="none"/>
        </w:rPr>
      </w:pPr>
    </w:p>
    <w:p w14:paraId="5DF5B1E6">
      <w:pPr>
        <w:spacing w:line="360" w:lineRule="auto"/>
        <w:contextualSpacing/>
        <w:jc w:val="left"/>
        <w:rPr>
          <w:rFonts w:hint="eastAsia" w:ascii="宋体" w:hAnsi="宋体"/>
          <w:color w:val="auto"/>
          <w:sz w:val="28"/>
          <w:szCs w:val="28"/>
          <w:highlight w:val="none"/>
        </w:rPr>
      </w:pPr>
    </w:p>
    <w:p w14:paraId="72A5134E">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43A27AFC">
      <w:pPr>
        <w:spacing w:line="360" w:lineRule="auto"/>
        <w:ind w:right="480" w:firstLine="3720" w:firstLineChars="1550"/>
        <w:contextualSpacing/>
        <w:rPr>
          <w:rFonts w:hint="eastAsia" w:ascii="宋体" w:hAnsi="宋体"/>
          <w:color w:val="auto"/>
          <w:sz w:val="24"/>
          <w:highlight w:val="none"/>
        </w:rPr>
      </w:pPr>
      <w:r>
        <w:rPr>
          <w:rFonts w:hint="eastAsia" w:ascii="宋体" w:hAnsi="宋体"/>
          <w:color w:val="auto"/>
          <w:sz w:val="24"/>
          <w:highlight w:val="none"/>
        </w:rPr>
        <w:t>供应商（盖公章）：</w:t>
      </w:r>
      <w:r>
        <w:rPr>
          <w:rFonts w:hint="eastAsia" w:ascii="宋体" w:hAnsi="宋体"/>
          <w:color w:val="auto"/>
          <w:sz w:val="24"/>
          <w:highlight w:val="none"/>
          <w:u w:val="single"/>
        </w:rPr>
        <w:t xml:space="preserve">                </w:t>
      </w:r>
    </w:p>
    <w:p w14:paraId="5A856682">
      <w:pPr>
        <w:spacing w:line="360" w:lineRule="auto"/>
        <w:ind w:right="480" w:firstLine="240" w:firstLineChars="100"/>
        <w:contextualSpacing/>
        <w:jc w:val="center"/>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35D95E8B">
      <w:pPr>
        <w:spacing w:line="320" w:lineRule="exact"/>
        <w:rPr>
          <w:rFonts w:ascii="宋体" w:hAnsi="宋体"/>
          <w:b/>
          <w:color w:val="auto"/>
          <w:sz w:val="32"/>
          <w:szCs w:val="32"/>
          <w:highlight w:val="none"/>
        </w:rPr>
      </w:pPr>
      <w:r>
        <w:rPr>
          <w:rFonts w:ascii="宋体" w:hAnsi="宋体"/>
          <w:b/>
          <w:color w:val="auto"/>
          <w:sz w:val="32"/>
          <w:szCs w:val="32"/>
          <w:highlight w:val="none"/>
        </w:rPr>
        <w:br w:type="page"/>
      </w:r>
    </w:p>
    <w:p w14:paraId="08564F6F">
      <w:pPr>
        <w:spacing w:line="320" w:lineRule="exact"/>
        <w:rPr>
          <w:rFonts w:ascii="宋体" w:hAnsi="宋体"/>
          <w:b/>
          <w:color w:val="auto"/>
          <w:sz w:val="32"/>
          <w:szCs w:val="32"/>
          <w:highlight w:val="none"/>
        </w:rPr>
      </w:pPr>
      <w:r>
        <w:rPr>
          <w:rFonts w:hint="eastAsia" w:ascii="宋体" w:hAnsi="宋体"/>
          <w:b/>
          <w:color w:val="auto"/>
          <w:sz w:val="32"/>
          <w:szCs w:val="32"/>
          <w:highlight w:val="none"/>
        </w:rPr>
        <w:t>六、资格声明函</w:t>
      </w:r>
    </w:p>
    <w:p w14:paraId="67C6E661">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竞标声明</w:t>
      </w:r>
    </w:p>
    <w:p w14:paraId="44C148A6">
      <w:pPr>
        <w:spacing w:line="320" w:lineRule="exact"/>
        <w:jc w:val="center"/>
        <w:rPr>
          <w:rFonts w:hint="eastAsia" w:ascii="宋体" w:hAnsi="宋体"/>
          <w:color w:val="auto"/>
          <w:sz w:val="24"/>
          <w:szCs w:val="20"/>
          <w:highlight w:val="none"/>
        </w:rPr>
      </w:pPr>
    </w:p>
    <w:p w14:paraId="2A4DE5B9">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271B12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65C6F7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3A940A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61AF766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526B09F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724F803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65C068A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1A2256CC">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cs="宋体"/>
          <w:color w:val="auto"/>
          <w:sz w:val="24"/>
          <w:highlight w:val="none"/>
        </w:rPr>
        <w:t>（3）同意提供按照贵方可能要求的与谈判有关的一切数据或者资料</w:t>
      </w:r>
      <w:r>
        <w:rPr>
          <w:rFonts w:hint="eastAsia" w:ascii="宋体" w:hAnsi="宋体" w:cs="宋体"/>
          <w:color w:val="auto"/>
          <w:sz w:val="24"/>
          <w:highlight w:val="none"/>
          <w:lang w:eastAsia="zh-CN"/>
        </w:rPr>
        <w:t>。</w:t>
      </w:r>
    </w:p>
    <w:p w14:paraId="23B6079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74F1219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6340917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062F788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576E94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F33706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925D18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1BD152A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DA7F1C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D238CB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DC9B65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CA4AE68">
      <w:pPr>
        <w:pStyle w:val="11"/>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40658EF0">
      <w:pPr>
        <w:pStyle w:val="11"/>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6762CE2">
      <w:pPr>
        <w:pStyle w:val="10"/>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帐号/行号：</w:t>
      </w:r>
      <w:r>
        <w:rPr>
          <w:rFonts w:hint="eastAsia" w:ascii="宋体" w:hAnsi="宋体" w:cs="宋体"/>
          <w:color w:val="auto"/>
          <w:sz w:val="24"/>
          <w:highlight w:val="none"/>
          <w:u w:val="single"/>
        </w:rPr>
        <w:t xml:space="preserve">           </w:t>
      </w:r>
    </w:p>
    <w:p w14:paraId="05D7073C">
      <w:pPr>
        <w:pStyle w:val="10"/>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4B99D0A5">
      <w:pPr>
        <w:pStyle w:val="10"/>
        <w:tabs>
          <w:tab w:val="left" w:pos="939"/>
        </w:tabs>
        <w:spacing w:line="360" w:lineRule="auto"/>
        <w:ind w:left="141" w:leftChars="67" w:firstLine="360" w:firstLineChars="150"/>
        <w:rPr>
          <w:rFonts w:hint="eastAsia" w:ascii="宋体" w:hAnsi="宋体" w:cs="宋体"/>
          <w:color w:val="auto"/>
          <w:szCs w:val="21"/>
          <w:highlight w:val="none"/>
        </w:rPr>
      </w:pPr>
      <w:r>
        <w:rPr>
          <w:rFonts w:hint="eastAsia" w:ascii="宋体" w:hAnsi="宋体" w:cs="宋体"/>
          <w:color w:val="auto"/>
          <w:sz w:val="24"/>
          <w:highlight w:val="none"/>
        </w:rPr>
        <w:t>特此承诺。</w:t>
      </w:r>
    </w:p>
    <w:p w14:paraId="1DE11847">
      <w:pPr>
        <w:spacing w:line="360" w:lineRule="auto"/>
        <w:contextualSpacing/>
        <w:jc w:val="left"/>
        <w:rPr>
          <w:rFonts w:hint="eastAsia" w:ascii="宋体" w:hAnsi="宋体"/>
          <w:b/>
          <w:color w:val="auto"/>
          <w:sz w:val="24"/>
          <w:highlight w:val="none"/>
        </w:rPr>
      </w:pPr>
      <w:r>
        <w:rPr>
          <w:rFonts w:hint="eastAsia" w:ascii="宋体" w:hAnsi="宋体"/>
          <w:b/>
          <w:color w:val="auto"/>
          <w:sz w:val="24"/>
          <w:highlight w:val="none"/>
        </w:rPr>
        <w:t xml:space="preserve">    注：如为联合体竞标，盖章处须加盖联合体各方公章并由联合体各方法定代表人分别签署，否则响应文件按无效响应处理。</w:t>
      </w:r>
    </w:p>
    <w:p w14:paraId="61DB9EFD">
      <w:pPr>
        <w:spacing w:line="360" w:lineRule="auto"/>
        <w:contextualSpacing/>
        <w:jc w:val="left"/>
        <w:rPr>
          <w:rFonts w:hint="eastAsia" w:ascii="宋体" w:hAnsi="宋体" w:cs="宋体"/>
          <w:color w:val="auto"/>
          <w:szCs w:val="21"/>
          <w:highlight w:val="none"/>
        </w:rPr>
      </w:pPr>
    </w:p>
    <w:p w14:paraId="49DCA3B9">
      <w:pPr>
        <w:spacing w:line="360" w:lineRule="auto"/>
        <w:ind w:firstLine="3780" w:firstLineChars="1800"/>
        <w:contextualSpacing/>
        <w:rPr>
          <w:rFonts w:hint="eastAsia"/>
          <w:color w:val="auto"/>
          <w:highlight w:val="none"/>
        </w:rPr>
      </w:pPr>
      <w:r>
        <w:rPr>
          <w:rFonts w:hint="eastAsia"/>
          <w:color w:val="auto"/>
          <w:highlight w:val="none"/>
        </w:rPr>
        <w:t>法定代表人（签字或者盖章）：</w:t>
      </w:r>
      <w:r>
        <w:rPr>
          <w:rFonts w:hint="eastAsia"/>
          <w:color w:val="auto"/>
          <w:highlight w:val="none"/>
          <w:u w:val="single"/>
        </w:rPr>
        <w:t xml:space="preserve">           </w:t>
      </w:r>
      <w:r>
        <w:rPr>
          <w:rFonts w:hint="eastAsia"/>
          <w:color w:val="auto"/>
          <w:highlight w:val="none"/>
        </w:rPr>
        <w:t xml:space="preserve">                                     </w:t>
      </w:r>
    </w:p>
    <w:p w14:paraId="561ACD92">
      <w:pPr>
        <w:spacing w:line="360" w:lineRule="auto"/>
        <w:ind w:firstLine="3780" w:firstLineChars="1800"/>
        <w:contextualSpacing/>
        <w:rPr>
          <w:rFonts w:hint="eastAsia" w:ascii="宋体" w:hAnsi="宋体" w:cs="宋体"/>
          <w:color w:val="auto"/>
          <w:szCs w:val="21"/>
          <w:highlight w:val="none"/>
          <w:u w:val="single"/>
        </w:rPr>
      </w:pPr>
      <w:r>
        <w:rPr>
          <w:rFonts w:hint="eastAsia"/>
          <w:color w:val="auto"/>
          <w:highlight w:val="none"/>
        </w:rPr>
        <w:t>供应商（盖公章）：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5EC5C0A8">
      <w:pPr>
        <w:spacing w:line="360" w:lineRule="auto"/>
        <w:ind w:right="482" w:firstLine="210" w:firstLineChars="100"/>
        <w:contextualSpacing/>
        <w:jc w:val="center"/>
        <w:rPr>
          <w:rFonts w:hint="eastAsia"/>
          <w:color w:val="auto"/>
          <w:highlight w:val="none"/>
        </w:rPr>
      </w:pPr>
      <w:r>
        <w:rPr>
          <w:rFonts w:hint="eastAsia" w:ascii="宋体" w:hAnsi="宋体" w:cs="宋体"/>
          <w:color w:val="auto"/>
          <w:szCs w:val="21"/>
          <w:highlight w:val="none"/>
        </w:rPr>
        <w:t xml:space="preserve">                                                        </w:t>
      </w:r>
      <w:r>
        <w:rPr>
          <w:rFonts w:hint="eastAsia"/>
          <w:color w:val="auto"/>
          <w:highlight w:val="none"/>
        </w:rPr>
        <w:t xml:space="preserve"> 年    月    日 </w:t>
      </w:r>
    </w:p>
    <w:p w14:paraId="36DE6EED">
      <w:pPr>
        <w:spacing w:line="360" w:lineRule="auto"/>
        <w:ind w:right="482" w:firstLine="210" w:firstLineChars="100"/>
        <w:contextualSpacing/>
        <w:jc w:val="center"/>
        <w:rPr>
          <w:rFonts w:hint="eastAsia"/>
          <w:color w:val="auto"/>
          <w:highlight w:val="none"/>
        </w:rPr>
      </w:pPr>
    </w:p>
    <w:p w14:paraId="4FE1DC47">
      <w:pPr>
        <w:spacing w:line="360" w:lineRule="auto"/>
        <w:ind w:right="482" w:firstLine="210" w:firstLineChars="100"/>
        <w:contextualSpacing/>
        <w:jc w:val="center"/>
        <w:rPr>
          <w:rFonts w:hint="eastAsia"/>
          <w:color w:val="auto"/>
          <w:highlight w:val="none"/>
        </w:rPr>
      </w:pPr>
    </w:p>
    <w:p w14:paraId="75A6E542">
      <w:pPr>
        <w:spacing w:line="360" w:lineRule="auto"/>
        <w:ind w:right="482" w:firstLine="210" w:firstLineChars="100"/>
        <w:contextualSpacing/>
        <w:jc w:val="center"/>
        <w:rPr>
          <w:rFonts w:hint="eastAsia"/>
          <w:color w:val="auto"/>
          <w:highlight w:val="none"/>
        </w:rPr>
      </w:pPr>
    </w:p>
    <w:p w14:paraId="777E3E21">
      <w:pPr>
        <w:spacing w:line="360" w:lineRule="auto"/>
        <w:ind w:right="482" w:firstLine="210" w:firstLineChars="100"/>
        <w:contextualSpacing/>
        <w:jc w:val="center"/>
        <w:rPr>
          <w:rFonts w:hint="eastAsia"/>
          <w:color w:val="auto"/>
          <w:highlight w:val="none"/>
        </w:rPr>
      </w:pPr>
    </w:p>
    <w:p w14:paraId="3FC6E7D9">
      <w:pPr>
        <w:pStyle w:val="5"/>
        <w:overflowPunct w:val="0"/>
        <w:spacing w:line="360" w:lineRule="auto"/>
        <w:ind w:firstLine="0"/>
        <w:rPr>
          <w:rFonts w:hint="eastAsia" w:ascii="宋体" w:hAnsi="宋体" w:eastAsia="宋体" w:cs="宋体"/>
          <w:b/>
          <w:bCs w:val="0"/>
          <w:color w:val="auto"/>
          <w:sz w:val="28"/>
          <w:szCs w:val="28"/>
          <w:highlight w:val="none"/>
          <w:lang w:eastAsia="zh-CN"/>
        </w:rPr>
      </w:pPr>
      <w:r>
        <w:rPr>
          <w:rFonts w:hint="eastAsia" w:ascii="宋体" w:hAnsi="宋体" w:cs="宋体"/>
          <w:b/>
          <w:bCs w:val="0"/>
          <w:color w:val="auto"/>
          <w:kern w:val="0"/>
          <w:sz w:val="28"/>
          <w:szCs w:val="28"/>
          <w:highlight w:val="none"/>
        </w:rPr>
        <w:t>七、</w:t>
      </w:r>
      <w:r>
        <w:rPr>
          <w:rFonts w:hint="eastAsia" w:ascii="宋体" w:hAnsi="宋体" w:cs="宋体"/>
          <w:b/>
          <w:bCs w:val="0"/>
          <w:color w:val="auto"/>
          <w:kern w:val="0"/>
          <w:sz w:val="28"/>
          <w:szCs w:val="28"/>
          <w:highlight w:val="none"/>
          <w:lang w:eastAsia="zh-CN"/>
        </w:rPr>
        <w:t>供应商须具备</w:t>
      </w:r>
      <w:r>
        <w:rPr>
          <w:rFonts w:hint="eastAsia" w:ascii="宋体" w:hAnsi="宋体" w:eastAsia="宋体" w:cs="宋体"/>
          <w:b/>
          <w:bCs w:val="0"/>
          <w:color w:val="auto"/>
          <w:kern w:val="0"/>
          <w:sz w:val="28"/>
          <w:szCs w:val="28"/>
          <w:highlight w:val="none"/>
          <w:lang w:eastAsia="zh-CN"/>
        </w:rPr>
        <w:t>电力工程施工总承包三级及以上资质</w:t>
      </w:r>
      <w:r>
        <w:rPr>
          <w:rFonts w:hint="eastAsia" w:ascii="宋体" w:hAnsi="宋体" w:eastAsia="宋体" w:cs="宋体"/>
          <w:b/>
          <w:bCs w:val="0"/>
          <w:color w:val="auto"/>
          <w:kern w:val="0"/>
          <w:sz w:val="28"/>
          <w:szCs w:val="28"/>
          <w:highlight w:val="none"/>
          <w:lang w:val="en-US" w:eastAsia="zh-CN"/>
        </w:rPr>
        <w:t>及</w:t>
      </w:r>
      <w:r>
        <w:rPr>
          <w:rFonts w:hint="eastAsia" w:ascii="宋体" w:hAnsi="宋体" w:eastAsia="宋体" w:cs="宋体"/>
          <w:b/>
          <w:bCs w:val="0"/>
          <w:color w:val="auto"/>
          <w:kern w:val="0"/>
          <w:sz w:val="28"/>
          <w:szCs w:val="28"/>
          <w:highlight w:val="none"/>
          <w:lang w:eastAsia="zh-CN"/>
        </w:rPr>
        <w:t>有效的《承装（修、试）电力设施许可证》承装类、承修类</w:t>
      </w:r>
      <w:r>
        <w:rPr>
          <w:rFonts w:hint="eastAsia" w:ascii="宋体" w:hAnsi="宋体" w:cs="宋体"/>
          <w:b/>
          <w:bCs w:val="0"/>
          <w:color w:val="auto"/>
          <w:kern w:val="0"/>
          <w:sz w:val="28"/>
          <w:szCs w:val="28"/>
          <w:highlight w:val="none"/>
          <w:lang w:val="en-US" w:eastAsia="zh-CN"/>
        </w:rPr>
        <w:t>三</w:t>
      </w:r>
      <w:r>
        <w:rPr>
          <w:rFonts w:hint="eastAsia" w:ascii="宋体" w:hAnsi="宋体" w:eastAsia="宋体" w:cs="宋体"/>
          <w:b/>
          <w:bCs w:val="0"/>
          <w:color w:val="auto"/>
          <w:kern w:val="0"/>
          <w:sz w:val="28"/>
          <w:szCs w:val="28"/>
          <w:highlight w:val="none"/>
          <w:lang w:eastAsia="zh-CN"/>
        </w:rPr>
        <w:t>级及以上资质；</w:t>
      </w:r>
      <w:r>
        <w:rPr>
          <w:rFonts w:hint="eastAsia" w:ascii="宋体" w:hAnsi="宋体" w:eastAsia="宋体" w:cs="宋体"/>
          <w:b/>
          <w:bCs w:val="0"/>
          <w:color w:val="auto"/>
          <w:kern w:val="0"/>
          <w:sz w:val="28"/>
          <w:szCs w:val="28"/>
          <w:highlight w:val="none"/>
          <w:lang w:val="en-US" w:eastAsia="zh-CN"/>
        </w:rPr>
        <w:t>具</w:t>
      </w:r>
      <w:r>
        <w:rPr>
          <w:rFonts w:hint="eastAsia" w:ascii="宋体" w:hAnsi="宋体" w:eastAsia="宋体" w:cs="宋体"/>
          <w:b/>
          <w:bCs w:val="0"/>
          <w:color w:val="auto"/>
          <w:kern w:val="0"/>
          <w:sz w:val="28"/>
          <w:szCs w:val="28"/>
          <w:highlight w:val="none"/>
          <w:lang w:eastAsia="zh-CN"/>
        </w:rPr>
        <w:t>有省级及以上建设行政主管部门颁发的安全生产许可证；并在人员、设备、资金等方面具备相应的施工能力。</w:t>
      </w:r>
    </w:p>
    <w:p w14:paraId="56AA4189">
      <w:pPr>
        <w:pStyle w:val="11"/>
        <w:spacing w:line="360" w:lineRule="auto"/>
        <w:jc w:val="center"/>
        <w:rPr>
          <w:rFonts w:hint="eastAsia" w:hAnsi="宋体" w:cs="宋体"/>
          <w:color w:val="auto"/>
          <w:kern w:val="2"/>
          <w:sz w:val="32"/>
          <w:szCs w:val="32"/>
          <w:highlight w:val="none"/>
        </w:rPr>
      </w:pPr>
    </w:p>
    <w:p w14:paraId="1B624BDE">
      <w:pPr>
        <w:autoSpaceDE w:val="0"/>
        <w:autoSpaceDN w:val="0"/>
        <w:adjustRightInd w:val="0"/>
        <w:spacing w:line="360" w:lineRule="auto"/>
        <w:jc w:val="left"/>
        <w:rPr>
          <w:rFonts w:hint="eastAsia" w:ascii="宋体" w:hAnsi="宋体" w:cs="宋体"/>
          <w:color w:val="auto"/>
          <w:kern w:val="0"/>
          <w:sz w:val="24"/>
          <w:highlight w:val="none"/>
        </w:rPr>
      </w:pPr>
    </w:p>
    <w:p w14:paraId="3966856C">
      <w:pPr>
        <w:autoSpaceDE w:val="0"/>
        <w:autoSpaceDN w:val="0"/>
        <w:adjustRightInd w:val="0"/>
        <w:spacing w:line="360" w:lineRule="auto"/>
        <w:jc w:val="left"/>
        <w:rPr>
          <w:rFonts w:hint="eastAsia" w:ascii="宋体" w:hAnsi="宋体" w:cs="宋体"/>
          <w:color w:val="auto"/>
          <w:kern w:val="0"/>
          <w:sz w:val="24"/>
          <w:highlight w:val="none"/>
        </w:rPr>
      </w:pPr>
    </w:p>
    <w:p w14:paraId="38893432">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8273172">
      <w:pPr>
        <w:autoSpaceDE w:val="0"/>
        <w:autoSpaceDN w:val="0"/>
        <w:spacing w:line="360" w:lineRule="auto"/>
        <w:ind w:firstLine="6120" w:firstLineChars="25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EA3110C">
      <w:pPr>
        <w:spacing w:line="360" w:lineRule="auto"/>
        <w:contextualSpacing/>
        <w:rPr>
          <w:rFonts w:hint="eastAsia" w:ascii="宋体" w:hAnsi="宋体" w:cs="仿宋_GB2312"/>
          <w:color w:val="auto"/>
          <w:sz w:val="24"/>
          <w:highlight w:val="none"/>
        </w:rPr>
      </w:pPr>
    </w:p>
    <w:p w14:paraId="5DD7F0F6">
      <w:pPr>
        <w:snapToGrid w:val="0"/>
        <w:spacing w:line="360" w:lineRule="auto"/>
        <w:rPr>
          <w:rFonts w:hint="eastAsia" w:ascii="宋体" w:hAnsi="宋体" w:cs="宋体"/>
          <w:b/>
          <w:color w:val="auto"/>
          <w:sz w:val="30"/>
          <w:szCs w:val="30"/>
          <w:highlight w:val="none"/>
        </w:rPr>
      </w:pPr>
    </w:p>
    <w:p w14:paraId="5CA05C68">
      <w:pPr>
        <w:snapToGrid w:val="0"/>
        <w:spacing w:line="360" w:lineRule="auto"/>
        <w:rPr>
          <w:rFonts w:hint="eastAsia" w:ascii="宋体" w:hAnsi="宋体" w:cs="宋体"/>
          <w:b/>
          <w:color w:val="auto"/>
          <w:sz w:val="30"/>
          <w:szCs w:val="30"/>
          <w:highlight w:val="none"/>
        </w:rPr>
      </w:pPr>
    </w:p>
    <w:p w14:paraId="75DD27B0">
      <w:pPr>
        <w:snapToGrid w:val="0"/>
        <w:spacing w:line="360" w:lineRule="auto"/>
        <w:rPr>
          <w:rFonts w:hint="eastAsia" w:ascii="宋体" w:hAnsi="宋体" w:cs="宋体"/>
          <w:b/>
          <w:color w:val="auto"/>
          <w:sz w:val="30"/>
          <w:szCs w:val="30"/>
          <w:highlight w:val="none"/>
        </w:rPr>
      </w:pPr>
    </w:p>
    <w:p w14:paraId="3551DD67">
      <w:p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t>八、承诺书</w:t>
      </w:r>
    </w:p>
    <w:p w14:paraId="7A7482F9">
      <w:pPr>
        <w:pStyle w:val="21"/>
        <w:rPr>
          <w:rFonts w:hint="eastAsia" w:ascii="宋体" w:hAnsi="宋体" w:cs="宋体"/>
          <w:color w:val="auto"/>
          <w:highlight w:val="none"/>
          <w:lang w:val="zh-CN"/>
        </w:rPr>
      </w:pPr>
    </w:p>
    <w:p w14:paraId="0AD13E6E">
      <w:pPr>
        <w:pStyle w:val="23"/>
        <w:rPr>
          <w:color w:val="auto"/>
          <w:highlight w:val="none"/>
          <w:lang w:eastAsia="zh-CN"/>
        </w:rPr>
      </w:pPr>
      <w:bookmarkStart w:id="58" w:name="_Toc32536"/>
      <w:bookmarkStart w:id="59" w:name="_Toc25721"/>
      <w:r>
        <w:rPr>
          <w:color w:val="auto"/>
          <w:highlight w:val="none"/>
          <w:lang w:eastAsia="zh-CN"/>
        </w:rPr>
        <w:t>承诺书</w:t>
      </w:r>
      <w:bookmarkEnd w:id="58"/>
      <w:bookmarkEnd w:id="59"/>
    </w:p>
    <w:p w14:paraId="2054D6EF">
      <w:pPr>
        <w:pStyle w:val="26"/>
        <w:numPr>
          <w:ilvl w:val="0"/>
          <w:numId w:val="3"/>
        </w:numPr>
        <w:tabs>
          <w:tab w:val="left" w:pos="738"/>
        </w:tabs>
        <w:spacing w:line="354" w:lineRule="exact"/>
        <w:ind w:firstLine="420"/>
        <w:jc w:val="both"/>
        <w:rPr>
          <w:color w:val="auto"/>
          <w:sz w:val="24"/>
          <w:szCs w:val="24"/>
          <w:highlight w:val="none"/>
        </w:rPr>
      </w:pPr>
      <w:bookmarkStart w:id="60" w:name="bookmark2186"/>
      <w:bookmarkEnd w:id="60"/>
      <w:r>
        <w:rPr>
          <w:rFonts w:hint="eastAsia"/>
          <w:color w:val="auto"/>
          <w:sz w:val="24"/>
          <w:szCs w:val="24"/>
          <w:highlight w:val="none"/>
        </w:rPr>
        <w:t>成交后及时、足额存入农民</w:t>
      </w:r>
      <w:r>
        <w:rPr>
          <w:color w:val="auto"/>
          <w:sz w:val="24"/>
          <w:szCs w:val="24"/>
          <w:highlight w:val="none"/>
        </w:rPr>
        <w:t>工工资保证金的承诺</w:t>
      </w:r>
    </w:p>
    <w:p w14:paraId="39E25848">
      <w:pPr>
        <w:pStyle w:val="26"/>
        <w:spacing w:after="340" w:line="354" w:lineRule="exact"/>
        <w:ind w:firstLine="420"/>
        <w:jc w:val="both"/>
        <w:rPr>
          <w:color w:val="auto"/>
          <w:sz w:val="24"/>
          <w:szCs w:val="24"/>
          <w:highlight w:val="none"/>
        </w:rPr>
      </w:pPr>
      <w:r>
        <w:rPr>
          <w:color w:val="auto"/>
          <w:sz w:val="24"/>
          <w:szCs w:val="24"/>
          <w:highlight w:val="none"/>
        </w:rPr>
        <w:t>（本承诺不提供统一格式，由</w:t>
      </w:r>
      <w:r>
        <w:rPr>
          <w:rFonts w:hint="eastAsia"/>
          <w:color w:val="auto"/>
          <w:sz w:val="24"/>
          <w:szCs w:val="24"/>
          <w:highlight w:val="none"/>
        </w:rPr>
        <w:t>供应商</w:t>
      </w:r>
      <w:r>
        <w:rPr>
          <w:color w:val="auto"/>
          <w:sz w:val="24"/>
          <w:szCs w:val="24"/>
          <w:highlight w:val="none"/>
        </w:rPr>
        <w:t>自行编写）</w:t>
      </w:r>
    </w:p>
    <w:p w14:paraId="4C0A5C24">
      <w:pPr>
        <w:pStyle w:val="26"/>
        <w:tabs>
          <w:tab w:val="left" w:pos="6922"/>
          <w:tab w:val="left" w:pos="7550"/>
        </w:tabs>
        <w:spacing w:line="348" w:lineRule="exact"/>
        <w:ind w:left="3420" w:firstLine="20"/>
        <w:jc w:val="both"/>
        <w:rPr>
          <w:rFonts w:hint="eastAsia"/>
          <w:color w:val="auto"/>
          <w:sz w:val="24"/>
          <w:szCs w:val="24"/>
          <w:highlight w:val="none"/>
        </w:rPr>
      </w:pPr>
      <w:bookmarkStart w:id="61" w:name="bookmark2187"/>
      <w:bookmarkEnd w:id="61"/>
      <w:r>
        <w:rPr>
          <w:rFonts w:hint="eastAsia"/>
          <w:color w:val="auto"/>
          <w:sz w:val="24"/>
          <w:szCs w:val="24"/>
          <w:highlight w:val="none"/>
        </w:rPr>
        <w:t>供应商：</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 xml:space="preserve"> （盖单位电子公章）</w:t>
      </w:r>
    </w:p>
    <w:p w14:paraId="5851AF98">
      <w:pPr>
        <w:pStyle w:val="26"/>
        <w:tabs>
          <w:tab w:val="left" w:pos="6922"/>
          <w:tab w:val="left" w:pos="7550"/>
        </w:tabs>
        <w:spacing w:line="348" w:lineRule="exact"/>
        <w:ind w:left="3420" w:firstLine="20"/>
        <w:jc w:val="both"/>
        <w:rPr>
          <w:color w:val="auto"/>
          <w:sz w:val="24"/>
          <w:szCs w:val="24"/>
          <w:highlight w:val="none"/>
        </w:rPr>
      </w:pPr>
      <w:r>
        <w:rPr>
          <w:color w:val="auto"/>
          <w:sz w:val="24"/>
          <w:szCs w:val="24"/>
          <w:highlight w:val="none"/>
        </w:rPr>
        <w:t>法定代表人或授权委托代理人</w:t>
      </w:r>
      <w:r>
        <w:rPr>
          <w:rFonts w:hint="eastAsia"/>
          <w:color w:val="auto"/>
          <w:sz w:val="24"/>
          <w:szCs w:val="24"/>
          <w:highlight w:val="none"/>
        </w:rPr>
        <w:t>：</w:t>
      </w:r>
      <w:r>
        <w:rPr>
          <w:rFonts w:hint="eastAsia"/>
          <w:color w:val="auto"/>
          <w:sz w:val="24"/>
          <w:szCs w:val="24"/>
          <w:highlight w:val="none"/>
          <w:u w:val="single"/>
        </w:rPr>
        <w:t xml:space="preserve">  </w:t>
      </w:r>
      <w:r>
        <w:rPr>
          <w:color w:val="auto"/>
          <w:sz w:val="24"/>
          <w:szCs w:val="24"/>
          <w:highlight w:val="none"/>
        </w:rPr>
        <w:t>（签</w:t>
      </w:r>
      <w:r>
        <w:rPr>
          <w:rFonts w:hint="eastAsia"/>
          <w:color w:val="auto"/>
          <w:sz w:val="24"/>
          <w:szCs w:val="24"/>
          <w:highlight w:val="none"/>
        </w:rPr>
        <w:t>字或电子签名</w:t>
      </w:r>
      <w:r>
        <w:rPr>
          <w:color w:val="auto"/>
          <w:sz w:val="24"/>
          <w:szCs w:val="24"/>
          <w:highlight w:val="none"/>
        </w:rPr>
        <w:t>）</w:t>
      </w:r>
    </w:p>
    <w:p w14:paraId="3983BE45">
      <w:pPr>
        <w:pStyle w:val="26"/>
        <w:tabs>
          <w:tab w:val="left" w:pos="6010"/>
          <w:tab w:val="left" w:pos="7066"/>
          <w:tab w:val="left" w:pos="8124"/>
        </w:tabs>
        <w:spacing w:after="260" w:line="348" w:lineRule="exact"/>
        <w:ind w:left="5160" w:firstLine="0"/>
        <w:jc w:val="both"/>
        <w:rPr>
          <w:color w:val="auto"/>
          <w:sz w:val="24"/>
          <w:szCs w:val="24"/>
          <w:highlight w:val="none"/>
        </w:rPr>
      </w:pPr>
      <w:r>
        <w:rPr>
          <w:color w:val="auto"/>
          <w:sz w:val="24"/>
          <w:szCs w:val="24"/>
          <w:highlight w:val="none"/>
          <w:u w:val="single"/>
        </w:rPr>
        <w:tab/>
      </w:r>
      <w:r>
        <w:rPr>
          <w:color w:val="auto"/>
          <w:sz w:val="24"/>
          <w:szCs w:val="24"/>
          <w:highlight w:val="none"/>
        </w:rPr>
        <w:t>年</w:t>
      </w:r>
      <w:r>
        <w:rPr>
          <w:color w:val="auto"/>
          <w:sz w:val="24"/>
          <w:szCs w:val="24"/>
          <w:highlight w:val="none"/>
          <w:u w:val="single"/>
        </w:rPr>
        <w:tab/>
      </w:r>
      <w:r>
        <w:rPr>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76B2FAB2">
      <w:pPr>
        <w:pStyle w:val="26"/>
        <w:numPr>
          <w:ilvl w:val="0"/>
          <w:numId w:val="3"/>
        </w:numPr>
        <w:tabs>
          <w:tab w:val="left" w:pos="754"/>
        </w:tabs>
        <w:spacing w:line="354" w:lineRule="exact"/>
        <w:ind w:firstLine="420"/>
        <w:rPr>
          <w:color w:val="auto"/>
          <w:sz w:val="24"/>
          <w:szCs w:val="24"/>
          <w:highlight w:val="none"/>
        </w:rPr>
      </w:pPr>
      <w:r>
        <w:rPr>
          <w:color w:val="auto"/>
          <w:sz w:val="24"/>
          <w:szCs w:val="24"/>
          <w:highlight w:val="none"/>
        </w:rPr>
        <w:t>依法足额支付农民工工资的承诺</w:t>
      </w:r>
    </w:p>
    <w:p w14:paraId="11297601">
      <w:pPr>
        <w:pStyle w:val="26"/>
        <w:spacing w:after="340" w:line="354" w:lineRule="exact"/>
        <w:ind w:firstLine="420"/>
        <w:rPr>
          <w:color w:val="auto"/>
          <w:sz w:val="24"/>
          <w:szCs w:val="24"/>
          <w:highlight w:val="none"/>
        </w:rPr>
      </w:pPr>
      <w:r>
        <w:rPr>
          <w:color w:val="auto"/>
          <w:sz w:val="24"/>
          <w:szCs w:val="24"/>
          <w:highlight w:val="none"/>
        </w:rPr>
        <w:t>（本承诺不提供统一格式，由</w:t>
      </w:r>
      <w:r>
        <w:rPr>
          <w:rFonts w:hint="eastAsia"/>
          <w:color w:val="auto"/>
          <w:sz w:val="24"/>
          <w:szCs w:val="24"/>
          <w:highlight w:val="none"/>
        </w:rPr>
        <w:t>供应商</w:t>
      </w:r>
      <w:r>
        <w:rPr>
          <w:color w:val="auto"/>
          <w:sz w:val="24"/>
          <w:szCs w:val="24"/>
          <w:highlight w:val="none"/>
        </w:rPr>
        <w:t>自行编写，承诺依法足额支付农民工工资）</w:t>
      </w:r>
    </w:p>
    <w:p w14:paraId="2F5F771D">
      <w:pPr>
        <w:pStyle w:val="26"/>
        <w:tabs>
          <w:tab w:val="left" w:pos="6922"/>
          <w:tab w:val="left" w:pos="7550"/>
        </w:tabs>
        <w:spacing w:line="348" w:lineRule="exact"/>
        <w:ind w:left="3420" w:firstLine="20"/>
        <w:jc w:val="both"/>
        <w:rPr>
          <w:rFonts w:hint="eastAsia"/>
          <w:color w:val="auto"/>
          <w:sz w:val="24"/>
          <w:szCs w:val="24"/>
          <w:highlight w:val="none"/>
        </w:rPr>
      </w:pPr>
      <w:bookmarkStart w:id="62" w:name="bookmark2188"/>
      <w:bookmarkEnd w:id="62"/>
      <w:r>
        <w:rPr>
          <w:rFonts w:hint="eastAsia"/>
          <w:color w:val="auto"/>
          <w:sz w:val="24"/>
          <w:szCs w:val="24"/>
          <w:highlight w:val="none"/>
        </w:rPr>
        <w:t>供应商：</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 xml:space="preserve"> （盖单位电子公章）</w:t>
      </w:r>
    </w:p>
    <w:p w14:paraId="64117DF6">
      <w:pPr>
        <w:pStyle w:val="26"/>
        <w:tabs>
          <w:tab w:val="left" w:pos="6922"/>
          <w:tab w:val="left" w:pos="7550"/>
        </w:tabs>
        <w:spacing w:line="348" w:lineRule="exact"/>
        <w:ind w:left="3420" w:firstLine="20"/>
        <w:jc w:val="both"/>
        <w:rPr>
          <w:color w:val="auto"/>
          <w:sz w:val="24"/>
          <w:szCs w:val="24"/>
          <w:highlight w:val="none"/>
        </w:rPr>
      </w:pPr>
      <w:r>
        <w:rPr>
          <w:color w:val="auto"/>
          <w:sz w:val="24"/>
          <w:szCs w:val="24"/>
          <w:highlight w:val="none"/>
        </w:rPr>
        <w:t>法定代表人或授权委托代理人</w:t>
      </w:r>
      <w:r>
        <w:rPr>
          <w:rFonts w:hint="eastAsia"/>
          <w:color w:val="auto"/>
          <w:sz w:val="24"/>
          <w:szCs w:val="24"/>
          <w:highlight w:val="none"/>
        </w:rPr>
        <w:t>：</w:t>
      </w:r>
      <w:r>
        <w:rPr>
          <w:rFonts w:hint="eastAsia"/>
          <w:color w:val="auto"/>
          <w:sz w:val="24"/>
          <w:szCs w:val="24"/>
          <w:highlight w:val="none"/>
          <w:u w:val="single"/>
        </w:rPr>
        <w:t xml:space="preserve">  </w:t>
      </w:r>
      <w:r>
        <w:rPr>
          <w:color w:val="auto"/>
          <w:sz w:val="24"/>
          <w:szCs w:val="24"/>
          <w:highlight w:val="none"/>
        </w:rPr>
        <w:t>（签</w:t>
      </w:r>
      <w:r>
        <w:rPr>
          <w:rFonts w:hint="eastAsia"/>
          <w:color w:val="auto"/>
          <w:sz w:val="24"/>
          <w:szCs w:val="24"/>
          <w:highlight w:val="none"/>
        </w:rPr>
        <w:t>字或电子签名</w:t>
      </w:r>
      <w:r>
        <w:rPr>
          <w:color w:val="auto"/>
          <w:sz w:val="24"/>
          <w:szCs w:val="24"/>
          <w:highlight w:val="none"/>
        </w:rPr>
        <w:t>）</w:t>
      </w:r>
    </w:p>
    <w:p w14:paraId="0891E2F6">
      <w:pPr>
        <w:pStyle w:val="26"/>
        <w:tabs>
          <w:tab w:val="left" w:pos="6010"/>
          <w:tab w:val="left" w:pos="7066"/>
          <w:tab w:val="left" w:pos="8124"/>
        </w:tabs>
        <w:spacing w:after="260" w:line="348" w:lineRule="exact"/>
        <w:ind w:left="5160" w:firstLine="0"/>
        <w:jc w:val="both"/>
        <w:rPr>
          <w:color w:val="auto"/>
          <w:sz w:val="24"/>
          <w:szCs w:val="24"/>
          <w:highlight w:val="none"/>
        </w:rPr>
      </w:pPr>
      <w:r>
        <w:rPr>
          <w:color w:val="auto"/>
          <w:sz w:val="24"/>
          <w:szCs w:val="24"/>
          <w:highlight w:val="none"/>
          <w:u w:val="single"/>
        </w:rPr>
        <w:tab/>
      </w:r>
      <w:r>
        <w:rPr>
          <w:color w:val="auto"/>
          <w:sz w:val="24"/>
          <w:szCs w:val="24"/>
          <w:highlight w:val="none"/>
        </w:rPr>
        <w:t>年</w:t>
      </w:r>
      <w:r>
        <w:rPr>
          <w:color w:val="auto"/>
          <w:sz w:val="24"/>
          <w:szCs w:val="24"/>
          <w:highlight w:val="none"/>
          <w:u w:val="single"/>
        </w:rPr>
        <w:tab/>
      </w:r>
      <w:r>
        <w:rPr>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64555843">
      <w:pPr>
        <w:pStyle w:val="26"/>
        <w:numPr>
          <w:ilvl w:val="0"/>
          <w:numId w:val="3"/>
        </w:numPr>
        <w:tabs>
          <w:tab w:val="left" w:pos="754"/>
        </w:tabs>
        <w:spacing w:after="260" w:line="354" w:lineRule="exact"/>
        <w:ind w:firstLine="420"/>
        <w:jc w:val="both"/>
        <w:rPr>
          <w:color w:val="auto"/>
          <w:sz w:val="24"/>
          <w:szCs w:val="24"/>
          <w:highlight w:val="none"/>
        </w:rPr>
      </w:pPr>
      <w:r>
        <w:rPr>
          <w:color w:val="auto"/>
          <w:sz w:val="24"/>
          <w:szCs w:val="24"/>
          <w:highlight w:val="none"/>
        </w:rPr>
        <w:t>其他承诺书</w:t>
      </w:r>
    </w:p>
    <w:p w14:paraId="69F3493D">
      <w:pPr>
        <w:pStyle w:val="27"/>
        <w:jc w:val="center"/>
        <w:rPr>
          <w:rFonts w:hint="eastAsia"/>
          <w:color w:val="auto"/>
          <w:highlight w:val="none"/>
          <w:lang w:eastAsia="zh-CN"/>
        </w:rPr>
      </w:pPr>
      <w:r>
        <w:rPr>
          <w:rFonts w:hint="eastAsia"/>
          <w:color w:val="auto"/>
          <w:highlight w:val="none"/>
          <w:lang w:eastAsia="zh-CN"/>
        </w:rPr>
        <w:t>承诺书</w:t>
      </w:r>
    </w:p>
    <w:p w14:paraId="0D8CF750">
      <w:pPr>
        <w:pStyle w:val="26"/>
        <w:spacing w:after="340" w:line="350" w:lineRule="exact"/>
        <w:ind w:firstLine="440"/>
        <w:jc w:val="both"/>
        <w:rPr>
          <w:color w:val="auto"/>
          <w:sz w:val="24"/>
          <w:szCs w:val="24"/>
          <w:highlight w:val="none"/>
        </w:rPr>
      </w:pPr>
      <w:r>
        <w:rPr>
          <w:color w:val="auto"/>
          <w:sz w:val="24"/>
          <w:szCs w:val="24"/>
          <w:highlight w:val="none"/>
        </w:rPr>
        <w:t>现承诺我单位在本项目</w:t>
      </w:r>
      <w:r>
        <w:rPr>
          <w:rFonts w:hint="eastAsia"/>
          <w:color w:val="auto"/>
          <w:sz w:val="24"/>
          <w:szCs w:val="24"/>
          <w:highlight w:val="none"/>
        </w:rPr>
        <w:t>响应文件</w:t>
      </w:r>
      <w:r>
        <w:rPr>
          <w:color w:val="auto"/>
          <w:sz w:val="24"/>
          <w:szCs w:val="24"/>
          <w:highlight w:val="none"/>
        </w:rPr>
        <w:t>使用的证件、证书、业绩、公章、印章、签字、</w:t>
      </w:r>
      <w:r>
        <w:rPr>
          <w:rFonts w:hint="eastAsia"/>
          <w:color w:val="auto"/>
          <w:sz w:val="24"/>
          <w:szCs w:val="24"/>
          <w:highlight w:val="none"/>
        </w:rPr>
        <w:t>扫描件</w:t>
      </w:r>
      <w:r>
        <w:rPr>
          <w:color w:val="auto"/>
          <w:sz w:val="24"/>
          <w:szCs w:val="24"/>
          <w:highlight w:val="none"/>
        </w:rPr>
        <w:t xml:space="preserve">及有关答疑等材料均为真实、有效。如我单位提供上述的材料有变造、伪造等造假行为, </w:t>
      </w:r>
      <w:r>
        <w:rPr>
          <w:rFonts w:hint="eastAsia"/>
          <w:color w:val="auto"/>
          <w:sz w:val="24"/>
          <w:szCs w:val="24"/>
          <w:highlight w:val="none"/>
        </w:rPr>
        <w:t>采购人</w:t>
      </w:r>
      <w:r>
        <w:rPr>
          <w:color w:val="auto"/>
          <w:sz w:val="24"/>
          <w:szCs w:val="24"/>
          <w:highlight w:val="none"/>
        </w:rPr>
        <w:t>和有关行政监督部门可以取消我单位</w:t>
      </w:r>
      <w:r>
        <w:rPr>
          <w:rFonts w:hint="eastAsia"/>
          <w:color w:val="auto"/>
          <w:sz w:val="24"/>
          <w:szCs w:val="24"/>
          <w:highlight w:val="none"/>
          <w:lang w:val="en-US" w:eastAsia="zh-CN"/>
        </w:rPr>
        <w:t>竞标</w:t>
      </w:r>
      <w:r>
        <w:rPr>
          <w:color w:val="auto"/>
          <w:sz w:val="24"/>
          <w:szCs w:val="24"/>
          <w:highlight w:val="none"/>
        </w:rPr>
        <w:t>资格或</w:t>
      </w:r>
      <w:r>
        <w:rPr>
          <w:rFonts w:hint="eastAsia"/>
          <w:color w:val="auto"/>
          <w:sz w:val="24"/>
          <w:szCs w:val="24"/>
          <w:highlight w:val="none"/>
          <w:lang w:val="en-US" w:eastAsia="zh-CN"/>
        </w:rPr>
        <w:t>成交</w:t>
      </w:r>
      <w:r>
        <w:rPr>
          <w:color w:val="auto"/>
          <w:sz w:val="24"/>
          <w:szCs w:val="24"/>
          <w:highlight w:val="none"/>
        </w:rPr>
        <w:t>资格。给</w:t>
      </w:r>
      <w:r>
        <w:rPr>
          <w:rFonts w:hint="eastAsia"/>
          <w:color w:val="auto"/>
          <w:sz w:val="24"/>
          <w:szCs w:val="24"/>
          <w:highlight w:val="none"/>
        </w:rPr>
        <w:t>采购人</w:t>
      </w:r>
      <w:r>
        <w:rPr>
          <w:color w:val="auto"/>
          <w:sz w:val="24"/>
          <w:szCs w:val="24"/>
          <w:highlight w:val="none"/>
        </w:rPr>
        <w:t>造成损失的, 依法承担赔偿责任；情节严重的，接受依法取消一年至三年内参加依法必须进行</w:t>
      </w:r>
      <w:r>
        <w:rPr>
          <w:rFonts w:hint="eastAsia"/>
          <w:color w:val="auto"/>
          <w:sz w:val="24"/>
          <w:szCs w:val="24"/>
          <w:highlight w:val="none"/>
          <w:lang w:val="en-US" w:eastAsia="zh-CN"/>
        </w:rPr>
        <w:t>竞</w:t>
      </w:r>
      <w:r>
        <w:rPr>
          <w:color w:val="auto"/>
          <w:sz w:val="24"/>
          <w:szCs w:val="24"/>
          <w:highlight w:val="none"/>
        </w:rPr>
        <w:t>标的工程项目的</w:t>
      </w:r>
      <w:r>
        <w:rPr>
          <w:rFonts w:hint="eastAsia"/>
          <w:color w:val="auto"/>
          <w:sz w:val="24"/>
          <w:szCs w:val="24"/>
          <w:highlight w:val="none"/>
          <w:lang w:val="en-US" w:eastAsia="zh-CN"/>
        </w:rPr>
        <w:t>竞</w:t>
      </w:r>
      <w:r>
        <w:rPr>
          <w:color w:val="auto"/>
          <w:sz w:val="24"/>
          <w:szCs w:val="24"/>
          <w:highlight w:val="none"/>
        </w:rPr>
        <w:t>标资格的处罚；构成犯罪的，接受依法追究刑事责任。</w:t>
      </w:r>
    </w:p>
    <w:p w14:paraId="7A7B26F3">
      <w:pPr>
        <w:pStyle w:val="26"/>
        <w:tabs>
          <w:tab w:val="left" w:pos="6922"/>
          <w:tab w:val="left" w:pos="7550"/>
        </w:tabs>
        <w:spacing w:line="348" w:lineRule="exact"/>
        <w:ind w:left="3420" w:firstLine="20"/>
        <w:jc w:val="both"/>
        <w:rPr>
          <w:rFonts w:hint="eastAsia"/>
          <w:color w:val="auto"/>
          <w:sz w:val="24"/>
          <w:szCs w:val="24"/>
          <w:highlight w:val="none"/>
        </w:rPr>
      </w:pPr>
      <w:r>
        <w:rPr>
          <w:rFonts w:hint="eastAsia"/>
          <w:color w:val="auto"/>
          <w:sz w:val="24"/>
          <w:szCs w:val="24"/>
          <w:highlight w:val="none"/>
        </w:rPr>
        <w:t>供应商：</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 xml:space="preserve"> （盖单位电子公章）</w:t>
      </w:r>
    </w:p>
    <w:p w14:paraId="6965FC70">
      <w:pPr>
        <w:pStyle w:val="26"/>
        <w:tabs>
          <w:tab w:val="left" w:pos="6922"/>
          <w:tab w:val="left" w:pos="7550"/>
        </w:tabs>
        <w:spacing w:line="348" w:lineRule="exact"/>
        <w:ind w:left="3420" w:firstLine="20"/>
        <w:jc w:val="both"/>
        <w:rPr>
          <w:color w:val="auto"/>
          <w:sz w:val="24"/>
          <w:szCs w:val="24"/>
          <w:highlight w:val="none"/>
        </w:rPr>
      </w:pPr>
      <w:r>
        <w:rPr>
          <w:color w:val="auto"/>
          <w:sz w:val="24"/>
          <w:szCs w:val="24"/>
          <w:highlight w:val="none"/>
        </w:rPr>
        <w:t>法定代表人或授权委托代理人</w:t>
      </w:r>
      <w:r>
        <w:rPr>
          <w:rFonts w:hint="eastAsia"/>
          <w:color w:val="auto"/>
          <w:sz w:val="24"/>
          <w:szCs w:val="24"/>
          <w:highlight w:val="none"/>
        </w:rPr>
        <w:t>：</w:t>
      </w:r>
      <w:r>
        <w:rPr>
          <w:rFonts w:hint="eastAsia"/>
          <w:color w:val="auto"/>
          <w:sz w:val="24"/>
          <w:szCs w:val="24"/>
          <w:highlight w:val="none"/>
          <w:u w:val="single"/>
        </w:rPr>
        <w:t xml:space="preserve">  </w:t>
      </w:r>
      <w:r>
        <w:rPr>
          <w:color w:val="auto"/>
          <w:sz w:val="24"/>
          <w:szCs w:val="24"/>
          <w:highlight w:val="none"/>
        </w:rPr>
        <w:t>（签</w:t>
      </w:r>
      <w:r>
        <w:rPr>
          <w:rFonts w:hint="eastAsia"/>
          <w:color w:val="auto"/>
          <w:sz w:val="24"/>
          <w:szCs w:val="24"/>
          <w:highlight w:val="none"/>
        </w:rPr>
        <w:t>字或电子签名</w:t>
      </w:r>
      <w:r>
        <w:rPr>
          <w:color w:val="auto"/>
          <w:sz w:val="24"/>
          <w:szCs w:val="24"/>
          <w:highlight w:val="none"/>
        </w:rPr>
        <w:t>）</w:t>
      </w:r>
    </w:p>
    <w:p w14:paraId="34753A04">
      <w:pPr>
        <w:pStyle w:val="26"/>
        <w:tabs>
          <w:tab w:val="left" w:pos="6010"/>
          <w:tab w:val="left" w:pos="7066"/>
          <w:tab w:val="left" w:pos="8124"/>
        </w:tabs>
        <w:spacing w:after="260" w:line="348" w:lineRule="exact"/>
        <w:ind w:left="5160" w:firstLine="0"/>
        <w:jc w:val="both"/>
        <w:rPr>
          <w:color w:val="auto"/>
          <w:sz w:val="24"/>
          <w:szCs w:val="24"/>
          <w:highlight w:val="none"/>
        </w:rPr>
      </w:pPr>
      <w:r>
        <w:rPr>
          <w:color w:val="auto"/>
          <w:sz w:val="24"/>
          <w:szCs w:val="24"/>
          <w:highlight w:val="none"/>
          <w:u w:val="single"/>
        </w:rPr>
        <w:tab/>
      </w:r>
      <w:r>
        <w:rPr>
          <w:color w:val="auto"/>
          <w:sz w:val="24"/>
          <w:szCs w:val="24"/>
          <w:highlight w:val="none"/>
        </w:rPr>
        <w:t>年</w:t>
      </w:r>
      <w:r>
        <w:rPr>
          <w:color w:val="auto"/>
          <w:sz w:val="24"/>
          <w:szCs w:val="24"/>
          <w:highlight w:val="none"/>
          <w:u w:val="single"/>
        </w:rPr>
        <w:tab/>
      </w:r>
      <w:r>
        <w:rPr>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016C24FF">
      <w:pPr>
        <w:pStyle w:val="27"/>
        <w:jc w:val="center"/>
        <w:rPr>
          <w:rFonts w:hint="eastAsia"/>
          <w:color w:val="auto"/>
          <w:highlight w:val="none"/>
          <w:lang w:eastAsia="zh-CN"/>
        </w:rPr>
        <w:sectPr>
          <w:pgSz w:w="11910" w:h="16840"/>
          <w:pgMar w:top="1440" w:right="1080" w:bottom="1440" w:left="1080" w:header="0" w:footer="0" w:gutter="0"/>
          <w:cols w:space="720" w:num="1"/>
        </w:sectPr>
      </w:pPr>
    </w:p>
    <w:p w14:paraId="58A76C67">
      <w:pPr>
        <w:pStyle w:val="11"/>
        <w:spacing w:line="500" w:lineRule="exact"/>
        <w:rPr>
          <w:rFonts w:hint="eastAsia" w:hAnsi="宋体" w:cs="宋体"/>
          <w:b/>
          <w:bCs/>
          <w:color w:val="auto"/>
          <w:sz w:val="30"/>
          <w:szCs w:val="30"/>
          <w:highlight w:val="none"/>
          <w:lang w:val="en-US" w:eastAsia="zh-CN"/>
        </w:rPr>
      </w:pPr>
    </w:p>
    <w:p w14:paraId="7B945D99">
      <w:pPr>
        <w:pStyle w:val="11"/>
        <w:spacing w:line="500" w:lineRule="exact"/>
        <w:rPr>
          <w:rFonts w:hint="eastAsia" w:hAnsi="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九、中小企业声明函或残疾人福利性单位声明函或监狱企业证明</w:t>
      </w:r>
    </w:p>
    <w:p w14:paraId="212DF99A">
      <w:pPr>
        <w:spacing w:line="300" w:lineRule="auto"/>
        <w:ind w:firstLine="3840" w:firstLineChars="1200"/>
        <w:rPr>
          <w:rFonts w:hint="eastAsia" w:ascii="宋体" w:hAnsi="宋体" w:cs="宋体"/>
          <w:color w:val="auto"/>
          <w:sz w:val="32"/>
          <w:szCs w:val="32"/>
          <w:highlight w:val="none"/>
        </w:rPr>
      </w:pPr>
    </w:p>
    <w:p w14:paraId="4B26E5DA">
      <w:pPr>
        <w:spacing w:line="300" w:lineRule="auto"/>
        <w:ind w:firstLine="2200" w:firstLineChars="500"/>
        <w:rPr>
          <w:rFonts w:hint="eastAsia" w:ascii="宋体" w:hAnsi="宋体" w:eastAsia="宋体" w:cs="宋体"/>
          <w:sz w:val="44"/>
          <w:szCs w:val="44"/>
          <w:highlight w:val="none"/>
        </w:rPr>
      </w:pPr>
      <w:bookmarkStart w:id="63" w:name="_Toc21450"/>
      <w:r>
        <w:rPr>
          <w:rFonts w:hint="eastAsia" w:ascii="宋体" w:hAnsi="宋体" w:eastAsia="宋体" w:cs="宋体"/>
          <w:sz w:val="44"/>
          <w:szCs w:val="44"/>
          <w:highlight w:val="none"/>
        </w:rPr>
        <w:t>中小企业声明函（</w:t>
      </w:r>
      <w:r>
        <w:rPr>
          <w:rFonts w:hint="eastAsia" w:ascii="宋体" w:hAnsi="宋体" w:eastAsia="宋体" w:cs="宋体"/>
          <w:sz w:val="44"/>
          <w:szCs w:val="44"/>
          <w:highlight w:val="none"/>
          <w:lang w:eastAsia="zh-CN"/>
        </w:rPr>
        <w:t>工程</w:t>
      </w:r>
      <w:r>
        <w:rPr>
          <w:rFonts w:hint="eastAsia" w:ascii="宋体" w:hAnsi="宋体" w:eastAsia="宋体" w:cs="宋体"/>
          <w:sz w:val="44"/>
          <w:szCs w:val="44"/>
          <w:highlight w:val="none"/>
        </w:rPr>
        <w:t>）</w:t>
      </w:r>
    </w:p>
    <w:p w14:paraId="0B2E524E">
      <w:pPr>
        <w:pStyle w:val="8"/>
        <w:spacing w:after="0" w:line="360" w:lineRule="auto"/>
        <w:ind w:left="-426" w:right="142" w:firstLine="640"/>
        <w:contextualSpacing/>
        <w:rPr>
          <w:rFonts w:hint="eastAsia" w:ascii="宋体" w:hAnsi="宋体" w:eastAsia="宋体" w:cs="宋体"/>
          <w:sz w:val="24"/>
          <w:highlight w:val="none"/>
        </w:rPr>
      </w:pPr>
      <w:r>
        <w:rPr>
          <w:rFonts w:hint="eastAsia" w:ascii="宋体" w:hAnsi="宋体" w:eastAsia="宋体" w:cs="宋体"/>
          <w:sz w:val="24"/>
          <w:highlight w:val="none"/>
        </w:rPr>
        <w:t>本公司（联合体）郑重声明，根据《政府采购促进中小企业发展管理办法》（财库﹝2020﹞46号）的规定，本公司（联合体）参加</w:t>
      </w:r>
      <w:r>
        <w:rPr>
          <w:rFonts w:hint="eastAsia" w:ascii="宋体" w:hAnsi="宋体" w:eastAsia="宋体" w:cs="宋体"/>
          <w:sz w:val="24"/>
          <w:highlight w:val="none"/>
          <w:u w:val="single"/>
        </w:rPr>
        <w:t>（单位名称）</w:t>
      </w:r>
      <w:r>
        <w:rPr>
          <w:rFonts w:hint="eastAsia" w:ascii="宋体" w:hAnsi="宋体" w:eastAsia="宋体" w:cs="宋体"/>
          <w:sz w:val="24"/>
          <w:highlight w:val="none"/>
        </w:rPr>
        <w:t>的</w:t>
      </w:r>
      <w:r>
        <w:rPr>
          <w:rFonts w:hint="eastAsia" w:ascii="宋体" w:hAnsi="宋体" w:eastAsia="宋体" w:cs="宋体"/>
          <w:sz w:val="24"/>
          <w:highlight w:val="none"/>
          <w:u w:val="single"/>
        </w:rPr>
        <w:t>（项目名称）</w:t>
      </w:r>
      <w:r>
        <w:rPr>
          <w:rFonts w:hint="eastAsia" w:ascii="宋体" w:hAnsi="宋体" w:eastAsia="宋体" w:cs="宋体"/>
          <w:sz w:val="24"/>
          <w:highlight w:val="none"/>
        </w:rPr>
        <w:t>采购活动，提供的服务全部由符合政策要求的中小企业</w:t>
      </w:r>
      <w:r>
        <w:rPr>
          <w:rFonts w:hint="eastAsia" w:ascii="宋体" w:hAnsi="宋体" w:eastAsia="宋体" w:cs="宋体"/>
          <w:sz w:val="24"/>
          <w:highlight w:val="none"/>
          <w:lang w:eastAsia="zh-CN"/>
        </w:rPr>
        <w:t>承接（承建）</w:t>
      </w:r>
      <w:r>
        <w:rPr>
          <w:rFonts w:hint="eastAsia" w:ascii="宋体" w:hAnsi="宋体" w:eastAsia="宋体" w:cs="宋体"/>
          <w:sz w:val="24"/>
          <w:highlight w:val="none"/>
        </w:rPr>
        <w:t>。相关企业（含联合体中的中小企业、签订分包意向协议的中小企业）的具体情况如下：</w:t>
      </w:r>
    </w:p>
    <w:p w14:paraId="0C24F77A">
      <w:pPr>
        <w:tabs>
          <w:tab w:val="left" w:pos="1384"/>
          <w:tab w:val="left" w:pos="4562"/>
          <w:tab w:val="left" w:pos="6803"/>
        </w:tabs>
        <w:spacing w:line="360" w:lineRule="auto"/>
        <w:ind w:left="-426" w:right="-58" w:firstLine="655"/>
        <w:contextualSpacing/>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u w:val="single"/>
        </w:rPr>
        <w:t>（标的名称）</w:t>
      </w:r>
      <w:r>
        <w:rPr>
          <w:rFonts w:hint="eastAsia" w:ascii="宋体" w:hAnsi="宋体" w:eastAsia="宋体" w:cs="宋体"/>
          <w:sz w:val="24"/>
          <w:highlight w:val="none"/>
        </w:rPr>
        <w:t>，属于</w:t>
      </w:r>
      <w:r>
        <w:rPr>
          <w:rFonts w:hint="eastAsia" w:ascii="宋体" w:hAnsi="宋体" w:eastAsia="宋体" w:cs="宋体"/>
          <w:sz w:val="24"/>
          <w:highlight w:val="none"/>
          <w:u w:val="single"/>
        </w:rPr>
        <w:t>（采购文件中明确的所属行业）</w:t>
      </w:r>
      <w:r>
        <w:rPr>
          <w:rFonts w:hint="eastAsia" w:ascii="宋体" w:hAnsi="宋体" w:eastAsia="宋体" w:cs="宋体"/>
          <w:sz w:val="24"/>
          <w:highlight w:val="none"/>
        </w:rPr>
        <w:t>行业；</w:t>
      </w:r>
      <w:r>
        <w:rPr>
          <w:rFonts w:hint="eastAsia" w:ascii="宋体" w:hAnsi="宋体" w:eastAsia="宋体" w:cs="宋体"/>
          <w:sz w:val="24"/>
          <w:highlight w:val="none"/>
          <w:lang w:eastAsia="zh-CN"/>
        </w:rPr>
        <w:t>承接（承建）企业</w:t>
      </w:r>
      <w:r>
        <w:rPr>
          <w:rFonts w:hint="eastAsia" w:ascii="宋体" w:hAnsi="宋体" w:eastAsia="宋体" w:cs="宋体"/>
          <w:sz w:val="24"/>
          <w:highlight w:val="none"/>
        </w:rPr>
        <w:t>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万元，属于</w:t>
      </w:r>
      <w:r>
        <w:rPr>
          <w:rFonts w:hint="eastAsia" w:ascii="宋体" w:hAnsi="宋体" w:eastAsia="宋体" w:cs="宋体"/>
          <w:sz w:val="24"/>
          <w:highlight w:val="none"/>
          <w:u w:val="single"/>
        </w:rPr>
        <w:t>（中型企业、小型企业、微型企业）</w:t>
      </w:r>
      <w:r>
        <w:rPr>
          <w:rFonts w:hint="eastAsia" w:ascii="宋体" w:hAnsi="宋体" w:eastAsia="宋体" w:cs="宋体"/>
          <w:sz w:val="24"/>
          <w:highlight w:val="none"/>
        </w:rPr>
        <w:t>；</w:t>
      </w:r>
    </w:p>
    <w:p w14:paraId="3554D7B8">
      <w:pPr>
        <w:tabs>
          <w:tab w:val="left" w:pos="1065"/>
          <w:tab w:val="left" w:pos="6477"/>
        </w:tabs>
        <w:spacing w:line="360" w:lineRule="auto"/>
        <w:ind w:left="-426" w:right="-58" w:firstLine="655"/>
        <w:contextualSpacing/>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u w:val="single"/>
        </w:rPr>
        <w:t>（标的名称）</w:t>
      </w:r>
      <w:r>
        <w:rPr>
          <w:rFonts w:hint="eastAsia" w:ascii="宋体" w:hAnsi="宋体" w:eastAsia="宋体" w:cs="宋体"/>
          <w:sz w:val="24"/>
          <w:highlight w:val="none"/>
        </w:rPr>
        <w:t>，属于</w:t>
      </w:r>
      <w:r>
        <w:rPr>
          <w:rFonts w:hint="eastAsia" w:ascii="宋体" w:hAnsi="宋体" w:eastAsia="宋体" w:cs="宋体"/>
          <w:sz w:val="24"/>
          <w:highlight w:val="none"/>
          <w:u w:val="single"/>
        </w:rPr>
        <w:t>（采购文件中明确的所属行业）</w:t>
      </w:r>
      <w:r>
        <w:rPr>
          <w:rFonts w:hint="eastAsia" w:ascii="宋体" w:hAnsi="宋体" w:eastAsia="宋体" w:cs="宋体"/>
          <w:sz w:val="24"/>
          <w:highlight w:val="none"/>
        </w:rPr>
        <w:t>行业；</w:t>
      </w:r>
      <w:r>
        <w:rPr>
          <w:rFonts w:hint="eastAsia" w:ascii="宋体" w:hAnsi="宋体" w:eastAsia="宋体" w:cs="宋体"/>
          <w:sz w:val="24"/>
          <w:highlight w:val="none"/>
          <w:lang w:eastAsia="zh-CN"/>
        </w:rPr>
        <w:t>承接（承建）企业</w:t>
      </w:r>
      <w:r>
        <w:rPr>
          <w:rFonts w:hint="eastAsia" w:ascii="宋体" w:hAnsi="宋体" w:eastAsia="宋体" w:cs="宋体"/>
          <w:sz w:val="24"/>
          <w:highlight w:val="none"/>
        </w:rPr>
        <w:t>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万元，属于</w:t>
      </w:r>
      <w:r>
        <w:rPr>
          <w:rFonts w:hint="eastAsia" w:ascii="宋体" w:hAnsi="宋体" w:eastAsia="宋体" w:cs="宋体"/>
          <w:sz w:val="24"/>
          <w:highlight w:val="none"/>
          <w:u w:val="single"/>
        </w:rPr>
        <w:t>（中型企业、小型企业、微型企业）</w:t>
      </w:r>
      <w:r>
        <w:rPr>
          <w:rFonts w:hint="eastAsia" w:ascii="宋体" w:hAnsi="宋体" w:eastAsia="宋体" w:cs="宋体"/>
          <w:sz w:val="24"/>
          <w:highlight w:val="none"/>
        </w:rPr>
        <w:t>；</w:t>
      </w:r>
    </w:p>
    <w:p w14:paraId="2E2D711F">
      <w:pPr>
        <w:pStyle w:val="8"/>
        <w:spacing w:after="0" w:line="360" w:lineRule="auto"/>
        <w:ind w:left="142" w:right="142"/>
        <w:contextualSpacing/>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3BC4583A">
      <w:pPr>
        <w:pStyle w:val="8"/>
        <w:spacing w:after="0" w:line="360" w:lineRule="auto"/>
        <w:ind w:left="-405" w:leftChars="-193" w:right="142" w:firstLine="453" w:firstLineChars="189"/>
        <w:contextualSpacing/>
        <w:rPr>
          <w:rFonts w:hint="eastAsia" w:ascii="宋体" w:hAnsi="宋体" w:eastAsia="宋体" w:cs="宋体"/>
          <w:sz w:val="24"/>
          <w:highlight w:val="none"/>
        </w:rPr>
      </w:pPr>
      <w:r>
        <w:rPr>
          <w:rFonts w:hint="eastAsia" w:ascii="宋体" w:hAnsi="宋体" w:eastAsia="宋体" w:cs="宋体"/>
          <w:sz w:val="24"/>
          <w:highlight w:val="none"/>
        </w:rPr>
        <w:t>以上企业，不属于大企业的分支机构，不存在控股股东为大企业的情形，也不存在与大企业的负责人为同一人的情形。</w:t>
      </w:r>
    </w:p>
    <w:p w14:paraId="0D805A6E">
      <w:pPr>
        <w:pStyle w:val="8"/>
        <w:spacing w:after="0" w:line="360" w:lineRule="auto"/>
        <w:ind w:left="-426" w:right="142" w:firstLine="567"/>
        <w:contextualSpacing/>
        <w:rPr>
          <w:rFonts w:hint="eastAsia" w:ascii="宋体" w:hAnsi="宋体" w:eastAsia="宋体" w:cs="宋体"/>
          <w:sz w:val="24"/>
          <w:highlight w:val="none"/>
        </w:rPr>
      </w:pPr>
      <w:r>
        <w:rPr>
          <w:rFonts w:hint="eastAsia" w:ascii="宋体" w:hAnsi="宋体" w:eastAsia="宋体" w:cs="宋体"/>
          <w:sz w:val="24"/>
          <w:highlight w:val="none"/>
        </w:rPr>
        <w:t>本企业对上述声明内容的真实性负责。如有虚假，将依法承担相应责任。</w:t>
      </w:r>
    </w:p>
    <w:p w14:paraId="0576D58A">
      <w:pPr>
        <w:pStyle w:val="8"/>
        <w:spacing w:after="0" w:line="360" w:lineRule="auto"/>
        <w:ind w:left="3960" w:right="1808"/>
        <w:contextualSpacing/>
        <w:rPr>
          <w:rFonts w:hint="eastAsia" w:ascii="宋体" w:hAnsi="宋体" w:eastAsia="宋体" w:cs="宋体"/>
          <w:sz w:val="24"/>
          <w:highlight w:val="none"/>
        </w:rPr>
      </w:pPr>
    </w:p>
    <w:p w14:paraId="008B9412">
      <w:pPr>
        <w:autoSpaceDE w:val="0"/>
        <w:autoSpaceDN w:val="0"/>
        <w:spacing w:line="360" w:lineRule="auto"/>
        <w:ind w:left="4335" w:leftChars="1950" w:hanging="240" w:hangingChars="100"/>
        <w:rPr>
          <w:rFonts w:hint="eastAsia" w:ascii="宋体" w:hAnsi="宋体" w:eastAsia="宋体" w:cs="宋体"/>
          <w:kern w:val="0"/>
          <w:sz w:val="24"/>
          <w:highlight w:val="none"/>
        </w:rPr>
      </w:pPr>
      <w:r>
        <w:rPr>
          <w:rFonts w:hint="eastAsia" w:ascii="宋体" w:hAnsi="宋体" w:eastAsia="宋体" w:cs="宋体"/>
          <w:kern w:val="0"/>
          <w:sz w:val="24"/>
          <w:highlight w:val="none"/>
        </w:rPr>
        <w:t>供应商名称（电子签章）：</w:t>
      </w:r>
    </w:p>
    <w:p w14:paraId="1CABE322">
      <w:pPr>
        <w:autoSpaceDE w:val="0"/>
        <w:autoSpaceDN w:val="0"/>
        <w:spacing w:line="360" w:lineRule="auto"/>
        <w:ind w:firstLine="6480" w:firstLineChars="270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  年  月   日</w:t>
      </w:r>
    </w:p>
    <w:p w14:paraId="651E799B">
      <w:pPr>
        <w:pStyle w:val="8"/>
        <w:spacing w:after="0" w:line="360" w:lineRule="auto"/>
        <w:ind w:left="3960" w:right="1808"/>
        <w:contextualSpacing/>
        <w:rPr>
          <w:rFonts w:hint="eastAsia" w:ascii="宋体" w:hAnsi="宋体" w:eastAsia="宋体" w:cs="宋体"/>
          <w:highlight w:val="none"/>
        </w:rPr>
      </w:pPr>
    </w:p>
    <w:p w14:paraId="3D983FC5">
      <w:pPr>
        <w:spacing w:line="360" w:lineRule="auto"/>
        <w:jc w:val="left"/>
        <w:rPr>
          <w:rFonts w:hint="eastAsia" w:ascii="宋体" w:hAnsi="宋体" w:eastAsia="宋体" w:cs="宋体"/>
          <w:kern w:val="0"/>
          <w:sz w:val="24"/>
          <w:highlight w:val="none"/>
        </w:rPr>
      </w:pPr>
      <w:r>
        <w:rPr>
          <w:rFonts w:hint="eastAsia" w:ascii="宋体" w:hAnsi="宋体" w:eastAsia="宋体" w:cs="宋体"/>
          <w:color w:val="000000"/>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6EF4CC5">
      <w:pPr>
        <w:widowControl/>
        <w:spacing w:line="360" w:lineRule="auto"/>
        <w:jc w:val="left"/>
        <w:rPr>
          <w:rFonts w:hint="eastAsia" w:ascii="宋体" w:hAnsi="宋体" w:eastAsia="宋体" w:cs="宋体"/>
          <w:b/>
          <w:bCs/>
          <w:sz w:val="32"/>
          <w:szCs w:val="32"/>
          <w:highlight w:val="none"/>
        </w:rPr>
        <w:sectPr>
          <w:pgSz w:w="11910" w:h="16840"/>
          <w:pgMar w:top="1340" w:right="1500" w:bottom="280" w:left="1680" w:header="720" w:footer="720" w:gutter="0"/>
          <w:cols w:space="720" w:num="1"/>
        </w:sectPr>
      </w:pPr>
    </w:p>
    <w:p w14:paraId="1FA6CE61">
      <w:pPr>
        <w:keepNext/>
        <w:keepLines/>
        <w:spacing w:line="416"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残疾人福利性单位声明函</w:t>
      </w:r>
      <w:bookmarkEnd w:id="63"/>
    </w:p>
    <w:p w14:paraId="7E7870AC">
      <w:pPr>
        <w:spacing w:line="520" w:lineRule="exact"/>
        <w:rPr>
          <w:rFonts w:hint="eastAsia" w:ascii="宋体" w:hAnsi="宋体" w:cs="宋体"/>
          <w:color w:val="auto"/>
          <w:sz w:val="32"/>
          <w:szCs w:val="32"/>
          <w:highlight w:val="none"/>
        </w:rPr>
      </w:pPr>
    </w:p>
    <w:p w14:paraId="47CE35D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7866476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FC49D79">
      <w:pPr>
        <w:spacing w:line="360" w:lineRule="auto"/>
        <w:contextualSpacing/>
        <w:rPr>
          <w:rFonts w:hint="eastAsia" w:ascii="宋体" w:hAnsi="宋体" w:cs="宋体"/>
          <w:color w:val="auto"/>
          <w:sz w:val="24"/>
          <w:highlight w:val="none"/>
        </w:rPr>
      </w:pPr>
    </w:p>
    <w:p w14:paraId="1025CB32">
      <w:pPr>
        <w:spacing w:line="360" w:lineRule="auto"/>
        <w:contextualSpacing/>
        <w:rPr>
          <w:rFonts w:hint="eastAsia" w:ascii="宋体" w:hAnsi="宋体" w:cs="宋体"/>
          <w:color w:val="auto"/>
          <w:sz w:val="24"/>
          <w:highlight w:val="none"/>
        </w:rPr>
      </w:pPr>
    </w:p>
    <w:p w14:paraId="2901DC21">
      <w:pPr>
        <w:spacing w:line="360" w:lineRule="auto"/>
        <w:contextualSpacing/>
        <w:rPr>
          <w:rFonts w:hint="eastAsia" w:ascii="宋体" w:hAnsi="宋体" w:cs="宋体"/>
          <w:color w:val="auto"/>
          <w:sz w:val="24"/>
          <w:highlight w:val="none"/>
        </w:rPr>
      </w:pPr>
    </w:p>
    <w:p w14:paraId="7DE40AFF">
      <w:pPr>
        <w:spacing w:line="360" w:lineRule="auto"/>
        <w:ind w:firstLine="2400" w:firstLineChars="1000"/>
        <w:contextualSpacing/>
        <w:rPr>
          <w:rFonts w:hint="eastAsia" w:ascii="宋体" w:hAnsi="宋体" w:cs="宋体"/>
          <w:color w:val="auto"/>
          <w:sz w:val="24"/>
          <w:highlight w:val="none"/>
        </w:rPr>
      </w:pPr>
      <w:r>
        <w:rPr>
          <w:rFonts w:hint="eastAsia" w:ascii="宋体" w:hAnsi="宋体" w:cs="宋体"/>
          <w:color w:val="auto"/>
          <w:sz w:val="24"/>
          <w:highlight w:val="none"/>
        </w:rPr>
        <w:t>供应商名称（电子签章）：</w:t>
      </w:r>
    </w:p>
    <w:p w14:paraId="711A0D40">
      <w:pPr>
        <w:spacing w:line="360" w:lineRule="auto"/>
        <w:ind w:firstLine="4320" w:firstLineChars="1800"/>
        <w:contextualSpacing/>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5497015F">
      <w:pPr>
        <w:spacing w:line="360" w:lineRule="auto"/>
        <w:contextualSpacing/>
        <w:rPr>
          <w:rFonts w:hint="eastAsia" w:ascii="宋体" w:hAnsi="宋体" w:cs="宋体"/>
          <w:color w:val="auto"/>
          <w:sz w:val="24"/>
          <w:highlight w:val="none"/>
        </w:rPr>
      </w:pPr>
    </w:p>
    <w:p w14:paraId="5A69718B">
      <w:pPr>
        <w:spacing w:line="360" w:lineRule="auto"/>
        <w:contextualSpacing/>
        <w:rPr>
          <w:rFonts w:hint="eastAsia" w:ascii="宋体" w:hAnsi="宋体" w:cs="宋体"/>
          <w:color w:val="auto"/>
          <w:sz w:val="24"/>
          <w:highlight w:val="none"/>
        </w:rPr>
      </w:pPr>
    </w:p>
    <w:p w14:paraId="5F23AF20">
      <w:pPr>
        <w:spacing w:line="360" w:lineRule="auto"/>
        <w:contextualSpacing/>
        <w:rPr>
          <w:rFonts w:hint="eastAsia" w:ascii="宋体" w:hAnsi="宋体" w:cs="宋体"/>
          <w:color w:val="auto"/>
          <w:sz w:val="24"/>
          <w:highlight w:val="none"/>
        </w:rPr>
      </w:pPr>
    </w:p>
    <w:p w14:paraId="080319D1">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75FC8F40">
      <w:pPr>
        <w:spacing w:line="520" w:lineRule="exact"/>
        <w:jc w:val="center"/>
        <w:rPr>
          <w:rFonts w:hint="eastAsia" w:ascii="宋体" w:hAnsi="宋体" w:cs="宋体"/>
          <w:color w:val="auto"/>
          <w:sz w:val="24"/>
          <w:highlight w:val="none"/>
        </w:rPr>
      </w:pPr>
    </w:p>
    <w:p w14:paraId="32E4A064">
      <w:pPr>
        <w:spacing w:line="520" w:lineRule="exact"/>
        <w:jc w:val="center"/>
        <w:rPr>
          <w:rFonts w:hint="eastAsia" w:ascii="宋体" w:hAnsi="宋体" w:cs="宋体"/>
          <w:b/>
          <w:bCs/>
          <w:color w:val="auto"/>
          <w:sz w:val="32"/>
          <w:szCs w:val="32"/>
          <w:highlight w:val="none"/>
        </w:rPr>
      </w:pPr>
    </w:p>
    <w:p w14:paraId="623F0371">
      <w:pPr>
        <w:spacing w:line="520" w:lineRule="exact"/>
        <w:jc w:val="center"/>
        <w:rPr>
          <w:rFonts w:hint="eastAsia" w:ascii="宋体" w:hAnsi="宋体" w:cs="宋体"/>
          <w:b/>
          <w:bCs/>
          <w:color w:val="auto"/>
          <w:sz w:val="32"/>
          <w:szCs w:val="32"/>
          <w:highlight w:val="none"/>
        </w:rPr>
      </w:pPr>
    </w:p>
    <w:p w14:paraId="4664EDF6">
      <w:pPr>
        <w:spacing w:line="520" w:lineRule="exact"/>
        <w:jc w:val="center"/>
        <w:rPr>
          <w:rFonts w:hint="eastAsia" w:ascii="宋体" w:hAnsi="宋体" w:cs="宋体"/>
          <w:b/>
          <w:bCs/>
          <w:color w:val="auto"/>
          <w:sz w:val="32"/>
          <w:szCs w:val="32"/>
          <w:highlight w:val="none"/>
        </w:rPr>
      </w:pPr>
    </w:p>
    <w:p w14:paraId="5510472D">
      <w:pPr>
        <w:spacing w:line="520" w:lineRule="exact"/>
        <w:jc w:val="center"/>
        <w:rPr>
          <w:rFonts w:hint="eastAsia" w:ascii="宋体" w:hAnsi="宋体" w:cs="宋体"/>
          <w:b/>
          <w:bCs/>
          <w:color w:val="auto"/>
          <w:sz w:val="32"/>
          <w:szCs w:val="32"/>
          <w:highlight w:val="none"/>
        </w:rPr>
      </w:pPr>
    </w:p>
    <w:p w14:paraId="04D81BCE">
      <w:pPr>
        <w:spacing w:line="520" w:lineRule="exact"/>
        <w:jc w:val="center"/>
        <w:rPr>
          <w:rFonts w:hint="eastAsia" w:ascii="宋体" w:hAnsi="宋体" w:cs="宋体"/>
          <w:b/>
          <w:bCs/>
          <w:color w:val="auto"/>
          <w:sz w:val="32"/>
          <w:szCs w:val="32"/>
          <w:highlight w:val="none"/>
        </w:rPr>
      </w:pPr>
    </w:p>
    <w:p w14:paraId="011C6D1F">
      <w:pPr>
        <w:spacing w:line="520" w:lineRule="exact"/>
        <w:jc w:val="center"/>
        <w:rPr>
          <w:rFonts w:hint="eastAsia" w:ascii="宋体" w:hAnsi="宋体" w:cs="宋体"/>
          <w:b/>
          <w:bCs/>
          <w:color w:val="auto"/>
          <w:sz w:val="32"/>
          <w:szCs w:val="32"/>
          <w:highlight w:val="none"/>
        </w:rPr>
      </w:pPr>
    </w:p>
    <w:p w14:paraId="28AE7D01">
      <w:pPr>
        <w:spacing w:line="520" w:lineRule="exact"/>
        <w:jc w:val="center"/>
        <w:rPr>
          <w:rFonts w:hint="eastAsia" w:ascii="宋体" w:hAnsi="宋体" w:cs="宋体"/>
          <w:b/>
          <w:bCs/>
          <w:color w:val="auto"/>
          <w:sz w:val="32"/>
          <w:szCs w:val="32"/>
          <w:highlight w:val="none"/>
        </w:rPr>
      </w:pPr>
    </w:p>
    <w:p w14:paraId="29FC7319">
      <w:pPr>
        <w:spacing w:line="520" w:lineRule="exact"/>
        <w:jc w:val="center"/>
        <w:rPr>
          <w:rFonts w:hint="eastAsia" w:ascii="宋体" w:hAnsi="宋体" w:cs="宋体"/>
          <w:b/>
          <w:bCs/>
          <w:color w:val="auto"/>
          <w:sz w:val="32"/>
          <w:szCs w:val="32"/>
          <w:highlight w:val="none"/>
        </w:rPr>
      </w:pPr>
    </w:p>
    <w:p w14:paraId="160F0BAB">
      <w:pPr>
        <w:spacing w:line="520" w:lineRule="exact"/>
        <w:jc w:val="center"/>
        <w:rPr>
          <w:rFonts w:hint="eastAsia" w:ascii="宋体" w:hAnsi="宋体" w:cs="宋体"/>
          <w:b/>
          <w:bCs/>
          <w:color w:val="auto"/>
          <w:sz w:val="32"/>
          <w:szCs w:val="32"/>
          <w:highlight w:val="none"/>
        </w:rPr>
      </w:pPr>
    </w:p>
    <w:p w14:paraId="0C2EF20F">
      <w:pPr>
        <w:spacing w:line="520" w:lineRule="exact"/>
        <w:jc w:val="center"/>
        <w:rPr>
          <w:rFonts w:hint="eastAsia" w:ascii="宋体" w:hAnsi="宋体" w:cs="宋体"/>
          <w:b/>
          <w:bCs/>
          <w:color w:val="auto"/>
          <w:sz w:val="32"/>
          <w:szCs w:val="32"/>
          <w:highlight w:val="none"/>
        </w:rPr>
      </w:pPr>
    </w:p>
    <w:p w14:paraId="12389509">
      <w:pPr>
        <w:spacing w:line="520" w:lineRule="exact"/>
        <w:jc w:val="center"/>
        <w:rPr>
          <w:rFonts w:hint="eastAsia" w:ascii="宋体" w:hAnsi="宋体" w:cs="宋体"/>
          <w:b/>
          <w:bCs/>
          <w:color w:val="auto"/>
          <w:sz w:val="32"/>
          <w:szCs w:val="32"/>
          <w:highlight w:val="none"/>
        </w:rPr>
      </w:pPr>
    </w:p>
    <w:p w14:paraId="00279CE0">
      <w:pPr>
        <w:spacing w:line="520" w:lineRule="exact"/>
        <w:jc w:val="center"/>
        <w:rPr>
          <w:rFonts w:hint="eastAsia" w:ascii="宋体" w:hAnsi="宋体" w:cs="宋体"/>
          <w:b/>
          <w:bCs/>
          <w:color w:val="auto"/>
          <w:sz w:val="32"/>
          <w:szCs w:val="32"/>
          <w:highlight w:val="none"/>
        </w:rPr>
      </w:pPr>
    </w:p>
    <w:p w14:paraId="1DA1E8BA">
      <w:pPr>
        <w:spacing w:line="5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监狱企业证明</w:t>
      </w:r>
    </w:p>
    <w:p w14:paraId="11CA458D">
      <w:pPr>
        <w:spacing w:line="520" w:lineRule="exact"/>
        <w:ind w:firstLine="480" w:firstLineChars="200"/>
        <w:jc w:val="left"/>
        <w:rPr>
          <w:rFonts w:hint="eastAsia" w:ascii="宋体" w:hAnsi="宋体" w:cs="宋体"/>
          <w:color w:val="auto"/>
          <w:sz w:val="24"/>
          <w:highlight w:val="none"/>
        </w:rPr>
      </w:pPr>
    </w:p>
    <w:p w14:paraId="28661115">
      <w:pPr>
        <w:spacing w:line="5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提供由省级以上监狱管理局、戒毒管理局（含新疆生产建设兵团）出具的属于监狱企业的证明文件。</w:t>
      </w:r>
    </w:p>
    <w:p w14:paraId="1877093B">
      <w:pPr>
        <w:spacing w:line="520" w:lineRule="exact"/>
        <w:jc w:val="center"/>
        <w:rPr>
          <w:rFonts w:hint="eastAsia" w:ascii="宋体" w:hAnsi="宋体" w:cs="宋体"/>
          <w:color w:val="auto"/>
          <w:sz w:val="24"/>
          <w:highlight w:val="none"/>
        </w:rPr>
      </w:pPr>
    </w:p>
    <w:p w14:paraId="1F3B5E5E">
      <w:pPr>
        <w:spacing w:line="360" w:lineRule="auto"/>
        <w:jc w:val="center"/>
        <w:rPr>
          <w:rFonts w:hint="eastAsia" w:ascii="宋体" w:hAnsi="宋体" w:cs="宋体"/>
          <w:b/>
          <w:bCs/>
          <w:color w:val="auto"/>
          <w:sz w:val="44"/>
          <w:szCs w:val="44"/>
          <w:highlight w:val="none"/>
        </w:rPr>
      </w:pPr>
    </w:p>
    <w:p w14:paraId="60BA1730">
      <w:pPr>
        <w:spacing w:line="360" w:lineRule="auto"/>
        <w:ind w:firstLine="4320" w:firstLineChars="1800"/>
        <w:contextualSpacing/>
        <w:rPr>
          <w:rFonts w:hint="eastAsia" w:ascii="宋体" w:hAnsi="宋体" w:cs="宋体"/>
          <w:color w:val="auto"/>
          <w:sz w:val="24"/>
          <w:highlight w:val="none"/>
        </w:rPr>
      </w:pPr>
      <w:r>
        <w:rPr>
          <w:rFonts w:hint="eastAsia" w:ascii="宋体" w:hAnsi="宋体" w:cs="宋体"/>
          <w:color w:val="auto"/>
          <w:sz w:val="24"/>
          <w:highlight w:val="none"/>
        </w:rPr>
        <w:t>供应商名称（电子签章）：</w:t>
      </w:r>
    </w:p>
    <w:p w14:paraId="72D6E7A1">
      <w:pPr>
        <w:spacing w:line="360" w:lineRule="auto"/>
        <w:ind w:firstLine="4320" w:firstLineChars="1800"/>
        <w:contextualSpacing/>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7F061638">
      <w:pPr>
        <w:spacing w:line="520" w:lineRule="exact"/>
        <w:jc w:val="center"/>
        <w:rPr>
          <w:rFonts w:hint="eastAsia" w:ascii="宋体" w:hAnsi="宋体" w:cs="宋体"/>
          <w:color w:val="auto"/>
          <w:sz w:val="24"/>
          <w:highlight w:val="none"/>
        </w:rPr>
      </w:pPr>
    </w:p>
    <w:p w14:paraId="3F5A3F89">
      <w:pPr>
        <w:spacing w:line="360" w:lineRule="auto"/>
        <w:jc w:val="center"/>
        <w:rPr>
          <w:rFonts w:hint="eastAsia" w:ascii="宋体" w:hAnsi="宋体" w:cs="宋体"/>
          <w:b/>
          <w:color w:val="auto"/>
          <w:sz w:val="30"/>
          <w:szCs w:val="30"/>
          <w:highlight w:val="none"/>
        </w:rPr>
      </w:pPr>
    </w:p>
    <w:p w14:paraId="36A76CE3">
      <w:pPr>
        <w:spacing w:line="360" w:lineRule="auto"/>
        <w:jc w:val="center"/>
        <w:rPr>
          <w:rFonts w:hint="eastAsia" w:ascii="宋体" w:hAnsi="宋体" w:cs="宋体"/>
          <w:b/>
          <w:color w:val="auto"/>
          <w:sz w:val="30"/>
          <w:szCs w:val="30"/>
          <w:highlight w:val="none"/>
        </w:rPr>
      </w:pPr>
    </w:p>
    <w:p w14:paraId="70CB6EF5">
      <w:pPr>
        <w:spacing w:line="360" w:lineRule="auto"/>
        <w:contextualSpacing/>
        <w:rPr>
          <w:rFonts w:hint="eastAsia" w:ascii="宋体" w:hAnsi="宋体" w:cs="宋体"/>
          <w:color w:val="auto"/>
          <w:sz w:val="24"/>
          <w:highlight w:val="none"/>
        </w:rPr>
      </w:pPr>
    </w:p>
    <w:p w14:paraId="10CFF52C">
      <w:pPr>
        <w:spacing w:line="360" w:lineRule="auto"/>
        <w:ind w:right="420"/>
        <w:contextualSpacing/>
        <w:jc w:val="left"/>
        <w:rPr>
          <w:rFonts w:hint="eastAsia" w:ascii="宋体" w:hAnsi="宋体"/>
          <w:b/>
          <w:color w:val="auto"/>
          <w:sz w:val="32"/>
          <w:szCs w:val="32"/>
          <w:highlight w:val="none"/>
        </w:rPr>
      </w:pPr>
      <w:r>
        <w:rPr>
          <w:rFonts w:hint="eastAsia" w:ascii="宋体" w:hAnsi="宋体" w:cs="宋体"/>
          <w:color w:val="auto"/>
          <w:sz w:val="24"/>
          <w:highlight w:val="none"/>
        </w:rPr>
        <w:t>注：请根据自己的真实情况出具《监狱企业证明》。依法享受中小企业优惠政策的，采购人或者采购代理机构在公告成交结果时，同时公告其《监狱企业证明》，接受社会监督。</w:t>
      </w:r>
      <w:r>
        <w:rPr>
          <w:rFonts w:ascii="宋体" w:hAnsi="宋体"/>
          <w:color w:val="auto"/>
          <w:szCs w:val="21"/>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商务技术文件格式 </w:t>
      </w:r>
    </w:p>
    <w:p w14:paraId="5E615A91">
      <w:pPr>
        <w:snapToGrid w:val="0"/>
        <w:spacing w:before="120"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41CA2811">
      <w:pPr>
        <w:snapToGrid w:val="0"/>
        <w:spacing w:before="120" w:beforeLines="50" w:after="50"/>
        <w:rPr>
          <w:rFonts w:hint="eastAsia" w:ascii="宋体" w:hAnsi="宋体"/>
          <w:color w:val="auto"/>
          <w:sz w:val="24"/>
          <w:highlight w:val="none"/>
        </w:rPr>
      </w:pPr>
      <w:r>
        <w:rPr>
          <w:rFonts w:hint="eastAsia" w:ascii="宋体" w:hAnsi="宋体"/>
          <w:color w:val="auto"/>
          <w:sz w:val="24"/>
          <w:highlight w:val="none"/>
        </w:rPr>
        <w:t xml:space="preserve">                                                   </w:t>
      </w:r>
    </w:p>
    <w:p w14:paraId="63108F93">
      <w:pPr>
        <w:snapToGrid w:val="0"/>
        <w:spacing w:before="120" w:beforeLines="50" w:after="50"/>
        <w:rPr>
          <w:rFonts w:hint="eastAsia" w:ascii="宋体" w:hAnsi="宋体"/>
          <w:color w:val="auto"/>
          <w:sz w:val="24"/>
          <w:highlight w:val="none"/>
        </w:rPr>
      </w:pPr>
    </w:p>
    <w:p w14:paraId="0010376C">
      <w:pPr>
        <w:snapToGrid w:val="0"/>
        <w:spacing w:before="120" w:beforeLines="50" w:after="50"/>
        <w:rPr>
          <w:rFonts w:hint="eastAsia" w:ascii="宋体" w:hAnsi="宋体"/>
          <w:color w:val="auto"/>
          <w:sz w:val="24"/>
          <w:szCs w:val="20"/>
          <w:highlight w:val="none"/>
        </w:rPr>
      </w:pPr>
    </w:p>
    <w:p w14:paraId="62AF521C">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3E17D708">
      <w:pPr>
        <w:snapToGrid w:val="0"/>
        <w:spacing w:before="120" w:beforeLines="50" w:after="50"/>
        <w:rPr>
          <w:rFonts w:hint="eastAsia" w:ascii="宋体" w:hAnsi="宋体" w:eastAsia="宋体" w:cs="宋体"/>
          <w:color w:val="auto"/>
          <w:sz w:val="24"/>
          <w:szCs w:val="20"/>
          <w:highlight w:val="none"/>
        </w:rPr>
      </w:pPr>
    </w:p>
    <w:p w14:paraId="050A6FE9">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商  务  技  术  文  件</w:t>
      </w:r>
    </w:p>
    <w:p w14:paraId="5966735A">
      <w:pPr>
        <w:snapToGrid w:val="0"/>
        <w:spacing w:before="120" w:beforeLines="50" w:after="50"/>
        <w:rPr>
          <w:rFonts w:hint="eastAsia" w:ascii="宋体" w:hAnsi="宋体"/>
          <w:bCs/>
          <w:color w:val="auto"/>
          <w:sz w:val="24"/>
          <w:szCs w:val="20"/>
          <w:highlight w:val="none"/>
        </w:rPr>
      </w:pPr>
    </w:p>
    <w:p w14:paraId="107850F3">
      <w:pPr>
        <w:snapToGrid w:val="0"/>
        <w:spacing w:before="120" w:beforeLines="50" w:after="50"/>
        <w:rPr>
          <w:rFonts w:hint="eastAsia" w:ascii="宋体" w:hAnsi="宋体"/>
          <w:bCs/>
          <w:color w:val="auto"/>
          <w:sz w:val="24"/>
          <w:szCs w:val="20"/>
          <w:highlight w:val="none"/>
        </w:rPr>
      </w:pPr>
    </w:p>
    <w:p w14:paraId="3347B806">
      <w:pPr>
        <w:snapToGrid w:val="0"/>
        <w:spacing w:before="120" w:beforeLines="50" w:after="50"/>
        <w:rPr>
          <w:rFonts w:hint="eastAsia" w:ascii="宋体" w:hAnsi="宋体"/>
          <w:bCs/>
          <w:color w:val="auto"/>
          <w:sz w:val="24"/>
          <w:szCs w:val="20"/>
          <w:highlight w:val="none"/>
        </w:rPr>
      </w:pPr>
    </w:p>
    <w:p w14:paraId="0CBDFBD2">
      <w:pPr>
        <w:snapToGrid w:val="0"/>
        <w:spacing w:before="120" w:beforeLines="50" w:after="50"/>
        <w:rPr>
          <w:rFonts w:hint="eastAsia" w:ascii="宋体" w:hAnsi="宋体"/>
          <w:bCs/>
          <w:color w:val="auto"/>
          <w:sz w:val="24"/>
          <w:szCs w:val="20"/>
          <w:highlight w:val="none"/>
        </w:rPr>
      </w:pPr>
    </w:p>
    <w:p w14:paraId="0F18B223">
      <w:pPr>
        <w:snapToGrid w:val="0"/>
        <w:spacing w:before="120" w:beforeLines="50" w:after="50"/>
        <w:rPr>
          <w:rFonts w:hint="eastAsia" w:ascii="宋体" w:hAnsi="宋体"/>
          <w:bCs/>
          <w:color w:val="auto"/>
          <w:sz w:val="24"/>
          <w:szCs w:val="20"/>
          <w:highlight w:val="none"/>
        </w:rPr>
      </w:pPr>
    </w:p>
    <w:p w14:paraId="35174A56">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C5430D1">
      <w:pPr>
        <w:snapToGrid w:val="0"/>
        <w:spacing w:before="120" w:beforeLines="50" w:after="50"/>
        <w:ind w:firstLine="720" w:firstLineChars="225"/>
        <w:rPr>
          <w:rFonts w:hint="eastAsia" w:ascii="宋体" w:hAnsi="宋体" w:cs="仿宋_GB2312"/>
          <w:bCs/>
          <w:color w:val="auto"/>
          <w:sz w:val="32"/>
          <w:szCs w:val="32"/>
          <w:highlight w:val="none"/>
        </w:rPr>
      </w:pPr>
    </w:p>
    <w:p w14:paraId="59105771">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3F88197">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CDA30AA">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w:t>
      </w:r>
    </w:p>
    <w:p w14:paraId="65000F1A">
      <w:pPr>
        <w:snapToGrid w:val="0"/>
        <w:spacing w:before="120" w:beforeLines="50" w:after="50"/>
        <w:ind w:firstLine="720" w:firstLineChars="225"/>
        <w:rPr>
          <w:rFonts w:hint="eastAsia" w:ascii="宋体" w:hAnsi="宋体" w:cs="仿宋_GB2312"/>
          <w:bCs/>
          <w:color w:val="auto"/>
          <w:sz w:val="32"/>
          <w:szCs w:val="32"/>
          <w:highlight w:val="none"/>
        </w:rPr>
      </w:pPr>
    </w:p>
    <w:p w14:paraId="0BDBF71C">
      <w:pPr>
        <w:pStyle w:val="5"/>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3D6FABB">
      <w:pPr>
        <w:pStyle w:val="5"/>
        <w:snapToGrid w:val="0"/>
        <w:spacing w:before="50" w:after="50"/>
        <w:ind w:firstLine="640" w:firstLineChars="200"/>
        <w:rPr>
          <w:rFonts w:hint="eastAsia" w:ascii="宋体" w:hAnsi="宋体" w:cs="仿宋_GB2312"/>
          <w:bCs/>
          <w:color w:val="auto"/>
          <w:sz w:val="32"/>
          <w:szCs w:val="32"/>
          <w:highlight w:val="none"/>
        </w:rPr>
      </w:pPr>
    </w:p>
    <w:p w14:paraId="08BCF4F9">
      <w:pPr>
        <w:pStyle w:val="5"/>
        <w:snapToGrid w:val="0"/>
        <w:spacing w:before="50" w:after="50"/>
        <w:ind w:firstLine="0"/>
        <w:rPr>
          <w:rFonts w:hint="eastAsia" w:ascii="宋体" w:hAnsi="宋体" w:cs="仿宋_GB2312"/>
          <w:bCs/>
          <w:color w:val="auto"/>
          <w:sz w:val="32"/>
          <w:szCs w:val="32"/>
          <w:highlight w:val="none"/>
        </w:rPr>
      </w:pPr>
    </w:p>
    <w:p w14:paraId="36E06757">
      <w:pPr>
        <w:pStyle w:val="5"/>
        <w:snapToGrid w:val="0"/>
        <w:spacing w:before="50" w:after="50"/>
        <w:ind w:firstLine="1280" w:firstLineChars="400"/>
        <w:rPr>
          <w:rFonts w:hint="eastAsia" w:ascii="宋体" w:hAnsi="宋体" w:cs="仿宋_GB2312"/>
          <w:bCs/>
          <w:color w:val="auto"/>
          <w:sz w:val="32"/>
          <w:szCs w:val="32"/>
          <w:highlight w:val="none"/>
        </w:rPr>
      </w:pPr>
    </w:p>
    <w:p w14:paraId="4A208E8D">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8C8AAAB">
      <w:pPr>
        <w:snapToGrid w:val="0"/>
        <w:spacing w:before="120" w:beforeLines="50" w:after="50" w:line="360" w:lineRule="auto"/>
        <w:ind w:left="142"/>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4E3AC516">
      <w:pPr>
        <w:pStyle w:val="28"/>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73A10EA9">
      <w:pPr>
        <w:pStyle w:val="28"/>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1701852">
      <w:pPr>
        <w:pStyle w:val="28"/>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59E6AF20">
      <w:pPr>
        <w:pStyle w:val="28"/>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7B961FE5">
      <w:pPr>
        <w:pStyle w:val="28"/>
        <w:spacing w:line="480" w:lineRule="auto"/>
        <w:rPr>
          <w:rFonts w:hint="eastAsia" w:ascii="宋体" w:hAnsi="宋体" w:eastAsia="宋体" w:cs="宋体"/>
          <w:color w:val="auto"/>
          <w:highlight w:val="none"/>
        </w:rPr>
      </w:pPr>
      <w:bookmarkStart w:id="64" w:name="OLE_LINK5"/>
      <w:bookmarkStart w:id="65" w:name="OLE_LINK6"/>
      <w:bookmarkStart w:id="66"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64"/>
    <w:bookmarkEnd w:id="65"/>
    <w:bookmarkEnd w:id="66"/>
    <w:p w14:paraId="2F628E79">
      <w:pPr>
        <w:pStyle w:val="28"/>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六、技术需求偏离表………………………………………………………………（页码）</w:t>
      </w:r>
    </w:p>
    <w:p w14:paraId="00A817E9">
      <w:pPr>
        <w:pStyle w:val="28"/>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七、施工组织设计…………………………………………………………………（页码）</w:t>
      </w:r>
    </w:p>
    <w:p w14:paraId="708F7637">
      <w:pPr>
        <w:pStyle w:val="28"/>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八、项目管理机构………………………</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DEBFE65">
      <w:pPr>
        <w:pStyle w:val="28"/>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九、</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E11A58F">
      <w:pPr>
        <w:pStyle w:val="28"/>
        <w:spacing w:line="480" w:lineRule="auto"/>
        <w:rPr>
          <w:rFonts w:hint="eastAsia" w:ascii="宋体" w:hAnsi="宋体" w:eastAsia="宋体" w:cs="宋体"/>
          <w:color w:val="auto"/>
          <w:highlight w:val="none"/>
        </w:rPr>
      </w:pPr>
    </w:p>
    <w:p w14:paraId="5518E40E">
      <w:pPr>
        <w:spacing w:line="400" w:lineRule="exact"/>
        <w:rPr>
          <w:rFonts w:hint="eastAsia" w:ascii="仿宋_GB2312" w:hAnsi="仿宋_GB2312" w:eastAsia="仿宋_GB2312" w:cs="仿宋_GB2312"/>
          <w:color w:val="auto"/>
          <w:sz w:val="32"/>
          <w:szCs w:val="32"/>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5957072C">
      <w:pPr>
        <w:numPr>
          <w:ilvl w:val="0"/>
          <w:numId w:val="4"/>
        </w:numPr>
        <w:spacing w:line="520" w:lineRule="exact"/>
        <w:rPr>
          <w:rFonts w:hint="eastAsia" w:ascii="宋体" w:hAnsi="宋体" w:cs="宋体"/>
          <w:b/>
          <w:color w:val="auto"/>
          <w:sz w:val="30"/>
          <w:szCs w:val="30"/>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cs="宋体"/>
          <w:b/>
          <w:color w:val="auto"/>
          <w:sz w:val="30"/>
          <w:szCs w:val="30"/>
          <w:highlight w:val="none"/>
        </w:rPr>
        <w:t>无串通竞标行为的承诺函</w:t>
      </w:r>
    </w:p>
    <w:p w14:paraId="3550ACDF">
      <w:pPr>
        <w:spacing w:line="520" w:lineRule="exact"/>
        <w:rPr>
          <w:rFonts w:hint="eastAsia" w:ascii="宋体" w:hAnsi="宋体" w:cs="宋体"/>
          <w:b/>
          <w:color w:val="auto"/>
          <w:sz w:val="30"/>
          <w:szCs w:val="30"/>
          <w:highlight w:val="none"/>
        </w:rPr>
      </w:pPr>
    </w:p>
    <w:p w14:paraId="7A912248">
      <w:pPr>
        <w:spacing w:line="360" w:lineRule="auto"/>
        <w:jc w:val="center"/>
        <w:rPr>
          <w:rFonts w:hint="eastAsia" w:ascii="仿宋_GB2312" w:hAnsi="仿宋_GB2312" w:eastAsia="仿宋_GB2312" w:cs="仿宋_GB2312"/>
          <w:color w:val="auto"/>
          <w:sz w:val="32"/>
          <w:szCs w:val="32"/>
          <w:highlight w:val="none"/>
        </w:rPr>
      </w:pPr>
      <w:r>
        <w:rPr>
          <w:rFonts w:hint="eastAsia" w:ascii="宋体" w:hAnsi="宋体" w:cs="宋体"/>
          <w:color w:val="auto"/>
          <w:sz w:val="32"/>
          <w:szCs w:val="32"/>
          <w:highlight w:val="none"/>
        </w:rPr>
        <w:t>无串通竞标行为的承诺函</w:t>
      </w:r>
    </w:p>
    <w:p w14:paraId="7B09BD57">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481FA4B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1.不同供应商的响应文件由同一单位或者个人编制；或者不同供应商报名的IP地址一致的；或者编制响应文件硬件设备CPU编号、硬盘编号、网卡地址一致的情况；</w:t>
      </w:r>
    </w:p>
    <w:p w14:paraId="30BD6D0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E54E47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473DABB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189CB5E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18D1C06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6.不同供应商的竞标保证金从同一单位或者个人账户转出。</w:t>
      </w:r>
    </w:p>
    <w:p w14:paraId="5BAC6178">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2EF66E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310B2A9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7DD710E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33A7390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7E3C0B3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7B60099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6C89144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244F9C30">
      <w:pPr>
        <w:spacing w:line="360" w:lineRule="auto"/>
        <w:ind w:firstLine="480" w:firstLineChars="200"/>
        <w:contextualSpacing/>
        <w:rPr>
          <w:rFonts w:hint="eastAsia" w:ascii="宋体" w:hAnsi="宋体" w:cs="仿宋_GB2312"/>
          <w:color w:val="auto"/>
          <w:sz w:val="24"/>
          <w:highlight w:val="none"/>
        </w:rPr>
      </w:pPr>
    </w:p>
    <w:p w14:paraId="7B8E11A9">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06CEAD0C">
      <w:pPr>
        <w:spacing w:line="360" w:lineRule="auto"/>
        <w:ind w:firstLine="480" w:firstLineChars="200"/>
        <w:contextualSpacing/>
        <w:rPr>
          <w:rFonts w:hint="eastAsia" w:ascii="宋体" w:hAnsi="宋体" w:cs="仿宋_GB2312"/>
          <w:color w:val="auto"/>
          <w:sz w:val="24"/>
          <w:highlight w:val="none"/>
        </w:rPr>
      </w:pPr>
    </w:p>
    <w:p w14:paraId="1E2BF067">
      <w:pPr>
        <w:spacing w:line="360" w:lineRule="auto"/>
        <w:contextualSpacing/>
        <w:rPr>
          <w:rFonts w:hint="eastAsia" w:ascii="宋体" w:hAnsi="宋体" w:cs="仿宋_GB2312"/>
          <w:color w:val="auto"/>
          <w:sz w:val="24"/>
          <w:highlight w:val="none"/>
        </w:rPr>
      </w:pPr>
    </w:p>
    <w:p w14:paraId="5E988745">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供应商（盖公章 ）：</w:t>
      </w:r>
    </w:p>
    <w:p w14:paraId="4AE7E11E">
      <w:pPr>
        <w:spacing w:line="360" w:lineRule="auto"/>
        <w:ind w:firstLine="480" w:firstLineChars="200"/>
        <w:contextualSpacing/>
        <w:jc w:val="center"/>
        <w:rPr>
          <w:rFonts w:hint="eastAsia" w:ascii="宋体" w:hAnsi="宋体" w:cs="仿宋_GB2312"/>
          <w:color w:val="auto"/>
          <w:sz w:val="24"/>
          <w:highlight w:val="none"/>
        </w:rPr>
        <w:sectPr>
          <w:footerReference r:id="rId5" w:type="first"/>
          <w:pgSz w:w="11910" w:h="16840"/>
          <w:pgMar w:top="1134" w:right="1134" w:bottom="1134" w:left="1134" w:header="0" w:footer="0" w:gutter="0"/>
          <w:cols w:space="720" w:num="1"/>
          <w:docGrid w:linePitch="286" w:charSpace="0"/>
        </w:sectPr>
      </w:pPr>
      <w:r>
        <w:rPr>
          <w:rFonts w:hint="eastAsia" w:ascii="宋体" w:hAnsi="宋体" w:cs="仿宋_GB2312"/>
          <w:color w:val="auto"/>
          <w:sz w:val="24"/>
          <w:highlight w:val="none"/>
        </w:rPr>
        <w:t xml:space="preserve">                               年   月   日</w:t>
      </w:r>
    </w:p>
    <w:p w14:paraId="0007D087">
      <w:pPr>
        <w:spacing w:line="520" w:lineRule="exact"/>
        <w:jc w:val="left"/>
        <w:rPr>
          <w:rFonts w:hint="eastAsia" w:ascii="宋体" w:hAnsi="宋体" w:cs="宋体"/>
          <w:bCs/>
          <w:color w:val="auto"/>
          <w:sz w:val="44"/>
          <w:szCs w:val="44"/>
          <w:highlight w:val="none"/>
        </w:rPr>
      </w:pPr>
      <w:r>
        <w:rPr>
          <w:rFonts w:hint="eastAsia" w:ascii="宋体" w:hAnsi="宋体" w:cs="宋体"/>
          <w:b/>
          <w:color w:val="auto"/>
          <w:sz w:val="30"/>
          <w:szCs w:val="30"/>
          <w:highlight w:val="none"/>
        </w:rPr>
        <w:t>二、法定代表人身份证明及法定代表人有效身份证正反面复印件</w:t>
      </w:r>
    </w:p>
    <w:p w14:paraId="4342AE91">
      <w:pPr>
        <w:spacing w:line="520" w:lineRule="exact"/>
        <w:jc w:val="center"/>
        <w:rPr>
          <w:rFonts w:hint="eastAsia" w:ascii="宋体" w:hAnsi="宋体" w:cs="宋体"/>
          <w:bCs/>
          <w:color w:val="auto"/>
          <w:sz w:val="32"/>
          <w:szCs w:val="32"/>
          <w:highlight w:val="none"/>
        </w:rPr>
      </w:pPr>
    </w:p>
    <w:p w14:paraId="72C03943">
      <w:pPr>
        <w:spacing w:line="520" w:lineRule="exact"/>
        <w:jc w:val="center"/>
        <w:rPr>
          <w:rFonts w:hint="eastAsia" w:ascii="宋体" w:hAnsi="宋体" w:cs="宋体"/>
          <w:color w:val="auto"/>
          <w:sz w:val="32"/>
          <w:szCs w:val="32"/>
          <w:highlight w:val="none"/>
        </w:rPr>
      </w:pPr>
      <w:r>
        <w:rPr>
          <w:rFonts w:hint="eastAsia" w:ascii="宋体" w:hAnsi="宋体" w:cs="宋体"/>
          <w:bCs/>
          <w:color w:val="auto"/>
          <w:sz w:val="32"/>
          <w:szCs w:val="32"/>
          <w:highlight w:val="none"/>
        </w:rPr>
        <w:t>法定代表人证明书</w:t>
      </w:r>
    </w:p>
    <w:p w14:paraId="2CCD7A8F">
      <w:pPr>
        <w:spacing w:line="360" w:lineRule="auto"/>
        <w:ind w:left="540"/>
        <w:contextualSpacing/>
        <w:rPr>
          <w:rFonts w:hint="eastAsia" w:ascii="宋体" w:hAnsi="宋体" w:cs="宋体"/>
          <w:color w:val="auto"/>
          <w:sz w:val="32"/>
          <w:szCs w:val="32"/>
          <w:highlight w:val="none"/>
        </w:rPr>
      </w:pPr>
    </w:p>
    <w:p w14:paraId="56C99E99">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7DB3F95">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F4F3B83">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DCEFAB6">
      <w:pPr>
        <w:spacing w:line="360" w:lineRule="auto"/>
        <w:ind w:left="540"/>
        <w:contextualSpacing/>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A3B30D3">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D0F3F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034BEE6F">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特此证明。</w:t>
      </w:r>
    </w:p>
    <w:p w14:paraId="23449CD6">
      <w:pPr>
        <w:spacing w:line="360" w:lineRule="auto"/>
        <w:ind w:left="540"/>
        <w:contextualSpacing/>
        <w:rPr>
          <w:rFonts w:hint="eastAsia" w:ascii="宋体" w:hAnsi="宋体" w:cs="宋体"/>
          <w:color w:val="auto"/>
          <w:sz w:val="24"/>
          <w:highlight w:val="none"/>
        </w:rPr>
      </w:pPr>
    </w:p>
    <w:p w14:paraId="55629D13">
      <w:pPr>
        <w:spacing w:line="360" w:lineRule="auto"/>
        <w:ind w:left="540"/>
        <w:contextualSpacing/>
        <w:rPr>
          <w:rFonts w:hint="eastAsia" w:ascii="宋体" w:hAnsi="宋体" w:cs="宋体"/>
          <w:color w:val="auto"/>
          <w:sz w:val="24"/>
          <w:highlight w:val="none"/>
        </w:rPr>
      </w:pPr>
    </w:p>
    <w:p w14:paraId="0F476690">
      <w:pPr>
        <w:spacing w:line="360" w:lineRule="auto"/>
        <w:ind w:left="540"/>
        <w:contextualSpacing/>
        <w:rPr>
          <w:rFonts w:hint="eastAsia" w:ascii="宋体" w:hAnsi="宋体" w:cs="宋体"/>
          <w:color w:val="auto"/>
          <w:sz w:val="24"/>
          <w:highlight w:val="none"/>
        </w:rPr>
      </w:pPr>
    </w:p>
    <w:p w14:paraId="485A9788">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38EDEADD">
      <w:pPr>
        <w:spacing w:line="360" w:lineRule="auto"/>
        <w:ind w:left="540"/>
        <w:contextualSpacing/>
        <w:rPr>
          <w:rFonts w:hint="eastAsia" w:ascii="宋体" w:hAnsi="宋体" w:cs="宋体"/>
          <w:color w:val="auto"/>
          <w:sz w:val="24"/>
          <w:highlight w:val="none"/>
        </w:rPr>
      </w:pPr>
    </w:p>
    <w:p w14:paraId="1566212A">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2AC57E6">
      <w:pPr>
        <w:spacing w:line="360" w:lineRule="auto"/>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12FC2C53">
      <w:pPr>
        <w:spacing w:line="360" w:lineRule="auto"/>
        <w:jc w:val="left"/>
        <w:rPr>
          <w:rFonts w:hint="eastAsia" w:ascii="宋体" w:hAnsi="宋体" w:cs="宋体"/>
          <w:color w:val="auto"/>
          <w:sz w:val="24"/>
          <w:highlight w:val="none"/>
        </w:rPr>
      </w:pPr>
    </w:p>
    <w:p w14:paraId="18B8791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57E5E4D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3F00A8F">
      <w:pPr>
        <w:widowControl/>
        <w:spacing w:line="360" w:lineRule="auto"/>
        <w:jc w:val="left"/>
        <w:rPr>
          <w:rFonts w:hint="eastAsia" w:ascii="宋体" w:hAnsi="宋体" w:cs="宋体"/>
          <w:color w:val="auto"/>
          <w:sz w:val="24"/>
          <w:highlight w:val="none"/>
        </w:rPr>
        <w:sectPr>
          <w:pgSz w:w="11910" w:h="16840"/>
          <w:pgMar w:top="1440" w:right="1080" w:bottom="1440" w:left="1080" w:header="0" w:footer="0" w:gutter="0"/>
          <w:cols w:space="720" w:num="1"/>
        </w:sectPr>
      </w:pPr>
    </w:p>
    <w:tbl>
      <w:tblPr>
        <w:tblStyle w:val="17"/>
        <w:tblpPr w:leftFromText="180" w:rightFromText="180" w:vertAnchor="text" w:horzAnchor="margin" w:tblpY="1169"/>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0"/>
      </w:tblGrid>
      <w:tr w14:paraId="3C04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6" w:hRule="atLeast"/>
        </w:trPr>
        <w:tc>
          <w:tcPr>
            <w:tcW w:w="9740" w:type="dxa"/>
            <w:tcBorders>
              <w:top w:val="single" w:color="auto" w:sz="4" w:space="0"/>
              <w:left w:val="single" w:color="auto" w:sz="4" w:space="0"/>
              <w:bottom w:val="single" w:color="auto" w:sz="4" w:space="0"/>
              <w:right w:val="single" w:color="auto" w:sz="4" w:space="0"/>
            </w:tcBorders>
            <w:noWrap w:val="0"/>
            <w:vAlign w:val="top"/>
          </w:tcPr>
          <w:p w14:paraId="7085BF59">
            <w:pPr>
              <w:spacing w:line="360" w:lineRule="auto"/>
              <w:rPr>
                <w:rFonts w:hint="eastAsia" w:ascii="宋体" w:hAnsi="宋体" w:cs="宋体"/>
                <w:b/>
                <w:color w:val="auto"/>
                <w:sz w:val="24"/>
                <w:highlight w:val="none"/>
              </w:rPr>
            </w:pPr>
          </w:p>
          <w:p w14:paraId="60AF1B78">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296694AE">
      <w:pPr>
        <w:spacing w:line="360" w:lineRule="auto"/>
        <w:ind w:firstLine="482" w:firstLineChars="200"/>
        <w:jc w:val="left"/>
        <w:rPr>
          <w:rFonts w:hint="eastAsia" w:ascii="宋体" w:hAnsi="宋体" w:cs="宋体"/>
          <w:b/>
          <w:color w:val="auto"/>
          <w:sz w:val="32"/>
          <w:szCs w:val="32"/>
          <w:highlight w:val="none"/>
        </w:rPr>
      </w:pPr>
      <w:r>
        <w:rPr>
          <w:rFonts w:hint="eastAsia" w:ascii="宋体" w:hAnsi="宋体" w:cs="宋体"/>
          <w:b/>
          <w:color w:val="auto"/>
          <w:sz w:val="24"/>
          <w:highlight w:val="none"/>
        </w:rPr>
        <w:t>附件：</w:t>
      </w:r>
    </w:p>
    <w:p w14:paraId="14552373">
      <w:pPr>
        <w:spacing w:line="360" w:lineRule="auto"/>
        <w:ind w:firstLine="480" w:firstLineChars="200"/>
        <w:contextualSpacing/>
        <w:jc w:val="center"/>
        <w:rPr>
          <w:rFonts w:hint="eastAsia" w:ascii="宋体" w:hAnsi="宋体" w:cs="仿宋_GB2312"/>
          <w:color w:val="auto"/>
          <w:sz w:val="24"/>
          <w:highlight w:val="none"/>
        </w:rPr>
        <w:sectPr>
          <w:pgSz w:w="11910" w:h="16840"/>
          <w:pgMar w:top="1134" w:right="1134" w:bottom="1134" w:left="1134" w:header="850" w:footer="567" w:gutter="0"/>
          <w:cols w:space="720" w:num="1"/>
          <w:docGrid w:linePitch="286" w:charSpace="0"/>
        </w:sectPr>
      </w:pPr>
    </w:p>
    <w:p w14:paraId="690B1F31">
      <w:pPr>
        <w:snapToGrid w:val="0"/>
        <w:spacing w:line="360" w:lineRule="auto"/>
        <w:rPr>
          <w:rFonts w:hint="eastAsia" w:ascii="宋体" w:hAnsi="宋体" w:cs="宋体"/>
          <w:bCs/>
          <w:color w:val="auto"/>
          <w:sz w:val="44"/>
          <w:szCs w:val="44"/>
          <w:highlight w:val="none"/>
        </w:rPr>
      </w:pPr>
      <w:r>
        <w:rPr>
          <w:rFonts w:hint="eastAsia" w:ascii="宋体" w:hAnsi="宋体" w:cs="宋体"/>
          <w:b/>
          <w:color w:val="auto"/>
          <w:sz w:val="30"/>
          <w:szCs w:val="30"/>
          <w:highlight w:val="none"/>
        </w:rPr>
        <w:t>三、法定代表人授权委托书</w:t>
      </w:r>
    </w:p>
    <w:p w14:paraId="630285D8">
      <w:pPr>
        <w:snapToGrid w:val="0"/>
        <w:spacing w:line="360" w:lineRule="auto"/>
        <w:jc w:val="center"/>
        <w:rPr>
          <w:rFonts w:hint="eastAsia" w:ascii="宋体" w:hAnsi="宋体" w:cs="宋体"/>
          <w:b/>
          <w:color w:val="auto"/>
          <w:sz w:val="30"/>
          <w:szCs w:val="30"/>
          <w:highlight w:val="none"/>
        </w:rPr>
      </w:pPr>
    </w:p>
    <w:p w14:paraId="5F7C00F9">
      <w:pPr>
        <w:snapToGrid w:val="0"/>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授权委托书（如有委托时）</w:t>
      </w:r>
    </w:p>
    <w:p w14:paraId="390DA67E">
      <w:pPr>
        <w:spacing w:line="360" w:lineRule="auto"/>
        <w:rPr>
          <w:rFonts w:hint="eastAsia" w:ascii="宋体" w:hAnsi="宋体" w:cs="宋体"/>
          <w:color w:val="auto"/>
          <w:sz w:val="32"/>
          <w:szCs w:val="32"/>
          <w:highlight w:val="none"/>
        </w:rPr>
      </w:pPr>
    </w:p>
    <w:p w14:paraId="51282DAC">
      <w:pP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2F349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36B1C39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78DAD5D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本授权书有效期：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 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日止。委托代理人在授权书有效期内签署的所有文件不因授权的撤销而失效。</w:t>
      </w:r>
    </w:p>
    <w:p w14:paraId="381AD4E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64E2BE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3BF42DDF">
      <w:pPr>
        <w:spacing w:line="360" w:lineRule="auto"/>
        <w:rPr>
          <w:rFonts w:hint="eastAsia" w:ascii="宋体" w:hAnsi="宋体" w:cs="宋体"/>
          <w:color w:val="auto"/>
          <w:sz w:val="24"/>
          <w:highlight w:val="none"/>
        </w:rPr>
      </w:pPr>
    </w:p>
    <w:p w14:paraId="41EE2A63">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委托代理人（签字）：        法定代表人（签字）：                   </w:t>
      </w:r>
    </w:p>
    <w:p w14:paraId="109905B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1411B83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78C74A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398FD5B4">
      <w:pPr>
        <w:spacing w:line="360" w:lineRule="auto"/>
        <w:contextualSpacing/>
        <w:jc w:val="center"/>
        <w:rPr>
          <w:rFonts w:hint="eastAsia" w:ascii="宋体" w:hAnsi="宋体" w:cs="宋体"/>
          <w:color w:val="auto"/>
          <w:sz w:val="24"/>
          <w:highlight w:val="none"/>
        </w:rPr>
      </w:pPr>
      <w:r>
        <w:rPr>
          <w:rFonts w:hint="eastAsia" w:ascii="宋体" w:hAnsi="宋体" w:cs="宋体"/>
          <w:color w:val="auto"/>
          <w:kern w:val="0"/>
          <w:sz w:val="24"/>
          <w:highlight w:val="none"/>
          <w:lang w:val="zh-CN"/>
        </w:rPr>
        <w:t xml:space="preserve">                                                   日期： 年  月   日</w:t>
      </w:r>
    </w:p>
    <w:p w14:paraId="507C1F18">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注：1.法定代表人必须在授权委托书上签字，委托代理人必须在授权委托书上签字，</w:t>
      </w:r>
      <w:r>
        <w:rPr>
          <w:rFonts w:hint="eastAsia" w:ascii="宋体" w:hAnsi="宋体" w:cs="宋体"/>
          <w:b/>
          <w:color w:val="auto"/>
          <w:sz w:val="24"/>
          <w:highlight w:val="none"/>
        </w:rPr>
        <w:t>否则其响应文件按无效响应处理。</w:t>
      </w:r>
    </w:p>
    <w:p w14:paraId="1474F42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2.供应商为其他组织或者自然人时，本采购文件规定的法定代表人指负责人或者自然人。本采购文件所称负责人是指参加竞标的其他组织营业执照上的负责人，本采购文件所称自然人指参与竞标的自然人本人。</w:t>
      </w:r>
    </w:p>
    <w:p w14:paraId="6792FA80">
      <w:pPr>
        <w:spacing w:line="360" w:lineRule="auto"/>
        <w:ind w:firstLine="480" w:firstLineChars="200"/>
        <w:jc w:val="left"/>
        <w:rPr>
          <w:rFonts w:hint="eastAsia" w:ascii="宋体" w:hAnsi="宋体" w:cs="宋体"/>
          <w:color w:val="auto"/>
          <w:szCs w:val="21"/>
          <w:highlight w:val="none"/>
        </w:rPr>
      </w:pPr>
      <w:r>
        <w:rPr>
          <w:rFonts w:hint="eastAsia" w:ascii="宋体" w:hAnsi="宋体" w:cs="宋体"/>
          <w:color w:val="auto"/>
          <w:sz w:val="24"/>
          <w:highlight w:val="none"/>
        </w:rPr>
        <w:t>3.法人、其他组织竞标时“我方”是指“我单位”，自然人竞标时“我方”是指“本人”。</w:t>
      </w:r>
    </w:p>
    <w:p w14:paraId="60ACBC93">
      <w:pPr>
        <w:spacing w:line="360" w:lineRule="auto"/>
        <w:ind w:firstLine="480" w:firstLineChars="200"/>
        <w:contextualSpacing/>
        <w:jc w:val="center"/>
        <w:rPr>
          <w:rFonts w:hint="eastAsia" w:ascii="宋体" w:hAnsi="宋体" w:cs="仿宋_GB2312"/>
          <w:color w:val="auto"/>
          <w:sz w:val="24"/>
          <w:highlight w:val="none"/>
        </w:rPr>
      </w:pPr>
    </w:p>
    <w:p w14:paraId="0D85A73C">
      <w:pPr>
        <w:spacing w:line="360" w:lineRule="auto"/>
        <w:ind w:firstLine="480" w:firstLineChars="200"/>
        <w:contextualSpacing/>
        <w:jc w:val="center"/>
        <w:rPr>
          <w:rFonts w:hint="eastAsia" w:ascii="宋体" w:hAnsi="宋体" w:cs="仿宋_GB2312"/>
          <w:color w:val="auto"/>
          <w:sz w:val="24"/>
          <w:highlight w:val="none"/>
        </w:rPr>
      </w:pPr>
    </w:p>
    <w:p w14:paraId="208EBD19">
      <w:pPr>
        <w:spacing w:line="360" w:lineRule="auto"/>
        <w:ind w:firstLine="640" w:firstLineChars="200"/>
        <w:contextualSpacing/>
        <w:jc w:val="center"/>
        <w:rPr>
          <w:rFonts w:hint="eastAsia" w:ascii="宋体" w:hAnsi="宋体" w:cs="仿宋_GB2312"/>
          <w:color w:val="auto"/>
          <w:sz w:val="32"/>
          <w:szCs w:val="32"/>
          <w:highlight w:val="none"/>
        </w:rPr>
      </w:pPr>
    </w:p>
    <w:p w14:paraId="3770E4EF">
      <w:pPr>
        <w:tabs>
          <w:tab w:val="left" w:pos="3479"/>
        </w:tabs>
        <w:spacing w:line="520" w:lineRule="exact"/>
        <w:jc w:val="center"/>
        <w:rPr>
          <w:rFonts w:ascii="方正小标宋简体" w:hAnsi="方正小标宋简体" w:eastAsia="方正小标宋简体" w:cs="方正小标宋简体"/>
          <w:bCs/>
          <w:color w:val="auto"/>
          <w:sz w:val="44"/>
          <w:szCs w:val="44"/>
          <w:highlight w:val="none"/>
        </w:rPr>
        <w:sectPr>
          <w:pgSz w:w="11910" w:h="16840"/>
          <w:pgMar w:top="1134" w:right="1134" w:bottom="1134" w:left="1134" w:header="0" w:footer="0" w:gutter="0"/>
          <w:cols w:space="720" w:num="1"/>
          <w:docGrid w:linePitch="286" w:charSpace="0"/>
        </w:sectPr>
      </w:pPr>
    </w:p>
    <w:p w14:paraId="5F1114F7">
      <w:pPr>
        <w:snapToGrid w:val="0"/>
        <w:spacing w:line="360" w:lineRule="auto"/>
        <w:rPr>
          <w:rFonts w:hint="eastAsia" w:ascii="宋体" w:hAnsi="宋体" w:cs="宋体"/>
          <w:b/>
          <w:bCs/>
          <w:color w:val="auto"/>
          <w:sz w:val="32"/>
          <w:szCs w:val="32"/>
          <w:highlight w:val="none"/>
        </w:rPr>
      </w:pPr>
      <w:r>
        <w:rPr>
          <w:rFonts w:hint="eastAsia" w:ascii="宋体" w:hAnsi="宋体" w:cs="宋体"/>
          <w:b/>
          <w:color w:val="auto"/>
          <w:sz w:val="30"/>
          <w:szCs w:val="30"/>
          <w:highlight w:val="none"/>
        </w:rPr>
        <w:t>四、商务条款偏离表</w:t>
      </w:r>
    </w:p>
    <w:p w14:paraId="20D009E7">
      <w:pPr>
        <w:spacing w:line="500" w:lineRule="exact"/>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商务条款偏离表</w:t>
      </w:r>
    </w:p>
    <w:p w14:paraId="47E63436">
      <w:pPr>
        <w:pStyle w:val="21"/>
        <w:rPr>
          <w:rFonts w:hint="eastAsia" w:ascii="宋体" w:hAnsi="宋体" w:cs="宋体"/>
          <w:color w:val="auto"/>
          <w:highlight w:val="none"/>
        </w:rPr>
      </w:pPr>
    </w:p>
    <w:p w14:paraId="51C3CB73">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（此处有分标时填写具体分标号，无分标时填写“无”）</w:t>
      </w:r>
    </w:p>
    <w:tbl>
      <w:tblPr>
        <w:tblStyle w:val="17"/>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838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D30AA1C">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F85C199">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竞争性谈判采购文件的商务需求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45F1E96">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7BFBD0C">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6B3E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5B514E8">
            <w:pPr>
              <w:spacing w:line="340" w:lineRule="exact"/>
              <w:rPr>
                <w:rFonts w:hint="eastAsia" w:ascii="宋体" w:hAnsi="宋体" w:cs="宋体"/>
                <w:color w:val="auto"/>
                <w:sz w:val="24"/>
                <w:highlight w:val="none"/>
              </w:rPr>
            </w:pPr>
            <w:r>
              <w:rPr>
                <w:rFonts w:hint="eastAsia" w:ascii="宋体" w:hAnsi="宋体" w:cs="宋体"/>
                <w:color w:val="auto"/>
                <w:sz w:val="24"/>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86FE49D">
            <w:pP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73D0542B">
            <w:pP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3E472CD9">
            <w:pP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35F2C0E5">
            <w:pP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E656516">
            <w:pP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5E02655A">
            <w:pP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39F3132B">
            <w:pP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7DD5606E">
            <w:pP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93BB945">
            <w:pPr>
              <w:spacing w:line="300" w:lineRule="exact"/>
              <w:rPr>
                <w:rFonts w:hint="eastAsia" w:ascii="宋体" w:hAnsi="宋体" w:cs="宋体"/>
                <w:color w:val="auto"/>
                <w:sz w:val="24"/>
                <w:highlight w:val="none"/>
              </w:rPr>
            </w:pPr>
          </w:p>
        </w:tc>
      </w:tr>
      <w:tr w14:paraId="2BFA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6EB674D">
            <w:pPr>
              <w:spacing w:line="340" w:lineRule="exact"/>
              <w:rPr>
                <w:rFonts w:hint="eastAsia" w:ascii="宋体" w:hAnsi="宋体" w:cs="宋体"/>
                <w:color w:val="auto"/>
                <w:sz w:val="24"/>
                <w:highlight w:val="none"/>
              </w:rPr>
            </w:pPr>
            <w:r>
              <w:rPr>
                <w:rFonts w:hint="eastAsia" w:ascii="宋体" w:hAnsi="宋体" w:cs="宋体"/>
                <w:color w:val="auto"/>
                <w:sz w:val="24"/>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F1801ED">
            <w:pP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4CA5CD22">
            <w:pP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2A22C5D7">
            <w:pP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059E8ABB">
            <w:pP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AB18714">
            <w:pP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3C70450D">
            <w:pP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741D5903">
            <w:pP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1837B9ED">
            <w:pP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01D1EB8">
            <w:pPr>
              <w:spacing w:line="300" w:lineRule="exact"/>
              <w:rPr>
                <w:rFonts w:hint="eastAsia" w:ascii="宋体" w:hAnsi="宋体" w:cs="宋体"/>
                <w:color w:val="auto"/>
                <w:sz w:val="24"/>
                <w:highlight w:val="none"/>
              </w:rPr>
            </w:pPr>
          </w:p>
        </w:tc>
      </w:tr>
      <w:tr w14:paraId="4E98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F699F76">
            <w:pP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C285C86">
            <w:pP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713C20B5">
            <w:pP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3796AD77">
            <w:pP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2FE595A9">
            <w:pP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956BE11">
            <w:pP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1436739E">
            <w:pP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754376FB">
            <w:pP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76A4016A">
            <w:pP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699ABBC">
            <w:pPr>
              <w:spacing w:line="300" w:lineRule="exact"/>
              <w:rPr>
                <w:rFonts w:hint="eastAsia" w:ascii="宋体" w:hAnsi="宋体" w:cs="宋体"/>
                <w:color w:val="auto"/>
                <w:sz w:val="24"/>
                <w:highlight w:val="none"/>
              </w:rPr>
            </w:pPr>
          </w:p>
        </w:tc>
      </w:tr>
    </w:tbl>
    <w:p w14:paraId="38E5122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注：</w:t>
      </w:r>
    </w:p>
    <w:p w14:paraId="625842B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1.应对照谈判文件“第三章 采购需求”中的商务要求，逐条作出明确响应，并作出偏离说明。</w:t>
      </w:r>
    </w:p>
    <w:p w14:paraId="3279D38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63E5285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3.表格内容均需按要求填写，不得留空，否则按竞标无效处理。</w:t>
      </w:r>
    </w:p>
    <w:p w14:paraId="313E436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4.如果采购需求为小于、小于等于、大于或大于等于某个数值标准时，响应文件承诺不得直接复制采购需求，响应文件承诺内容应当写明竞标货物具体参数或商务响应承诺的具体数值，否则按竞标无效处理。</w:t>
      </w:r>
    </w:p>
    <w:p w14:paraId="66854380">
      <w:pPr>
        <w:spacing w:line="400" w:lineRule="exact"/>
        <w:rPr>
          <w:rFonts w:hint="eastAsia" w:ascii="宋体" w:hAnsi="宋体" w:cs="宋体"/>
          <w:color w:val="auto"/>
          <w:kern w:val="0"/>
          <w:sz w:val="24"/>
          <w:highlight w:val="none"/>
        </w:rPr>
      </w:pPr>
    </w:p>
    <w:p w14:paraId="3B7F64C3">
      <w:pPr>
        <w:spacing w:line="360" w:lineRule="auto"/>
        <w:ind w:right="-817" w:rightChars="-389"/>
        <w:contextualSpacing/>
        <w:rPr>
          <w:rFonts w:hint="eastAsia" w:ascii="宋体" w:hAnsi="宋体" w:cs="宋体"/>
          <w:color w:val="auto"/>
          <w:sz w:val="24"/>
          <w:highlight w:val="none"/>
        </w:rPr>
      </w:pPr>
    </w:p>
    <w:p w14:paraId="1378DEAC">
      <w:pPr>
        <w:spacing w:line="360" w:lineRule="auto"/>
        <w:ind w:firstLine="3840" w:firstLineChars="1600"/>
        <w:rPr>
          <w:rFonts w:hint="eastAsia" w:ascii="宋体" w:hAnsi="宋体" w:cs="宋体"/>
          <w:color w:val="auto"/>
          <w:sz w:val="24"/>
          <w:highlight w:val="none"/>
        </w:rPr>
      </w:pPr>
      <w:r>
        <w:rPr>
          <w:rFonts w:hint="eastAsia" w:ascii="宋体" w:hAnsi="宋体" w:cs="宋体"/>
          <w:color w:val="auto"/>
          <w:kern w:val="0"/>
          <w:sz w:val="24"/>
          <w:highlight w:val="none"/>
        </w:rPr>
        <w:t>供应商名称（电子签章）：</w:t>
      </w:r>
    </w:p>
    <w:p w14:paraId="6280BE91">
      <w:pPr>
        <w:spacing w:line="360" w:lineRule="auto"/>
        <w:jc w:val="center"/>
        <w:rPr>
          <w:rFonts w:hint="eastAsia" w:ascii="宋体" w:hAnsi="宋体" w:cs="宋体"/>
          <w:color w:val="auto"/>
          <w:highlight w:val="none"/>
        </w:rPr>
      </w:pPr>
      <w:r>
        <w:rPr>
          <w:rFonts w:hint="eastAsia" w:ascii="宋体" w:hAnsi="宋体" w:cs="宋体"/>
          <w:color w:val="auto"/>
          <w:kern w:val="0"/>
          <w:sz w:val="24"/>
          <w:highlight w:val="none"/>
          <w:lang w:val="zh-CN"/>
        </w:rPr>
        <w:t xml:space="preserve">                                                   日期： 年  月   日</w:t>
      </w:r>
    </w:p>
    <w:p w14:paraId="08804C3C">
      <w:pPr>
        <w:rPr>
          <w:rFonts w:hint="eastAsia" w:ascii="宋体" w:hAnsi="宋体" w:cs="宋体"/>
          <w:color w:val="auto"/>
          <w:highlight w:val="none"/>
        </w:rPr>
      </w:pPr>
    </w:p>
    <w:p w14:paraId="2571457B">
      <w:p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t>五、竞标人情况介绍</w:t>
      </w:r>
    </w:p>
    <w:p w14:paraId="760D2E18">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795BD8C">
      <w:pPr>
        <w:tabs>
          <w:tab w:val="left" w:pos="3479"/>
        </w:tabs>
        <w:spacing w:line="520" w:lineRule="exact"/>
        <w:jc w:val="center"/>
        <w:rPr>
          <w:rFonts w:ascii="方正小标宋简体" w:hAnsi="方正小标宋简体" w:eastAsia="方正小标宋简体" w:cs="方正小标宋简体"/>
          <w:bCs/>
          <w:color w:val="auto"/>
          <w:sz w:val="44"/>
          <w:szCs w:val="44"/>
          <w:highlight w:val="none"/>
        </w:rPr>
        <w:sectPr>
          <w:pgSz w:w="11910" w:h="16840"/>
          <w:pgMar w:top="1134" w:right="1134" w:bottom="1134" w:left="1134" w:header="0" w:footer="0" w:gutter="0"/>
          <w:cols w:space="720" w:num="1"/>
          <w:docGrid w:linePitch="286" w:charSpace="0"/>
        </w:sect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日期： 年  月   日</w:t>
      </w:r>
    </w:p>
    <w:p w14:paraId="747352EB">
      <w:pPr>
        <w:snapToGrid w:val="0"/>
        <w:spacing w:line="360" w:lineRule="auto"/>
        <w:rPr>
          <w:rFonts w:hint="eastAsia" w:ascii="宋体" w:hAnsi="宋体" w:cs="宋体"/>
          <w:color w:val="auto"/>
          <w:sz w:val="32"/>
          <w:szCs w:val="32"/>
          <w:highlight w:val="none"/>
        </w:rPr>
      </w:pPr>
      <w:r>
        <w:rPr>
          <w:rFonts w:hint="eastAsia" w:ascii="宋体" w:hAnsi="宋体" w:cs="宋体"/>
          <w:b/>
          <w:color w:val="auto"/>
          <w:sz w:val="30"/>
          <w:szCs w:val="30"/>
          <w:highlight w:val="none"/>
        </w:rPr>
        <w:t>六、技术需求偏离表</w:t>
      </w:r>
    </w:p>
    <w:p w14:paraId="30FD635C">
      <w:pPr>
        <w:spacing w:line="500" w:lineRule="exact"/>
        <w:jc w:val="center"/>
        <w:rPr>
          <w:rFonts w:hint="eastAsia" w:ascii="宋体" w:hAnsi="宋体" w:cs="宋体"/>
          <w:color w:val="auto"/>
          <w:sz w:val="24"/>
          <w:highlight w:val="none"/>
        </w:rPr>
      </w:pPr>
      <w:r>
        <w:rPr>
          <w:rFonts w:hint="eastAsia" w:ascii="宋体" w:hAnsi="宋体" w:cs="宋体"/>
          <w:bCs/>
          <w:color w:val="auto"/>
          <w:sz w:val="32"/>
          <w:szCs w:val="32"/>
          <w:highlight w:val="none"/>
        </w:rPr>
        <w:t>技术需求偏离表</w:t>
      </w:r>
    </w:p>
    <w:p w14:paraId="2A595EDF">
      <w:pPr>
        <w:pStyle w:val="11"/>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（此处有分标时填写具体分标号，无分标时填写“无”）</w:t>
      </w:r>
      <w:r>
        <w:rPr>
          <w:rFonts w:hint="eastAsia" w:hAnsi="宋体" w:cs="宋体"/>
          <w:color w:val="auto"/>
          <w:sz w:val="24"/>
          <w:szCs w:val="24"/>
          <w:highlight w:val="none"/>
          <w:u w:val="singl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3708"/>
        <w:gridCol w:w="3415"/>
        <w:gridCol w:w="1270"/>
      </w:tblGrid>
      <w:tr w14:paraId="74E2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14:paraId="7DDB1007">
            <w:pPr>
              <w:rPr>
                <w:rFonts w:hint="eastAsia" w:ascii="宋体" w:hAnsi="宋体" w:cs="宋体"/>
                <w:color w:val="auto"/>
                <w:sz w:val="24"/>
                <w:highlight w:val="none"/>
              </w:rPr>
            </w:pPr>
            <w:r>
              <w:rPr>
                <w:rFonts w:hint="eastAsia" w:ascii="宋体" w:hAnsi="宋体" w:cs="宋体"/>
                <w:color w:val="auto"/>
                <w:sz w:val="24"/>
                <w:highlight w:val="none"/>
              </w:rPr>
              <w:t>项号</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312FD6C">
            <w:pPr>
              <w:jc w:val="center"/>
              <w:rPr>
                <w:rFonts w:hint="eastAsia" w:ascii="宋体" w:hAnsi="宋体" w:cs="宋体"/>
                <w:color w:val="auto"/>
                <w:sz w:val="24"/>
                <w:highlight w:val="none"/>
              </w:rPr>
            </w:pPr>
            <w:r>
              <w:rPr>
                <w:rFonts w:hint="eastAsia" w:ascii="宋体" w:hAnsi="宋体" w:cs="宋体"/>
                <w:color w:val="auto"/>
                <w:sz w:val="24"/>
                <w:highlight w:val="none"/>
              </w:rPr>
              <w:t>竞争性谈判采购文件需求</w:t>
            </w:r>
          </w:p>
        </w:tc>
        <w:tc>
          <w:tcPr>
            <w:tcW w:w="3415" w:type="dxa"/>
            <w:tcBorders>
              <w:top w:val="single" w:color="auto" w:sz="4" w:space="0"/>
              <w:left w:val="single" w:color="auto" w:sz="4" w:space="0"/>
              <w:bottom w:val="single" w:color="auto" w:sz="4" w:space="0"/>
              <w:right w:val="single" w:color="auto" w:sz="4" w:space="0"/>
            </w:tcBorders>
            <w:noWrap w:val="0"/>
            <w:vAlign w:val="center"/>
          </w:tcPr>
          <w:p w14:paraId="26305A74">
            <w:pPr>
              <w:jc w:val="center"/>
              <w:rPr>
                <w:rFonts w:hint="eastAsia" w:ascii="宋体" w:hAnsi="宋体" w:cs="宋体"/>
                <w:color w:val="auto"/>
                <w:sz w:val="24"/>
                <w:highlight w:val="none"/>
              </w:rPr>
            </w:pPr>
            <w:r>
              <w:rPr>
                <w:rFonts w:hint="eastAsia" w:ascii="宋体" w:hAnsi="宋体" w:cs="宋体"/>
                <w:color w:val="auto"/>
                <w:sz w:val="24"/>
                <w:highlight w:val="none"/>
              </w:rPr>
              <w:t>响应文件承诺</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A384B44">
            <w:pP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41B0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14:paraId="0DD5C7A5">
            <w:pPr>
              <w:rPr>
                <w:rFonts w:hint="eastAsia" w:ascii="宋体" w:hAnsi="宋体" w:cs="宋体"/>
                <w:color w:val="auto"/>
                <w:sz w:val="24"/>
                <w:highlight w:val="none"/>
              </w:rPr>
            </w:pPr>
            <w:r>
              <w:rPr>
                <w:rFonts w:hint="eastAsia" w:ascii="宋体" w:hAnsi="宋体" w:cs="宋体"/>
                <w:color w:val="auto"/>
                <w:sz w:val="24"/>
                <w:highlight w:val="none"/>
              </w:rPr>
              <w:t>1</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EC01A9B">
            <w:pPr>
              <w:rPr>
                <w:rFonts w:hint="eastAsia" w:ascii="宋体" w:hAnsi="宋体" w:cs="宋体"/>
                <w:color w:val="auto"/>
                <w:sz w:val="24"/>
                <w:highlight w:val="none"/>
              </w:rPr>
            </w:pPr>
            <w:r>
              <w:rPr>
                <w:rFonts w:hint="eastAsia" w:ascii="宋体" w:hAnsi="宋体" w:cs="宋体"/>
                <w:color w:val="auto"/>
                <w:sz w:val="24"/>
                <w:highlight w:val="none"/>
              </w:rPr>
              <w:t>1  ……</w:t>
            </w:r>
          </w:p>
          <w:p w14:paraId="7A086676">
            <w:pPr>
              <w:rPr>
                <w:rFonts w:hint="eastAsia" w:ascii="宋体" w:hAnsi="宋体" w:cs="宋体"/>
                <w:color w:val="auto"/>
                <w:sz w:val="24"/>
                <w:highlight w:val="none"/>
              </w:rPr>
            </w:pPr>
            <w:r>
              <w:rPr>
                <w:rFonts w:hint="eastAsia" w:ascii="宋体" w:hAnsi="宋体" w:cs="宋体"/>
                <w:color w:val="auto"/>
                <w:sz w:val="24"/>
                <w:highlight w:val="none"/>
              </w:rPr>
              <w:t>2  ……</w:t>
            </w:r>
          </w:p>
          <w:p w14:paraId="0D037FEC">
            <w:pPr>
              <w:rPr>
                <w:rFonts w:hint="eastAsia" w:ascii="宋体" w:hAnsi="宋体" w:cs="宋体"/>
                <w:color w:val="auto"/>
                <w:sz w:val="24"/>
                <w:highlight w:val="none"/>
              </w:rPr>
            </w:pPr>
            <w:r>
              <w:rPr>
                <w:rFonts w:hint="eastAsia" w:ascii="宋体" w:hAnsi="宋体" w:cs="宋体"/>
                <w:color w:val="auto"/>
                <w:sz w:val="24"/>
                <w:highlight w:val="none"/>
              </w:rPr>
              <w:t>3  ……</w:t>
            </w:r>
          </w:p>
          <w:p w14:paraId="258CBFB1">
            <w:pPr>
              <w:rPr>
                <w:rFonts w:hint="eastAsia" w:ascii="宋体" w:hAnsi="宋体" w:cs="宋体"/>
                <w:color w:val="auto"/>
                <w:sz w:val="24"/>
                <w:highlight w:val="none"/>
              </w:rPr>
            </w:pPr>
            <w:r>
              <w:rPr>
                <w:rFonts w:hint="eastAsia" w:ascii="宋体" w:hAnsi="宋体" w:cs="宋体"/>
                <w:color w:val="auto"/>
                <w:sz w:val="24"/>
                <w:highlight w:val="none"/>
              </w:rPr>
              <w:t>……</w:t>
            </w:r>
          </w:p>
        </w:tc>
        <w:tc>
          <w:tcPr>
            <w:tcW w:w="3415" w:type="dxa"/>
            <w:tcBorders>
              <w:top w:val="single" w:color="auto" w:sz="4" w:space="0"/>
              <w:left w:val="single" w:color="auto" w:sz="4" w:space="0"/>
              <w:bottom w:val="single" w:color="auto" w:sz="4" w:space="0"/>
              <w:right w:val="single" w:color="auto" w:sz="4" w:space="0"/>
            </w:tcBorders>
            <w:noWrap w:val="0"/>
            <w:vAlign w:val="center"/>
          </w:tcPr>
          <w:p w14:paraId="22A86BF9">
            <w:pPr>
              <w:rPr>
                <w:rFonts w:hint="eastAsia" w:ascii="宋体" w:hAnsi="宋体" w:cs="宋体"/>
                <w:color w:val="auto"/>
                <w:sz w:val="24"/>
                <w:highlight w:val="none"/>
              </w:rPr>
            </w:pPr>
            <w:r>
              <w:rPr>
                <w:rFonts w:hint="eastAsia" w:ascii="宋体" w:hAnsi="宋体" w:cs="宋体"/>
                <w:color w:val="auto"/>
                <w:sz w:val="24"/>
                <w:highlight w:val="none"/>
              </w:rPr>
              <w:t>1  ……</w:t>
            </w:r>
          </w:p>
          <w:p w14:paraId="070F7E02">
            <w:pPr>
              <w:rPr>
                <w:rFonts w:hint="eastAsia" w:ascii="宋体" w:hAnsi="宋体" w:cs="宋体"/>
                <w:color w:val="auto"/>
                <w:sz w:val="24"/>
                <w:highlight w:val="none"/>
              </w:rPr>
            </w:pPr>
            <w:r>
              <w:rPr>
                <w:rFonts w:hint="eastAsia" w:ascii="宋体" w:hAnsi="宋体" w:cs="宋体"/>
                <w:color w:val="auto"/>
                <w:sz w:val="24"/>
                <w:highlight w:val="none"/>
              </w:rPr>
              <w:t>2  ……</w:t>
            </w:r>
          </w:p>
          <w:p w14:paraId="683163F1">
            <w:pPr>
              <w:rPr>
                <w:rFonts w:hint="eastAsia" w:ascii="宋体" w:hAnsi="宋体" w:cs="宋体"/>
                <w:color w:val="auto"/>
                <w:sz w:val="24"/>
                <w:highlight w:val="none"/>
              </w:rPr>
            </w:pPr>
            <w:r>
              <w:rPr>
                <w:rFonts w:hint="eastAsia" w:ascii="宋体" w:hAnsi="宋体" w:cs="宋体"/>
                <w:color w:val="auto"/>
                <w:sz w:val="24"/>
                <w:highlight w:val="none"/>
              </w:rPr>
              <w:t>3  ……</w:t>
            </w:r>
          </w:p>
          <w:p w14:paraId="129025BC">
            <w:pPr>
              <w:rPr>
                <w:rFonts w:hint="eastAsia" w:ascii="宋体" w:hAnsi="宋体" w:cs="宋体"/>
                <w:color w:val="auto"/>
                <w:sz w:val="24"/>
                <w:highlight w:val="none"/>
              </w:rPr>
            </w:pPr>
            <w:r>
              <w:rPr>
                <w:rFonts w:hint="eastAsia" w:ascii="宋体" w:hAnsi="宋体" w:cs="宋体"/>
                <w:color w:val="auto"/>
                <w:sz w:val="24"/>
                <w:highlight w:val="none"/>
              </w:rPr>
              <w:t>……</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C830BDF">
            <w:pPr>
              <w:rPr>
                <w:rFonts w:hint="eastAsia" w:ascii="宋体" w:hAnsi="宋体" w:cs="宋体"/>
                <w:color w:val="auto"/>
                <w:sz w:val="24"/>
                <w:highlight w:val="none"/>
              </w:rPr>
            </w:pPr>
          </w:p>
        </w:tc>
      </w:tr>
      <w:tr w14:paraId="1891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14:paraId="12B70F19">
            <w:pPr>
              <w:rPr>
                <w:rFonts w:hint="eastAsia" w:ascii="宋体" w:hAnsi="宋体" w:cs="宋体"/>
                <w:color w:val="auto"/>
                <w:sz w:val="24"/>
                <w:highlight w:val="none"/>
              </w:rPr>
            </w:pPr>
            <w:r>
              <w:rPr>
                <w:rFonts w:hint="eastAsia" w:ascii="宋体" w:hAnsi="宋体" w:cs="宋体"/>
                <w:color w:val="auto"/>
                <w:sz w:val="24"/>
                <w:highlight w:val="none"/>
              </w:rPr>
              <w:t>2</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F89FE01">
            <w:pPr>
              <w:rPr>
                <w:rFonts w:hint="eastAsia" w:ascii="宋体" w:hAnsi="宋体" w:cs="宋体"/>
                <w:color w:val="auto"/>
                <w:sz w:val="24"/>
                <w:highlight w:val="none"/>
              </w:rPr>
            </w:pPr>
            <w:r>
              <w:rPr>
                <w:rFonts w:hint="eastAsia" w:ascii="宋体" w:hAnsi="宋体" w:cs="宋体"/>
                <w:color w:val="auto"/>
                <w:sz w:val="24"/>
                <w:highlight w:val="none"/>
              </w:rPr>
              <w:t>1  ……</w:t>
            </w:r>
          </w:p>
          <w:p w14:paraId="5402A32E">
            <w:pPr>
              <w:rPr>
                <w:rFonts w:hint="eastAsia" w:ascii="宋体" w:hAnsi="宋体" w:cs="宋体"/>
                <w:color w:val="auto"/>
                <w:sz w:val="24"/>
                <w:highlight w:val="none"/>
              </w:rPr>
            </w:pPr>
            <w:r>
              <w:rPr>
                <w:rFonts w:hint="eastAsia" w:ascii="宋体" w:hAnsi="宋体" w:cs="宋体"/>
                <w:color w:val="auto"/>
                <w:sz w:val="24"/>
                <w:highlight w:val="none"/>
              </w:rPr>
              <w:t>2  ……</w:t>
            </w:r>
          </w:p>
          <w:p w14:paraId="36A7F267">
            <w:pPr>
              <w:rPr>
                <w:rFonts w:hint="eastAsia" w:ascii="宋体" w:hAnsi="宋体" w:cs="宋体"/>
                <w:color w:val="auto"/>
                <w:sz w:val="24"/>
                <w:highlight w:val="none"/>
              </w:rPr>
            </w:pPr>
            <w:r>
              <w:rPr>
                <w:rFonts w:hint="eastAsia" w:ascii="宋体" w:hAnsi="宋体" w:cs="宋体"/>
                <w:color w:val="auto"/>
                <w:sz w:val="24"/>
                <w:highlight w:val="none"/>
              </w:rPr>
              <w:t>3  ……</w:t>
            </w:r>
          </w:p>
          <w:p w14:paraId="268E0C45">
            <w:pPr>
              <w:rPr>
                <w:rFonts w:hint="eastAsia" w:ascii="宋体" w:hAnsi="宋体" w:cs="宋体"/>
                <w:color w:val="auto"/>
                <w:sz w:val="24"/>
                <w:highlight w:val="none"/>
              </w:rPr>
            </w:pPr>
            <w:r>
              <w:rPr>
                <w:rFonts w:hint="eastAsia" w:ascii="宋体" w:hAnsi="宋体" w:cs="宋体"/>
                <w:color w:val="auto"/>
                <w:sz w:val="24"/>
                <w:highlight w:val="none"/>
              </w:rPr>
              <w:t>……</w:t>
            </w:r>
          </w:p>
        </w:tc>
        <w:tc>
          <w:tcPr>
            <w:tcW w:w="3415" w:type="dxa"/>
            <w:tcBorders>
              <w:top w:val="single" w:color="auto" w:sz="4" w:space="0"/>
              <w:left w:val="single" w:color="auto" w:sz="4" w:space="0"/>
              <w:bottom w:val="single" w:color="auto" w:sz="4" w:space="0"/>
              <w:right w:val="single" w:color="auto" w:sz="4" w:space="0"/>
            </w:tcBorders>
            <w:noWrap w:val="0"/>
            <w:vAlign w:val="center"/>
          </w:tcPr>
          <w:p w14:paraId="293050A0">
            <w:pPr>
              <w:rPr>
                <w:rFonts w:hint="eastAsia" w:ascii="宋体" w:hAnsi="宋体" w:cs="宋体"/>
                <w:color w:val="auto"/>
                <w:sz w:val="24"/>
                <w:highlight w:val="none"/>
              </w:rPr>
            </w:pPr>
            <w:r>
              <w:rPr>
                <w:rFonts w:hint="eastAsia" w:ascii="宋体" w:hAnsi="宋体" w:cs="宋体"/>
                <w:color w:val="auto"/>
                <w:sz w:val="24"/>
                <w:highlight w:val="none"/>
              </w:rPr>
              <w:t>1  ……</w:t>
            </w:r>
          </w:p>
          <w:p w14:paraId="0A53D3D9">
            <w:pPr>
              <w:rPr>
                <w:rFonts w:hint="eastAsia" w:ascii="宋体" w:hAnsi="宋体" w:cs="宋体"/>
                <w:color w:val="auto"/>
                <w:sz w:val="24"/>
                <w:highlight w:val="none"/>
              </w:rPr>
            </w:pPr>
            <w:r>
              <w:rPr>
                <w:rFonts w:hint="eastAsia" w:ascii="宋体" w:hAnsi="宋体" w:cs="宋体"/>
                <w:color w:val="auto"/>
                <w:sz w:val="24"/>
                <w:highlight w:val="none"/>
              </w:rPr>
              <w:t>2  ……</w:t>
            </w:r>
          </w:p>
          <w:p w14:paraId="77511178">
            <w:pPr>
              <w:rPr>
                <w:rFonts w:hint="eastAsia" w:ascii="宋体" w:hAnsi="宋体" w:cs="宋体"/>
                <w:color w:val="auto"/>
                <w:sz w:val="24"/>
                <w:highlight w:val="none"/>
              </w:rPr>
            </w:pPr>
            <w:r>
              <w:rPr>
                <w:rFonts w:hint="eastAsia" w:ascii="宋体" w:hAnsi="宋体" w:cs="宋体"/>
                <w:color w:val="auto"/>
                <w:sz w:val="24"/>
                <w:highlight w:val="none"/>
              </w:rPr>
              <w:t>3  ……</w:t>
            </w:r>
          </w:p>
          <w:p w14:paraId="738BCC0D">
            <w:pPr>
              <w:rPr>
                <w:rFonts w:hint="eastAsia" w:ascii="宋体" w:hAnsi="宋体" w:cs="宋体"/>
                <w:color w:val="auto"/>
                <w:sz w:val="24"/>
                <w:highlight w:val="none"/>
              </w:rPr>
            </w:pPr>
            <w:r>
              <w:rPr>
                <w:rFonts w:hint="eastAsia" w:ascii="宋体" w:hAnsi="宋体" w:cs="宋体"/>
                <w:color w:val="auto"/>
                <w:sz w:val="24"/>
                <w:highlight w:val="none"/>
              </w:rPr>
              <w:t>……</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AFFCC04">
            <w:pPr>
              <w:rPr>
                <w:rFonts w:hint="eastAsia" w:ascii="宋体" w:hAnsi="宋体" w:cs="宋体"/>
                <w:color w:val="auto"/>
                <w:sz w:val="24"/>
                <w:highlight w:val="none"/>
              </w:rPr>
            </w:pPr>
          </w:p>
        </w:tc>
      </w:tr>
      <w:tr w14:paraId="27F4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14:paraId="3D34B6C7">
            <w:pPr>
              <w:rPr>
                <w:rFonts w:hint="eastAsia" w:ascii="宋体" w:hAnsi="宋体" w:cs="宋体"/>
                <w:color w:val="auto"/>
                <w:sz w:val="24"/>
                <w:highlight w:val="none"/>
              </w:rPr>
            </w:pPr>
            <w:r>
              <w:rPr>
                <w:rFonts w:hint="eastAsia" w:ascii="宋体" w:hAnsi="宋体" w:cs="宋体"/>
                <w:color w:val="auto"/>
                <w:sz w:val="24"/>
                <w:highlight w:val="none"/>
              </w:rPr>
              <w:t>...</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7F27853">
            <w:pPr>
              <w:rPr>
                <w:rFonts w:hint="eastAsia" w:ascii="宋体" w:hAnsi="宋体" w:cs="宋体"/>
                <w:color w:val="auto"/>
                <w:sz w:val="24"/>
                <w:highlight w:val="none"/>
              </w:rPr>
            </w:pPr>
          </w:p>
        </w:tc>
        <w:tc>
          <w:tcPr>
            <w:tcW w:w="3415" w:type="dxa"/>
            <w:tcBorders>
              <w:top w:val="single" w:color="auto" w:sz="4" w:space="0"/>
              <w:left w:val="single" w:color="auto" w:sz="4" w:space="0"/>
              <w:bottom w:val="single" w:color="auto" w:sz="4" w:space="0"/>
              <w:right w:val="single" w:color="auto" w:sz="4" w:space="0"/>
            </w:tcBorders>
            <w:noWrap w:val="0"/>
            <w:vAlign w:val="center"/>
          </w:tcPr>
          <w:p w14:paraId="4B63F165">
            <w:pPr>
              <w:rPr>
                <w:rFonts w:hint="eastAsia" w:ascii="宋体" w:hAnsi="宋体" w:cs="宋体"/>
                <w:color w:val="auto"/>
                <w:sz w:val="24"/>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93266D4">
            <w:pPr>
              <w:rPr>
                <w:rFonts w:hint="eastAsia" w:ascii="宋体" w:hAnsi="宋体" w:cs="宋体"/>
                <w:color w:val="auto"/>
                <w:sz w:val="24"/>
                <w:highlight w:val="none"/>
              </w:rPr>
            </w:pPr>
          </w:p>
        </w:tc>
      </w:tr>
    </w:tbl>
    <w:p w14:paraId="0939D74A">
      <w:pPr>
        <w:pStyle w:val="7"/>
        <w:spacing w:after="0" w:line="360" w:lineRule="auto"/>
        <w:contextualSpacing/>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注</w:t>
      </w:r>
      <w:r>
        <w:rPr>
          <w:rFonts w:hint="eastAsia" w:ascii="宋体" w:hAnsi="宋体" w:cs="宋体"/>
          <w:color w:val="auto"/>
          <w:kern w:val="0"/>
          <w:sz w:val="24"/>
          <w:szCs w:val="24"/>
          <w:highlight w:val="none"/>
          <w:lang w:eastAsia="zh-CN"/>
        </w:rPr>
        <w:t>：</w:t>
      </w:r>
    </w:p>
    <w:p w14:paraId="0822E35E">
      <w:pPr>
        <w:pStyle w:val="9"/>
        <w:spacing w:line="400" w:lineRule="exact"/>
        <w:ind w:firstLine="0" w:firstLineChars="0"/>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1.应对照谈判文件“第</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章”中“</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需求”的</w:t>
      </w:r>
      <w:r>
        <w:rPr>
          <w:rFonts w:hint="eastAsia" w:ascii="宋体" w:hAnsi="宋体" w:cs="宋体"/>
          <w:color w:val="auto"/>
          <w:kern w:val="0"/>
          <w:sz w:val="24"/>
          <w:szCs w:val="24"/>
          <w:highlight w:val="none"/>
          <w:lang w:eastAsia="zh-CN"/>
        </w:rPr>
        <w:t>技</w:t>
      </w:r>
      <w:r>
        <w:rPr>
          <w:rFonts w:hint="eastAsia" w:ascii="宋体" w:hAnsi="宋体" w:cs="宋体"/>
          <w:color w:val="auto"/>
          <w:kern w:val="0"/>
          <w:sz w:val="24"/>
          <w:szCs w:val="24"/>
          <w:highlight w:val="none"/>
          <w:lang w:val="en-US" w:eastAsia="zh-CN"/>
        </w:rPr>
        <w:t>术</w:t>
      </w:r>
      <w:r>
        <w:rPr>
          <w:rFonts w:hint="eastAsia" w:ascii="宋体" w:hAnsi="宋体" w:cs="宋体"/>
          <w:color w:val="auto"/>
          <w:kern w:val="0"/>
          <w:sz w:val="24"/>
          <w:szCs w:val="24"/>
          <w:highlight w:val="none"/>
        </w:rPr>
        <w:t>需求</w:t>
      </w:r>
      <w:r>
        <w:rPr>
          <w:rFonts w:hint="eastAsia" w:ascii="宋体" w:hAnsi="宋体" w:cs="宋体"/>
          <w:color w:val="auto"/>
          <w:kern w:val="0"/>
          <w:sz w:val="24"/>
          <w:szCs w:val="24"/>
          <w:highlight w:val="none"/>
          <w:lang w:eastAsia="zh-CN"/>
        </w:rPr>
        <w:t>，款逐条作出明确响应，并作出偏离说明。</w:t>
      </w:r>
    </w:p>
    <w:p w14:paraId="72844CF9">
      <w:pPr>
        <w:pStyle w:val="9"/>
        <w:spacing w:line="400" w:lineRule="exact"/>
        <w:ind w:firstLine="0" w:firstLineChars="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2.供应商应根据自身的承诺，对照</w:t>
      </w:r>
      <w:r>
        <w:rPr>
          <w:rFonts w:hint="eastAsia" w:ascii="宋体" w:hAnsi="宋体" w:cs="宋体"/>
          <w:color w:val="auto"/>
          <w:kern w:val="0"/>
          <w:sz w:val="24"/>
          <w:szCs w:val="24"/>
          <w:highlight w:val="none"/>
          <w:lang w:val="en-US" w:eastAsia="zh-CN"/>
        </w:rPr>
        <w:t>谈判</w:t>
      </w:r>
      <w:r>
        <w:rPr>
          <w:rFonts w:hint="eastAsia" w:ascii="宋体" w:hAnsi="宋体" w:cs="宋体"/>
          <w:color w:val="auto"/>
          <w:kern w:val="0"/>
          <w:sz w:val="24"/>
          <w:szCs w:val="24"/>
          <w:highlight w:val="none"/>
        </w:rPr>
        <w:t>文件要求，在“偏离说明”中注明“正偏离”、“负偏离”或者“无偏离”。既不属于“正偏离”也不属于“负偏离”即为“无偏离”。 当响应文件的商务内容低于竞争性</w:t>
      </w:r>
      <w:r>
        <w:rPr>
          <w:rFonts w:hint="eastAsia" w:ascii="宋体" w:hAnsi="宋体" w:cs="宋体"/>
          <w:color w:val="auto"/>
          <w:kern w:val="0"/>
          <w:sz w:val="24"/>
          <w:szCs w:val="24"/>
          <w:highlight w:val="none"/>
          <w:lang w:val="en-US" w:eastAsia="zh-CN"/>
        </w:rPr>
        <w:t>谈判</w:t>
      </w:r>
      <w:r>
        <w:rPr>
          <w:rFonts w:hint="eastAsia" w:ascii="宋体" w:hAnsi="宋体" w:cs="宋体"/>
          <w:color w:val="auto"/>
          <w:kern w:val="0"/>
          <w:sz w:val="24"/>
          <w:szCs w:val="24"/>
          <w:highlight w:val="none"/>
        </w:rPr>
        <w:t>采购文件要求时，竞标人应当如实写明“负偏离”，否则视为虚假应标</w:t>
      </w:r>
    </w:p>
    <w:p w14:paraId="1FFE8F19">
      <w:pPr>
        <w:pStyle w:val="9"/>
        <w:spacing w:line="400" w:lineRule="exact"/>
        <w:ind w:firstLine="0" w:firstLineChars="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3.表格内容均需按要求填写并盖章，不得留空，否则按竞标无效处理。</w:t>
      </w:r>
    </w:p>
    <w:p w14:paraId="77FA289A">
      <w:pPr>
        <w:pStyle w:val="9"/>
        <w:spacing w:line="400" w:lineRule="exact"/>
        <w:ind w:firstLine="0" w:firstLineChars="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w:t>
      </w:r>
    </w:p>
    <w:p w14:paraId="5B75D2C6">
      <w:pPr>
        <w:pStyle w:val="9"/>
        <w:spacing w:line="400" w:lineRule="exact"/>
        <w:ind w:firstLine="0" w:firstLineChars="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 如技术偏离表中的竞标响应与佐证材料不一致的，以佐证材料为准。</w:t>
      </w:r>
    </w:p>
    <w:p w14:paraId="08EA5B9F">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425DD587">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DD5EC75">
      <w:pPr>
        <w:tabs>
          <w:tab w:val="left" w:pos="3479"/>
        </w:tabs>
        <w:spacing w:line="520" w:lineRule="exact"/>
        <w:jc w:val="center"/>
        <w:rPr>
          <w:rFonts w:hint="eastAsia" w:ascii="宋体" w:hAnsi="宋体" w:cs="宋体"/>
          <w:color w:val="auto"/>
          <w:kern w:val="0"/>
          <w:sz w:val="24"/>
          <w:highlight w:val="none"/>
          <w:lang w:val="zh-CN"/>
        </w:rPr>
        <w:sectPr>
          <w:pgSz w:w="11910" w:h="16840"/>
          <w:pgMar w:top="1134" w:right="1134" w:bottom="1134" w:left="1134" w:header="850" w:footer="567" w:gutter="0"/>
          <w:cols w:space="720" w:num="1"/>
          <w:docGrid w:linePitch="286" w:charSpace="0"/>
        </w:sectPr>
      </w:pPr>
      <w:r>
        <w:rPr>
          <w:rFonts w:hint="eastAsia" w:ascii="宋体" w:hAnsi="宋体" w:cs="宋体"/>
          <w:color w:val="auto"/>
          <w:kern w:val="0"/>
          <w:sz w:val="24"/>
          <w:highlight w:val="none"/>
          <w:lang w:val="zh-CN"/>
        </w:rPr>
        <w:t xml:space="preserve">日期： 年  月 </w:t>
      </w:r>
    </w:p>
    <w:p w14:paraId="3D2810DE">
      <w:p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t>七、施工组织设计</w:t>
      </w:r>
    </w:p>
    <w:p w14:paraId="0215B6E2">
      <w:pPr>
        <w:pStyle w:val="26"/>
        <w:spacing w:line="360" w:lineRule="exact"/>
        <w:ind w:firstLine="420" w:firstLineChars="200"/>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rPr>
        <w:t>1.</w:t>
      </w:r>
      <w:r>
        <w:rPr>
          <w:rFonts w:hint="eastAsia" w:ascii="Times New Roman" w:hAnsi="Times New Roman" w:cs="Times New Roman"/>
          <w:color w:val="auto"/>
          <w:sz w:val="21"/>
          <w:szCs w:val="21"/>
          <w:highlight w:val="none"/>
        </w:rPr>
        <w:t>供应商</w:t>
      </w:r>
      <w:r>
        <w:rPr>
          <w:rFonts w:ascii="Times New Roman" w:hAnsi="Times New Roman" w:cs="Times New Roman"/>
          <w:color w:val="auto"/>
          <w:sz w:val="21"/>
          <w:szCs w:val="21"/>
          <w:highlight w:val="none"/>
        </w:rPr>
        <w:t>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 施工组织设计还应结合工程特点提出切实可行的工程质量、工程进度、安全生产、文明施工、环境保护管理方案。</w:t>
      </w:r>
    </w:p>
    <w:p w14:paraId="71A4F075">
      <w:pPr>
        <w:pStyle w:val="26"/>
        <w:spacing w:line="360" w:lineRule="exact"/>
        <w:ind w:firstLine="440"/>
        <w:jc w:val="both"/>
        <w:rPr>
          <w:rFonts w:hint="eastAsia"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施工组织设计应附的文字说明如下(不限于)</w:t>
      </w:r>
      <w:r>
        <w:rPr>
          <w:rFonts w:hint="eastAsia" w:ascii="Times New Roman" w:hAnsi="Times New Roman" w:cs="Times New Roman"/>
          <w:color w:val="auto"/>
          <w:sz w:val="21"/>
          <w:szCs w:val="21"/>
          <w:highlight w:val="none"/>
        </w:rPr>
        <w:t>：</w:t>
      </w:r>
    </w:p>
    <w:p w14:paraId="2FAC8C60">
      <w:pPr>
        <w:pStyle w:val="22"/>
        <w:numPr>
          <w:ilvl w:val="0"/>
          <w:numId w:val="0"/>
        </w:numPr>
        <w:spacing w:line="276" w:lineRule="auto"/>
        <w:ind w:firstLine="420" w:firstLineChars="200"/>
        <w:rPr>
          <w:rFonts w:hint="eastAsia"/>
          <w:color w:val="auto"/>
          <w:highlight w:val="none"/>
        </w:rPr>
      </w:pPr>
      <w:bookmarkStart w:id="67" w:name="bookmark2221"/>
      <w:bookmarkEnd w:id="67"/>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主要施工方法</w:t>
      </w:r>
    </w:p>
    <w:p w14:paraId="37DEA7D9">
      <w:pPr>
        <w:pStyle w:val="22"/>
        <w:numPr>
          <w:ilvl w:val="0"/>
          <w:numId w:val="0"/>
        </w:numPr>
        <w:spacing w:line="276" w:lineRule="auto"/>
        <w:ind w:firstLine="420" w:firstLineChars="200"/>
        <w:rPr>
          <w:rFonts w:hint="eastAsia" w:ascii="Times New Roman" w:hAnsi="Times New Roman" w:eastAsia="宋体" w:cs="Times New Roman"/>
          <w:color w:val="auto"/>
          <w:highlight w:val="none"/>
          <w:lang w:val="en-US" w:eastAsia="zh-CN"/>
        </w:rPr>
      </w:pPr>
      <w:r>
        <w:rPr>
          <w:rFonts w:hint="eastAsia"/>
          <w:color w:val="auto"/>
          <w:highlight w:val="none"/>
          <w:lang w:eastAsia="zh-CN"/>
        </w:rPr>
        <w:t>（</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lang w:eastAsia="zh-CN"/>
        </w:rPr>
        <w:t>）拟投入的主要物资计划</w:t>
      </w:r>
    </w:p>
    <w:p w14:paraId="49C406AF">
      <w:pPr>
        <w:pStyle w:val="22"/>
        <w:numPr>
          <w:ilvl w:val="0"/>
          <w:numId w:val="0"/>
        </w:numPr>
        <w:spacing w:line="276"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eastAsia="zh-CN"/>
        </w:rPr>
        <w:t>）劳动力安排计划</w:t>
      </w:r>
    </w:p>
    <w:p w14:paraId="3B802942">
      <w:pPr>
        <w:pStyle w:val="22"/>
        <w:numPr>
          <w:ilvl w:val="0"/>
          <w:numId w:val="0"/>
        </w:numPr>
        <w:spacing w:line="276"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lang w:eastAsia="zh-CN"/>
        </w:rPr>
        <w:t>）确保工程质量的技术组织措施</w:t>
      </w:r>
    </w:p>
    <w:p w14:paraId="43383270">
      <w:pPr>
        <w:pStyle w:val="22"/>
        <w:numPr>
          <w:ilvl w:val="0"/>
          <w:numId w:val="0"/>
        </w:numPr>
        <w:spacing w:line="276"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eastAsia="zh-CN"/>
        </w:rPr>
        <w:t>）确保安全生产的技术组织措施</w:t>
      </w:r>
    </w:p>
    <w:p w14:paraId="2A8A927E">
      <w:pPr>
        <w:pStyle w:val="22"/>
        <w:numPr>
          <w:ilvl w:val="0"/>
          <w:numId w:val="0"/>
        </w:numPr>
        <w:spacing w:line="276"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lang w:eastAsia="zh-CN"/>
        </w:rPr>
        <w:t>）确保工期的技术组织措施</w:t>
      </w:r>
    </w:p>
    <w:p w14:paraId="5F5C4782">
      <w:pPr>
        <w:pStyle w:val="22"/>
        <w:numPr>
          <w:ilvl w:val="0"/>
          <w:numId w:val="0"/>
        </w:numPr>
        <w:spacing w:line="276" w:lineRule="auto"/>
        <w:ind w:firstLine="420" w:firstLineChars="200"/>
        <w:rPr>
          <w:rFonts w:ascii="Times New Roman" w:hAnsi="Times New Roman" w:cs="Times New Roman"/>
          <w:color w:val="auto"/>
          <w:sz w:val="21"/>
          <w:szCs w:val="21"/>
          <w:highlight w:val="none"/>
          <w:lang w:val="en-US"/>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7</w:t>
      </w:r>
      <w:r>
        <w:rPr>
          <w:rFonts w:hint="eastAsia" w:ascii="Times New Roman" w:hAnsi="Times New Roman" w:eastAsia="宋体" w:cs="Times New Roman"/>
          <w:color w:val="auto"/>
          <w:highlight w:val="none"/>
          <w:lang w:eastAsia="zh-CN"/>
        </w:rPr>
        <w:t>）确保文明施工的技术组织措施等内容。</w:t>
      </w:r>
    </w:p>
    <w:p w14:paraId="59DACAE4">
      <w:pPr>
        <w:pStyle w:val="26"/>
        <w:spacing w:line="360" w:lineRule="exact"/>
        <w:ind w:firstLine="420" w:firstLineChars="200"/>
        <w:jc w:val="both"/>
        <w:rPr>
          <w:rFonts w:ascii="Times New Roman" w:hAnsi="Times New Roman" w:cs="Times New Roman"/>
          <w:color w:val="auto"/>
          <w:sz w:val="21"/>
          <w:szCs w:val="21"/>
          <w:highlight w:val="none"/>
          <w:lang w:val="en-US"/>
        </w:rPr>
      </w:pPr>
      <w:bookmarkStart w:id="68" w:name="bookmark2227"/>
      <w:bookmarkEnd w:id="68"/>
      <w:r>
        <w:rPr>
          <w:rFonts w:ascii="Times New Roman" w:hAnsi="Times New Roman" w:cs="Times New Roman"/>
          <w:color w:val="auto"/>
          <w:sz w:val="21"/>
          <w:szCs w:val="21"/>
          <w:highlight w:val="none"/>
          <w:lang w:val="en-US"/>
        </w:rPr>
        <w:t>2.施工组织设计除采用文字表述外</w:t>
      </w:r>
      <w:r>
        <w:rPr>
          <w:rFonts w:hint="eastAsia" w:ascii="Times New Roman" w:hAnsi="Times New Roman" w:cs="Times New Roman"/>
          <w:color w:val="auto"/>
          <w:sz w:val="21"/>
          <w:szCs w:val="21"/>
          <w:highlight w:val="none"/>
          <w:lang w:val="en-US"/>
        </w:rPr>
        <w:t>宜</w:t>
      </w:r>
      <w:r>
        <w:rPr>
          <w:rFonts w:ascii="Times New Roman" w:hAnsi="Times New Roman" w:cs="Times New Roman"/>
          <w:color w:val="auto"/>
          <w:sz w:val="21"/>
          <w:szCs w:val="21"/>
          <w:highlight w:val="none"/>
          <w:lang w:val="en-US"/>
        </w:rPr>
        <w:t>附下列图表，图表及格式要求附后。</w:t>
      </w:r>
    </w:p>
    <w:p w14:paraId="1FE2B6C1">
      <w:pPr>
        <w:pStyle w:val="26"/>
        <w:spacing w:line="360" w:lineRule="exact"/>
        <w:ind w:left="440" w:firstLine="0"/>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7）</w:t>
      </w:r>
      <w:r>
        <w:rPr>
          <w:rFonts w:ascii="Times New Roman" w:hAnsi="Times New Roman" w:cs="Times New Roman"/>
          <w:color w:val="auto"/>
          <w:sz w:val="21"/>
          <w:szCs w:val="21"/>
          <w:highlight w:val="none"/>
        </w:rPr>
        <w:t>拟投入本合同工程的主要施工设备表</w:t>
      </w:r>
    </w:p>
    <w:p w14:paraId="38965CDE">
      <w:pPr>
        <w:pStyle w:val="26"/>
        <w:spacing w:line="360" w:lineRule="exact"/>
        <w:ind w:firstLine="420"/>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8）</w:t>
      </w:r>
      <w:r>
        <w:rPr>
          <w:rFonts w:ascii="Times New Roman" w:hAnsi="Times New Roman" w:cs="Times New Roman"/>
          <w:color w:val="auto"/>
          <w:sz w:val="21"/>
          <w:szCs w:val="21"/>
          <w:highlight w:val="none"/>
        </w:rPr>
        <w:t>拟投入本合同工程的试验和检测仪器设备表</w:t>
      </w:r>
    </w:p>
    <w:p w14:paraId="74DFFA8E">
      <w:pPr>
        <w:pStyle w:val="26"/>
        <w:spacing w:line="360" w:lineRule="exact"/>
        <w:ind w:firstLine="420"/>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9）</w:t>
      </w:r>
      <w:r>
        <w:rPr>
          <w:rFonts w:ascii="Times New Roman" w:hAnsi="Times New Roman" w:cs="Times New Roman"/>
          <w:color w:val="auto"/>
          <w:sz w:val="21"/>
          <w:szCs w:val="21"/>
          <w:highlight w:val="none"/>
        </w:rPr>
        <w:t>拟投入本合同工程的劳动力计划表</w:t>
      </w:r>
    </w:p>
    <w:p w14:paraId="69B5C828">
      <w:pPr>
        <w:pStyle w:val="26"/>
        <w:spacing w:line="360" w:lineRule="exact"/>
        <w:ind w:firstLine="420"/>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10）</w:t>
      </w:r>
      <w:r>
        <w:rPr>
          <w:rFonts w:ascii="Times New Roman" w:hAnsi="Times New Roman" w:cs="Times New Roman"/>
          <w:color w:val="auto"/>
          <w:sz w:val="21"/>
          <w:szCs w:val="21"/>
          <w:highlight w:val="none"/>
        </w:rPr>
        <w:t>拟投入本合同工程的材料进场计划表</w:t>
      </w:r>
    </w:p>
    <w:p w14:paraId="205160F1">
      <w:pPr>
        <w:pStyle w:val="26"/>
        <w:spacing w:line="360" w:lineRule="exact"/>
        <w:ind w:firstLine="420"/>
        <w:jc w:val="both"/>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rPr>
        <w:t>（11）</w:t>
      </w:r>
      <w:r>
        <w:rPr>
          <w:rFonts w:ascii="Times New Roman" w:hAnsi="Times New Roman" w:cs="Times New Roman"/>
          <w:color w:val="auto"/>
          <w:sz w:val="21"/>
          <w:szCs w:val="21"/>
          <w:highlight w:val="none"/>
        </w:rPr>
        <w:t>计划开工日期、完工日期和施工进度网络图(或横递图)</w:t>
      </w:r>
    </w:p>
    <w:p w14:paraId="75F89336">
      <w:pPr>
        <w:pStyle w:val="26"/>
        <w:spacing w:line="360" w:lineRule="exact"/>
        <w:ind w:firstLine="420"/>
        <w:jc w:val="both"/>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rPr>
        <w:t>（12）</w:t>
      </w:r>
      <w:r>
        <w:rPr>
          <w:rFonts w:ascii="Times New Roman" w:hAnsi="Times New Roman" w:cs="Times New Roman"/>
          <w:color w:val="auto"/>
          <w:sz w:val="21"/>
          <w:szCs w:val="21"/>
          <w:highlight w:val="none"/>
        </w:rPr>
        <w:t>平面图</w:t>
      </w:r>
    </w:p>
    <w:p w14:paraId="1DE6F22A">
      <w:pPr>
        <w:pStyle w:val="26"/>
        <w:spacing w:after="160" w:line="360" w:lineRule="exact"/>
        <w:ind w:firstLine="420"/>
        <w:jc w:val="both"/>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rPr>
        <w:t>（13）</w:t>
      </w:r>
      <w:r>
        <w:rPr>
          <w:rFonts w:ascii="Times New Roman" w:hAnsi="Times New Roman" w:cs="Times New Roman"/>
          <w:color w:val="auto"/>
          <w:sz w:val="21"/>
          <w:szCs w:val="21"/>
          <w:highlight w:val="none"/>
        </w:rPr>
        <w:t>临时用地表</w:t>
      </w:r>
    </w:p>
    <w:p w14:paraId="3192AF65">
      <w:pPr>
        <w:pStyle w:val="26"/>
        <w:spacing w:line="360" w:lineRule="exact"/>
        <w:ind w:firstLine="420" w:firstLineChars="200"/>
        <w:jc w:val="both"/>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rPr>
        <w:t>3</w:t>
      </w:r>
      <w:r>
        <w:rPr>
          <w:rFonts w:ascii="Times New Roman" w:hAnsi="Times New Roman" w:cs="Times New Roman"/>
          <w:color w:val="auto"/>
          <w:sz w:val="21"/>
          <w:szCs w:val="21"/>
          <w:highlight w:val="none"/>
          <w:lang w:val="en-US"/>
        </w:rPr>
        <w:t>.</w:t>
      </w:r>
      <w:r>
        <w:rPr>
          <w:rFonts w:hint="eastAsia" w:ascii="Times New Roman" w:hAnsi="Times New Roman" w:cs="Times New Roman"/>
          <w:color w:val="auto"/>
          <w:sz w:val="21"/>
          <w:szCs w:val="21"/>
          <w:highlight w:val="none"/>
          <w:lang w:val="en-US"/>
        </w:rPr>
        <w:t>供应商必须按照</w:t>
      </w:r>
      <w:r>
        <w:rPr>
          <w:rFonts w:ascii="Times New Roman" w:hAnsi="Times New Roman" w:cs="Times New Roman"/>
          <w:color w:val="auto"/>
          <w:sz w:val="21"/>
          <w:szCs w:val="21"/>
          <w:highlight w:val="none"/>
          <w:lang w:val="en-US"/>
        </w:rPr>
        <w:t>施工组织设计</w:t>
      </w:r>
      <w:r>
        <w:rPr>
          <w:rFonts w:hint="eastAsia" w:ascii="Times New Roman" w:hAnsi="Times New Roman" w:cs="Times New Roman"/>
          <w:color w:val="auto"/>
          <w:sz w:val="21"/>
          <w:szCs w:val="21"/>
          <w:highlight w:val="none"/>
          <w:lang w:val="en-US"/>
        </w:rPr>
        <w:t>的编制要求编制，否则竞标无效</w:t>
      </w:r>
      <w:r>
        <w:rPr>
          <w:rFonts w:ascii="Times New Roman" w:hAnsi="Times New Roman" w:cs="Times New Roman"/>
          <w:color w:val="auto"/>
          <w:sz w:val="21"/>
          <w:szCs w:val="21"/>
          <w:highlight w:val="none"/>
          <w:lang w:val="en-US"/>
        </w:rPr>
        <w:t>。</w:t>
      </w:r>
    </w:p>
    <w:p w14:paraId="4B0C194E">
      <w:pPr>
        <w:tabs>
          <w:tab w:val="left" w:pos="3479"/>
        </w:tabs>
        <w:spacing w:line="520" w:lineRule="exact"/>
        <w:jc w:val="center"/>
        <w:rPr>
          <w:rFonts w:ascii="方正小标宋简体" w:hAnsi="方正小标宋简体" w:eastAsia="方正小标宋简体" w:cs="方正小标宋简体"/>
          <w:bCs/>
          <w:color w:val="auto"/>
          <w:szCs w:val="21"/>
          <w:highlight w:val="none"/>
        </w:rPr>
        <w:sectPr>
          <w:pgSz w:w="11910" w:h="16840"/>
          <w:pgMar w:top="1134" w:right="1134" w:bottom="1134" w:left="1134" w:header="850" w:footer="567" w:gutter="0"/>
          <w:cols w:space="720" w:num="1"/>
          <w:docGrid w:linePitch="286" w:charSpace="0"/>
        </w:sectPr>
      </w:pPr>
    </w:p>
    <w:p w14:paraId="77CB93BB">
      <w:pPr>
        <w:pStyle w:val="27"/>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附件一：拟投入本合同的主要施工设备表</w:t>
      </w:r>
    </w:p>
    <w:p w14:paraId="5744B34D">
      <w:pPr>
        <w:pStyle w:val="27"/>
        <w:rPr>
          <w:color w:val="auto"/>
          <w:highlight w:val="none"/>
          <w:lang w:eastAsia="zh-CN"/>
        </w:rPr>
      </w:pPr>
    </w:p>
    <w:p w14:paraId="2AC86681">
      <w:pPr>
        <w:pStyle w:val="27"/>
        <w:jc w:val="center"/>
        <w:rPr>
          <w:rFonts w:ascii="宋体" w:hAnsi="宋体" w:eastAsia="宋体" w:cs="宋体"/>
          <w:b/>
          <w:color w:val="auto"/>
          <w:highlight w:val="none"/>
          <w:lang w:eastAsia="zh-CN"/>
        </w:rPr>
      </w:pPr>
      <w:bookmarkStart w:id="69" w:name="bookmark2232"/>
      <w:bookmarkStart w:id="70" w:name="bookmark2231"/>
      <w:bookmarkStart w:id="71" w:name="_Toc19570"/>
      <w:bookmarkStart w:id="72" w:name="bookmark2233"/>
      <w:bookmarkStart w:id="73" w:name="_Toc13379"/>
      <w:r>
        <w:rPr>
          <w:rFonts w:hint="eastAsia" w:ascii="宋体" w:hAnsi="宋体" w:eastAsia="宋体" w:cs="宋体"/>
          <w:b/>
          <w:color w:val="auto"/>
          <w:highlight w:val="none"/>
          <w:lang w:eastAsia="zh-CN"/>
        </w:rPr>
        <w:t>拟投入本合同的主要施工设备表</w:t>
      </w:r>
      <w:bookmarkEnd w:id="69"/>
      <w:bookmarkEnd w:id="70"/>
      <w:bookmarkEnd w:id="71"/>
      <w:bookmarkEnd w:id="72"/>
      <w:bookmarkEnd w:id="73"/>
    </w:p>
    <w:tbl>
      <w:tblPr>
        <w:tblStyle w:val="17"/>
        <w:tblW w:w="0" w:type="auto"/>
        <w:jc w:val="center"/>
        <w:tblLayout w:type="fixed"/>
        <w:tblCellMar>
          <w:top w:w="0" w:type="dxa"/>
          <w:left w:w="10" w:type="dxa"/>
          <w:bottom w:w="0" w:type="dxa"/>
          <w:right w:w="10" w:type="dxa"/>
        </w:tblCellMar>
      </w:tblPr>
      <w:tblGrid>
        <w:gridCol w:w="504"/>
        <w:gridCol w:w="1133"/>
        <w:gridCol w:w="864"/>
        <w:gridCol w:w="869"/>
        <w:gridCol w:w="864"/>
        <w:gridCol w:w="864"/>
        <w:gridCol w:w="864"/>
        <w:gridCol w:w="864"/>
        <w:gridCol w:w="864"/>
        <w:gridCol w:w="874"/>
      </w:tblGrid>
      <w:tr w14:paraId="1EA10EE0">
        <w:tblPrEx>
          <w:tblCellMar>
            <w:top w:w="0" w:type="dxa"/>
            <w:left w:w="10" w:type="dxa"/>
            <w:bottom w:w="0" w:type="dxa"/>
            <w:right w:w="10" w:type="dxa"/>
          </w:tblCellMar>
        </w:tblPrEx>
        <w:trPr>
          <w:trHeight w:val="1142" w:hRule="exact"/>
          <w:jc w:val="center"/>
        </w:trPr>
        <w:tc>
          <w:tcPr>
            <w:tcW w:w="504" w:type="dxa"/>
            <w:tcBorders>
              <w:top w:val="single" w:color="auto" w:sz="4" w:space="0"/>
              <w:left w:val="single" w:color="auto" w:sz="4" w:space="0"/>
            </w:tcBorders>
            <w:shd w:val="clear" w:color="auto" w:fill="FFFFFF"/>
            <w:noWrap w:val="0"/>
            <w:vAlign w:val="center"/>
          </w:tcPr>
          <w:p w14:paraId="4D8D8EE8">
            <w:pPr>
              <w:pStyle w:val="29"/>
              <w:spacing w:line="264" w:lineRule="exact"/>
              <w:ind w:firstLine="0"/>
              <w:jc w:val="center"/>
              <w:rPr>
                <w:color w:val="auto"/>
                <w:sz w:val="21"/>
                <w:szCs w:val="21"/>
                <w:highlight w:val="none"/>
              </w:rPr>
            </w:pPr>
            <w:r>
              <w:rPr>
                <w:color w:val="auto"/>
                <w:sz w:val="21"/>
                <w:szCs w:val="21"/>
                <w:highlight w:val="none"/>
              </w:rPr>
              <w:t>序 号</w:t>
            </w:r>
          </w:p>
        </w:tc>
        <w:tc>
          <w:tcPr>
            <w:tcW w:w="1133" w:type="dxa"/>
            <w:tcBorders>
              <w:top w:val="single" w:color="auto" w:sz="4" w:space="0"/>
              <w:left w:val="single" w:color="auto" w:sz="4" w:space="0"/>
            </w:tcBorders>
            <w:shd w:val="clear" w:color="auto" w:fill="FFFFFF"/>
            <w:noWrap w:val="0"/>
            <w:vAlign w:val="center"/>
          </w:tcPr>
          <w:p w14:paraId="72A9847E">
            <w:pPr>
              <w:pStyle w:val="29"/>
              <w:spacing w:line="269" w:lineRule="exact"/>
              <w:ind w:left="180" w:firstLine="0"/>
              <w:jc w:val="center"/>
              <w:rPr>
                <w:color w:val="auto"/>
                <w:sz w:val="21"/>
                <w:szCs w:val="21"/>
                <w:highlight w:val="none"/>
              </w:rPr>
            </w:pPr>
            <w:r>
              <w:rPr>
                <w:color w:val="auto"/>
                <w:sz w:val="21"/>
                <w:szCs w:val="21"/>
                <w:highlight w:val="none"/>
              </w:rPr>
              <w:t>施工机械</w:t>
            </w:r>
          </w:p>
          <w:p w14:paraId="233EBA7A">
            <w:pPr>
              <w:pStyle w:val="29"/>
              <w:spacing w:line="269" w:lineRule="exact"/>
              <w:ind w:left="180" w:firstLine="0"/>
              <w:jc w:val="center"/>
              <w:rPr>
                <w:color w:val="auto"/>
                <w:sz w:val="21"/>
                <w:szCs w:val="21"/>
                <w:highlight w:val="none"/>
              </w:rPr>
            </w:pPr>
            <w:r>
              <w:rPr>
                <w:color w:val="auto"/>
                <w:sz w:val="21"/>
                <w:szCs w:val="21"/>
                <w:highlight w:val="none"/>
              </w:rPr>
              <w:t>名 称</w:t>
            </w:r>
          </w:p>
        </w:tc>
        <w:tc>
          <w:tcPr>
            <w:tcW w:w="864" w:type="dxa"/>
            <w:tcBorders>
              <w:top w:val="single" w:color="auto" w:sz="4" w:space="0"/>
              <w:left w:val="single" w:color="auto" w:sz="4" w:space="0"/>
            </w:tcBorders>
            <w:shd w:val="clear" w:color="auto" w:fill="FFFFFF"/>
            <w:noWrap w:val="0"/>
            <w:vAlign w:val="center"/>
          </w:tcPr>
          <w:p w14:paraId="3E7FD3B0">
            <w:pPr>
              <w:pStyle w:val="29"/>
              <w:spacing w:after="60" w:line="240" w:lineRule="auto"/>
              <w:ind w:firstLine="0"/>
              <w:jc w:val="center"/>
              <w:rPr>
                <w:color w:val="auto"/>
                <w:sz w:val="21"/>
                <w:szCs w:val="21"/>
                <w:highlight w:val="none"/>
              </w:rPr>
            </w:pPr>
            <w:r>
              <w:rPr>
                <w:color w:val="auto"/>
                <w:sz w:val="21"/>
                <w:szCs w:val="21"/>
                <w:highlight w:val="none"/>
              </w:rPr>
              <w:t>型号</w:t>
            </w:r>
          </w:p>
          <w:p w14:paraId="3364A687">
            <w:pPr>
              <w:pStyle w:val="29"/>
              <w:spacing w:line="240" w:lineRule="auto"/>
              <w:ind w:firstLine="0"/>
              <w:jc w:val="center"/>
              <w:rPr>
                <w:color w:val="auto"/>
                <w:sz w:val="21"/>
                <w:szCs w:val="21"/>
                <w:highlight w:val="none"/>
              </w:rPr>
            </w:pPr>
            <w:r>
              <w:rPr>
                <w:color w:val="auto"/>
                <w:sz w:val="21"/>
                <w:szCs w:val="21"/>
                <w:highlight w:val="none"/>
              </w:rPr>
              <w:t>规格</w:t>
            </w:r>
          </w:p>
        </w:tc>
        <w:tc>
          <w:tcPr>
            <w:tcW w:w="869" w:type="dxa"/>
            <w:tcBorders>
              <w:top w:val="single" w:color="auto" w:sz="4" w:space="0"/>
              <w:left w:val="single" w:color="auto" w:sz="4" w:space="0"/>
            </w:tcBorders>
            <w:shd w:val="clear" w:color="auto" w:fill="FFFFFF"/>
            <w:noWrap w:val="0"/>
            <w:vAlign w:val="center"/>
          </w:tcPr>
          <w:p w14:paraId="313778EC">
            <w:pPr>
              <w:pStyle w:val="29"/>
              <w:spacing w:line="240" w:lineRule="auto"/>
              <w:ind w:firstLine="0"/>
              <w:jc w:val="center"/>
              <w:rPr>
                <w:color w:val="auto"/>
                <w:sz w:val="21"/>
                <w:szCs w:val="21"/>
                <w:highlight w:val="none"/>
              </w:rPr>
            </w:pPr>
            <w:r>
              <w:rPr>
                <w:color w:val="auto"/>
                <w:sz w:val="21"/>
                <w:szCs w:val="21"/>
                <w:highlight w:val="none"/>
              </w:rPr>
              <w:t>数量</w:t>
            </w:r>
          </w:p>
        </w:tc>
        <w:tc>
          <w:tcPr>
            <w:tcW w:w="864" w:type="dxa"/>
            <w:tcBorders>
              <w:top w:val="single" w:color="auto" w:sz="4" w:space="0"/>
              <w:left w:val="single" w:color="auto" w:sz="4" w:space="0"/>
            </w:tcBorders>
            <w:shd w:val="clear" w:color="auto" w:fill="FFFFFF"/>
            <w:noWrap w:val="0"/>
            <w:vAlign w:val="center"/>
          </w:tcPr>
          <w:p w14:paraId="049A3AA4">
            <w:pPr>
              <w:pStyle w:val="29"/>
              <w:spacing w:line="266" w:lineRule="exact"/>
              <w:ind w:firstLine="0"/>
              <w:jc w:val="center"/>
              <w:rPr>
                <w:color w:val="auto"/>
                <w:sz w:val="21"/>
                <w:szCs w:val="21"/>
                <w:highlight w:val="none"/>
              </w:rPr>
            </w:pPr>
            <w:r>
              <w:rPr>
                <w:color w:val="auto"/>
                <w:sz w:val="21"/>
                <w:szCs w:val="21"/>
                <w:highlight w:val="none"/>
              </w:rPr>
              <w:t>制造 年份</w:t>
            </w:r>
          </w:p>
        </w:tc>
        <w:tc>
          <w:tcPr>
            <w:tcW w:w="864" w:type="dxa"/>
            <w:tcBorders>
              <w:top w:val="single" w:color="auto" w:sz="4" w:space="0"/>
              <w:left w:val="single" w:color="auto" w:sz="4" w:space="0"/>
            </w:tcBorders>
            <w:shd w:val="clear" w:color="auto" w:fill="FFFFFF"/>
            <w:noWrap w:val="0"/>
            <w:vAlign w:val="center"/>
          </w:tcPr>
          <w:p w14:paraId="4BA727E9">
            <w:pPr>
              <w:pStyle w:val="29"/>
              <w:spacing w:line="265" w:lineRule="exact"/>
              <w:ind w:firstLine="0"/>
              <w:jc w:val="center"/>
              <w:rPr>
                <w:color w:val="auto"/>
                <w:sz w:val="21"/>
                <w:szCs w:val="21"/>
                <w:highlight w:val="none"/>
              </w:rPr>
            </w:pPr>
            <w:r>
              <w:rPr>
                <w:color w:val="auto"/>
                <w:sz w:val="21"/>
                <w:szCs w:val="21"/>
                <w:highlight w:val="none"/>
              </w:rPr>
              <w:t xml:space="preserve">额定功率 </w:t>
            </w:r>
            <w:r>
              <w:rPr>
                <w:rFonts w:ascii="Times New Roman" w:hAnsi="Times New Roman" w:eastAsia="Times New Roman" w:cs="Times New Roman"/>
                <w:color w:val="auto"/>
                <w:sz w:val="21"/>
                <w:szCs w:val="21"/>
                <w:highlight w:val="none"/>
                <w:lang w:val="en-US" w:bidi="en-US"/>
              </w:rPr>
              <w:t>（KW）</w:t>
            </w:r>
            <w:r>
              <w:rPr>
                <w:color w:val="auto"/>
                <w:sz w:val="21"/>
                <w:szCs w:val="21"/>
                <w:highlight w:val="none"/>
              </w:rPr>
              <w:t>或 生产能力</w:t>
            </w:r>
          </w:p>
        </w:tc>
        <w:tc>
          <w:tcPr>
            <w:tcW w:w="864" w:type="dxa"/>
            <w:tcBorders>
              <w:top w:val="single" w:color="auto" w:sz="4" w:space="0"/>
              <w:left w:val="single" w:color="auto" w:sz="4" w:space="0"/>
            </w:tcBorders>
            <w:shd w:val="clear" w:color="auto" w:fill="FFFFFF"/>
            <w:noWrap w:val="0"/>
            <w:vAlign w:val="center"/>
          </w:tcPr>
          <w:p w14:paraId="31705C0B">
            <w:pPr>
              <w:pStyle w:val="29"/>
              <w:spacing w:line="240" w:lineRule="auto"/>
              <w:ind w:firstLine="0"/>
              <w:jc w:val="center"/>
              <w:rPr>
                <w:color w:val="auto"/>
                <w:sz w:val="21"/>
                <w:szCs w:val="21"/>
                <w:highlight w:val="none"/>
              </w:rPr>
            </w:pPr>
            <w:r>
              <w:rPr>
                <w:color w:val="auto"/>
                <w:sz w:val="21"/>
                <w:szCs w:val="21"/>
                <w:highlight w:val="none"/>
              </w:rPr>
              <w:t>现在何处</w:t>
            </w:r>
          </w:p>
        </w:tc>
        <w:tc>
          <w:tcPr>
            <w:tcW w:w="864" w:type="dxa"/>
            <w:tcBorders>
              <w:top w:val="single" w:color="auto" w:sz="4" w:space="0"/>
              <w:left w:val="single" w:color="auto" w:sz="4" w:space="0"/>
            </w:tcBorders>
            <w:shd w:val="clear" w:color="auto" w:fill="FFFFFF"/>
            <w:noWrap w:val="0"/>
            <w:vAlign w:val="center"/>
          </w:tcPr>
          <w:p w14:paraId="0C061B47">
            <w:pPr>
              <w:pStyle w:val="29"/>
              <w:spacing w:line="240" w:lineRule="auto"/>
              <w:ind w:firstLine="0"/>
              <w:jc w:val="center"/>
              <w:rPr>
                <w:color w:val="auto"/>
                <w:sz w:val="21"/>
                <w:szCs w:val="21"/>
                <w:highlight w:val="none"/>
              </w:rPr>
            </w:pPr>
            <w:r>
              <w:rPr>
                <w:color w:val="auto"/>
                <w:sz w:val="21"/>
                <w:szCs w:val="21"/>
                <w:highlight w:val="none"/>
              </w:rPr>
              <w:t>进场时间</w:t>
            </w:r>
          </w:p>
        </w:tc>
        <w:tc>
          <w:tcPr>
            <w:tcW w:w="864" w:type="dxa"/>
            <w:tcBorders>
              <w:top w:val="single" w:color="auto" w:sz="4" w:space="0"/>
              <w:left w:val="single" w:color="auto" w:sz="4" w:space="0"/>
            </w:tcBorders>
            <w:shd w:val="clear" w:color="auto" w:fill="FFFFFF"/>
            <w:noWrap w:val="0"/>
            <w:vAlign w:val="center"/>
          </w:tcPr>
          <w:p w14:paraId="50616BCA">
            <w:pPr>
              <w:pStyle w:val="29"/>
              <w:spacing w:line="240" w:lineRule="auto"/>
              <w:ind w:firstLine="0"/>
              <w:jc w:val="center"/>
              <w:rPr>
                <w:color w:val="auto"/>
                <w:sz w:val="21"/>
                <w:szCs w:val="21"/>
                <w:highlight w:val="none"/>
              </w:rPr>
            </w:pPr>
            <w:r>
              <w:rPr>
                <w:color w:val="auto"/>
                <w:sz w:val="21"/>
                <w:szCs w:val="21"/>
                <w:highlight w:val="none"/>
              </w:rPr>
              <w:t>退场时间</w:t>
            </w:r>
          </w:p>
        </w:tc>
        <w:tc>
          <w:tcPr>
            <w:tcW w:w="874" w:type="dxa"/>
            <w:tcBorders>
              <w:top w:val="single" w:color="auto" w:sz="4" w:space="0"/>
              <w:left w:val="single" w:color="auto" w:sz="4" w:space="0"/>
              <w:right w:val="single" w:color="auto" w:sz="4" w:space="0"/>
            </w:tcBorders>
            <w:shd w:val="clear" w:color="auto" w:fill="FFFFFF"/>
            <w:noWrap w:val="0"/>
            <w:vAlign w:val="center"/>
          </w:tcPr>
          <w:p w14:paraId="47B67996">
            <w:pPr>
              <w:pStyle w:val="29"/>
              <w:spacing w:line="257" w:lineRule="exact"/>
              <w:ind w:firstLine="0"/>
              <w:jc w:val="center"/>
              <w:rPr>
                <w:color w:val="auto"/>
                <w:sz w:val="21"/>
                <w:szCs w:val="21"/>
                <w:highlight w:val="none"/>
              </w:rPr>
            </w:pPr>
            <w:r>
              <w:rPr>
                <w:color w:val="auto"/>
                <w:sz w:val="21"/>
                <w:szCs w:val="21"/>
                <w:highlight w:val="none"/>
              </w:rPr>
              <w:t>用于施工 部位</w:t>
            </w:r>
          </w:p>
        </w:tc>
      </w:tr>
      <w:tr w14:paraId="5F358F32">
        <w:tblPrEx>
          <w:tblCellMar>
            <w:top w:w="0" w:type="dxa"/>
            <w:left w:w="10" w:type="dxa"/>
            <w:bottom w:w="0" w:type="dxa"/>
            <w:right w:w="10" w:type="dxa"/>
          </w:tblCellMar>
        </w:tblPrEx>
        <w:trPr>
          <w:trHeight w:val="566" w:hRule="exact"/>
          <w:jc w:val="center"/>
        </w:trPr>
        <w:tc>
          <w:tcPr>
            <w:tcW w:w="504" w:type="dxa"/>
            <w:tcBorders>
              <w:top w:val="single" w:color="auto" w:sz="4" w:space="0"/>
              <w:left w:val="single" w:color="auto" w:sz="4" w:space="0"/>
            </w:tcBorders>
            <w:shd w:val="clear" w:color="auto" w:fill="FFFFFF"/>
            <w:noWrap w:val="0"/>
            <w:vAlign w:val="top"/>
          </w:tcPr>
          <w:p w14:paraId="29E385D4">
            <w:pPr>
              <w:pStyle w:val="27"/>
              <w:rPr>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140641B3">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19EADDF5">
            <w:pPr>
              <w:pStyle w:val="27"/>
              <w:rPr>
                <w:color w:val="auto"/>
                <w:sz w:val="21"/>
                <w:szCs w:val="21"/>
                <w:highlight w:val="none"/>
              </w:rPr>
            </w:pPr>
          </w:p>
        </w:tc>
        <w:tc>
          <w:tcPr>
            <w:tcW w:w="869" w:type="dxa"/>
            <w:tcBorders>
              <w:top w:val="single" w:color="auto" w:sz="4" w:space="0"/>
              <w:left w:val="single" w:color="auto" w:sz="4" w:space="0"/>
            </w:tcBorders>
            <w:shd w:val="clear" w:color="auto" w:fill="FFFFFF"/>
            <w:noWrap w:val="0"/>
            <w:vAlign w:val="top"/>
          </w:tcPr>
          <w:p w14:paraId="02AC3F3E">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0C7F6D83">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024448B7">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41F612A5">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7550685B">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320635F8">
            <w:pPr>
              <w:pStyle w:val="27"/>
              <w:rPr>
                <w:color w:val="auto"/>
                <w:sz w:val="21"/>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2E86CCD0">
            <w:pPr>
              <w:pStyle w:val="27"/>
              <w:rPr>
                <w:color w:val="auto"/>
                <w:sz w:val="21"/>
                <w:szCs w:val="21"/>
                <w:highlight w:val="none"/>
              </w:rPr>
            </w:pPr>
          </w:p>
        </w:tc>
      </w:tr>
      <w:tr w14:paraId="5EAF982A">
        <w:tblPrEx>
          <w:tblCellMar>
            <w:top w:w="0" w:type="dxa"/>
            <w:left w:w="10" w:type="dxa"/>
            <w:bottom w:w="0" w:type="dxa"/>
            <w:right w:w="10" w:type="dxa"/>
          </w:tblCellMar>
        </w:tblPrEx>
        <w:trPr>
          <w:trHeight w:val="566" w:hRule="exact"/>
          <w:jc w:val="center"/>
        </w:trPr>
        <w:tc>
          <w:tcPr>
            <w:tcW w:w="504" w:type="dxa"/>
            <w:tcBorders>
              <w:top w:val="single" w:color="auto" w:sz="4" w:space="0"/>
              <w:left w:val="single" w:color="auto" w:sz="4" w:space="0"/>
            </w:tcBorders>
            <w:shd w:val="clear" w:color="auto" w:fill="FFFFFF"/>
            <w:noWrap w:val="0"/>
            <w:vAlign w:val="top"/>
          </w:tcPr>
          <w:p w14:paraId="2DD85690">
            <w:pPr>
              <w:pStyle w:val="27"/>
              <w:rPr>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3E3A50EF">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4A549020">
            <w:pPr>
              <w:pStyle w:val="27"/>
              <w:rPr>
                <w:color w:val="auto"/>
                <w:sz w:val="21"/>
                <w:szCs w:val="21"/>
                <w:highlight w:val="none"/>
              </w:rPr>
            </w:pPr>
          </w:p>
        </w:tc>
        <w:tc>
          <w:tcPr>
            <w:tcW w:w="869" w:type="dxa"/>
            <w:tcBorders>
              <w:top w:val="single" w:color="auto" w:sz="4" w:space="0"/>
              <w:left w:val="single" w:color="auto" w:sz="4" w:space="0"/>
            </w:tcBorders>
            <w:shd w:val="clear" w:color="auto" w:fill="FFFFFF"/>
            <w:noWrap w:val="0"/>
            <w:vAlign w:val="top"/>
          </w:tcPr>
          <w:p w14:paraId="187E0DFC">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4BCA2D9F">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1A5EA03A">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7DD36428">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650C2811">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519323E1">
            <w:pPr>
              <w:pStyle w:val="27"/>
              <w:rPr>
                <w:color w:val="auto"/>
                <w:sz w:val="21"/>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391673F7">
            <w:pPr>
              <w:pStyle w:val="27"/>
              <w:rPr>
                <w:color w:val="auto"/>
                <w:sz w:val="21"/>
                <w:szCs w:val="21"/>
                <w:highlight w:val="none"/>
              </w:rPr>
            </w:pPr>
          </w:p>
        </w:tc>
      </w:tr>
      <w:tr w14:paraId="6DF59EEC">
        <w:tblPrEx>
          <w:tblCellMar>
            <w:top w:w="0" w:type="dxa"/>
            <w:left w:w="10" w:type="dxa"/>
            <w:bottom w:w="0" w:type="dxa"/>
            <w:right w:w="10" w:type="dxa"/>
          </w:tblCellMar>
        </w:tblPrEx>
        <w:trPr>
          <w:trHeight w:val="566" w:hRule="exact"/>
          <w:jc w:val="center"/>
        </w:trPr>
        <w:tc>
          <w:tcPr>
            <w:tcW w:w="504" w:type="dxa"/>
            <w:tcBorders>
              <w:top w:val="single" w:color="auto" w:sz="4" w:space="0"/>
              <w:left w:val="single" w:color="auto" w:sz="4" w:space="0"/>
            </w:tcBorders>
            <w:shd w:val="clear" w:color="auto" w:fill="FFFFFF"/>
            <w:noWrap w:val="0"/>
            <w:vAlign w:val="top"/>
          </w:tcPr>
          <w:p w14:paraId="5681EDEC">
            <w:pPr>
              <w:pStyle w:val="27"/>
              <w:rPr>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1D88F389">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779F7B75">
            <w:pPr>
              <w:pStyle w:val="27"/>
              <w:rPr>
                <w:color w:val="auto"/>
                <w:sz w:val="21"/>
                <w:szCs w:val="21"/>
                <w:highlight w:val="none"/>
              </w:rPr>
            </w:pPr>
          </w:p>
        </w:tc>
        <w:tc>
          <w:tcPr>
            <w:tcW w:w="869" w:type="dxa"/>
            <w:tcBorders>
              <w:top w:val="single" w:color="auto" w:sz="4" w:space="0"/>
              <w:left w:val="single" w:color="auto" w:sz="4" w:space="0"/>
            </w:tcBorders>
            <w:shd w:val="clear" w:color="auto" w:fill="FFFFFF"/>
            <w:noWrap w:val="0"/>
            <w:vAlign w:val="top"/>
          </w:tcPr>
          <w:p w14:paraId="23C00F3B">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793C5FF9">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09E8E636">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3B0059C8">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06653267">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072A2C2D">
            <w:pPr>
              <w:pStyle w:val="27"/>
              <w:rPr>
                <w:color w:val="auto"/>
                <w:sz w:val="21"/>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2819473E">
            <w:pPr>
              <w:pStyle w:val="27"/>
              <w:rPr>
                <w:color w:val="auto"/>
                <w:sz w:val="21"/>
                <w:szCs w:val="21"/>
                <w:highlight w:val="none"/>
              </w:rPr>
            </w:pPr>
          </w:p>
        </w:tc>
      </w:tr>
      <w:tr w14:paraId="0C322E82">
        <w:tblPrEx>
          <w:tblCellMar>
            <w:top w:w="0" w:type="dxa"/>
            <w:left w:w="10" w:type="dxa"/>
            <w:bottom w:w="0" w:type="dxa"/>
            <w:right w:w="10" w:type="dxa"/>
          </w:tblCellMar>
        </w:tblPrEx>
        <w:trPr>
          <w:trHeight w:val="566" w:hRule="exact"/>
          <w:jc w:val="center"/>
        </w:trPr>
        <w:tc>
          <w:tcPr>
            <w:tcW w:w="504" w:type="dxa"/>
            <w:tcBorders>
              <w:top w:val="single" w:color="auto" w:sz="4" w:space="0"/>
              <w:left w:val="single" w:color="auto" w:sz="4" w:space="0"/>
            </w:tcBorders>
            <w:shd w:val="clear" w:color="auto" w:fill="FFFFFF"/>
            <w:noWrap w:val="0"/>
            <w:vAlign w:val="top"/>
          </w:tcPr>
          <w:p w14:paraId="719077A7">
            <w:pPr>
              <w:pStyle w:val="27"/>
              <w:rPr>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11AD2230">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5327D02B">
            <w:pPr>
              <w:pStyle w:val="27"/>
              <w:rPr>
                <w:color w:val="auto"/>
                <w:sz w:val="21"/>
                <w:szCs w:val="21"/>
                <w:highlight w:val="none"/>
              </w:rPr>
            </w:pPr>
          </w:p>
        </w:tc>
        <w:tc>
          <w:tcPr>
            <w:tcW w:w="869" w:type="dxa"/>
            <w:tcBorders>
              <w:top w:val="single" w:color="auto" w:sz="4" w:space="0"/>
              <w:left w:val="single" w:color="auto" w:sz="4" w:space="0"/>
            </w:tcBorders>
            <w:shd w:val="clear" w:color="auto" w:fill="FFFFFF"/>
            <w:noWrap w:val="0"/>
            <w:vAlign w:val="top"/>
          </w:tcPr>
          <w:p w14:paraId="6F2880D8">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4F26C077">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3CFF0894">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2D5DB52C">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0BF257F4">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6038A28E">
            <w:pPr>
              <w:pStyle w:val="27"/>
              <w:rPr>
                <w:color w:val="auto"/>
                <w:sz w:val="21"/>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0C6A73EA">
            <w:pPr>
              <w:pStyle w:val="27"/>
              <w:rPr>
                <w:color w:val="auto"/>
                <w:sz w:val="21"/>
                <w:szCs w:val="21"/>
                <w:highlight w:val="none"/>
              </w:rPr>
            </w:pPr>
          </w:p>
        </w:tc>
      </w:tr>
      <w:tr w14:paraId="7A351D2C">
        <w:tblPrEx>
          <w:tblCellMar>
            <w:top w:w="0" w:type="dxa"/>
            <w:left w:w="10" w:type="dxa"/>
            <w:bottom w:w="0" w:type="dxa"/>
            <w:right w:w="10" w:type="dxa"/>
          </w:tblCellMar>
        </w:tblPrEx>
        <w:trPr>
          <w:trHeight w:val="566" w:hRule="exact"/>
          <w:jc w:val="center"/>
        </w:trPr>
        <w:tc>
          <w:tcPr>
            <w:tcW w:w="504" w:type="dxa"/>
            <w:tcBorders>
              <w:top w:val="single" w:color="auto" w:sz="4" w:space="0"/>
              <w:left w:val="single" w:color="auto" w:sz="4" w:space="0"/>
            </w:tcBorders>
            <w:shd w:val="clear" w:color="auto" w:fill="FFFFFF"/>
            <w:noWrap w:val="0"/>
            <w:vAlign w:val="top"/>
          </w:tcPr>
          <w:p w14:paraId="584A9CBB">
            <w:pPr>
              <w:pStyle w:val="27"/>
              <w:rPr>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4095DC55">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2E3ADA0C">
            <w:pPr>
              <w:pStyle w:val="27"/>
              <w:rPr>
                <w:color w:val="auto"/>
                <w:sz w:val="21"/>
                <w:szCs w:val="21"/>
                <w:highlight w:val="none"/>
              </w:rPr>
            </w:pPr>
          </w:p>
        </w:tc>
        <w:tc>
          <w:tcPr>
            <w:tcW w:w="869" w:type="dxa"/>
            <w:tcBorders>
              <w:top w:val="single" w:color="auto" w:sz="4" w:space="0"/>
              <w:left w:val="single" w:color="auto" w:sz="4" w:space="0"/>
            </w:tcBorders>
            <w:shd w:val="clear" w:color="auto" w:fill="FFFFFF"/>
            <w:noWrap w:val="0"/>
            <w:vAlign w:val="top"/>
          </w:tcPr>
          <w:p w14:paraId="085E6BC0">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43884029">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3FC27468">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5B5F57DE">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3AC2D8E1">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4DC6E26F">
            <w:pPr>
              <w:pStyle w:val="27"/>
              <w:rPr>
                <w:color w:val="auto"/>
                <w:sz w:val="21"/>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0C008DBF">
            <w:pPr>
              <w:pStyle w:val="27"/>
              <w:rPr>
                <w:color w:val="auto"/>
                <w:sz w:val="21"/>
                <w:szCs w:val="21"/>
                <w:highlight w:val="none"/>
              </w:rPr>
            </w:pPr>
          </w:p>
        </w:tc>
      </w:tr>
      <w:tr w14:paraId="749A4A9A">
        <w:tblPrEx>
          <w:tblCellMar>
            <w:top w:w="0" w:type="dxa"/>
            <w:left w:w="10" w:type="dxa"/>
            <w:bottom w:w="0" w:type="dxa"/>
            <w:right w:w="10" w:type="dxa"/>
          </w:tblCellMar>
        </w:tblPrEx>
        <w:trPr>
          <w:trHeight w:val="566" w:hRule="exact"/>
          <w:jc w:val="center"/>
        </w:trPr>
        <w:tc>
          <w:tcPr>
            <w:tcW w:w="504" w:type="dxa"/>
            <w:tcBorders>
              <w:top w:val="single" w:color="auto" w:sz="4" w:space="0"/>
              <w:left w:val="single" w:color="auto" w:sz="4" w:space="0"/>
            </w:tcBorders>
            <w:shd w:val="clear" w:color="auto" w:fill="FFFFFF"/>
            <w:noWrap w:val="0"/>
            <w:vAlign w:val="top"/>
          </w:tcPr>
          <w:p w14:paraId="2D6728FF">
            <w:pPr>
              <w:pStyle w:val="27"/>
              <w:rPr>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3210E425">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52200B30">
            <w:pPr>
              <w:pStyle w:val="27"/>
              <w:rPr>
                <w:color w:val="auto"/>
                <w:sz w:val="21"/>
                <w:szCs w:val="21"/>
                <w:highlight w:val="none"/>
              </w:rPr>
            </w:pPr>
          </w:p>
        </w:tc>
        <w:tc>
          <w:tcPr>
            <w:tcW w:w="869" w:type="dxa"/>
            <w:tcBorders>
              <w:top w:val="single" w:color="auto" w:sz="4" w:space="0"/>
              <w:left w:val="single" w:color="auto" w:sz="4" w:space="0"/>
            </w:tcBorders>
            <w:shd w:val="clear" w:color="auto" w:fill="FFFFFF"/>
            <w:noWrap w:val="0"/>
            <w:vAlign w:val="top"/>
          </w:tcPr>
          <w:p w14:paraId="7E7C6385">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3C731749">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7A569960">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7FE187CE">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0436B8E8">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4AA46BB8">
            <w:pPr>
              <w:pStyle w:val="27"/>
              <w:rPr>
                <w:color w:val="auto"/>
                <w:sz w:val="21"/>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68DAF0AA">
            <w:pPr>
              <w:pStyle w:val="27"/>
              <w:rPr>
                <w:color w:val="auto"/>
                <w:sz w:val="21"/>
                <w:szCs w:val="21"/>
                <w:highlight w:val="none"/>
              </w:rPr>
            </w:pPr>
          </w:p>
        </w:tc>
      </w:tr>
      <w:tr w14:paraId="2B72BAF9">
        <w:tblPrEx>
          <w:tblCellMar>
            <w:top w:w="0" w:type="dxa"/>
            <w:left w:w="10" w:type="dxa"/>
            <w:bottom w:w="0" w:type="dxa"/>
            <w:right w:w="10" w:type="dxa"/>
          </w:tblCellMar>
        </w:tblPrEx>
        <w:trPr>
          <w:trHeight w:val="571" w:hRule="exact"/>
          <w:jc w:val="center"/>
        </w:trPr>
        <w:tc>
          <w:tcPr>
            <w:tcW w:w="504" w:type="dxa"/>
            <w:tcBorders>
              <w:top w:val="single" w:color="auto" w:sz="4" w:space="0"/>
              <w:left w:val="single" w:color="auto" w:sz="4" w:space="0"/>
            </w:tcBorders>
            <w:shd w:val="clear" w:color="auto" w:fill="FFFFFF"/>
            <w:noWrap w:val="0"/>
            <w:vAlign w:val="top"/>
          </w:tcPr>
          <w:p w14:paraId="24E04F3F">
            <w:pPr>
              <w:pStyle w:val="27"/>
              <w:rPr>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3661D74C">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3CF10616">
            <w:pPr>
              <w:pStyle w:val="27"/>
              <w:rPr>
                <w:color w:val="auto"/>
                <w:sz w:val="21"/>
                <w:szCs w:val="21"/>
                <w:highlight w:val="none"/>
              </w:rPr>
            </w:pPr>
          </w:p>
        </w:tc>
        <w:tc>
          <w:tcPr>
            <w:tcW w:w="869" w:type="dxa"/>
            <w:tcBorders>
              <w:top w:val="single" w:color="auto" w:sz="4" w:space="0"/>
              <w:left w:val="single" w:color="auto" w:sz="4" w:space="0"/>
            </w:tcBorders>
            <w:shd w:val="clear" w:color="auto" w:fill="FFFFFF"/>
            <w:noWrap w:val="0"/>
            <w:vAlign w:val="top"/>
          </w:tcPr>
          <w:p w14:paraId="7DEC04A9">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0DEB2F51">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3E8E5273">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545788D6">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44E5A6C4">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2394D223">
            <w:pPr>
              <w:pStyle w:val="27"/>
              <w:rPr>
                <w:color w:val="auto"/>
                <w:sz w:val="21"/>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2A2A0352">
            <w:pPr>
              <w:pStyle w:val="27"/>
              <w:rPr>
                <w:color w:val="auto"/>
                <w:sz w:val="21"/>
                <w:szCs w:val="21"/>
                <w:highlight w:val="none"/>
              </w:rPr>
            </w:pPr>
          </w:p>
        </w:tc>
      </w:tr>
      <w:tr w14:paraId="14E6451D">
        <w:tblPrEx>
          <w:tblCellMar>
            <w:top w:w="0" w:type="dxa"/>
            <w:left w:w="10" w:type="dxa"/>
            <w:bottom w:w="0" w:type="dxa"/>
            <w:right w:w="10" w:type="dxa"/>
          </w:tblCellMar>
        </w:tblPrEx>
        <w:trPr>
          <w:trHeight w:val="566" w:hRule="exact"/>
          <w:jc w:val="center"/>
        </w:trPr>
        <w:tc>
          <w:tcPr>
            <w:tcW w:w="504" w:type="dxa"/>
            <w:tcBorders>
              <w:top w:val="single" w:color="auto" w:sz="4" w:space="0"/>
              <w:left w:val="single" w:color="auto" w:sz="4" w:space="0"/>
            </w:tcBorders>
            <w:shd w:val="clear" w:color="auto" w:fill="FFFFFF"/>
            <w:noWrap w:val="0"/>
            <w:vAlign w:val="top"/>
          </w:tcPr>
          <w:p w14:paraId="12AA6629">
            <w:pPr>
              <w:pStyle w:val="27"/>
              <w:rPr>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353A4A71">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299831B9">
            <w:pPr>
              <w:pStyle w:val="27"/>
              <w:rPr>
                <w:color w:val="auto"/>
                <w:sz w:val="21"/>
                <w:szCs w:val="21"/>
                <w:highlight w:val="none"/>
              </w:rPr>
            </w:pPr>
          </w:p>
        </w:tc>
        <w:tc>
          <w:tcPr>
            <w:tcW w:w="869" w:type="dxa"/>
            <w:tcBorders>
              <w:top w:val="single" w:color="auto" w:sz="4" w:space="0"/>
              <w:left w:val="single" w:color="auto" w:sz="4" w:space="0"/>
            </w:tcBorders>
            <w:shd w:val="clear" w:color="auto" w:fill="FFFFFF"/>
            <w:noWrap w:val="0"/>
            <w:vAlign w:val="top"/>
          </w:tcPr>
          <w:p w14:paraId="1C3C18FD">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0EA655BE">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6EF6A8E2">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48D7C207">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56243EC8">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585C6109">
            <w:pPr>
              <w:pStyle w:val="27"/>
              <w:rPr>
                <w:color w:val="auto"/>
                <w:sz w:val="21"/>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0BA1B0C9">
            <w:pPr>
              <w:pStyle w:val="27"/>
              <w:rPr>
                <w:color w:val="auto"/>
                <w:sz w:val="21"/>
                <w:szCs w:val="21"/>
                <w:highlight w:val="none"/>
              </w:rPr>
            </w:pPr>
          </w:p>
        </w:tc>
      </w:tr>
      <w:tr w14:paraId="434AA1EE">
        <w:tblPrEx>
          <w:tblCellMar>
            <w:top w:w="0" w:type="dxa"/>
            <w:left w:w="10" w:type="dxa"/>
            <w:bottom w:w="0" w:type="dxa"/>
            <w:right w:w="10" w:type="dxa"/>
          </w:tblCellMar>
        </w:tblPrEx>
        <w:trPr>
          <w:trHeight w:val="566" w:hRule="exact"/>
          <w:jc w:val="center"/>
        </w:trPr>
        <w:tc>
          <w:tcPr>
            <w:tcW w:w="504" w:type="dxa"/>
            <w:tcBorders>
              <w:top w:val="single" w:color="auto" w:sz="4" w:space="0"/>
              <w:left w:val="single" w:color="auto" w:sz="4" w:space="0"/>
            </w:tcBorders>
            <w:shd w:val="clear" w:color="auto" w:fill="FFFFFF"/>
            <w:noWrap w:val="0"/>
            <w:vAlign w:val="top"/>
          </w:tcPr>
          <w:p w14:paraId="7D6D7856">
            <w:pPr>
              <w:pStyle w:val="27"/>
              <w:rPr>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530527EB">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424D800A">
            <w:pPr>
              <w:pStyle w:val="27"/>
              <w:rPr>
                <w:color w:val="auto"/>
                <w:sz w:val="21"/>
                <w:szCs w:val="21"/>
                <w:highlight w:val="none"/>
              </w:rPr>
            </w:pPr>
          </w:p>
        </w:tc>
        <w:tc>
          <w:tcPr>
            <w:tcW w:w="869" w:type="dxa"/>
            <w:tcBorders>
              <w:top w:val="single" w:color="auto" w:sz="4" w:space="0"/>
              <w:left w:val="single" w:color="auto" w:sz="4" w:space="0"/>
            </w:tcBorders>
            <w:shd w:val="clear" w:color="auto" w:fill="FFFFFF"/>
            <w:noWrap w:val="0"/>
            <w:vAlign w:val="top"/>
          </w:tcPr>
          <w:p w14:paraId="5C45DCA4">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07760011">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5D0F281F">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79CE184F">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548E5690">
            <w:pPr>
              <w:pStyle w:val="27"/>
              <w:rPr>
                <w:color w:val="auto"/>
                <w:sz w:val="21"/>
                <w:szCs w:val="21"/>
                <w:highlight w:val="none"/>
              </w:rPr>
            </w:pPr>
          </w:p>
        </w:tc>
        <w:tc>
          <w:tcPr>
            <w:tcW w:w="864" w:type="dxa"/>
            <w:tcBorders>
              <w:top w:val="single" w:color="auto" w:sz="4" w:space="0"/>
              <w:left w:val="single" w:color="auto" w:sz="4" w:space="0"/>
            </w:tcBorders>
            <w:shd w:val="clear" w:color="auto" w:fill="FFFFFF"/>
            <w:noWrap w:val="0"/>
            <w:vAlign w:val="top"/>
          </w:tcPr>
          <w:p w14:paraId="648E9BE4">
            <w:pPr>
              <w:pStyle w:val="27"/>
              <w:rPr>
                <w:color w:val="auto"/>
                <w:sz w:val="21"/>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77B660BB">
            <w:pPr>
              <w:pStyle w:val="27"/>
              <w:rPr>
                <w:color w:val="auto"/>
                <w:sz w:val="21"/>
                <w:szCs w:val="21"/>
                <w:highlight w:val="none"/>
              </w:rPr>
            </w:pPr>
          </w:p>
        </w:tc>
      </w:tr>
      <w:tr w14:paraId="20E0BBFA">
        <w:tblPrEx>
          <w:tblCellMar>
            <w:top w:w="0" w:type="dxa"/>
            <w:left w:w="10" w:type="dxa"/>
            <w:bottom w:w="0" w:type="dxa"/>
            <w:right w:w="10" w:type="dxa"/>
          </w:tblCellMar>
        </w:tblPrEx>
        <w:trPr>
          <w:trHeight w:val="576" w:hRule="exact"/>
          <w:jc w:val="center"/>
        </w:trPr>
        <w:tc>
          <w:tcPr>
            <w:tcW w:w="504" w:type="dxa"/>
            <w:tcBorders>
              <w:top w:val="single" w:color="auto" w:sz="4" w:space="0"/>
              <w:left w:val="single" w:color="auto" w:sz="4" w:space="0"/>
              <w:bottom w:val="single" w:color="auto" w:sz="4" w:space="0"/>
            </w:tcBorders>
            <w:shd w:val="clear" w:color="auto" w:fill="FFFFFF"/>
            <w:noWrap w:val="0"/>
            <w:vAlign w:val="top"/>
          </w:tcPr>
          <w:p w14:paraId="5D36A295">
            <w:pPr>
              <w:pStyle w:val="27"/>
              <w:rPr>
                <w:color w:val="auto"/>
                <w:sz w:val="21"/>
                <w:szCs w:val="21"/>
                <w:highlight w:val="none"/>
              </w:rPr>
            </w:pPr>
          </w:p>
        </w:tc>
        <w:tc>
          <w:tcPr>
            <w:tcW w:w="1133" w:type="dxa"/>
            <w:tcBorders>
              <w:top w:val="single" w:color="auto" w:sz="4" w:space="0"/>
              <w:left w:val="single" w:color="auto" w:sz="4" w:space="0"/>
              <w:bottom w:val="single" w:color="auto" w:sz="4" w:space="0"/>
            </w:tcBorders>
            <w:shd w:val="clear" w:color="auto" w:fill="FFFFFF"/>
            <w:noWrap w:val="0"/>
            <w:vAlign w:val="top"/>
          </w:tcPr>
          <w:p w14:paraId="544FC509">
            <w:pPr>
              <w:pStyle w:val="27"/>
              <w:rPr>
                <w:color w:val="auto"/>
                <w:sz w:val="21"/>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3A9A26E7">
            <w:pPr>
              <w:pStyle w:val="27"/>
              <w:rPr>
                <w:color w:val="auto"/>
                <w:sz w:val="21"/>
                <w:szCs w:val="21"/>
                <w:highlight w:val="none"/>
              </w:rPr>
            </w:pPr>
          </w:p>
        </w:tc>
        <w:tc>
          <w:tcPr>
            <w:tcW w:w="869" w:type="dxa"/>
            <w:tcBorders>
              <w:top w:val="single" w:color="auto" w:sz="4" w:space="0"/>
              <w:left w:val="single" w:color="auto" w:sz="4" w:space="0"/>
              <w:bottom w:val="single" w:color="auto" w:sz="4" w:space="0"/>
            </w:tcBorders>
            <w:shd w:val="clear" w:color="auto" w:fill="FFFFFF"/>
            <w:noWrap w:val="0"/>
            <w:vAlign w:val="top"/>
          </w:tcPr>
          <w:p w14:paraId="05E82170">
            <w:pPr>
              <w:pStyle w:val="27"/>
              <w:rPr>
                <w:color w:val="auto"/>
                <w:sz w:val="21"/>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1C503D6C">
            <w:pPr>
              <w:pStyle w:val="27"/>
              <w:rPr>
                <w:color w:val="auto"/>
                <w:sz w:val="21"/>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4B99BC83">
            <w:pPr>
              <w:pStyle w:val="27"/>
              <w:rPr>
                <w:color w:val="auto"/>
                <w:sz w:val="21"/>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0FABDD09">
            <w:pPr>
              <w:pStyle w:val="27"/>
              <w:rPr>
                <w:color w:val="auto"/>
                <w:sz w:val="21"/>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312E443A">
            <w:pPr>
              <w:pStyle w:val="27"/>
              <w:rPr>
                <w:color w:val="auto"/>
                <w:sz w:val="21"/>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5BA2AEDA">
            <w:pPr>
              <w:pStyle w:val="27"/>
              <w:rPr>
                <w:color w:val="auto"/>
                <w:sz w:val="21"/>
                <w:szCs w:val="21"/>
                <w:highlight w:val="none"/>
              </w:rPr>
            </w:pPr>
          </w:p>
        </w:tc>
        <w:tc>
          <w:tcPr>
            <w:tcW w:w="87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C19B512">
            <w:pPr>
              <w:pStyle w:val="27"/>
              <w:rPr>
                <w:color w:val="auto"/>
                <w:sz w:val="21"/>
                <w:szCs w:val="21"/>
                <w:highlight w:val="none"/>
              </w:rPr>
            </w:pPr>
          </w:p>
        </w:tc>
      </w:tr>
    </w:tbl>
    <w:p w14:paraId="523A340D">
      <w:pPr>
        <w:pStyle w:val="27"/>
        <w:rPr>
          <w:rFonts w:hint="eastAsia" w:eastAsia="宋体"/>
          <w:color w:val="auto"/>
          <w:sz w:val="21"/>
          <w:szCs w:val="21"/>
          <w:highlight w:val="none"/>
        </w:rPr>
      </w:pPr>
    </w:p>
    <w:p w14:paraId="07CB915C">
      <w:pPr>
        <w:spacing w:line="360" w:lineRule="auto"/>
        <w:ind w:firstLine="438" w:firstLineChars="209"/>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备注：</w:t>
      </w:r>
    </w:p>
    <w:p w14:paraId="2BD406B1">
      <w:pPr>
        <w:spacing w:line="360" w:lineRule="auto"/>
        <w:ind w:firstLine="438" w:firstLineChars="209"/>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 xml:space="preserve">1、必须按表格内容的要求完整地填写型号、规格、额定功率、生产能力等内容、数据，要有具体数值，并不得以"空白"或"0"或"/"或"—"或“无”代替，否则按无效响应处理。 </w:t>
      </w:r>
    </w:p>
    <w:p w14:paraId="3BDD5139">
      <w:pPr>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2、在施工期间，竞标人必须按照竞标时所列的施工设备[自带（或自租）]，列表供采购单位检查复核。竞标人需对此项内容另行承诺（格式自拟），如竞标人的响应文件没有提交此承诺的，视为无效响应文件。</w:t>
      </w:r>
    </w:p>
    <w:p w14:paraId="5DDC4BBD">
      <w:pPr>
        <w:tabs>
          <w:tab w:val="left" w:pos="3479"/>
        </w:tabs>
        <w:spacing w:line="520" w:lineRule="exact"/>
        <w:jc w:val="center"/>
        <w:rPr>
          <w:rFonts w:ascii="方正小标宋简体" w:hAnsi="方正小标宋简体" w:eastAsia="方正小标宋简体" w:cs="方正小标宋简体"/>
          <w:b w:val="0"/>
          <w:bCs w:val="0"/>
          <w:color w:val="auto"/>
          <w:szCs w:val="21"/>
          <w:highlight w:val="none"/>
        </w:rPr>
        <w:sectPr>
          <w:pgSz w:w="11910" w:h="16840"/>
          <w:pgMar w:top="1134" w:right="1134" w:bottom="1134" w:left="1134" w:header="850" w:footer="567" w:gutter="0"/>
          <w:cols w:space="720" w:num="1"/>
          <w:docGrid w:linePitch="286" w:charSpace="0"/>
        </w:sectPr>
      </w:pPr>
    </w:p>
    <w:p w14:paraId="2B670324">
      <w:pPr>
        <w:pStyle w:val="27"/>
        <w:rPr>
          <w:rFonts w:hint="eastAsia" w:ascii="宋体" w:hAnsi="宋体" w:eastAsia="宋体" w:cs="宋体"/>
          <w:b/>
          <w:bCs/>
          <w:color w:val="auto"/>
          <w:sz w:val="28"/>
          <w:szCs w:val="28"/>
          <w:highlight w:val="none"/>
          <w:lang w:eastAsia="zh-CN"/>
        </w:rPr>
      </w:pPr>
      <w:bookmarkStart w:id="74" w:name="_Toc27417"/>
      <w:bookmarkStart w:id="75" w:name="bookmark2234"/>
      <w:bookmarkStart w:id="76" w:name="_Toc3373"/>
      <w:bookmarkStart w:id="77" w:name="bookmark2235"/>
      <w:bookmarkStart w:id="78" w:name="bookmark2236"/>
      <w:r>
        <w:rPr>
          <w:rFonts w:hint="eastAsia" w:ascii="宋体" w:hAnsi="宋体" w:eastAsia="宋体" w:cs="宋体"/>
          <w:b/>
          <w:bCs/>
          <w:color w:val="auto"/>
          <w:sz w:val="28"/>
          <w:szCs w:val="28"/>
          <w:highlight w:val="none"/>
          <w:lang w:eastAsia="zh-CN"/>
        </w:rPr>
        <w:t>附件二：拟投入本合同工程的试验和检测仪器设备表</w:t>
      </w:r>
      <w:bookmarkEnd w:id="74"/>
    </w:p>
    <w:p w14:paraId="1A779D3B">
      <w:pPr>
        <w:pStyle w:val="27"/>
        <w:rPr>
          <w:color w:val="auto"/>
          <w:highlight w:val="none"/>
          <w:lang w:eastAsia="zh-CN"/>
        </w:rPr>
      </w:pPr>
    </w:p>
    <w:p w14:paraId="042AACF8">
      <w:pPr>
        <w:pStyle w:val="27"/>
        <w:jc w:val="center"/>
        <w:rPr>
          <w:rFonts w:ascii="宋体" w:hAnsi="宋体" w:eastAsia="宋体" w:cs="宋体"/>
          <w:b/>
          <w:color w:val="auto"/>
          <w:highlight w:val="none"/>
          <w:lang w:eastAsia="zh-CN"/>
        </w:rPr>
      </w:pPr>
      <w:bookmarkStart w:id="79" w:name="_Toc24555"/>
      <w:r>
        <w:rPr>
          <w:rFonts w:hint="eastAsia" w:ascii="宋体" w:hAnsi="宋体" w:eastAsia="宋体" w:cs="宋体"/>
          <w:b/>
          <w:color w:val="auto"/>
          <w:highlight w:val="none"/>
          <w:lang w:eastAsia="zh-CN"/>
        </w:rPr>
        <w:t>拟投入本合同工程的试验和检测仪器设备表</w:t>
      </w:r>
      <w:bookmarkEnd w:id="75"/>
      <w:bookmarkEnd w:id="76"/>
      <w:bookmarkEnd w:id="77"/>
      <w:bookmarkEnd w:id="78"/>
      <w:bookmarkEnd w:id="79"/>
    </w:p>
    <w:tbl>
      <w:tblPr>
        <w:tblStyle w:val="17"/>
        <w:tblW w:w="8351" w:type="dxa"/>
        <w:jc w:val="center"/>
        <w:tblLayout w:type="fixed"/>
        <w:tblCellMar>
          <w:top w:w="0" w:type="dxa"/>
          <w:left w:w="10" w:type="dxa"/>
          <w:bottom w:w="0" w:type="dxa"/>
          <w:right w:w="10" w:type="dxa"/>
        </w:tblCellMar>
      </w:tblPr>
      <w:tblGrid>
        <w:gridCol w:w="576"/>
        <w:gridCol w:w="1416"/>
        <w:gridCol w:w="907"/>
        <w:gridCol w:w="907"/>
        <w:gridCol w:w="907"/>
        <w:gridCol w:w="912"/>
        <w:gridCol w:w="902"/>
        <w:gridCol w:w="907"/>
        <w:gridCol w:w="917"/>
      </w:tblGrid>
      <w:tr w14:paraId="28DF6FE8">
        <w:tblPrEx>
          <w:tblCellMar>
            <w:top w:w="0" w:type="dxa"/>
            <w:left w:w="10" w:type="dxa"/>
            <w:bottom w:w="0" w:type="dxa"/>
            <w:right w:w="10" w:type="dxa"/>
          </w:tblCellMar>
        </w:tblPrEx>
        <w:trPr>
          <w:trHeight w:val="859" w:hRule="exact"/>
          <w:jc w:val="center"/>
        </w:trPr>
        <w:tc>
          <w:tcPr>
            <w:tcW w:w="576" w:type="dxa"/>
            <w:tcBorders>
              <w:top w:val="single" w:color="auto" w:sz="4" w:space="0"/>
              <w:left w:val="single" w:color="auto" w:sz="4" w:space="0"/>
            </w:tcBorders>
            <w:shd w:val="clear" w:color="auto" w:fill="FFFFFF"/>
            <w:noWrap w:val="0"/>
            <w:vAlign w:val="center"/>
          </w:tcPr>
          <w:p w14:paraId="5C47FC78">
            <w:pPr>
              <w:pStyle w:val="29"/>
              <w:spacing w:line="240" w:lineRule="auto"/>
              <w:ind w:firstLine="0"/>
              <w:jc w:val="center"/>
              <w:rPr>
                <w:color w:val="auto"/>
                <w:sz w:val="21"/>
                <w:szCs w:val="21"/>
                <w:highlight w:val="none"/>
              </w:rPr>
            </w:pPr>
            <w:r>
              <w:rPr>
                <w:color w:val="auto"/>
                <w:sz w:val="21"/>
                <w:szCs w:val="21"/>
                <w:highlight w:val="none"/>
              </w:rPr>
              <w:t>序号</w:t>
            </w:r>
          </w:p>
        </w:tc>
        <w:tc>
          <w:tcPr>
            <w:tcW w:w="1416" w:type="dxa"/>
            <w:tcBorders>
              <w:top w:val="single" w:color="auto" w:sz="4" w:space="0"/>
              <w:left w:val="single" w:color="auto" w:sz="4" w:space="0"/>
            </w:tcBorders>
            <w:shd w:val="clear" w:color="auto" w:fill="FFFFFF"/>
            <w:noWrap w:val="0"/>
            <w:vAlign w:val="center"/>
          </w:tcPr>
          <w:p w14:paraId="0C59C727">
            <w:pPr>
              <w:pStyle w:val="29"/>
              <w:spacing w:line="240" w:lineRule="auto"/>
              <w:ind w:firstLine="0"/>
              <w:jc w:val="center"/>
              <w:rPr>
                <w:color w:val="auto"/>
                <w:sz w:val="21"/>
                <w:szCs w:val="21"/>
                <w:highlight w:val="none"/>
              </w:rPr>
            </w:pPr>
            <w:r>
              <w:rPr>
                <w:color w:val="auto"/>
                <w:sz w:val="21"/>
                <w:szCs w:val="21"/>
                <w:highlight w:val="none"/>
              </w:rPr>
              <w:t>仪器设备名称</w:t>
            </w:r>
          </w:p>
        </w:tc>
        <w:tc>
          <w:tcPr>
            <w:tcW w:w="907" w:type="dxa"/>
            <w:tcBorders>
              <w:top w:val="single" w:color="auto" w:sz="4" w:space="0"/>
              <w:left w:val="single" w:color="auto" w:sz="4" w:space="0"/>
            </w:tcBorders>
            <w:shd w:val="clear" w:color="auto" w:fill="FFFFFF"/>
            <w:noWrap w:val="0"/>
            <w:vAlign w:val="center"/>
          </w:tcPr>
          <w:p w14:paraId="5FCBC985">
            <w:pPr>
              <w:pStyle w:val="29"/>
              <w:spacing w:line="240" w:lineRule="auto"/>
              <w:ind w:firstLine="0"/>
              <w:jc w:val="center"/>
              <w:rPr>
                <w:color w:val="auto"/>
                <w:sz w:val="21"/>
                <w:szCs w:val="21"/>
                <w:highlight w:val="none"/>
              </w:rPr>
            </w:pPr>
            <w:r>
              <w:rPr>
                <w:color w:val="auto"/>
                <w:sz w:val="21"/>
                <w:szCs w:val="21"/>
                <w:highlight w:val="none"/>
              </w:rPr>
              <w:t>型号规格</w:t>
            </w:r>
          </w:p>
        </w:tc>
        <w:tc>
          <w:tcPr>
            <w:tcW w:w="907" w:type="dxa"/>
            <w:tcBorders>
              <w:top w:val="single" w:color="auto" w:sz="4" w:space="0"/>
              <w:left w:val="single" w:color="auto" w:sz="4" w:space="0"/>
            </w:tcBorders>
            <w:shd w:val="clear" w:color="auto" w:fill="FFFFFF"/>
            <w:noWrap w:val="0"/>
            <w:vAlign w:val="center"/>
          </w:tcPr>
          <w:p w14:paraId="64B08301">
            <w:pPr>
              <w:pStyle w:val="29"/>
              <w:spacing w:line="240" w:lineRule="auto"/>
              <w:ind w:firstLine="0"/>
              <w:jc w:val="center"/>
              <w:rPr>
                <w:color w:val="auto"/>
                <w:sz w:val="21"/>
                <w:szCs w:val="21"/>
                <w:highlight w:val="none"/>
              </w:rPr>
            </w:pPr>
            <w:r>
              <w:rPr>
                <w:color w:val="auto"/>
                <w:sz w:val="21"/>
                <w:szCs w:val="21"/>
                <w:highlight w:val="none"/>
              </w:rPr>
              <w:t>数量</w:t>
            </w:r>
          </w:p>
        </w:tc>
        <w:tc>
          <w:tcPr>
            <w:tcW w:w="907" w:type="dxa"/>
            <w:tcBorders>
              <w:top w:val="single" w:color="auto" w:sz="4" w:space="0"/>
              <w:left w:val="single" w:color="auto" w:sz="4" w:space="0"/>
            </w:tcBorders>
            <w:shd w:val="clear" w:color="auto" w:fill="FFFFFF"/>
            <w:noWrap w:val="0"/>
            <w:vAlign w:val="center"/>
          </w:tcPr>
          <w:p w14:paraId="7679C0A7">
            <w:pPr>
              <w:pStyle w:val="29"/>
              <w:spacing w:line="240" w:lineRule="auto"/>
              <w:ind w:firstLine="0"/>
              <w:jc w:val="center"/>
              <w:rPr>
                <w:color w:val="auto"/>
                <w:sz w:val="21"/>
                <w:szCs w:val="21"/>
                <w:highlight w:val="none"/>
              </w:rPr>
            </w:pPr>
            <w:r>
              <w:rPr>
                <w:color w:val="auto"/>
                <w:sz w:val="21"/>
                <w:szCs w:val="21"/>
                <w:highlight w:val="none"/>
              </w:rPr>
              <w:t>国别产地</w:t>
            </w:r>
          </w:p>
        </w:tc>
        <w:tc>
          <w:tcPr>
            <w:tcW w:w="912" w:type="dxa"/>
            <w:tcBorders>
              <w:top w:val="single" w:color="auto" w:sz="4" w:space="0"/>
              <w:left w:val="single" w:color="auto" w:sz="4" w:space="0"/>
            </w:tcBorders>
            <w:shd w:val="clear" w:color="auto" w:fill="FFFFFF"/>
            <w:noWrap w:val="0"/>
            <w:vAlign w:val="center"/>
          </w:tcPr>
          <w:p w14:paraId="754A9B12">
            <w:pPr>
              <w:pStyle w:val="29"/>
              <w:spacing w:line="240" w:lineRule="auto"/>
              <w:ind w:firstLine="0"/>
              <w:jc w:val="center"/>
              <w:rPr>
                <w:color w:val="auto"/>
                <w:sz w:val="21"/>
                <w:szCs w:val="21"/>
                <w:highlight w:val="none"/>
              </w:rPr>
            </w:pPr>
            <w:r>
              <w:rPr>
                <w:color w:val="auto"/>
                <w:sz w:val="21"/>
                <w:szCs w:val="21"/>
                <w:highlight w:val="none"/>
              </w:rPr>
              <w:t>制造年份</w:t>
            </w:r>
          </w:p>
        </w:tc>
        <w:tc>
          <w:tcPr>
            <w:tcW w:w="902" w:type="dxa"/>
            <w:tcBorders>
              <w:top w:val="single" w:color="auto" w:sz="4" w:space="0"/>
              <w:left w:val="single" w:color="auto" w:sz="4" w:space="0"/>
            </w:tcBorders>
            <w:shd w:val="clear" w:color="auto" w:fill="FFFFFF"/>
            <w:noWrap w:val="0"/>
            <w:vAlign w:val="center"/>
          </w:tcPr>
          <w:p w14:paraId="4224DC14">
            <w:pPr>
              <w:pStyle w:val="29"/>
              <w:spacing w:line="264" w:lineRule="exact"/>
              <w:ind w:firstLine="0"/>
              <w:jc w:val="center"/>
              <w:rPr>
                <w:color w:val="auto"/>
                <w:sz w:val="21"/>
                <w:szCs w:val="21"/>
                <w:highlight w:val="none"/>
              </w:rPr>
            </w:pPr>
            <w:r>
              <w:rPr>
                <w:color w:val="auto"/>
                <w:sz w:val="21"/>
                <w:szCs w:val="21"/>
                <w:highlight w:val="none"/>
              </w:rPr>
              <w:t>己使用</w:t>
            </w:r>
          </w:p>
          <w:p w14:paraId="74F2D098">
            <w:pPr>
              <w:pStyle w:val="29"/>
              <w:spacing w:line="264" w:lineRule="exact"/>
              <w:ind w:firstLine="0"/>
              <w:jc w:val="center"/>
              <w:rPr>
                <w:color w:val="auto"/>
                <w:sz w:val="21"/>
                <w:szCs w:val="21"/>
                <w:highlight w:val="none"/>
              </w:rPr>
            </w:pPr>
            <w:r>
              <w:rPr>
                <w:color w:val="auto"/>
                <w:sz w:val="21"/>
                <w:szCs w:val="21"/>
                <w:highlight w:val="none"/>
              </w:rPr>
              <w:t>台时数</w:t>
            </w:r>
          </w:p>
        </w:tc>
        <w:tc>
          <w:tcPr>
            <w:tcW w:w="907" w:type="dxa"/>
            <w:tcBorders>
              <w:top w:val="single" w:color="auto" w:sz="4" w:space="0"/>
              <w:left w:val="single" w:color="auto" w:sz="4" w:space="0"/>
            </w:tcBorders>
            <w:shd w:val="clear" w:color="auto" w:fill="FFFFFF"/>
            <w:noWrap w:val="0"/>
            <w:vAlign w:val="center"/>
          </w:tcPr>
          <w:p w14:paraId="088F2D5A">
            <w:pPr>
              <w:pStyle w:val="29"/>
              <w:spacing w:line="240" w:lineRule="auto"/>
              <w:ind w:firstLine="0"/>
              <w:jc w:val="center"/>
              <w:rPr>
                <w:color w:val="auto"/>
                <w:sz w:val="21"/>
                <w:szCs w:val="21"/>
                <w:highlight w:val="none"/>
              </w:rPr>
            </w:pPr>
            <w:r>
              <w:rPr>
                <w:color w:val="auto"/>
                <w:sz w:val="21"/>
                <w:szCs w:val="21"/>
                <w:highlight w:val="none"/>
              </w:rPr>
              <w:t>用途</w:t>
            </w:r>
          </w:p>
        </w:tc>
        <w:tc>
          <w:tcPr>
            <w:tcW w:w="917" w:type="dxa"/>
            <w:tcBorders>
              <w:top w:val="single" w:color="auto" w:sz="4" w:space="0"/>
              <w:left w:val="single" w:color="auto" w:sz="4" w:space="0"/>
              <w:right w:val="single" w:color="auto" w:sz="4" w:space="0"/>
            </w:tcBorders>
            <w:shd w:val="clear" w:color="auto" w:fill="FFFFFF"/>
            <w:noWrap w:val="0"/>
            <w:vAlign w:val="center"/>
          </w:tcPr>
          <w:p w14:paraId="0A11F101">
            <w:pPr>
              <w:pStyle w:val="29"/>
              <w:spacing w:line="240" w:lineRule="auto"/>
              <w:ind w:firstLine="0"/>
              <w:jc w:val="center"/>
              <w:rPr>
                <w:color w:val="auto"/>
                <w:sz w:val="21"/>
                <w:szCs w:val="21"/>
                <w:highlight w:val="none"/>
              </w:rPr>
            </w:pPr>
            <w:r>
              <w:rPr>
                <w:color w:val="auto"/>
                <w:sz w:val="21"/>
                <w:szCs w:val="21"/>
                <w:highlight w:val="none"/>
              </w:rPr>
              <w:t>备注</w:t>
            </w:r>
          </w:p>
        </w:tc>
      </w:tr>
      <w:tr w14:paraId="6FD361E1">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35520076">
            <w:pPr>
              <w:pStyle w:val="27"/>
              <w:rPr>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4E2A9E4B">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42A71DF3">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62D104CC">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2B4DAD7">
            <w:pPr>
              <w:pStyle w:val="27"/>
              <w:rPr>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3976DEB1">
            <w:pPr>
              <w:pStyle w:val="27"/>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68CACE0C">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451A2073">
            <w:pPr>
              <w:pStyle w:val="27"/>
              <w:rPr>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2DE5E4FF">
            <w:pPr>
              <w:pStyle w:val="27"/>
              <w:rPr>
                <w:color w:val="auto"/>
                <w:sz w:val="21"/>
                <w:szCs w:val="21"/>
                <w:highlight w:val="none"/>
              </w:rPr>
            </w:pPr>
          </w:p>
        </w:tc>
      </w:tr>
      <w:tr w14:paraId="5C35FEBA">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70A9FD01">
            <w:pPr>
              <w:pStyle w:val="27"/>
              <w:rPr>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04955765">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C838CB4">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58BF7E44">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29ED4E89">
            <w:pPr>
              <w:pStyle w:val="27"/>
              <w:rPr>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5CB80B98">
            <w:pPr>
              <w:pStyle w:val="27"/>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2A81C960">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4A401204">
            <w:pPr>
              <w:pStyle w:val="27"/>
              <w:rPr>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321CE0F8">
            <w:pPr>
              <w:pStyle w:val="27"/>
              <w:rPr>
                <w:color w:val="auto"/>
                <w:sz w:val="21"/>
                <w:szCs w:val="21"/>
                <w:highlight w:val="none"/>
              </w:rPr>
            </w:pPr>
          </w:p>
        </w:tc>
      </w:tr>
      <w:tr w14:paraId="0E82E45A">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44C929A9">
            <w:pPr>
              <w:pStyle w:val="27"/>
              <w:rPr>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60F5EAAA">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5AA1D84B">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20B63C5">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163D307">
            <w:pPr>
              <w:pStyle w:val="27"/>
              <w:rPr>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7B0D886B">
            <w:pPr>
              <w:pStyle w:val="27"/>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4ED85F9C">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2EA37FDF">
            <w:pPr>
              <w:pStyle w:val="27"/>
              <w:rPr>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0C51692C">
            <w:pPr>
              <w:pStyle w:val="27"/>
              <w:rPr>
                <w:color w:val="auto"/>
                <w:sz w:val="21"/>
                <w:szCs w:val="21"/>
                <w:highlight w:val="none"/>
              </w:rPr>
            </w:pPr>
          </w:p>
        </w:tc>
      </w:tr>
      <w:tr w14:paraId="659C799E">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4B25FE88">
            <w:pPr>
              <w:pStyle w:val="27"/>
              <w:rPr>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253425EC">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6F01B53D">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BB47033">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0B72560C">
            <w:pPr>
              <w:pStyle w:val="27"/>
              <w:rPr>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6551B4B3">
            <w:pPr>
              <w:pStyle w:val="27"/>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523714E9">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2C5F0ED0">
            <w:pPr>
              <w:pStyle w:val="27"/>
              <w:rPr>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4BD073B4">
            <w:pPr>
              <w:pStyle w:val="27"/>
              <w:rPr>
                <w:color w:val="auto"/>
                <w:sz w:val="21"/>
                <w:szCs w:val="21"/>
                <w:highlight w:val="none"/>
              </w:rPr>
            </w:pPr>
          </w:p>
        </w:tc>
      </w:tr>
      <w:tr w14:paraId="50384994">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2E209EAD">
            <w:pPr>
              <w:pStyle w:val="27"/>
              <w:rPr>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508956F7">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6998DD05">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ACDF7AE">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0BA32172">
            <w:pPr>
              <w:pStyle w:val="27"/>
              <w:rPr>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0D134859">
            <w:pPr>
              <w:pStyle w:val="27"/>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33BFE077">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2E4763E0">
            <w:pPr>
              <w:pStyle w:val="27"/>
              <w:rPr>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69CD24DA">
            <w:pPr>
              <w:pStyle w:val="27"/>
              <w:rPr>
                <w:color w:val="auto"/>
                <w:sz w:val="21"/>
                <w:szCs w:val="21"/>
                <w:highlight w:val="none"/>
              </w:rPr>
            </w:pPr>
          </w:p>
        </w:tc>
      </w:tr>
      <w:tr w14:paraId="595DF4E9">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6E4F0F6F">
            <w:pPr>
              <w:pStyle w:val="27"/>
              <w:rPr>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60B0009D">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447F0FC5">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03344D54">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E7E373E">
            <w:pPr>
              <w:pStyle w:val="27"/>
              <w:rPr>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4B49A1CE">
            <w:pPr>
              <w:pStyle w:val="27"/>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2E9DBAE2">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39599214">
            <w:pPr>
              <w:pStyle w:val="27"/>
              <w:rPr>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69EBAE26">
            <w:pPr>
              <w:pStyle w:val="27"/>
              <w:rPr>
                <w:color w:val="auto"/>
                <w:sz w:val="21"/>
                <w:szCs w:val="21"/>
                <w:highlight w:val="none"/>
              </w:rPr>
            </w:pPr>
          </w:p>
        </w:tc>
      </w:tr>
      <w:tr w14:paraId="477E04CF">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46B02420">
            <w:pPr>
              <w:pStyle w:val="27"/>
              <w:rPr>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232E15CF">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5F66AB9">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3C9F9420">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8DD4823">
            <w:pPr>
              <w:pStyle w:val="27"/>
              <w:rPr>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4E23CFC1">
            <w:pPr>
              <w:pStyle w:val="27"/>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32F3F93A">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51148FCA">
            <w:pPr>
              <w:pStyle w:val="27"/>
              <w:rPr>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7F87A211">
            <w:pPr>
              <w:pStyle w:val="27"/>
              <w:rPr>
                <w:color w:val="auto"/>
                <w:sz w:val="21"/>
                <w:szCs w:val="21"/>
                <w:highlight w:val="none"/>
              </w:rPr>
            </w:pPr>
          </w:p>
        </w:tc>
      </w:tr>
      <w:tr w14:paraId="3267BE26">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6E67CA46">
            <w:pPr>
              <w:pStyle w:val="27"/>
              <w:rPr>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2BADC054">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655AFD4">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35606478">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3C11495">
            <w:pPr>
              <w:pStyle w:val="27"/>
              <w:rPr>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781CBFE6">
            <w:pPr>
              <w:pStyle w:val="27"/>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6C097B0A">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0C961714">
            <w:pPr>
              <w:pStyle w:val="27"/>
              <w:rPr>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7B0521C0">
            <w:pPr>
              <w:pStyle w:val="27"/>
              <w:rPr>
                <w:color w:val="auto"/>
                <w:sz w:val="21"/>
                <w:szCs w:val="21"/>
                <w:highlight w:val="none"/>
              </w:rPr>
            </w:pPr>
          </w:p>
        </w:tc>
      </w:tr>
      <w:tr w14:paraId="346BFA4A">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260F28C5">
            <w:pPr>
              <w:pStyle w:val="27"/>
              <w:rPr>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482E50DF">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75F5CB4">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C5A1C7C">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BCA8E7E">
            <w:pPr>
              <w:pStyle w:val="27"/>
              <w:rPr>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076BCD1E">
            <w:pPr>
              <w:pStyle w:val="27"/>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0DCC4A02">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50B832C0">
            <w:pPr>
              <w:pStyle w:val="27"/>
              <w:rPr>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09590748">
            <w:pPr>
              <w:pStyle w:val="27"/>
              <w:rPr>
                <w:color w:val="auto"/>
                <w:sz w:val="21"/>
                <w:szCs w:val="21"/>
                <w:highlight w:val="none"/>
              </w:rPr>
            </w:pPr>
          </w:p>
        </w:tc>
      </w:tr>
      <w:tr w14:paraId="5ECC96A6">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36A6EC38">
            <w:pPr>
              <w:pStyle w:val="27"/>
              <w:rPr>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57133FB1">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84012A8">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4620904">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693612C5">
            <w:pPr>
              <w:pStyle w:val="27"/>
              <w:rPr>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484F4AAA">
            <w:pPr>
              <w:pStyle w:val="27"/>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2B01A4C2">
            <w:pPr>
              <w:pStyle w:val="27"/>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3566D5C3">
            <w:pPr>
              <w:pStyle w:val="27"/>
              <w:rPr>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69051203">
            <w:pPr>
              <w:pStyle w:val="27"/>
              <w:rPr>
                <w:color w:val="auto"/>
                <w:sz w:val="21"/>
                <w:szCs w:val="21"/>
                <w:highlight w:val="none"/>
              </w:rPr>
            </w:pPr>
          </w:p>
        </w:tc>
      </w:tr>
      <w:tr w14:paraId="7A367B6D">
        <w:tblPrEx>
          <w:tblCellMar>
            <w:top w:w="0" w:type="dxa"/>
            <w:left w:w="10" w:type="dxa"/>
            <w:bottom w:w="0" w:type="dxa"/>
            <w:right w:w="10" w:type="dxa"/>
          </w:tblCellMar>
        </w:tblPrEx>
        <w:trPr>
          <w:trHeight w:val="581" w:hRule="exact"/>
          <w:jc w:val="center"/>
        </w:trPr>
        <w:tc>
          <w:tcPr>
            <w:tcW w:w="576" w:type="dxa"/>
            <w:tcBorders>
              <w:top w:val="single" w:color="auto" w:sz="4" w:space="0"/>
              <w:left w:val="single" w:color="auto" w:sz="4" w:space="0"/>
              <w:bottom w:val="single" w:color="auto" w:sz="4" w:space="0"/>
            </w:tcBorders>
            <w:shd w:val="clear" w:color="auto" w:fill="FFFFFF"/>
            <w:noWrap w:val="0"/>
            <w:vAlign w:val="top"/>
          </w:tcPr>
          <w:p w14:paraId="07FA4F82">
            <w:pPr>
              <w:pStyle w:val="27"/>
              <w:rPr>
                <w:color w:val="auto"/>
                <w:sz w:val="21"/>
                <w:szCs w:val="21"/>
                <w:highlight w:val="none"/>
              </w:rPr>
            </w:pPr>
          </w:p>
        </w:tc>
        <w:tc>
          <w:tcPr>
            <w:tcW w:w="1416" w:type="dxa"/>
            <w:tcBorders>
              <w:top w:val="single" w:color="auto" w:sz="4" w:space="0"/>
              <w:left w:val="single" w:color="auto" w:sz="4" w:space="0"/>
              <w:bottom w:val="single" w:color="auto" w:sz="4" w:space="0"/>
            </w:tcBorders>
            <w:shd w:val="clear" w:color="auto" w:fill="FFFFFF"/>
            <w:noWrap w:val="0"/>
            <w:vAlign w:val="top"/>
          </w:tcPr>
          <w:p w14:paraId="1C7666E3">
            <w:pPr>
              <w:pStyle w:val="27"/>
              <w:rPr>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top"/>
          </w:tcPr>
          <w:p w14:paraId="62A5A17C">
            <w:pPr>
              <w:pStyle w:val="27"/>
              <w:rPr>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top"/>
          </w:tcPr>
          <w:p w14:paraId="75011B26">
            <w:pPr>
              <w:pStyle w:val="27"/>
              <w:rPr>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top"/>
          </w:tcPr>
          <w:p w14:paraId="1DEE86BE">
            <w:pPr>
              <w:pStyle w:val="27"/>
              <w:rPr>
                <w:color w:val="auto"/>
                <w:sz w:val="21"/>
                <w:szCs w:val="21"/>
                <w:highlight w:val="none"/>
              </w:rPr>
            </w:pPr>
          </w:p>
        </w:tc>
        <w:tc>
          <w:tcPr>
            <w:tcW w:w="912" w:type="dxa"/>
            <w:tcBorders>
              <w:top w:val="single" w:color="auto" w:sz="4" w:space="0"/>
              <w:left w:val="single" w:color="auto" w:sz="4" w:space="0"/>
              <w:bottom w:val="single" w:color="auto" w:sz="4" w:space="0"/>
            </w:tcBorders>
            <w:shd w:val="clear" w:color="auto" w:fill="FFFFFF"/>
            <w:noWrap w:val="0"/>
            <w:vAlign w:val="top"/>
          </w:tcPr>
          <w:p w14:paraId="3A387079">
            <w:pPr>
              <w:pStyle w:val="27"/>
              <w:rPr>
                <w:color w:val="auto"/>
                <w:sz w:val="21"/>
                <w:szCs w:val="21"/>
                <w:highlight w:val="none"/>
              </w:rPr>
            </w:pPr>
          </w:p>
        </w:tc>
        <w:tc>
          <w:tcPr>
            <w:tcW w:w="902" w:type="dxa"/>
            <w:tcBorders>
              <w:top w:val="single" w:color="auto" w:sz="4" w:space="0"/>
              <w:left w:val="single" w:color="auto" w:sz="4" w:space="0"/>
              <w:bottom w:val="single" w:color="auto" w:sz="4" w:space="0"/>
            </w:tcBorders>
            <w:shd w:val="clear" w:color="auto" w:fill="FFFFFF"/>
            <w:noWrap w:val="0"/>
            <w:vAlign w:val="top"/>
          </w:tcPr>
          <w:p w14:paraId="099BBB50">
            <w:pPr>
              <w:pStyle w:val="27"/>
              <w:rPr>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top"/>
          </w:tcPr>
          <w:p w14:paraId="7C71181E">
            <w:pPr>
              <w:pStyle w:val="27"/>
              <w:rPr>
                <w:color w:val="auto"/>
                <w:sz w:val="21"/>
                <w:szCs w:val="21"/>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69B3AE9">
            <w:pPr>
              <w:pStyle w:val="27"/>
              <w:rPr>
                <w:color w:val="auto"/>
                <w:sz w:val="21"/>
                <w:szCs w:val="21"/>
                <w:highlight w:val="none"/>
              </w:rPr>
            </w:pPr>
          </w:p>
        </w:tc>
      </w:tr>
    </w:tbl>
    <w:p w14:paraId="707D78A5">
      <w:pPr>
        <w:pStyle w:val="27"/>
        <w:rPr>
          <w:color w:val="auto"/>
          <w:sz w:val="21"/>
          <w:szCs w:val="21"/>
          <w:highlight w:val="none"/>
        </w:rPr>
      </w:pPr>
    </w:p>
    <w:p w14:paraId="701198F2">
      <w:pPr>
        <w:spacing w:line="360" w:lineRule="auto"/>
        <w:ind w:firstLine="438" w:firstLineChars="209"/>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备注：</w:t>
      </w:r>
    </w:p>
    <w:p w14:paraId="14BB940F">
      <w:pPr>
        <w:spacing w:line="360" w:lineRule="auto"/>
        <w:ind w:firstLine="438" w:firstLineChars="209"/>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1、必须按表格内容的要求完整地填写型号、规格、</w:t>
      </w:r>
      <w:r>
        <w:rPr>
          <w:color w:val="auto"/>
          <w:sz w:val="21"/>
          <w:szCs w:val="21"/>
          <w:highlight w:val="none"/>
        </w:rPr>
        <w:t>数量</w:t>
      </w:r>
      <w:r>
        <w:rPr>
          <w:rFonts w:hint="eastAsia" w:ascii="宋体" w:hAnsi="宋体" w:cs="宋体"/>
          <w:b w:val="0"/>
          <w:bCs w:val="0"/>
          <w:color w:val="auto"/>
          <w:szCs w:val="21"/>
          <w:highlight w:val="none"/>
        </w:rPr>
        <w:t>、</w:t>
      </w:r>
      <w:r>
        <w:rPr>
          <w:color w:val="auto"/>
          <w:sz w:val="21"/>
          <w:szCs w:val="21"/>
          <w:highlight w:val="none"/>
        </w:rPr>
        <w:t>国别产地</w:t>
      </w:r>
      <w:r>
        <w:rPr>
          <w:rFonts w:hint="eastAsia"/>
          <w:color w:val="auto"/>
          <w:sz w:val="21"/>
          <w:szCs w:val="21"/>
          <w:highlight w:val="none"/>
          <w:lang w:eastAsia="zh-CN"/>
        </w:rPr>
        <w:t>、</w:t>
      </w:r>
      <w:r>
        <w:rPr>
          <w:color w:val="auto"/>
          <w:sz w:val="21"/>
          <w:szCs w:val="21"/>
          <w:highlight w:val="none"/>
        </w:rPr>
        <w:t>制造年份</w:t>
      </w:r>
      <w:r>
        <w:rPr>
          <w:rFonts w:hint="eastAsia" w:ascii="宋体" w:hAnsi="宋体" w:cs="宋体"/>
          <w:b w:val="0"/>
          <w:bCs w:val="0"/>
          <w:color w:val="auto"/>
          <w:szCs w:val="21"/>
          <w:highlight w:val="none"/>
        </w:rPr>
        <w:t xml:space="preserve">等内容、数据，要有具体数值，并不得以"空白"或"0"或"/"或"—"或“无”代替，否则按无效响应处理。 </w:t>
      </w:r>
    </w:p>
    <w:p w14:paraId="3F3CC491">
      <w:pPr>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在施工期间，竞标人必须按照竞标时所列的试验和检测仪器设备[自带（或自租）]，列表供采购单位检查复核。竞标人需对此项内容另行承诺（格式自拟），如竞标人的响应文件没有提交此承诺的，视为无效响应文件。</w:t>
      </w:r>
    </w:p>
    <w:p w14:paraId="68A68E28">
      <w:pPr>
        <w:pStyle w:val="27"/>
        <w:rPr>
          <w:rFonts w:hint="eastAsia" w:ascii="宋体" w:hAnsi="宋体" w:eastAsia="宋体" w:cs="宋体"/>
          <w:b/>
          <w:bCs/>
          <w:color w:val="auto"/>
          <w:sz w:val="28"/>
          <w:szCs w:val="28"/>
          <w:highlight w:val="none"/>
          <w:lang w:eastAsia="zh-CN"/>
        </w:rPr>
      </w:pPr>
      <w:r>
        <w:rPr>
          <w:color w:val="auto"/>
          <w:highlight w:val="none"/>
        </w:rPr>
        <w:br w:type="page"/>
      </w:r>
      <w:bookmarkStart w:id="80" w:name="bookmark2238"/>
      <w:bookmarkStart w:id="81" w:name="bookmark2237"/>
      <w:bookmarkStart w:id="82" w:name="bookmark2239"/>
      <w:r>
        <w:rPr>
          <w:rFonts w:hint="eastAsia" w:ascii="宋体" w:hAnsi="宋体" w:eastAsia="宋体" w:cs="宋体"/>
          <w:b/>
          <w:bCs/>
          <w:color w:val="auto"/>
          <w:sz w:val="28"/>
          <w:szCs w:val="28"/>
          <w:highlight w:val="none"/>
          <w:lang w:eastAsia="zh-CN"/>
        </w:rPr>
        <w:t>附件三：拟投入本合同工程的劳动力计划表</w:t>
      </w:r>
      <w:bookmarkEnd w:id="80"/>
      <w:bookmarkEnd w:id="81"/>
      <w:bookmarkEnd w:id="82"/>
    </w:p>
    <w:p w14:paraId="6BBDB05B">
      <w:pPr>
        <w:pStyle w:val="27"/>
        <w:rPr>
          <w:rFonts w:ascii="宋体" w:hAnsi="宋体" w:eastAsia="宋体" w:cs="宋体"/>
          <w:b/>
          <w:color w:val="auto"/>
          <w:sz w:val="20"/>
          <w:szCs w:val="20"/>
          <w:highlight w:val="none"/>
          <w:lang w:eastAsia="zh-CN"/>
        </w:rPr>
      </w:pPr>
    </w:p>
    <w:p w14:paraId="74697576">
      <w:pPr>
        <w:pStyle w:val="27"/>
        <w:jc w:val="center"/>
        <w:rPr>
          <w:rFonts w:ascii="宋体" w:hAnsi="宋体" w:eastAsia="宋体" w:cs="宋体"/>
          <w:b/>
          <w:color w:val="auto"/>
          <w:highlight w:val="none"/>
          <w:lang w:eastAsia="zh-CN"/>
        </w:rPr>
      </w:pPr>
      <w:bookmarkStart w:id="83" w:name="bookmark2241"/>
      <w:bookmarkStart w:id="84" w:name="bookmark2242"/>
      <w:bookmarkStart w:id="85" w:name="_Toc30824"/>
      <w:bookmarkStart w:id="86" w:name="_Toc26872"/>
      <w:bookmarkStart w:id="87" w:name="bookmark2240"/>
      <w:r>
        <w:rPr>
          <w:rFonts w:hint="eastAsia" w:ascii="宋体" w:hAnsi="宋体" w:eastAsia="宋体" w:cs="宋体"/>
          <w:b/>
          <w:color w:val="auto"/>
          <w:highlight w:val="none"/>
          <w:lang w:eastAsia="zh-CN"/>
        </w:rPr>
        <w:t>拟投入本合同工程的劳动力计划表</w:t>
      </w:r>
      <w:bookmarkEnd w:id="83"/>
      <w:bookmarkEnd w:id="84"/>
      <w:bookmarkEnd w:id="85"/>
      <w:bookmarkEnd w:id="86"/>
      <w:bookmarkEnd w:id="87"/>
    </w:p>
    <w:p w14:paraId="525EC0E6">
      <w:pPr>
        <w:pStyle w:val="27"/>
        <w:jc w:val="center"/>
        <w:rPr>
          <w:b/>
          <w:color w:val="auto"/>
          <w:highlight w:val="none"/>
          <w:lang w:eastAsia="zh-CN"/>
        </w:rPr>
      </w:pPr>
    </w:p>
    <w:tbl>
      <w:tblPr>
        <w:tblStyle w:val="17"/>
        <w:tblW w:w="0" w:type="auto"/>
        <w:jc w:val="center"/>
        <w:tblLayout w:type="fixed"/>
        <w:tblCellMar>
          <w:top w:w="0" w:type="dxa"/>
          <w:left w:w="10" w:type="dxa"/>
          <w:bottom w:w="0" w:type="dxa"/>
          <w:right w:w="10" w:type="dxa"/>
        </w:tblCellMar>
      </w:tblPr>
      <w:tblGrid>
        <w:gridCol w:w="1426"/>
        <w:gridCol w:w="1421"/>
        <w:gridCol w:w="643"/>
        <w:gridCol w:w="648"/>
        <w:gridCol w:w="643"/>
        <w:gridCol w:w="648"/>
        <w:gridCol w:w="648"/>
        <w:gridCol w:w="1133"/>
        <w:gridCol w:w="1142"/>
      </w:tblGrid>
      <w:tr w14:paraId="1A9DCFE9">
        <w:tblPrEx>
          <w:tblCellMar>
            <w:top w:w="0" w:type="dxa"/>
            <w:left w:w="10" w:type="dxa"/>
            <w:bottom w:w="0" w:type="dxa"/>
            <w:right w:w="10" w:type="dxa"/>
          </w:tblCellMar>
        </w:tblPrEx>
        <w:trPr>
          <w:trHeight w:val="576" w:hRule="exact"/>
          <w:jc w:val="center"/>
        </w:trPr>
        <w:tc>
          <w:tcPr>
            <w:tcW w:w="2847" w:type="dxa"/>
            <w:gridSpan w:val="2"/>
            <w:vMerge w:val="restart"/>
            <w:tcBorders>
              <w:top w:val="single" w:color="auto" w:sz="4" w:space="0"/>
              <w:left w:val="single" w:color="auto" w:sz="4" w:space="0"/>
            </w:tcBorders>
            <w:shd w:val="clear" w:color="auto" w:fill="FFFFFF"/>
            <w:noWrap w:val="0"/>
            <w:vAlign w:val="center"/>
          </w:tcPr>
          <w:p w14:paraId="3BB27E31">
            <w:pPr>
              <w:pStyle w:val="29"/>
              <w:spacing w:line="266" w:lineRule="exact"/>
              <w:ind w:left="1060" w:firstLine="1220"/>
              <w:rPr>
                <w:color w:val="auto"/>
                <w:sz w:val="21"/>
                <w:szCs w:val="21"/>
                <w:highlight w:val="none"/>
              </w:rPr>
            </w:pPr>
            <w:r>
              <w:rPr>
                <w:color w:val="auto"/>
                <w:sz w:val="21"/>
                <w:szCs w:val="21"/>
                <w:highlight w:val="none"/>
                <w:lang w:bidi="mn-Mong-CN"/>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26035</wp:posOffset>
                      </wp:positionV>
                      <wp:extent cx="1822450" cy="366395"/>
                      <wp:effectExtent l="635" t="4445" r="5715" b="10160"/>
                      <wp:wrapNone/>
                      <wp:docPr id="2" name="直接箭头连接符 2"/>
                      <wp:cNvGraphicFramePr/>
                      <a:graphic xmlns:a="http://schemas.openxmlformats.org/drawingml/2006/main">
                        <a:graphicData uri="http://schemas.microsoft.com/office/word/2010/wordprocessingShape">
                          <wps:wsp>
                            <wps:cNvCnPr/>
                            <wps:spPr>
                              <a:xfrm>
                                <a:off x="0" y="0"/>
                                <a:ext cx="1822450" cy="3663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75pt;margin-top:2.05pt;height:28.85pt;width:143.5pt;z-index:251662336;mso-width-relative:page;mso-height-relative:page;" filled="f" stroked="t" coordsize="21600,21600" o:gfxdata="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qJFSPTAAAABgEAAA8AAAAAAAAAAQAgAAAAIgAAAGRycy9kb3ducmV2&#10;LnhtbFBLAQIUABQAAAAIAIdO4kBxuxStAQIAAPEDAAAOAAAAAAAAAAEAIAAAACIBAABkcnMvZTJv&#10;RG9jLnhtbFBLBQYAAAAABgAGAFkBAACVBQAAAAA=&#10;">
                      <v:fill on="f" focussize="0,0"/>
                      <v:stroke color="#000000" joinstyle="round"/>
                      <v:imagedata o:title=""/>
                      <o:lock v:ext="edit" aspectratio="f"/>
                    </v:shape>
                  </w:pict>
                </mc:Fallback>
              </mc:AlternateContent>
            </w:r>
            <w:r>
              <w:rPr>
                <w:color w:val="auto"/>
                <w:sz w:val="21"/>
                <w:szCs w:val="21"/>
                <w:highlight w:val="none"/>
                <w:lang w:val="en-US" w:bidi="mn-Mong-CN"/>
              </w:rPr>
              <mc:AlternateContent>
                <mc:Choice Requires="wps">
                  <w:drawing>
                    <wp:anchor distT="0" distB="0" distL="114300" distR="114300" simplePos="0" relativeHeight="251663360" behindDoc="0" locked="0" layoutInCell="1" allowOverlap="1">
                      <wp:simplePos x="0" y="0"/>
                      <wp:positionH relativeFrom="column">
                        <wp:posOffset>-13970</wp:posOffset>
                      </wp:positionH>
                      <wp:positionV relativeFrom="paragraph">
                        <wp:posOffset>-8255</wp:posOffset>
                      </wp:positionV>
                      <wp:extent cx="1139190" cy="728980"/>
                      <wp:effectExtent l="2540" t="3810" r="20320" b="10160"/>
                      <wp:wrapNone/>
                      <wp:docPr id="3" name="直接箭头连接符 3"/>
                      <wp:cNvGraphicFramePr/>
                      <a:graphic xmlns:a="http://schemas.openxmlformats.org/drawingml/2006/main">
                        <a:graphicData uri="http://schemas.microsoft.com/office/word/2010/wordprocessingShape">
                          <wps:wsp>
                            <wps:cNvCnPr/>
                            <wps:spPr>
                              <a:xfrm>
                                <a:off x="0" y="0"/>
                                <a:ext cx="1139190" cy="7289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pt;margin-top:-0.65pt;height:57.4pt;width:89.7pt;z-index:251663360;mso-width-relative:page;mso-height-relative:page;" filled="f" stroked="t" coordsize="21600,21600" o:gfxdata="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ha+1XXAAAACQEAAA8AAAAAAAAAAQAgAAAAIgAAAGRycy9k&#10;b3ducmV2LnhtbFBLAQIUABQAAAAIAIdO4kCi00xrAwIAAPEDAAAOAAAAAAAAAAEAIAAAACYBAABk&#10;cnMvZTJvRG9jLnhtbFBLBQYAAAAABgAGAFkBAACbBQAAAAA=&#10;">
                      <v:fill on="f" focussize="0,0"/>
                      <v:stroke color="#000000" joinstyle="round"/>
                      <v:imagedata o:title=""/>
                      <o:lock v:ext="edit" aspectratio="f"/>
                    </v:shape>
                  </w:pict>
                </mc:Fallback>
              </mc:AlternateContent>
            </w:r>
            <w:r>
              <w:rPr>
                <w:color w:val="auto"/>
                <w:sz w:val="21"/>
                <w:szCs w:val="21"/>
                <w:highlight w:val="none"/>
              </w:rPr>
              <w:t>工种 人数</w:t>
            </w:r>
          </w:p>
          <w:p w14:paraId="743F331A">
            <w:pPr>
              <w:pStyle w:val="29"/>
              <w:spacing w:line="266" w:lineRule="exact"/>
              <w:ind w:firstLine="180"/>
              <w:rPr>
                <w:color w:val="auto"/>
                <w:sz w:val="21"/>
                <w:szCs w:val="21"/>
                <w:highlight w:val="none"/>
              </w:rPr>
            </w:pPr>
            <w:r>
              <w:rPr>
                <w:color w:val="auto"/>
                <w:sz w:val="21"/>
                <w:szCs w:val="21"/>
                <w:highlight w:val="none"/>
              </w:rPr>
              <w:t>时间</w:t>
            </w:r>
          </w:p>
        </w:tc>
        <w:tc>
          <w:tcPr>
            <w:tcW w:w="643" w:type="dxa"/>
            <w:vMerge w:val="restart"/>
            <w:tcBorders>
              <w:top w:val="single" w:color="auto" w:sz="4" w:space="0"/>
              <w:left w:val="single" w:color="auto" w:sz="4" w:space="0"/>
            </w:tcBorders>
            <w:shd w:val="clear" w:color="auto" w:fill="FFFFFF"/>
            <w:noWrap w:val="0"/>
            <w:vAlign w:val="top"/>
          </w:tcPr>
          <w:p w14:paraId="75BC56C7">
            <w:pPr>
              <w:pStyle w:val="27"/>
              <w:rPr>
                <w:color w:val="auto"/>
                <w:sz w:val="21"/>
                <w:szCs w:val="21"/>
                <w:highlight w:val="none"/>
              </w:rPr>
            </w:pPr>
          </w:p>
        </w:tc>
        <w:tc>
          <w:tcPr>
            <w:tcW w:w="648" w:type="dxa"/>
            <w:vMerge w:val="restart"/>
            <w:tcBorders>
              <w:top w:val="single" w:color="auto" w:sz="4" w:space="0"/>
              <w:left w:val="single" w:color="auto" w:sz="4" w:space="0"/>
            </w:tcBorders>
            <w:shd w:val="clear" w:color="auto" w:fill="FFFFFF"/>
            <w:noWrap w:val="0"/>
            <w:vAlign w:val="top"/>
          </w:tcPr>
          <w:p w14:paraId="78BE751C">
            <w:pPr>
              <w:pStyle w:val="27"/>
              <w:rPr>
                <w:color w:val="auto"/>
                <w:sz w:val="21"/>
                <w:szCs w:val="21"/>
                <w:highlight w:val="none"/>
              </w:rPr>
            </w:pPr>
          </w:p>
        </w:tc>
        <w:tc>
          <w:tcPr>
            <w:tcW w:w="643" w:type="dxa"/>
            <w:vMerge w:val="restart"/>
            <w:tcBorders>
              <w:top w:val="single" w:color="auto" w:sz="4" w:space="0"/>
              <w:left w:val="single" w:color="auto" w:sz="4" w:space="0"/>
            </w:tcBorders>
            <w:shd w:val="clear" w:color="auto" w:fill="FFFFFF"/>
            <w:noWrap w:val="0"/>
            <w:vAlign w:val="top"/>
          </w:tcPr>
          <w:p w14:paraId="3B2D5AB4">
            <w:pPr>
              <w:pStyle w:val="27"/>
              <w:rPr>
                <w:color w:val="auto"/>
                <w:sz w:val="21"/>
                <w:szCs w:val="21"/>
                <w:highlight w:val="none"/>
              </w:rPr>
            </w:pPr>
          </w:p>
        </w:tc>
        <w:tc>
          <w:tcPr>
            <w:tcW w:w="648" w:type="dxa"/>
            <w:vMerge w:val="restart"/>
            <w:tcBorders>
              <w:top w:val="single" w:color="auto" w:sz="4" w:space="0"/>
              <w:left w:val="single" w:color="auto" w:sz="4" w:space="0"/>
            </w:tcBorders>
            <w:shd w:val="clear" w:color="auto" w:fill="FFFFFF"/>
            <w:noWrap w:val="0"/>
            <w:vAlign w:val="top"/>
          </w:tcPr>
          <w:p w14:paraId="26574DC0">
            <w:pPr>
              <w:pStyle w:val="27"/>
              <w:rPr>
                <w:color w:val="auto"/>
                <w:sz w:val="21"/>
                <w:szCs w:val="21"/>
                <w:highlight w:val="none"/>
              </w:rPr>
            </w:pPr>
          </w:p>
        </w:tc>
        <w:tc>
          <w:tcPr>
            <w:tcW w:w="648" w:type="dxa"/>
            <w:vMerge w:val="restart"/>
            <w:tcBorders>
              <w:top w:val="single" w:color="auto" w:sz="4" w:space="0"/>
              <w:left w:val="single" w:color="auto" w:sz="4" w:space="0"/>
            </w:tcBorders>
            <w:shd w:val="clear" w:color="auto" w:fill="FFFFFF"/>
            <w:noWrap w:val="0"/>
            <w:vAlign w:val="top"/>
          </w:tcPr>
          <w:p w14:paraId="0ECB7CF9">
            <w:pPr>
              <w:pStyle w:val="27"/>
              <w:rPr>
                <w:color w:val="auto"/>
                <w:sz w:val="21"/>
                <w:szCs w:val="21"/>
                <w:highlight w:val="none"/>
              </w:rPr>
            </w:pPr>
          </w:p>
        </w:tc>
        <w:tc>
          <w:tcPr>
            <w:tcW w:w="2275" w:type="dxa"/>
            <w:gridSpan w:val="2"/>
            <w:tcBorders>
              <w:top w:val="single" w:color="auto" w:sz="4" w:space="0"/>
              <w:left w:val="single" w:color="auto" w:sz="4" w:space="0"/>
              <w:right w:val="single" w:color="auto" w:sz="4" w:space="0"/>
            </w:tcBorders>
            <w:shd w:val="clear" w:color="auto" w:fill="FFFFFF"/>
            <w:noWrap w:val="0"/>
            <w:vAlign w:val="center"/>
          </w:tcPr>
          <w:p w14:paraId="0ECB0463">
            <w:pPr>
              <w:pStyle w:val="29"/>
              <w:spacing w:line="240" w:lineRule="auto"/>
              <w:ind w:firstLine="0"/>
              <w:jc w:val="center"/>
              <w:rPr>
                <w:color w:val="auto"/>
                <w:sz w:val="21"/>
                <w:szCs w:val="21"/>
                <w:highlight w:val="none"/>
              </w:rPr>
            </w:pPr>
            <w:r>
              <w:rPr>
                <w:color w:val="auto"/>
                <w:sz w:val="21"/>
                <w:szCs w:val="21"/>
                <w:highlight w:val="none"/>
              </w:rPr>
              <w:t>合 计</w:t>
            </w:r>
          </w:p>
        </w:tc>
      </w:tr>
      <w:tr w14:paraId="41C6DBD9">
        <w:tblPrEx>
          <w:tblCellMar>
            <w:top w:w="0" w:type="dxa"/>
            <w:left w:w="10" w:type="dxa"/>
            <w:bottom w:w="0" w:type="dxa"/>
            <w:right w:w="10" w:type="dxa"/>
          </w:tblCellMar>
        </w:tblPrEx>
        <w:trPr>
          <w:trHeight w:val="566" w:hRule="exact"/>
          <w:jc w:val="center"/>
        </w:trPr>
        <w:tc>
          <w:tcPr>
            <w:tcW w:w="2847" w:type="dxa"/>
            <w:gridSpan w:val="2"/>
            <w:vMerge w:val="continue"/>
            <w:tcBorders>
              <w:left w:val="single" w:color="auto" w:sz="4" w:space="0"/>
            </w:tcBorders>
            <w:shd w:val="clear" w:color="auto" w:fill="FFFFFF"/>
            <w:noWrap w:val="0"/>
            <w:vAlign w:val="center"/>
          </w:tcPr>
          <w:p w14:paraId="54C24B3A">
            <w:pPr>
              <w:pStyle w:val="27"/>
              <w:rPr>
                <w:color w:val="auto"/>
                <w:sz w:val="21"/>
                <w:szCs w:val="21"/>
                <w:highlight w:val="none"/>
              </w:rPr>
            </w:pPr>
          </w:p>
        </w:tc>
        <w:tc>
          <w:tcPr>
            <w:tcW w:w="643" w:type="dxa"/>
            <w:vMerge w:val="continue"/>
            <w:tcBorders>
              <w:left w:val="single" w:color="auto" w:sz="4" w:space="0"/>
            </w:tcBorders>
            <w:shd w:val="clear" w:color="auto" w:fill="FFFFFF"/>
            <w:noWrap w:val="0"/>
            <w:vAlign w:val="top"/>
          </w:tcPr>
          <w:p w14:paraId="624D1421">
            <w:pPr>
              <w:pStyle w:val="27"/>
              <w:rPr>
                <w:color w:val="auto"/>
                <w:sz w:val="21"/>
                <w:szCs w:val="21"/>
                <w:highlight w:val="none"/>
              </w:rPr>
            </w:pPr>
          </w:p>
        </w:tc>
        <w:tc>
          <w:tcPr>
            <w:tcW w:w="648" w:type="dxa"/>
            <w:vMerge w:val="continue"/>
            <w:tcBorders>
              <w:left w:val="single" w:color="auto" w:sz="4" w:space="0"/>
            </w:tcBorders>
            <w:shd w:val="clear" w:color="auto" w:fill="FFFFFF"/>
            <w:noWrap w:val="0"/>
            <w:vAlign w:val="top"/>
          </w:tcPr>
          <w:p w14:paraId="73D76381">
            <w:pPr>
              <w:pStyle w:val="27"/>
              <w:rPr>
                <w:color w:val="auto"/>
                <w:sz w:val="21"/>
                <w:szCs w:val="21"/>
                <w:highlight w:val="none"/>
              </w:rPr>
            </w:pPr>
          </w:p>
        </w:tc>
        <w:tc>
          <w:tcPr>
            <w:tcW w:w="643" w:type="dxa"/>
            <w:vMerge w:val="continue"/>
            <w:tcBorders>
              <w:left w:val="single" w:color="auto" w:sz="4" w:space="0"/>
            </w:tcBorders>
            <w:shd w:val="clear" w:color="auto" w:fill="FFFFFF"/>
            <w:noWrap w:val="0"/>
            <w:vAlign w:val="top"/>
          </w:tcPr>
          <w:p w14:paraId="69D6C949">
            <w:pPr>
              <w:pStyle w:val="27"/>
              <w:rPr>
                <w:color w:val="auto"/>
                <w:sz w:val="21"/>
                <w:szCs w:val="21"/>
                <w:highlight w:val="none"/>
              </w:rPr>
            </w:pPr>
          </w:p>
        </w:tc>
        <w:tc>
          <w:tcPr>
            <w:tcW w:w="648" w:type="dxa"/>
            <w:vMerge w:val="continue"/>
            <w:tcBorders>
              <w:left w:val="single" w:color="auto" w:sz="4" w:space="0"/>
            </w:tcBorders>
            <w:shd w:val="clear" w:color="auto" w:fill="FFFFFF"/>
            <w:noWrap w:val="0"/>
            <w:vAlign w:val="top"/>
          </w:tcPr>
          <w:p w14:paraId="05CE759F">
            <w:pPr>
              <w:pStyle w:val="27"/>
              <w:rPr>
                <w:color w:val="auto"/>
                <w:sz w:val="21"/>
                <w:szCs w:val="21"/>
                <w:highlight w:val="none"/>
              </w:rPr>
            </w:pPr>
          </w:p>
        </w:tc>
        <w:tc>
          <w:tcPr>
            <w:tcW w:w="648" w:type="dxa"/>
            <w:vMerge w:val="continue"/>
            <w:tcBorders>
              <w:left w:val="single" w:color="auto" w:sz="4" w:space="0"/>
            </w:tcBorders>
            <w:shd w:val="clear" w:color="auto" w:fill="FFFFFF"/>
            <w:noWrap w:val="0"/>
            <w:vAlign w:val="top"/>
          </w:tcPr>
          <w:p w14:paraId="3D1C3AED">
            <w:pPr>
              <w:pStyle w:val="27"/>
              <w:rPr>
                <w:color w:val="auto"/>
                <w:sz w:val="21"/>
                <w:szCs w:val="21"/>
                <w:highlight w:val="none"/>
              </w:rPr>
            </w:pPr>
          </w:p>
        </w:tc>
        <w:tc>
          <w:tcPr>
            <w:tcW w:w="1133" w:type="dxa"/>
            <w:tcBorders>
              <w:top w:val="single" w:color="auto" w:sz="4" w:space="0"/>
              <w:left w:val="single" w:color="auto" w:sz="4" w:space="0"/>
            </w:tcBorders>
            <w:shd w:val="clear" w:color="auto" w:fill="FFFFFF"/>
            <w:noWrap w:val="0"/>
            <w:vAlign w:val="center"/>
          </w:tcPr>
          <w:p w14:paraId="7FEE8327">
            <w:pPr>
              <w:pStyle w:val="29"/>
              <w:spacing w:line="240" w:lineRule="auto"/>
              <w:ind w:firstLine="0"/>
              <w:jc w:val="center"/>
              <w:rPr>
                <w:color w:val="auto"/>
                <w:sz w:val="21"/>
                <w:szCs w:val="21"/>
                <w:highlight w:val="none"/>
              </w:rPr>
            </w:pPr>
            <w:r>
              <w:rPr>
                <w:color w:val="auto"/>
                <w:sz w:val="21"/>
                <w:szCs w:val="21"/>
                <w:highlight w:val="none"/>
              </w:rPr>
              <w:t>人数</w:t>
            </w:r>
          </w:p>
        </w:tc>
        <w:tc>
          <w:tcPr>
            <w:tcW w:w="1142" w:type="dxa"/>
            <w:tcBorders>
              <w:top w:val="single" w:color="auto" w:sz="4" w:space="0"/>
              <w:left w:val="single" w:color="auto" w:sz="4" w:space="0"/>
              <w:right w:val="single" w:color="auto" w:sz="4" w:space="0"/>
            </w:tcBorders>
            <w:shd w:val="clear" w:color="auto" w:fill="FFFFFF"/>
            <w:noWrap w:val="0"/>
            <w:vAlign w:val="center"/>
          </w:tcPr>
          <w:p w14:paraId="626DE4B1">
            <w:pPr>
              <w:pStyle w:val="29"/>
              <w:spacing w:line="240" w:lineRule="auto"/>
              <w:ind w:firstLine="0"/>
              <w:jc w:val="center"/>
              <w:rPr>
                <w:color w:val="auto"/>
                <w:sz w:val="21"/>
                <w:szCs w:val="21"/>
                <w:highlight w:val="none"/>
              </w:rPr>
            </w:pPr>
            <w:r>
              <w:rPr>
                <w:color w:val="auto"/>
                <w:sz w:val="21"/>
                <w:szCs w:val="21"/>
                <w:highlight w:val="none"/>
              </w:rPr>
              <w:t>人工工日数</w:t>
            </w:r>
          </w:p>
        </w:tc>
      </w:tr>
      <w:tr w14:paraId="7A9C8754">
        <w:tblPrEx>
          <w:tblCellMar>
            <w:top w:w="0" w:type="dxa"/>
            <w:left w:w="10" w:type="dxa"/>
            <w:bottom w:w="0" w:type="dxa"/>
            <w:right w:w="10" w:type="dxa"/>
          </w:tblCellMar>
        </w:tblPrEx>
        <w:trPr>
          <w:trHeight w:val="566" w:hRule="exact"/>
          <w:jc w:val="center"/>
        </w:trPr>
        <w:tc>
          <w:tcPr>
            <w:tcW w:w="1426" w:type="dxa"/>
            <w:vMerge w:val="restart"/>
            <w:tcBorders>
              <w:top w:val="single" w:color="auto" w:sz="4" w:space="0"/>
              <w:left w:val="single" w:color="auto" w:sz="4" w:space="0"/>
            </w:tcBorders>
            <w:shd w:val="clear" w:color="auto" w:fill="FFFFFF"/>
            <w:noWrap w:val="0"/>
            <w:vAlign w:val="center"/>
          </w:tcPr>
          <w:p w14:paraId="19EB776D">
            <w:pPr>
              <w:pStyle w:val="29"/>
              <w:spacing w:line="240" w:lineRule="auto"/>
              <w:ind w:left="1120" w:firstLine="0"/>
              <w:rPr>
                <w:color w:val="auto"/>
                <w:sz w:val="21"/>
                <w:szCs w:val="21"/>
                <w:highlight w:val="none"/>
              </w:rPr>
            </w:pPr>
            <w:r>
              <w:rPr>
                <w:color w:val="auto"/>
                <w:sz w:val="21"/>
                <w:szCs w:val="21"/>
                <w:highlight w:val="none"/>
              </w:rPr>
              <w:t>年</w:t>
            </w:r>
          </w:p>
        </w:tc>
        <w:tc>
          <w:tcPr>
            <w:tcW w:w="1421" w:type="dxa"/>
            <w:tcBorders>
              <w:top w:val="single" w:color="auto" w:sz="4" w:space="0"/>
              <w:left w:val="single" w:color="auto" w:sz="4" w:space="0"/>
            </w:tcBorders>
            <w:shd w:val="clear" w:color="auto" w:fill="FFFFFF"/>
            <w:noWrap w:val="0"/>
            <w:vAlign w:val="center"/>
          </w:tcPr>
          <w:p w14:paraId="6C411654">
            <w:pPr>
              <w:pStyle w:val="29"/>
              <w:spacing w:line="240" w:lineRule="auto"/>
              <w:ind w:left="1120" w:firstLine="0"/>
              <w:rPr>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3AFB7A1B">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746C63D1">
            <w:pPr>
              <w:pStyle w:val="27"/>
              <w:rPr>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3FDA9C47">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6D52193C">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7F7C7BDB">
            <w:pPr>
              <w:pStyle w:val="27"/>
              <w:rPr>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7ED3FF1B">
            <w:pPr>
              <w:pStyle w:val="27"/>
              <w:rPr>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center"/>
          </w:tcPr>
          <w:p w14:paraId="1E499129">
            <w:pPr>
              <w:pStyle w:val="27"/>
              <w:jc w:val="center"/>
              <w:rPr>
                <w:color w:val="auto"/>
                <w:sz w:val="21"/>
                <w:szCs w:val="21"/>
                <w:highlight w:val="none"/>
              </w:rPr>
            </w:pPr>
          </w:p>
        </w:tc>
      </w:tr>
      <w:tr w14:paraId="356426DC">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2C01DCFE">
            <w:pPr>
              <w:pStyle w:val="27"/>
              <w:rPr>
                <w:color w:val="auto"/>
                <w:sz w:val="21"/>
                <w:szCs w:val="21"/>
                <w:highlight w:val="none"/>
              </w:rPr>
            </w:pPr>
          </w:p>
        </w:tc>
        <w:tc>
          <w:tcPr>
            <w:tcW w:w="1421" w:type="dxa"/>
            <w:tcBorders>
              <w:top w:val="single" w:color="auto" w:sz="4" w:space="0"/>
              <w:left w:val="single" w:color="auto" w:sz="4" w:space="0"/>
            </w:tcBorders>
            <w:shd w:val="clear" w:color="auto" w:fill="FFFFFF"/>
            <w:noWrap w:val="0"/>
            <w:vAlign w:val="center"/>
          </w:tcPr>
          <w:p w14:paraId="5183EC6D">
            <w:pPr>
              <w:pStyle w:val="29"/>
              <w:spacing w:line="240" w:lineRule="auto"/>
              <w:ind w:left="1120" w:firstLine="0"/>
              <w:rPr>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7BCA6EF1">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727F5542">
            <w:pPr>
              <w:pStyle w:val="27"/>
              <w:rPr>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394C59A7">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12AD8574">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3EA70DB3">
            <w:pPr>
              <w:pStyle w:val="27"/>
              <w:rPr>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22B2443D">
            <w:pPr>
              <w:pStyle w:val="27"/>
              <w:rPr>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center"/>
          </w:tcPr>
          <w:p w14:paraId="39BC2FAA">
            <w:pPr>
              <w:pStyle w:val="27"/>
              <w:jc w:val="center"/>
              <w:rPr>
                <w:color w:val="auto"/>
                <w:sz w:val="21"/>
                <w:szCs w:val="21"/>
                <w:highlight w:val="none"/>
              </w:rPr>
            </w:pPr>
          </w:p>
        </w:tc>
      </w:tr>
      <w:tr w14:paraId="59DE575D">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569BCC7C">
            <w:pPr>
              <w:pStyle w:val="27"/>
              <w:rPr>
                <w:color w:val="auto"/>
                <w:sz w:val="21"/>
                <w:szCs w:val="21"/>
                <w:highlight w:val="none"/>
              </w:rPr>
            </w:pPr>
          </w:p>
        </w:tc>
        <w:tc>
          <w:tcPr>
            <w:tcW w:w="1421" w:type="dxa"/>
            <w:tcBorders>
              <w:top w:val="single" w:color="auto" w:sz="4" w:space="0"/>
              <w:left w:val="single" w:color="auto" w:sz="4" w:space="0"/>
            </w:tcBorders>
            <w:shd w:val="clear" w:color="auto" w:fill="FFFFFF"/>
            <w:noWrap w:val="0"/>
            <w:vAlign w:val="center"/>
          </w:tcPr>
          <w:p w14:paraId="0456C857">
            <w:pPr>
              <w:pStyle w:val="29"/>
              <w:spacing w:line="240" w:lineRule="auto"/>
              <w:ind w:left="1120" w:firstLine="0"/>
              <w:rPr>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72E7192C">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09ECE7F6">
            <w:pPr>
              <w:pStyle w:val="27"/>
              <w:rPr>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048BE7DB">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0A67AA02">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0E295EB9">
            <w:pPr>
              <w:pStyle w:val="27"/>
              <w:rPr>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06702FE2">
            <w:pPr>
              <w:pStyle w:val="27"/>
              <w:rPr>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740F5D33">
            <w:pPr>
              <w:pStyle w:val="27"/>
              <w:rPr>
                <w:color w:val="auto"/>
                <w:sz w:val="21"/>
                <w:szCs w:val="21"/>
                <w:highlight w:val="none"/>
              </w:rPr>
            </w:pPr>
          </w:p>
        </w:tc>
      </w:tr>
      <w:tr w14:paraId="315A7AA2">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2D2D7898">
            <w:pPr>
              <w:pStyle w:val="27"/>
              <w:rPr>
                <w:color w:val="auto"/>
                <w:sz w:val="21"/>
                <w:szCs w:val="21"/>
                <w:highlight w:val="none"/>
              </w:rPr>
            </w:pPr>
          </w:p>
        </w:tc>
        <w:tc>
          <w:tcPr>
            <w:tcW w:w="1421" w:type="dxa"/>
            <w:tcBorders>
              <w:top w:val="single" w:color="auto" w:sz="4" w:space="0"/>
              <w:left w:val="single" w:color="auto" w:sz="4" w:space="0"/>
            </w:tcBorders>
            <w:shd w:val="clear" w:color="auto" w:fill="FFFFFF"/>
            <w:noWrap w:val="0"/>
            <w:vAlign w:val="center"/>
          </w:tcPr>
          <w:p w14:paraId="7F358839">
            <w:pPr>
              <w:pStyle w:val="29"/>
              <w:spacing w:line="240" w:lineRule="auto"/>
              <w:ind w:left="1120" w:firstLine="0"/>
              <w:rPr>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5EFB5BBE">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5576D511">
            <w:pPr>
              <w:pStyle w:val="27"/>
              <w:rPr>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39AA4294">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482D2D08">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1E393E88">
            <w:pPr>
              <w:pStyle w:val="27"/>
              <w:rPr>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43557938">
            <w:pPr>
              <w:pStyle w:val="27"/>
              <w:rPr>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667564AA">
            <w:pPr>
              <w:pStyle w:val="27"/>
              <w:rPr>
                <w:color w:val="auto"/>
                <w:sz w:val="21"/>
                <w:szCs w:val="21"/>
                <w:highlight w:val="none"/>
              </w:rPr>
            </w:pPr>
          </w:p>
        </w:tc>
      </w:tr>
      <w:tr w14:paraId="7C707996">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28C522EA">
            <w:pPr>
              <w:pStyle w:val="27"/>
              <w:rPr>
                <w:color w:val="auto"/>
                <w:sz w:val="21"/>
                <w:szCs w:val="21"/>
                <w:highlight w:val="none"/>
              </w:rPr>
            </w:pPr>
          </w:p>
        </w:tc>
        <w:tc>
          <w:tcPr>
            <w:tcW w:w="1421" w:type="dxa"/>
            <w:tcBorders>
              <w:top w:val="single" w:color="auto" w:sz="4" w:space="0"/>
              <w:left w:val="single" w:color="auto" w:sz="4" w:space="0"/>
            </w:tcBorders>
            <w:shd w:val="clear" w:color="auto" w:fill="FFFFFF"/>
            <w:noWrap w:val="0"/>
            <w:vAlign w:val="center"/>
          </w:tcPr>
          <w:p w14:paraId="4AA0EF81">
            <w:pPr>
              <w:pStyle w:val="29"/>
              <w:spacing w:line="240" w:lineRule="auto"/>
              <w:ind w:left="1120" w:firstLine="0"/>
              <w:rPr>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07F6C74C">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3EF6B0CB">
            <w:pPr>
              <w:pStyle w:val="27"/>
              <w:rPr>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577F352E">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71B2F947">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0D2972F0">
            <w:pPr>
              <w:pStyle w:val="27"/>
              <w:rPr>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3A1534BF">
            <w:pPr>
              <w:pStyle w:val="27"/>
              <w:rPr>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4FCE85FE">
            <w:pPr>
              <w:pStyle w:val="27"/>
              <w:rPr>
                <w:color w:val="auto"/>
                <w:sz w:val="21"/>
                <w:szCs w:val="21"/>
                <w:highlight w:val="none"/>
              </w:rPr>
            </w:pPr>
          </w:p>
        </w:tc>
      </w:tr>
      <w:tr w14:paraId="3248408E">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77E7CD19">
            <w:pPr>
              <w:pStyle w:val="27"/>
              <w:rPr>
                <w:color w:val="auto"/>
                <w:sz w:val="21"/>
                <w:szCs w:val="21"/>
                <w:highlight w:val="none"/>
              </w:rPr>
            </w:pPr>
          </w:p>
        </w:tc>
        <w:tc>
          <w:tcPr>
            <w:tcW w:w="1421" w:type="dxa"/>
            <w:tcBorders>
              <w:top w:val="single" w:color="auto" w:sz="4" w:space="0"/>
              <w:left w:val="single" w:color="auto" w:sz="4" w:space="0"/>
            </w:tcBorders>
            <w:shd w:val="clear" w:color="auto" w:fill="FFFFFF"/>
            <w:noWrap w:val="0"/>
            <w:vAlign w:val="center"/>
          </w:tcPr>
          <w:p w14:paraId="4A004A33">
            <w:pPr>
              <w:pStyle w:val="29"/>
              <w:spacing w:line="240" w:lineRule="auto"/>
              <w:ind w:left="1120" w:firstLine="0"/>
              <w:rPr>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13A7A00B">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03DE9E62">
            <w:pPr>
              <w:pStyle w:val="27"/>
              <w:rPr>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556AEA43">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7497D692">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076140DD">
            <w:pPr>
              <w:pStyle w:val="27"/>
              <w:rPr>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285584E4">
            <w:pPr>
              <w:pStyle w:val="27"/>
              <w:rPr>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31C88EBD">
            <w:pPr>
              <w:pStyle w:val="27"/>
              <w:rPr>
                <w:color w:val="auto"/>
                <w:sz w:val="21"/>
                <w:szCs w:val="21"/>
                <w:highlight w:val="none"/>
              </w:rPr>
            </w:pPr>
          </w:p>
        </w:tc>
      </w:tr>
      <w:tr w14:paraId="0AE8BCEA">
        <w:tblPrEx>
          <w:tblCellMar>
            <w:top w:w="0" w:type="dxa"/>
            <w:left w:w="10" w:type="dxa"/>
            <w:bottom w:w="0" w:type="dxa"/>
            <w:right w:w="10" w:type="dxa"/>
          </w:tblCellMar>
        </w:tblPrEx>
        <w:trPr>
          <w:trHeight w:val="571" w:hRule="exact"/>
          <w:jc w:val="center"/>
        </w:trPr>
        <w:tc>
          <w:tcPr>
            <w:tcW w:w="1426" w:type="dxa"/>
            <w:vMerge w:val="continue"/>
            <w:tcBorders>
              <w:left w:val="single" w:color="auto" w:sz="4" w:space="0"/>
            </w:tcBorders>
            <w:shd w:val="clear" w:color="auto" w:fill="FFFFFF"/>
            <w:noWrap w:val="0"/>
            <w:vAlign w:val="center"/>
          </w:tcPr>
          <w:p w14:paraId="11747EFE">
            <w:pPr>
              <w:pStyle w:val="27"/>
              <w:rPr>
                <w:color w:val="auto"/>
                <w:sz w:val="21"/>
                <w:szCs w:val="21"/>
                <w:highlight w:val="none"/>
              </w:rPr>
            </w:pPr>
          </w:p>
        </w:tc>
        <w:tc>
          <w:tcPr>
            <w:tcW w:w="1421" w:type="dxa"/>
            <w:tcBorders>
              <w:top w:val="single" w:color="auto" w:sz="4" w:space="0"/>
              <w:left w:val="single" w:color="auto" w:sz="4" w:space="0"/>
            </w:tcBorders>
            <w:shd w:val="clear" w:color="auto" w:fill="FFFFFF"/>
            <w:noWrap w:val="0"/>
            <w:vAlign w:val="center"/>
          </w:tcPr>
          <w:p w14:paraId="035F2AEB">
            <w:pPr>
              <w:pStyle w:val="29"/>
              <w:tabs>
                <w:tab w:val="left" w:leader="dot" w:pos="326"/>
              </w:tabs>
              <w:spacing w:line="240" w:lineRule="auto"/>
              <w:ind w:firstLine="0"/>
              <w:jc w:val="right"/>
              <w:rPr>
                <w:color w:val="auto"/>
                <w:sz w:val="21"/>
                <w:szCs w:val="21"/>
                <w:highlight w:val="none"/>
              </w:rPr>
            </w:pPr>
            <w:r>
              <w:rPr>
                <w:rFonts w:ascii="Arial" w:hAnsi="Arial" w:eastAsia="Arial" w:cs="Arial"/>
                <w:color w:val="auto"/>
                <w:sz w:val="21"/>
                <w:szCs w:val="21"/>
                <w:highlight w:val="none"/>
                <w:lang w:val="en-US" w:eastAsia="en-US" w:bidi="en-US"/>
              </w:rPr>
              <w:tab/>
            </w:r>
          </w:p>
        </w:tc>
        <w:tc>
          <w:tcPr>
            <w:tcW w:w="643" w:type="dxa"/>
            <w:tcBorders>
              <w:top w:val="single" w:color="auto" w:sz="4" w:space="0"/>
              <w:left w:val="single" w:color="auto" w:sz="4" w:space="0"/>
            </w:tcBorders>
            <w:shd w:val="clear" w:color="auto" w:fill="FFFFFF"/>
            <w:noWrap w:val="0"/>
            <w:vAlign w:val="top"/>
          </w:tcPr>
          <w:p w14:paraId="61CAF4B6">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1F83B581">
            <w:pPr>
              <w:pStyle w:val="27"/>
              <w:rPr>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78BF362D">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1AF33DDD">
            <w:pPr>
              <w:pStyle w:val="27"/>
              <w:rPr>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76E15BEE">
            <w:pPr>
              <w:pStyle w:val="27"/>
              <w:rPr>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16799C2C">
            <w:pPr>
              <w:pStyle w:val="27"/>
              <w:rPr>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1D8D2B88">
            <w:pPr>
              <w:pStyle w:val="27"/>
              <w:rPr>
                <w:color w:val="auto"/>
                <w:sz w:val="21"/>
                <w:szCs w:val="21"/>
                <w:highlight w:val="none"/>
              </w:rPr>
            </w:pPr>
          </w:p>
        </w:tc>
      </w:tr>
      <w:tr w14:paraId="39980113">
        <w:tblPrEx>
          <w:tblCellMar>
            <w:top w:w="0" w:type="dxa"/>
            <w:left w:w="10" w:type="dxa"/>
            <w:bottom w:w="0" w:type="dxa"/>
            <w:right w:w="10" w:type="dxa"/>
          </w:tblCellMar>
        </w:tblPrEx>
        <w:trPr>
          <w:trHeight w:val="576" w:hRule="exact"/>
          <w:jc w:val="center"/>
        </w:trPr>
        <w:tc>
          <w:tcPr>
            <w:tcW w:w="6077" w:type="dxa"/>
            <w:gridSpan w:val="7"/>
            <w:tcBorders>
              <w:top w:val="single" w:color="auto" w:sz="4" w:space="0"/>
              <w:left w:val="single" w:color="auto" w:sz="4" w:space="0"/>
              <w:bottom w:val="single" w:color="auto" w:sz="4" w:space="0"/>
            </w:tcBorders>
            <w:shd w:val="clear" w:color="auto" w:fill="FFFFFF"/>
            <w:noWrap w:val="0"/>
            <w:vAlign w:val="center"/>
          </w:tcPr>
          <w:p w14:paraId="7617CE7A">
            <w:pPr>
              <w:pStyle w:val="29"/>
              <w:spacing w:line="240" w:lineRule="auto"/>
              <w:ind w:firstLine="0"/>
              <w:jc w:val="center"/>
              <w:rPr>
                <w:color w:val="auto"/>
                <w:sz w:val="21"/>
                <w:szCs w:val="21"/>
                <w:highlight w:val="none"/>
              </w:rPr>
            </w:pPr>
            <w:r>
              <w:rPr>
                <w:color w:val="auto"/>
                <w:sz w:val="21"/>
                <w:szCs w:val="21"/>
                <w:highlight w:val="none"/>
              </w:rPr>
              <w:t>总 计</w:t>
            </w:r>
          </w:p>
        </w:tc>
        <w:tc>
          <w:tcPr>
            <w:tcW w:w="1133" w:type="dxa"/>
            <w:tcBorders>
              <w:top w:val="single" w:color="auto" w:sz="4" w:space="0"/>
              <w:left w:val="single" w:color="auto" w:sz="4" w:space="0"/>
              <w:bottom w:val="single" w:color="auto" w:sz="4" w:space="0"/>
            </w:tcBorders>
            <w:shd w:val="clear" w:color="auto" w:fill="FFFFFF"/>
            <w:noWrap w:val="0"/>
            <w:vAlign w:val="top"/>
          </w:tcPr>
          <w:p w14:paraId="7AEC41B7">
            <w:pPr>
              <w:pStyle w:val="27"/>
              <w:rPr>
                <w:color w:val="auto"/>
                <w:sz w:val="21"/>
                <w:szCs w:val="21"/>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F3B7CD6">
            <w:pPr>
              <w:pStyle w:val="27"/>
              <w:rPr>
                <w:color w:val="auto"/>
                <w:sz w:val="21"/>
                <w:szCs w:val="21"/>
                <w:highlight w:val="none"/>
              </w:rPr>
            </w:pPr>
          </w:p>
        </w:tc>
      </w:tr>
    </w:tbl>
    <w:p w14:paraId="23B77C04">
      <w:pPr>
        <w:pStyle w:val="27"/>
        <w:spacing w:after="299" w:line="1" w:lineRule="exact"/>
        <w:rPr>
          <w:color w:val="auto"/>
          <w:highlight w:val="none"/>
        </w:rPr>
      </w:pPr>
    </w:p>
    <w:p w14:paraId="4F35D1AB">
      <w:pPr>
        <w:tabs>
          <w:tab w:val="left" w:pos="3479"/>
        </w:tabs>
        <w:spacing w:line="520" w:lineRule="exact"/>
        <w:jc w:val="center"/>
        <w:rPr>
          <w:rFonts w:ascii="方正小标宋简体" w:hAnsi="方正小标宋简体" w:eastAsia="方正小标宋简体" w:cs="方正小标宋简体"/>
          <w:bCs/>
          <w:color w:val="auto"/>
          <w:sz w:val="44"/>
          <w:szCs w:val="44"/>
          <w:highlight w:val="none"/>
        </w:rPr>
        <w:sectPr>
          <w:pgSz w:w="11910" w:h="16840"/>
          <w:pgMar w:top="1134" w:right="1134" w:bottom="1134" w:left="1134" w:header="850" w:footer="567" w:gutter="0"/>
          <w:cols w:space="720" w:num="1"/>
          <w:docGrid w:linePitch="286" w:charSpace="0"/>
        </w:sectPr>
      </w:pPr>
    </w:p>
    <w:p w14:paraId="3E3C7A00">
      <w:pPr>
        <w:pStyle w:val="26"/>
        <w:tabs>
          <w:tab w:val="left" w:pos="847"/>
          <w:tab w:val="left" w:leader="underscore" w:pos="850"/>
          <w:tab w:val="left" w:leader="underscore" w:pos="1906"/>
          <w:tab w:val="left" w:pos="1908"/>
          <w:tab w:val="left" w:pos="2964"/>
        </w:tabs>
        <w:spacing w:after="420" w:line="350" w:lineRule="exact"/>
        <w:ind w:firstLine="0"/>
        <w:rPr>
          <w:b/>
          <w:color w:val="auto"/>
          <w:sz w:val="28"/>
          <w:szCs w:val="28"/>
          <w:highlight w:val="none"/>
        </w:rPr>
      </w:pPr>
      <w:bookmarkStart w:id="88" w:name="bookmark2244"/>
      <w:bookmarkStart w:id="89" w:name="bookmark2243"/>
      <w:bookmarkStart w:id="90" w:name="bookmark2245"/>
      <w:r>
        <w:rPr>
          <w:b/>
          <w:bCs/>
          <w:color w:val="auto"/>
          <w:sz w:val="28"/>
          <w:szCs w:val="28"/>
          <w:highlight w:val="none"/>
          <w:lang w:val="en-US" w:bidi="en-US"/>
        </w:rPr>
        <w:t>附件四</w:t>
      </w:r>
      <w:r>
        <w:rPr>
          <w:rFonts w:hint="eastAsia"/>
          <w:b/>
          <w:bCs/>
          <w:color w:val="auto"/>
          <w:sz w:val="28"/>
          <w:szCs w:val="28"/>
          <w:highlight w:val="none"/>
          <w:lang w:val="en-US" w:bidi="en-US"/>
        </w:rPr>
        <w:t>：</w:t>
      </w:r>
      <w:r>
        <w:rPr>
          <w:b/>
          <w:bCs/>
          <w:color w:val="auto"/>
          <w:sz w:val="28"/>
          <w:szCs w:val="28"/>
          <w:highlight w:val="none"/>
          <w:lang w:val="en-US" w:bidi="en-US"/>
        </w:rPr>
        <w:t>拟投入本合同工程的材料进场计划表</w:t>
      </w:r>
      <w:bookmarkEnd w:id="88"/>
      <w:bookmarkEnd w:id="89"/>
      <w:bookmarkEnd w:id="90"/>
    </w:p>
    <w:p w14:paraId="4B5CC879">
      <w:pPr>
        <w:pStyle w:val="27"/>
        <w:jc w:val="center"/>
        <w:rPr>
          <w:rFonts w:ascii="宋体" w:hAnsi="宋体" w:eastAsia="宋体" w:cs="宋体"/>
          <w:b/>
          <w:color w:val="auto"/>
          <w:highlight w:val="none"/>
          <w:lang w:eastAsia="zh-CN"/>
        </w:rPr>
      </w:pPr>
      <w:bookmarkStart w:id="91" w:name="_Toc16708"/>
      <w:bookmarkStart w:id="92" w:name="_Toc16851"/>
      <w:bookmarkStart w:id="93" w:name="bookmark2246"/>
      <w:bookmarkStart w:id="94" w:name="bookmark2247"/>
      <w:bookmarkStart w:id="95" w:name="bookmark2248"/>
      <w:r>
        <w:rPr>
          <w:rFonts w:hint="eastAsia" w:ascii="宋体" w:hAnsi="宋体" w:eastAsia="宋体" w:cs="宋体"/>
          <w:b/>
          <w:color w:val="auto"/>
          <w:highlight w:val="none"/>
          <w:lang w:eastAsia="zh-CN"/>
        </w:rPr>
        <w:t>拟投入本合同工程的材料进场计划表</w:t>
      </w:r>
      <w:bookmarkEnd w:id="91"/>
      <w:bookmarkEnd w:id="92"/>
      <w:bookmarkEnd w:id="93"/>
      <w:bookmarkEnd w:id="94"/>
      <w:bookmarkEnd w:id="95"/>
    </w:p>
    <w:tbl>
      <w:tblPr>
        <w:tblStyle w:val="17"/>
        <w:tblW w:w="0" w:type="auto"/>
        <w:jc w:val="center"/>
        <w:tblLayout w:type="fixed"/>
        <w:tblCellMar>
          <w:top w:w="0" w:type="dxa"/>
          <w:left w:w="10" w:type="dxa"/>
          <w:bottom w:w="0" w:type="dxa"/>
          <w:right w:w="10" w:type="dxa"/>
        </w:tblCellMar>
      </w:tblPr>
      <w:tblGrid>
        <w:gridCol w:w="1090"/>
        <w:gridCol w:w="902"/>
        <w:gridCol w:w="907"/>
        <w:gridCol w:w="907"/>
        <w:gridCol w:w="907"/>
        <w:gridCol w:w="912"/>
        <w:gridCol w:w="902"/>
        <w:gridCol w:w="907"/>
        <w:gridCol w:w="917"/>
      </w:tblGrid>
      <w:tr w14:paraId="0B7769CF">
        <w:tblPrEx>
          <w:tblCellMar>
            <w:top w:w="0" w:type="dxa"/>
            <w:left w:w="10" w:type="dxa"/>
            <w:bottom w:w="0" w:type="dxa"/>
            <w:right w:w="10" w:type="dxa"/>
          </w:tblCellMar>
        </w:tblPrEx>
        <w:trPr>
          <w:trHeight w:val="576" w:hRule="exact"/>
          <w:jc w:val="center"/>
        </w:trPr>
        <w:tc>
          <w:tcPr>
            <w:tcW w:w="1090" w:type="dxa"/>
            <w:vMerge w:val="restart"/>
            <w:tcBorders>
              <w:top w:val="single" w:color="auto" w:sz="4" w:space="0"/>
              <w:left w:val="single" w:color="auto" w:sz="4" w:space="0"/>
            </w:tcBorders>
            <w:shd w:val="clear" w:color="auto" w:fill="FFFFFF"/>
            <w:noWrap w:val="0"/>
            <w:vAlign w:val="center"/>
          </w:tcPr>
          <w:p w14:paraId="0A027CF9">
            <w:pPr>
              <w:pStyle w:val="29"/>
              <w:spacing w:line="240" w:lineRule="auto"/>
              <w:ind w:firstLine="0"/>
              <w:jc w:val="center"/>
              <w:rPr>
                <w:color w:val="auto"/>
                <w:sz w:val="21"/>
                <w:szCs w:val="21"/>
                <w:highlight w:val="none"/>
              </w:rPr>
            </w:pPr>
            <w:r>
              <w:rPr>
                <w:color w:val="auto"/>
                <w:sz w:val="21"/>
                <w:szCs w:val="21"/>
                <w:highlight w:val="none"/>
              </w:rPr>
              <w:t>名称</w:t>
            </w:r>
          </w:p>
        </w:tc>
        <w:tc>
          <w:tcPr>
            <w:tcW w:w="902" w:type="dxa"/>
            <w:vMerge w:val="restart"/>
            <w:tcBorders>
              <w:top w:val="single" w:color="auto" w:sz="4" w:space="0"/>
              <w:left w:val="single" w:color="auto" w:sz="4" w:space="0"/>
            </w:tcBorders>
            <w:shd w:val="clear" w:color="auto" w:fill="FFFFFF"/>
            <w:noWrap w:val="0"/>
            <w:vAlign w:val="center"/>
          </w:tcPr>
          <w:p w14:paraId="716D590C">
            <w:pPr>
              <w:pStyle w:val="29"/>
              <w:spacing w:line="240" w:lineRule="auto"/>
              <w:ind w:firstLine="0"/>
              <w:jc w:val="center"/>
              <w:rPr>
                <w:color w:val="auto"/>
                <w:sz w:val="21"/>
                <w:szCs w:val="21"/>
                <w:highlight w:val="none"/>
              </w:rPr>
            </w:pPr>
            <w:r>
              <w:rPr>
                <w:color w:val="auto"/>
                <w:sz w:val="21"/>
                <w:szCs w:val="21"/>
                <w:highlight w:val="none"/>
              </w:rPr>
              <w:t>规格</w:t>
            </w:r>
          </w:p>
        </w:tc>
        <w:tc>
          <w:tcPr>
            <w:tcW w:w="907" w:type="dxa"/>
            <w:vMerge w:val="restart"/>
            <w:tcBorders>
              <w:top w:val="single" w:color="auto" w:sz="4" w:space="0"/>
              <w:left w:val="single" w:color="auto" w:sz="4" w:space="0"/>
            </w:tcBorders>
            <w:shd w:val="clear" w:color="auto" w:fill="FFFFFF"/>
            <w:noWrap w:val="0"/>
            <w:vAlign w:val="center"/>
          </w:tcPr>
          <w:p w14:paraId="60B80FDD">
            <w:pPr>
              <w:pStyle w:val="29"/>
              <w:spacing w:line="269" w:lineRule="exact"/>
              <w:ind w:firstLine="0"/>
              <w:jc w:val="center"/>
              <w:rPr>
                <w:color w:val="auto"/>
                <w:sz w:val="21"/>
                <w:szCs w:val="21"/>
                <w:highlight w:val="none"/>
              </w:rPr>
            </w:pPr>
            <w:r>
              <w:rPr>
                <w:color w:val="auto"/>
                <w:sz w:val="21"/>
                <w:szCs w:val="21"/>
                <w:highlight w:val="none"/>
              </w:rPr>
              <w:t>计量 单位</w:t>
            </w:r>
          </w:p>
        </w:tc>
        <w:tc>
          <w:tcPr>
            <w:tcW w:w="4535" w:type="dxa"/>
            <w:gridSpan w:val="5"/>
            <w:tcBorders>
              <w:top w:val="single" w:color="auto" w:sz="4" w:space="0"/>
              <w:left w:val="single" w:color="auto" w:sz="4" w:space="0"/>
            </w:tcBorders>
            <w:shd w:val="clear" w:color="auto" w:fill="FFFFFF"/>
            <w:noWrap w:val="0"/>
            <w:vAlign w:val="center"/>
          </w:tcPr>
          <w:p w14:paraId="54EF7205">
            <w:pPr>
              <w:pStyle w:val="29"/>
              <w:spacing w:line="240" w:lineRule="auto"/>
              <w:ind w:firstLine="0"/>
              <w:jc w:val="center"/>
              <w:rPr>
                <w:color w:val="auto"/>
                <w:sz w:val="21"/>
                <w:szCs w:val="21"/>
                <w:highlight w:val="none"/>
              </w:rPr>
            </w:pPr>
            <w:r>
              <w:rPr>
                <w:color w:val="auto"/>
                <w:sz w:val="21"/>
                <w:szCs w:val="21"/>
                <w:highlight w:val="none"/>
              </w:rPr>
              <w:t>数 量</w:t>
            </w:r>
          </w:p>
        </w:tc>
        <w:tc>
          <w:tcPr>
            <w:tcW w:w="917" w:type="dxa"/>
            <w:vMerge w:val="restart"/>
            <w:tcBorders>
              <w:top w:val="single" w:color="auto" w:sz="4" w:space="0"/>
              <w:left w:val="single" w:color="auto" w:sz="4" w:space="0"/>
              <w:right w:val="single" w:color="auto" w:sz="4" w:space="0"/>
            </w:tcBorders>
            <w:shd w:val="clear" w:color="auto" w:fill="FFFFFF"/>
            <w:noWrap w:val="0"/>
            <w:vAlign w:val="center"/>
          </w:tcPr>
          <w:p w14:paraId="4948CC2E">
            <w:pPr>
              <w:pStyle w:val="29"/>
              <w:spacing w:line="240" w:lineRule="auto"/>
              <w:ind w:firstLine="0"/>
              <w:jc w:val="center"/>
              <w:rPr>
                <w:color w:val="auto"/>
                <w:sz w:val="21"/>
                <w:szCs w:val="21"/>
                <w:highlight w:val="none"/>
              </w:rPr>
            </w:pPr>
            <w:r>
              <w:rPr>
                <w:color w:val="auto"/>
                <w:sz w:val="21"/>
                <w:szCs w:val="21"/>
                <w:highlight w:val="none"/>
              </w:rPr>
              <w:t>备注</w:t>
            </w:r>
          </w:p>
        </w:tc>
      </w:tr>
      <w:tr w14:paraId="5CEE86D4">
        <w:tblPrEx>
          <w:tblCellMar>
            <w:top w:w="0" w:type="dxa"/>
            <w:left w:w="10" w:type="dxa"/>
            <w:bottom w:w="0" w:type="dxa"/>
            <w:right w:w="10" w:type="dxa"/>
          </w:tblCellMar>
        </w:tblPrEx>
        <w:trPr>
          <w:trHeight w:val="566" w:hRule="exact"/>
          <w:jc w:val="center"/>
        </w:trPr>
        <w:tc>
          <w:tcPr>
            <w:tcW w:w="1090" w:type="dxa"/>
            <w:vMerge w:val="continue"/>
            <w:tcBorders>
              <w:left w:val="single" w:color="auto" w:sz="4" w:space="0"/>
            </w:tcBorders>
            <w:shd w:val="clear" w:color="auto" w:fill="FFFFFF"/>
            <w:noWrap w:val="0"/>
            <w:vAlign w:val="center"/>
          </w:tcPr>
          <w:p w14:paraId="2449848B">
            <w:pPr>
              <w:pStyle w:val="27"/>
              <w:jc w:val="center"/>
              <w:rPr>
                <w:color w:val="auto"/>
                <w:sz w:val="21"/>
                <w:szCs w:val="21"/>
                <w:highlight w:val="none"/>
              </w:rPr>
            </w:pPr>
          </w:p>
        </w:tc>
        <w:tc>
          <w:tcPr>
            <w:tcW w:w="902" w:type="dxa"/>
            <w:vMerge w:val="continue"/>
            <w:tcBorders>
              <w:left w:val="single" w:color="auto" w:sz="4" w:space="0"/>
            </w:tcBorders>
            <w:shd w:val="clear" w:color="auto" w:fill="FFFFFF"/>
            <w:noWrap w:val="0"/>
            <w:vAlign w:val="center"/>
          </w:tcPr>
          <w:p w14:paraId="49234A9F">
            <w:pPr>
              <w:pStyle w:val="27"/>
              <w:jc w:val="center"/>
              <w:rPr>
                <w:color w:val="auto"/>
                <w:sz w:val="21"/>
                <w:szCs w:val="21"/>
                <w:highlight w:val="none"/>
              </w:rPr>
            </w:pPr>
          </w:p>
        </w:tc>
        <w:tc>
          <w:tcPr>
            <w:tcW w:w="907" w:type="dxa"/>
            <w:vMerge w:val="continue"/>
            <w:tcBorders>
              <w:left w:val="single" w:color="auto" w:sz="4" w:space="0"/>
            </w:tcBorders>
            <w:shd w:val="clear" w:color="auto" w:fill="FFFFFF"/>
            <w:noWrap w:val="0"/>
            <w:vAlign w:val="center"/>
          </w:tcPr>
          <w:p w14:paraId="0CEA340E">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5798D313">
            <w:pPr>
              <w:pStyle w:val="29"/>
              <w:spacing w:line="240" w:lineRule="auto"/>
              <w:ind w:firstLine="0"/>
              <w:jc w:val="center"/>
              <w:rPr>
                <w:color w:val="auto"/>
                <w:sz w:val="21"/>
                <w:szCs w:val="21"/>
                <w:highlight w:val="none"/>
              </w:rPr>
            </w:pPr>
            <w:r>
              <w:rPr>
                <w:color w:val="auto"/>
                <w:sz w:val="21"/>
                <w:szCs w:val="21"/>
                <w:highlight w:val="none"/>
              </w:rPr>
              <w:t>总量</w:t>
            </w:r>
          </w:p>
        </w:tc>
        <w:tc>
          <w:tcPr>
            <w:tcW w:w="907" w:type="dxa"/>
            <w:tcBorders>
              <w:top w:val="single" w:color="auto" w:sz="4" w:space="0"/>
              <w:left w:val="single" w:color="auto" w:sz="4" w:space="0"/>
            </w:tcBorders>
            <w:shd w:val="clear" w:color="auto" w:fill="FFFFFF"/>
            <w:noWrap w:val="0"/>
            <w:vAlign w:val="center"/>
          </w:tcPr>
          <w:p w14:paraId="7B588DC2">
            <w:pPr>
              <w:pStyle w:val="29"/>
              <w:spacing w:line="240" w:lineRule="auto"/>
              <w:ind w:firstLine="0"/>
              <w:jc w:val="center"/>
              <w:rPr>
                <w:color w:val="auto"/>
                <w:sz w:val="21"/>
                <w:szCs w:val="21"/>
                <w:highlight w:val="none"/>
              </w:rPr>
            </w:pPr>
            <w:r>
              <w:rPr>
                <w:color w:val="auto"/>
                <w:sz w:val="21"/>
                <w:szCs w:val="21"/>
                <w:highlight w:val="none"/>
              </w:rPr>
              <w:t>月</w:t>
            </w:r>
          </w:p>
        </w:tc>
        <w:tc>
          <w:tcPr>
            <w:tcW w:w="912" w:type="dxa"/>
            <w:tcBorders>
              <w:top w:val="single" w:color="auto" w:sz="4" w:space="0"/>
              <w:left w:val="single" w:color="auto" w:sz="4" w:space="0"/>
            </w:tcBorders>
            <w:shd w:val="clear" w:color="auto" w:fill="FFFFFF"/>
            <w:noWrap w:val="0"/>
            <w:vAlign w:val="center"/>
          </w:tcPr>
          <w:p w14:paraId="632552BC">
            <w:pPr>
              <w:pStyle w:val="29"/>
              <w:spacing w:line="240" w:lineRule="auto"/>
              <w:ind w:firstLine="0"/>
              <w:jc w:val="center"/>
              <w:rPr>
                <w:color w:val="auto"/>
                <w:sz w:val="21"/>
                <w:szCs w:val="21"/>
                <w:highlight w:val="none"/>
              </w:rPr>
            </w:pPr>
            <w:r>
              <w:rPr>
                <w:color w:val="auto"/>
                <w:sz w:val="21"/>
                <w:szCs w:val="21"/>
                <w:highlight w:val="none"/>
              </w:rPr>
              <w:t>月</w:t>
            </w:r>
          </w:p>
        </w:tc>
        <w:tc>
          <w:tcPr>
            <w:tcW w:w="902" w:type="dxa"/>
            <w:tcBorders>
              <w:top w:val="single" w:color="auto" w:sz="4" w:space="0"/>
              <w:left w:val="single" w:color="auto" w:sz="4" w:space="0"/>
            </w:tcBorders>
            <w:shd w:val="clear" w:color="auto" w:fill="FFFFFF"/>
            <w:noWrap w:val="0"/>
            <w:vAlign w:val="center"/>
          </w:tcPr>
          <w:p w14:paraId="751CADB2">
            <w:pPr>
              <w:pStyle w:val="29"/>
              <w:spacing w:line="240" w:lineRule="auto"/>
              <w:ind w:firstLine="0"/>
              <w:jc w:val="center"/>
              <w:rPr>
                <w:color w:val="auto"/>
                <w:sz w:val="21"/>
                <w:szCs w:val="21"/>
                <w:highlight w:val="none"/>
              </w:rPr>
            </w:pPr>
            <w:r>
              <w:rPr>
                <w:color w:val="auto"/>
                <w:sz w:val="21"/>
                <w:szCs w:val="21"/>
                <w:highlight w:val="none"/>
              </w:rPr>
              <w:t>月</w:t>
            </w:r>
          </w:p>
        </w:tc>
        <w:tc>
          <w:tcPr>
            <w:tcW w:w="907" w:type="dxa"/>
            <w:tcBorders>
              <w:top w:val="single" w:color="auto" w:sz="4" w:space="0"/>
              <w:left w:val="single" w:color="auto" w:sz="4" w:space="0"/>
            </w:tcBorders>
            <w:shd w:val="clear" w:color="auto" w:fill="FFFFFF"/>
            <w:noWrap w:val="0"/>
            <w:vAlign w:val="center"/>
          </w:tcPr>
          <w:p w14:paraId="3784DA76">
            <w:pPr>
              <w:pStyle w:val="29"/>
              <w:spacing w:line="240" w:lineRule="auto"/>
              <w:ind w:right="380" w:firstLine="0"/>
              <w:jc w:val="center"/>
              <w:rPr>
                <w:color w:val="auto"/>
                <w:sz w:val="21"/>
                <w:szCs w:val="21"/>
                <w:highlight w:val="none"/>
              </w:rPr>
            </w:pPr>
            <w:r>
              <w:rPr>
                <w:color w:val="auto"/>
                <w:sz w:val="21"/>
                <w:szCs w:val="21"/>
                <w:highlight w:val="none"/>
              </w:rPr>
              <w:t>月</w:t>
            </w:r>
          </w:p>
        </w:tc>
        <w:tc>
          <w:tcPr>
            <w:tcW w:w="917" w:type="dxa"/>
            <w:vMerge w:val="continue"/>
            <w:tcBorders>
              <w:left w:val="single" w:color="auto" w:sz="4" w:space="0"/>
              <w:right w:val="single" w:color="auto" w:sz="4" w:space="0"/>
            </w:tcBorders>
            <w:shd w:val="clear" w:color="auto" w:fill="FFFFFF"/>
            <w:noWrap w:val="0"/>
            <w:vAlign w:val="center"/>
          </w:tcPr>
          <w:p w14:paraId="3F1E0740">
            <w:pPr>
              <w:pStyle w:val="27"/>
              <w:jc w:val="center"/>
              <w:rPr>
                <w:color w:val="auto"/>
                <w:sz w:val="21"/>
                <w:szCs w:val="21"/>
                <w:highlight w:val="none"/>
              </w:rPr>
            </w:pPr>
          </w:p>
        </w:tc>
      </w:tr>
      <w:tr w14:paraId="7695EA99">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2347817B">
            <w:pPr>
              <w:pStyle w:val="27"/>
              <w:jc w:val="center"/>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73329DFD">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7A6D6656">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4E8863FC">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2A06AFA3">
            <w:pPr>
              <w:pStyle w:val="27"/>
              <w:jc w:val="center"/>
              <w:rPr>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1266CC6E">
            <w:pPr>
              <w:pStyle w:val="27"/>
              <w:jc w:val="center"/>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1529D303">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7EA5D11C">
            <w:pPr>
              <w:pStyle w:val="27"/>
              <w:jc w:val="center"/>
              <w:rPr>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019EDC48">
            <w:pPr>
              <w:pStyle w:val="27"/>
              <w:jc w:val="center"/>
              <w:rPr>
                <w:color w:val="auto"/>
                <w:sz w:val="21"/>
                <w:szCs w:val="21"/>
                <w:highlight w:val="none"/>
              </w:rPr>
            </w:pPr>
          </w:p>
        </w:tc>
      </w:tr>
      <w:tr w14:paraId="7A3E13A7">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711933D8">
            <w:pPr>
              <w:pStyle w:val="27"/>
              <w:jc w:val="center"/>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41E77D63">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19CDA687">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04CB3D03">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68A7EE8C">
            <w:pPr>
              <w:pStyle w:val="27"/>
              <w:jc w:val="center"/>
              <w:rPr>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0969D4EE">
            <w:pPr>
              <w:pStyle w:val="27"/>
              <w:jc w:val="center"/>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35BB87CA">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0603E8CA">
            <w:pPr>
              <w:pStyle w:val="27"/>
              <w:jc w:val="center"/>
              <w:rPr>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3F2D94C5">
            <w:pPr>
              <w:pStyle w:val="27"/>
              <w:jc w:val="center"/>
              <w:rPr>
                <w:color w:val="auto"/>
                <w:sz w:val="21"/>
                <w:szCs w:val="21"/>
                <w:highlight w:val="none"/>
              </w:rPr>
            </w:pPr>
          </w:p>
        </w:tc>
      </w:tr>
      <w:tr w14:paraId="438D184B">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2B1E4F3F">
            <w:pPr>
              <w:pStyle w:val="27"/>
              <w:jc w:val="center"/>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4DD292C8">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16494E94">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7067E3AB">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2673A8BC">
            <w:pPr>
              <w:pStyle w:val="27"/>
              <w:jc w:val="center"/>
              <w:rPr>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39BDD4E4">
            <w:pPr>
              <w:pStyle w:val="27"/>
              <w:jc w:val="center"/>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70B7165A">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53C6CDDE">
            <w:pPr>
              <w:pStyle w:val="27"/>
              <w:jc w:val="center"/>
              <w:rPr>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3A802233">
            <w:pPr>
              <w:pStyle w:val="27"/>
              <w:jc w:val="center"/>
              <w:rPr>
                <w:color w:val="auto"/>
                <w:sz w:val="21"/>
                <w:szCs w:val="21"/>
                <w:highlight w:val="none"/>
              </w:rPr>
            </w:pPr>
          </w:p>
        </w:tc>
      </w:tr>
      <w:tr w14:paraId="1A1809E4">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22C29CDC">
            <w:pPr>
              <w:pStyle w:val="27"/>
              <w:jc w:val="center"/>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0B1FB95C">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17D71C02">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01DC0E4F">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02827084">
            <w:pPr>
              <w:pStyle w:val="27"/>
              <w:jc w:val="center"/>
              <w:rPr>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59943B48">
            <w:pPr>
              <w:pStyle w:val="27"/>
              <w:jc w:val="center"/>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510BF9E1">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60FC5ACA">
            <w:pPr>
              <w:pStyle w:val="27"/>
              <w:jc w:val="center"/>
              <w:rPr>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693D29D1">
            <w:pPr>
              <w:pStyle w:val="27"/>
              <w:jc w:val="center"/>
              <w:rPr>
                <w:color w:val="auto"/>
                <w:sz w:val="21"/>
                <w:szCs w:val="21"/>
                <w:highlight w:val="none"/>
              </w:rPr>
            </w:pPr>
          </w:p>
        </w:tc>
      </w:tr>
      <w:tr w14:paraId="7A56967A">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5E3ACFC6">
            <w:pPr>
              <w:pStyle w:val="27"/>
              <w:jc w:val="center"/>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0E204420">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2F20B8B6">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77AE1030">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2FB99076">
            <w:pPr>
              <w:pStyle w:val="27"/>
              <w:jc w:val="center"/>
              <w:rPr>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6D068A73">
            <w:pPr>
              <w:pStyle w:val="27"/>
              <w:jc w:val="center"/>
              <w:rPr>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67409AEC">
            <w:pPr>
              <w:pStyle w:val="27"/>
              <w:jc w:val="center"/>
              <w:rPr>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31873861">
            <w:pPr>
              <w:pStyle w:val="27"/>
              <w:jc w:val="center"/>
              <w:rPr>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49F10164">
            <w:pPr>
              <w:pStyle w:val="27"/>
              <w:jc w:val="center"/>
              <w:rPr>
                <w:color w:val="auto"/>
                <w:sz w:val="21"/>
                <w:szCs w:val="21"/>
                <w:highlight w:val="none"/>
              </w:rPr>
            </w:pPr>
          </w:p>
        </w:tc>
      </w:tr>
      <w:tr w14:paraId="723C6C20">
        <w:tblPrEx>
          <w:tblCellMar>
            <w:top w:w="0" w:type="dxa"/>
            <w:left w:w="10" w:type="dxa"/>
            <w:bottom w:w="0" w:type="dxa"/>
            <w:right w:w="10" w:type="dxa"/>
          </w:tblCellMar>
        </w:tblPrEx>
        <w:trPr>
          <w:trHeight w:val="581" w:hRule="exact"/>
          <w:jc w:val="center"/>
        </w:trPr>
        <w:tc>
          <w:tcPr>
            <w:tcW w:w="1090" w:type="dxa"/>
            <w:tcBorders>
              <w:top w:val="single" w:color="auto" w:sz="4" w:space="0"/>
              <w:left w:val="single" w:color="auto" w:sz="4" w:space="0"/>
              <w:bottom w:val="single" w:color="auto" w:sz="4" w:space="0"/>
            </w:tcBorders>
            <w:shd w:val="clear" w:color="auto" w:fill="FFFFFF"/>
            <w:noWrap w:val="0"/>
            <w:vAlign w:val="center"/>
          </w:tcPr>
          <w:p w14:paraId="7927EC60">
            <w:pPr>
              <w:pStyle w:val="27"/>
              <w:jc w:val="center"/>
              <w:rPr>
                <w:color w:val="auto"/>
                <w:sz w:val="21"/>
                <w:szCs w:val="21"/>
                <w:highlight w:val="none"/>
              </w:rPr>
            </w:pPr>
          </w:p>
        </w:tc>
        <w:tc>
          <w:tcPr>
            <w:tcW w:w="902" w:type="dxa"/>
            <w:tcBorders>
              <w:top w:val="single" w:color="auto" w:sz="4" w:space="0"/>
              <w:left w:val="single" w:color="auto" w:sz="4" w:space="0"/>
              <w:bottom w:val="single" w:color="auto" w:sz="4" w:space="0"/>
            </w:tcBorders>
            <w:shd w:val="clear" w:color="auto" w:fill="FFFFFF"/>
            <w:noWrap w:val="0"/>
            <w:vAlign w:val="center"/>
          </w:tcPr>
          <w:p w14:paraId="432137D6">
            <w:pPr>
              <w:pStyle w:val="27"/>
              <w:jc w:val="center"/>
              <w:rPr>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26D7346A">
            <w:pPr>
              <w:pStyle w:val="27"/>
              <w:jc w:val="center"/>
              <w:rPr>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6A42231A">
            <w:pPr>
              <w:pStyle w:val="27"/>
              <w:jc w:val="center"/>
              <w:rPr>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3F73BC73">
            <w:pPr>
              <w:pStyle w:val="27"/>
              <w:jc w:val="center"/>
              <w:rPr>
                <w:color w:val="auto"/>
                <w:sz w:val="21"/>
                <w:szCs w:val="21"/>
                <w:highlight w:val="none"/>
              </w:rPr>
            </w:pPr>
          </w:p>
        </w:tc>
        <w:tc>
          <w:tcPr>
            <w:tcW w:w="912" w:type="dxa"/>
            <w:tcBorders>
              <w:top w:val="single" w:color="auto" w:sz="4" w:space="0"/>
              <w:left w:val="single" w:color="auto" w:sz="4" w:space="0"/>
              <w:bottom w:val="single" w:color="auto" w:sz="4" w:space="0"/>
            </w:tcBorders>
            <w:shd w:val="clear" w:color="auto" w:fill="FFFFFF"/>
            <w:noWrap w:val="0"/>
            <w:vAlign w:val="center"/>
          </w:tcPr>
          <w:p w14:paraId="6C8A6EE7">
            <w:pPr>
              <w:pStyle w:val="27"/>
              <w:jc w:val="center"/>
              <w:rPr>
                <w:color w:val="auto"/>
                <w:sz w:val="21"/>
                <w:szCs w:val="21"/>
                <w:highlight w:val="none"/>
              </w:rPr>
            </w:pPr>
          </w:p>
        </w:tc>
        <w:tc>
          <w:tcPr>
            <w:tcW w:w="902" w:type="dxa"/>
            <w:tcBorders>
              <w:top w:val="single" w:color="auto" w:sz="4" w:space="0"/>
              <w:left w:val="single" w:color="auto" w:sz="4" w:space="0"/>
              <w:bottom w:val="single" w:color="auto" w:sz="4" w:space="0"/>
            </w:tcBorders>
            <w:shd w:val="clear" w:color="auto" w:fill="FFFFFF"/>
            <w:noWrap w:val="0"/>
            <w:vAlign w:val="center"/>
          </w:tcPr>
          <w:p w14:paraId="28587190">
            <w:pPr>
              <w:pStyle w:val="27"/>
              <w:jc w:val="center"/>
              <w:rPr>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5A3DE971">
            <w:pPr>
              <w:pStyle w:val="27"/>
              <w:jc w:val="center"/>
              <w:rPr>
                <w:color w:val="auto"/>
                <w:sz w:val="21"/>
                <w:szCs w:val="21"/>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32E152">
            <w:pPr>
              <w:pStyle w:val="27"/>
              <w:jc w:val="center"/>
              <w:rPr>
                <w:color w:val="auto"/>
                <w:sz w:val="21"/>
                <w:szCs w:val="21"/>
                <w:highlight w:val="none"/>
              </w:rPr>
            </w:pPr>
          </w:p>
        </w:tc>
      </w:tr>
    </w:tbl>
    <w:p w14:paraId="20FB22E2">
      <w:pPr>
        <w:pStyle w:val="27"/>
        <w:rPr>
          <w:color w:val="auto"/>
          <w:highlight w:val="none"/>
        </w:rPr>
      </w:pPr>
    </w:p>
    <w:p w14:paraId="3A91BA82">
      <w:pPr>
        <w:tabs>
          <w:tab w:val="left" w:pos="3479"/>
        </w:tabs>
        <w:spacing w:line="520" w:lineRule="exact"/>
        <w:jc w:val="center"/>
        <w:rPr>
          <w:rFonts w:ascii="方正小标宋简体" w:hAnsi="方正小标宋简体" w:eastAsia="方正小标宋简体" w:cs="方正小标宋简体"/>
          <w:bCs/>
          <w:color w:val="auto"/>
          <w:sz w:val="44"/>
          <w:szCs w:val="44"/>
          <w:highlight w:val="none"/>
        </w:rPr>
        <w:sectPr>
          <w:pgSz w:w="11910" w:h="16840"/>
          <w:pgMar w:top="1134" w:right="1134" w:bottom="1134" w:left="1134" w:header="850" w:footer="567" w:gutter="0"/>
          <w:cols w:space="720" w:num="1"/>
          <w:docGrid w:linePitch="286" w:charSpace="0"/>
        </w:sectPr>
      </w:pPr>
    </w:p>
    <w:p w14:paraId="7C6AE8D1">
      <w:pPr>
        <w:pStyle w:val="26"/>
        <w:tabs>
          <w:tab w:val="left" w:pos="847"/>
          <w:tab w:val="left" w:leader="underscore" w:pos="850"/>
          <w:tab w:val="left" w:leader="underscore" w:pos="1906"/>
          <w:tab w:val="left" w:pos="1908"/>
          <w:tab w:val="left" w:pos="2964"/>
        </w:tabs>
        <w:spacing w:after="420" w:line="350" w:lineRule="exact"/>
        <w:ind w:firstLine="0"/>
        <w:rPr>
          <w:rFonts w:hint="eastAsia"/>
          <w:b/>
          <w:bCs/>
          <w:color w:val="auto"/>
          <w:sz w:val="28"/>
          <w:szCs w:val="28"/>
          <w:highlight w:val="none"/>
          <w:lang w:val="en-US" w:bidi="en-US"/>
        </w:rPr>
      </w:pPr>
      <w:bookmarkStart w:id="96" w:name="bookmark2251"/>
      <w:bookmarkStart w:id="97" w:name="bookmark2250"/>
      <w:bookmarkStart w:id="98" w:name="bookmark2249"/>
      <w:r>
        <w:rPr>
          <w:rFonts w:hint="eastAsia"/>
          <w:b/>
          <w:bCs/>
          <w:color w:val="auto"/>
          <w:sz w:val="28"/>
          <w:szCs w:val="28"/>
          <w:highlight w:val="none"/>
          <w:lang w:val="en-US" w:bidi="en-US"/>
        </w:rPr>
        <w:t>附件五：</w:t>
      </w:r>
      <w:r>
        <w:rPr>
          <w:b/>
          <w:bCs/>
          <w:color w:val="auto"/>
          <w:sz w:val="28"/>
          <w:szCs w:val="28"/>
          <w:highlight w:val="none"/>
          <w:lang w:val="en-US" w:bidi="en-US"/>
        </w:rPr>
        <w:t>计划开工日期、完工日期和施工进度网络图（或横道图）</w:t>
      </w:r>
      <w:bookmarkEnd w:id="96"/>
      <w:bookmarkEnd w:id="97"/>
      <w:bookmarkEnd w:id="98"/>
    </w:p>
    <w:p w14:paraId="354B7629">
      <w:pPr>
        <w:pStyle w:val="27"/>
        <w:jc w:val="center"/>
        <w:rPr>
          <w:rFonts w:ascii="宋体" w:hAnsi="宋体" w:eastAsia="宋体" w:cs="宋体"/>
          <w:b/>
          <w:color w:val="auto"/>
          <w:highlight w:val="none"/>
          <w:lang w:eastAsia="zh-CN"/>
        </w:rPr>
      </w:pPr>
      <w:bookmarkStart w:id="99" w:name="_Toc2597"/>
      <w:bookmarkStart w:id="100" w:name="bookmark2253"/>
      <w:bookmarkStart w:id="101" w:name="bookmark2252"/>
      <w:bookmarkStart w:id="102" w:name="bookmark2254"/>
      <w:bookmarkStart w:id="103" w:name="_Toc24573"/>
      <w:r>
        <w:rPr>
          <w:rFonts w:hint="eastAsia" w:ascii="宋体" w:hAnsi="宋体" w:eastAsia="宋体" w:cs="宋体"/>
          <w:b/>
          <w:color w:val="auto"/>
          <w:highlight w:val="none"/>
          <w:lang w:eastAsia="zh-CN"/>
        </w:rPr>
        <w:t>计划开工日期、完工日期和施工进度网络图（或横道图）</w:t>
      </w:r>
      <w:bookmarkEnd w:id="99"/>
      <w:bookmarkEnd w:id="100"/>
      <w:bookmarkEnd w:id="101"/>
      <w:bookmarkEnd w:id="102"/>
      <w:bookmarkEnd w:id="103"/>
    </w:p>
    <w:p w14:paraId="36A63A81">
      <w:pPr>
        <w:pStyle w:val="27"/>
        <w:jc w:val="center"/>
        <w:rPr>
          <w:b/>
          <w:color w:val="auto"/>
          <w:highlight w:val="none"/>
          <w:lang w:eastAsia="zh-CN"/>
        </w:rPr>
      </w:pPr>
    </w:p>
    <w:p w14:paraId="26FA0E46">
      <w:pPr>
        <w:pStyle w:val="26"/>
        <w:numPr>
          <w:ilvl w:val="0"/>
          <w:numId w:val="5"/>
        </w:numPr>
        <w:tabs>
          <w:tab w:val="left" w:pos="747"/>
        </w:tabs>
        <w:spacing w:after="120" w:line="343" w:lineRule="exact"/>
        <w:ind w:firstLine="420"/>
        <w:jc w:val="both"/>
        <w:rPr>
          <w:color w:val="auto"/>
          <w:sz w:val="21"/>
          <w:szCs w:val="21"/>
          <w:highlight w:val="none"/>
        </w:rPr>
      </w:pPr>
      <w:bookmarkStart w:id="104" w:name="bookmark2255"/>
      <w:bookmarkEnd w:id="104"/>
      <w:r>
        <w:rPr>
          <w:rFonts w:hint="eastAsia"/>
          <w:color w:val="auto"/>
          <w:sz w:val="21"/>
          <w:szCs w:val="21"/>
          <w:highlight w:val="none"/>
        </w:rPr>
        <w:t>供应商</w:t>
      </w:r>
      <w:r>
        <w:rPr>
          <w:color w:val="auto"/>
          <w:sz w:val="21"/>
          <w:szCs w:val="21"/>
          <w:highlight w:val="none"/>
        </w:rPr>
        <w:t>应递交施工进度网络图或施工进度表，说明按</w:t>
      </w:r>
      <w:r>
        <w:rPr>
          <w:rFonts w:hint="eastAsia"/>
          <w:color w:val="auto"/>
          <w:sz w:val="21"/>
          <w:szCs w:val="21"/>
          <w:highlight w:val="none"/>
        </w:rPr>
        <w:t>竞争性谈判文件</w:t>
      </w:r>
      <w:r>
        <w:rPr>
          <w:color w:val="auto"/>
          <w:sz w:val="21"/>
          <w:szCs w:val="21"/>
          <w:highlight w:val="none"/>
        </w:rPr>
        <w:t>要求的计划工期进行施工的各个关键日期。</w:t>
      </w:r>
    </w:p>
    <w:p w14:paraId="10F98D4D">
      <w:pPr>
        <w:pStyle w:val="26"/>
        <w:numPr>
          <w:ilvl w:val="0"/>
          <w:numId w:val="5"/>
        </w:numPr>
        <w:tabs>
          <w:tab w:val="left" w:pos="754"/>
        </w:tabs>
        <w:spacing w:after="500"/>
        <w:ind w:firstLine="420"/>
        <w:rPr>
          <w:rFonts w:hint="eastAsia"/>
          <w:color w:val="auto"/>
          <w:sz w:val="21"/>
          <w:szCs w:val="21"/>
          <w:highlight w:val="none"/>
        </w:rPr>
      </w:pPr>
      <w:bookmarkStart w:id="105" w:name="bookmark2256"/>
      <w:bookmarkEnd w:id="105"/>
      <w:r>
        <w:rPr>
          <w:color w:val="auto"/>
          <w:sz w:val="21"/>
          <w:szCs w:val="21"/>
          <w:highlight w:val="none"/>
        </w:rPr>
        <w:t>施工进度表可采用网络图（或横道图）表示。</w:t>
      </w:r>
    </w:p>
    <w:p w14:paraId="2BD4C7B8">
      <w:pPr>
        <w:tabs>
          <w:tab w:val="left" w:pos="3479"/>
        </w:tabs>
        <w:spacing w:line="520" w:lineRule="exact"/>
        <w:jc w:val="center"/>
        <w:rPr>
          <w:rFonts w:ascii="方正小标宋简体" w:hAnsi="方正小标宋简体" w:eastAsia="方正小标宋简体" w:cs="方正小标宋简体"/>
          <w:bCs/>
          <w:color w:val="auto"/>
          <w:sz w:val="44"/>
          <w:szCs w:val="44"/>
          <w:highlight w:val="none"/>
        </w:rPr>
        <w:sectPr>
          <w:pgSz w:w="11910" w:h="16840"/>
          <w:pgMar w:top="1134" w:right="1134" w:bottom="1134" w:left="1134" w:header="850" w:footer="567" w:gutter="0"/>
          <w:cols w:space="720" w:num="1"/>
          <w:docGrid w:linePitch="286" w:charSpace="0"/>
        </w:sectPr>
      </w:pPr>
    </w:p>
    <w:p w14:paraId="1ECF7C10">
      <w:pPr>
        <w:pStyle w:val="27"/>
        <w:rPr>
          <w:b/>
          <w:bCs/>
          <w:color w:val="auto"/>
          <w:sz w:val="28"/>
          <w:szCs w:val="28"/>
          <w:highlight w:val="none"/>
          <w:lang w:eastAsia="zh-CN"/>
        </w:rPr>
      </w:pPr>
      <w:bookmarkStart w:id="106" w:name="bookmark2257"/>
      <w:bookmarkStart w:id="107" w:name="bookmark2258"/>
      <w:bookmarkStart w:id="108" w:name="bookmark2259"/>
      <w:r>
        <w:rPr>
          <w:rFonts w:hint="eastAsia" w:ascii="宋体" w:hAnsi="宋体" w:eastAsia="宋体" w:cs="宋体"/>
          <w:b/>
          <w:bCs/>
          <w:color w:val="auto"/>
          <w:sz w:val="28"/>
          <w:szCs w:val="28"/>
          <w:highlight w:val="none"/>
          <w:lang w:eastAsia="zh-CN"/>
        </w:rPr>
        <w:t>附件六：施工总平面图</w:t>
      </w:r>
      <w:bookmarkEnd w:id="106"/>
      <w:bookmarkEnd w:id="107"/>
      <w:bookmarkEnd w:id="108"/>
    </w:p>
    <w:p w14:paraId="7841B0A3">
      <w:pPr>
        <w:pStyle w:val="27"/>
        <w:jc w:val="center"/>
        <w:rPr>
          <w:rFonts w:ascii="宋体" w:hAnsi="宋体" w:eastAsia="宋体" w:cs="宋体"/>
          <w:b/>
          <w:color w:val="auto"/>
          <w:highlight w:val="none"/>
          <w:lang w:eastAsia="zh-CN"/>
        </w:rPr>
      </w:pPr>
      <w:bookmarkStart w:id="109" w:name="bookmark2261"/>
      <w:bookmarkStart w:id="110" w:name="bookmark2262"/>
      <w:bookmarkStart w:id="111" w:name="_Toc30163"/>
      <w:bookmarkStart w:id="112" w:name="bookmark2260"/>
      <w:bookmarkStart w:id="113" w:name="_Toc768"/>
      <w:r>
        <w:rPr>
          <w:rFonts w:hint="eastAsia" w:ascii="宋体" w:hAnsi="宋体" w:eastAsia="宋体" w:cs="宋体"/>
          <w:b/>
          <w:color w:val="auto"/>
          <w:highlight w:val="none"/>
          <w:lang w:eastAsia="zh-CN"/>
        </w:rPr>
        <w:t>施工总平面图</w:t>
      </w:r>
      <w:bookmarkEnd w:id="109"/>
      <w:bookmarkEnd w:id="110"/>
      <w:bookmarkEnd w:id="111"/>
      <w:bookmarkEnd w:id="112"/>
      <w:bookmarkEnd w:id="113"/>
    </w:p>
    <w:p w14:paraId="2238641F">
      <w:pPr>
        <w:pStyle w:val="27"/>
        <w:jc w:val="center"/>
        <w:rPr>
          <w:b/>
          <w:color w:val="auto"/>
          <w:highlight w:val="none"/>
          <w:lang w:eastAsia="zh-CN"/>
        </w:rPr>
      </w:pPr>
    </w:p>
    <w:p w14:paraId="3F14F71A">
      <w:pPr>
        <w:pStyle w:val="26"/>
        <w:spacing w:after="560" w:line="350" w:lineRule="exact"/>
        <w:ind w:firstLine="420"/>
        <w:jc w:val="both"/>
        <w:rPr>
          <w:color w:val="auto"/>
          <w:sz w:val="21"/>
          <w:szCs w:val="21"/>
          <w:highlight w:val="none"/>
        </w:rPr>
      </w:pPr>
      <w:r>
        <w:rPr>
          <w:rFonts w:hint="eastAsia"/>
          <w:color w:val="auto"/>
          <w:sz w:val="21"/>
          <w:szCs w:val="21"/>
          <w:highlight w:val="none"/>
        </w:rPr>
        <w:t>供应商</w:t>
      </w:r>
      <w:r>
        <w:rPr>
          <w:color w:val="auto"/>
          <w:sz w:val="21"/>
          <w:szCs w:val="21"/>
          <w:highlight w:val="none"/>
        </w:rPr>
        <w:t>应递交一份施工总平面图，绘出现场临时设施布置图及表并附文字说明，说明临时设施、加工车间、现场办公、设备及仓储、供电、供水、卫生、生活、道路、消防等设施的情况和布置。</w:t>
      </w:r>
    </w:p>
    <w:p w14:paraId="2BB819F2">
      <w:pPr>
        <w:pStyle w:val="26"/>
        <w:spacing w:after="560" w:line="350" w:lineRule="exact"/>
        <w:ind w:firstLine="420"/>
        <w:jc w:val="both"/>
        <w:rPr>
          <w:b/>
          <w:bCs/>
          <w:color w:val="auto"/>
          <w:sz w:val="28"/>
          <w:szCs w:val="28"/>
          <w:highlight w:val="none"/>
        </w:rPr>
      </w:pPr>
      <w:r>
        <w:rPr>
          <w:rFonts w:hint="eastAsia"/>
          <w:color w:val="auto"/>
          <w:sz w:val="21"/>
          <w:szCs w:val="21"/>
          <w:highlight w:val="none"/>
        </w:rPr>
        <w:t>其他平面图由供应商根据需要制作。</w:t>
      </w:r>
      <w:r>
        <w:rPr>
          <w:color w:val="auto"/>
          <w:highlight w:val="none"/>
        </w:rPr>
        <w:br w:type="page"/>
      </w:r>
      <w:bookmarkStart w:id="114" w:name="bookmark2264"/>
      <w:bookmarkStart w:id="115" w:name="bookmark2263"/>
      <w:bookmarkStart w:id="116" w:name="bookmark2265"/>
      <w:r>
        <w:rPr>
          <w:rFonts w:hint="eastAsia"/>
          <w:b/>
          <w:bCs/>
          <w:color w:val="auto"/>
          <w:sz w:val="28"/>
          <w:szCs w:val="28"/>
          <w:highlight w:val="none"/>
          <w:lang w:val="en-US"/>
        </w:rPr>
        <w:t>附件七：</w:t>
      </w:r>
      <w:r>
        <w:rPr>
          <w:rFonts w:hint="eastAsia"/>
          <w:b/>
          <w:bCs/>
          <w:color w:val="auto"/>
          <w:sz w:val="28"/>
          <w:szCs w:val="28"/>
          <w:highlight w:val="none"/>
        </w:rPr>
        <w:t>临时用地表</w:t>
      </w:r>
      <w:bookmarkEnd w:id="114"/>
      <w:bookmarkEnd w:id="115"/>
      <w:bookmarkEnd w:id="116"/>
    </w:p>
    <w:p w14:paraId="70240509">
      <w:pPr>
        <w:pStyle w:val="27"/>
        <w:jc w:val="center"/>
        <w:rPr>
          <w:rFonts w:ascii="宋体" w:hAnsi="宋体" w:eastAsia="宋体" w:cs="宋体"/>
          <w:b/>
          <w:color w:val="auto"/>
          <w:highlight w:val="none"/>
          <w:lang w:eastAsia="zh-CN"/>
        </w:rPr>
      </w:pPr>
      <w:bookmarkStart w:id="117" w:name="bookmark2268"/>
      <w:bookmarkStart w:id="118" w:name="bookmark2266"/>
      <w:bookmarkStart w:id="119" w:name="_Toc31330"/>
      <w:bookmarkStart w:id="120" w:name="_Toc3522"/>
      <w:bookmarkStart w:id="121" w:name="bookmark2267"/>
      <w:r>
        <w:rPr>
          <w:rFonts w:hint="eastAsia" w:ascii="宋体" w:hAnsi="宋体" w:eastAsia="宋体" w:cs="宋体"/>
          <w:b/>
          <w:color w:val="auto"/>
          <w:highlight w:val="none"/>
          <w:lang w:eastAsia="zh-CN"/>
        </w:rPr>
        <w:t>临时用地表</w:t>
      </w:r>
      <w:bookmarkEnd w:id="117"/>
      <w:bookmarkEnd w:id="118"/>
      <w:bookmarkEnd w:id="119"/>
      <w:bookmarkEnd w:id="120"/>
      <w:bookmarkEnd w:id="121"/>
    </w:p>
    <w:p w14:paraId="796F9062">
      <w:pPr>
        <w:pStyle w:val="27"/>
        <w:jc w:val="center"/>
        <w:rPr>
          <w:b/>
          <w:color w:val="auto"/>
          <w:highlight w:val="none"/>
          <w:lang w:eastAsia="zh-CN"/>
        </w:rPr>
      </w:pPr>
    </w:p>
    <w:tbl>
      <w:tblPr>
        <w:tblStyle w:val="17"/>
        <w:tblW w:w="0" w:type="auto"/>
        <w:jc w:val="center"/>
        <w:tblLayout w:type="fixed"/>
        <w:tblCellMar>
          <w:top w:w="0" w:type="dxa"/>
          <w:left w:w="10" w:type="dxa"/>
          <w:bottom w:w="0" w:type="dxa"/>
          <w:right w:w="10" w:type="dxa"/>
        </w:tblCellMar>
      </w:tblPr>
      <w:tblGrid>
        <w:gridCol w:w="2093"/>
        <w:gridCol w:w="2083"/>
        <w:gridCol w:w="2083"/>
        <w:gridCol w:w="2093"/>
      </w:tblGrid>
      <w:tr w14:paraId="78ADCB4A">
        <w:tblPrEx>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tcBorders>
            <w:shd w:val="clear" w:color="auto" w:fill="FFFFFF"/>
            <w:noWrap w:val="0"/>
            <w:vAlign w:val="center"/>
          </w:tcPr>
          <w:p w14:paraId="23E5FBE2">
            <w:pPr>
              <w:pStyle w:val="29"/>
              <w:spacing w:line="240" w:lineRule="auto"/>
              <w:ind w:firstLine="0"/>
              <w:jc w:val="center"/>
              <w:rPr>
                <w:color w:val="auto"/>
                <w:sz w:val="21"/>
                <w:szCs w:val="21"/>
                <w:highlight w:val="none"/>
              </w:rPr>
            </w:pPr>
            <w:r>
              <w:rPr>
                <w:color w:val="auto"/>
                <w:sz w:val="21"/>
                <w:szCs w:val="21"/>
                <w:highlight w:val="none"/>
              </w:rPr>
              <w:t>用途</w:t>
            </w:r>
          </w:p>
        </w:tc>
        <w:tc>
          <w:tcPr>
            <w:tcW w:w="2083" w:type="dxa"/>
            <w:tcBorders>
              <w:top w:val="single" w:color="auto" w:sz="4" w:space="0"/>
              <w:left w:val="single" w:color="auto" w:sz="4" w:space="0"/>
            </w:tcBorders>
            <w:shd w:val="clear" w:color="auto" w:fill="FFFFFF"/>
            <w:noWrap w:val="0"/>
            <w:vAlign w:val="center"/>
          </w:tcPr>
          <w:p w14:paraId="25889622">
            <w:pPr>
              <w:pStyle w:val="29"/>
              <w:spacing w:line="240" w:lineRule="auto"/>
              <w:ind w:firstLine="0"/>
              <w:jc w:val="center"/>
              <w:rPr>
                <w:color w:val="auto"/>
                <w:sz w:val="21"/>
                <w:szCs w:val="21"/>
                <w:highlight w:val="none"/>
              </w:rPr>
            </w:pPr>
            <w:r>
              <w:rPr>
                <w:color w:val="auto"/>
                <w:sz w:val="21"/>
                <w:szCs w:val="21"/>
                <w:highlight w:val="none"/>
              </w:rPr>
              <w:t>面积</w:t>
            </w:r>
            <w:r>
              <w:rPr>
                <w:rFonts w:hint="eastAsia"/>
                <w:color w:val="auto"/>
                <w:sz w:val="21"/>
                <w:szCs w:val="21"/>
                <w:highlight w:val="none"/>
              </w:rPr>
              <w:t>（</w:t>
            </w:r>
            <w:r>
              <w:rPr>
                <w:color w:val="auto"/>
                <w:sz w:val="21"/>
                <w:szCs w:val="21"/>
                <w:highlight w:val="none"/>
                <w:lang w:bidi="en-US"/>
              </w:rPr>
              <w:t>m</w:t>
            </w:r>
            <w:r>
              <w:rPr>
                <w:rFonts w:hint="eastAsia"/>
                <w:color w:val="auto"/>
                <w:sz w:val="21"/>
                <w:szCs w:val="21"/>
                <w:highlight w:val="none"/>
                <w:vertAlign w:val="superscript"/>
                <w:lang w:bidi="en-US"/>
              </w:rPr>
              <w:t>2</w:t>
            </w:r>
            <w:r>
              <w:rPr>
                <w:color w:val="auto"/>
                <w:sz w:val="21"/>
                <w:szCs w:val="21"/>
                <w:highlight w:val="none"/>
              </w:rPr>
              <w:t>）</w:t>
            </w:r>
          </w:p>
        </w:tc>
        <w:tc>
          <w:tcPr>
            <w:tcW w:w="2083" w:type="dxa"/>
            <w:tcBorders>
              <w:top w:val="single" w:color="auto" w:sz="4" w:space="0"/>
              <w:left w:val="single" w:color="auto" w:sz="4" w:space="0"/>
            </w:tcBorders>
            <w:shd w:val="clear" w:color="auto" w:fill="FFFFFF"/>
            <w:noWrap w:val="0"/>
            <w:vAlign w:val="center"/>
          </w:tcPr>
          <w:p w14:paraId="3F5F3EE9">
            <w:pPr>
              <w:pStyle w:val="29"/>
              <w:spacing w:line="240" w:lineRule="auto"/>
              <w:ind w:firstLine="0"/>
              <w:jc w:val="center"/>
              <w:rPr>
                <w:color w:val="auto"/>
                <w:sz w:val="21"/>
                <w:szCs w:val="21"/>
                <w:highlight w:val="none"/>
              </w:rPr>
            </w:pPr>
            <w:r>
              <w:rPr>
                <w:color w:val="auto"/>
                <w:sz w:val="21"/>
                <w:szCs w:val="21"/>
                <w:highlight w:val="none"/>
              </w:rPr>
              <w:t>位置</w:t>
            </w:r>
          </w:p>
        </w:tc>
        <w:tc>
          <w:tcPr>
            <w:tcW w:w="2093" w:type="dxa"/>
            <w:tcBorders>
              <w:top w:val="single" w:color="auto" w:sz="4" w:space="0"/>
              <w:left w:val="single" w:color="auto" w:sz="4" w:space="0"/>
              <w:right w:val="single" w:color="auto" w:sz="4" w:space="0"/>
            </w:tcBorders>
            <w:shd w:val="clear" w:color="auto" w:fill="FFFFFF"/>
            <w:noWrap w:val="0"/>
            <w:vAlign w:val="center"/>
          </w:tcPr>
          <w:p w14:paraId="25301688">
            <w:pPr>
              <w:pStyle w:val="29"/>
              <w:spacing w:line="240" w:lineRule="auto"/>
              <w:ind w:firstLine="0"/>
              <w:jc w:val="center"/>
              <w:rPr>
                <w:color w:val="auto"/>
                <w:sz w:val="21"/>
                <w:szCs w:val="21"/>
                <w:highlight w:val="none"/>
              </w:rPr>
            </w:pPr>
            <w:r>
              <w:rPr>
                <w:color w:val="auto"/>
                <w:sz w:val="21"/>
                <w:szCs w:val="21"/>
                <w:highlight w:val="none"/>
              </w:rPr>
              <w:t>需用时间</w:t>
            </w:r>
          </w:p>
        </w:tc>
      </w:tr>
      <w:tr w14:paraId="2143EB8C">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noWrap w:val="0"/>
            <w:vAlign w:val="top"/>
          </w:tcPr>
          <w:p w14:paraId="5B2AF331">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0FADB7FB">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55C2FDB1">
            <w:pPr>
              <w:pStyle w:val="27"/>
              <w:rPr>
                <w:color w:val="auto"/>
                <w:sz w:val="21"/>
                <w:szCs w:val="21"/>
                <w:highlight w:val="none"/>
              </w:rPr>
            </w:pPr>
          </w:p>
        </w:tc>
        <w:tc>
          <w:tcPr>
            <w:tcW w:w="2093" w:type="dxa"/>
            <w:tcBorders>
              <w:top w:val="single" w:color="auto" w:sz="4" w:space="0"/>
              <w:left w:val="single" w:color="auto" w:sz="4" w:space="0"/>
              <w:right w:val="single" w:color="auto" w:sz="4" w:space="0"/>
            </w:tcBorders>
            <w:shd w:val="clear" w:color="auto" w:fill="FFFFFF"/>
            <w:noWrap w:val="0"/>
            <w:vAlign w:val="top"/>
          </w:tcPr>
          <w:p w14:paraId="49698DE7">
            <w:pPr>
              <w:pStyle w:val="27"/>
              <w:rPr>
                <w:color w:val="auto"/>
                <w:sz w:val="21"/>
                <w:szCs w:val="21"/>
                <w:highlight w:val="none"/>
              </w:rPr>
            </w:pPr>
          </w:p>
        </w:tc>
      </w:tr>
      <w:tr w14:paraId="5BD7C55E">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noWrap w:val="0"/>
            <w:vAlign w:val="top"/>
          </w:tcPr>
          <w:p w14:paraId="7B01222C">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11502216">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383A7BA5">
            <w:pPr>
              <w:pStyle w:val="27"/>
              <w:rPr>
                <w:color w:val="auto"/>
                <w:sz w:val="21"/>
                <w:szCs w:val="21"/>
                <w:highlight w:val="none"/>
              </w:rPr>
            </w:pPr>
          </w:p>
        </w:tc>
        <w:tc>
          <w:tcPr>
            <w:tcW w:w="2093" w:type="dxa"/>
            <w:tcBorders>
              <w:top w:val="single" w:color="auto" w:sz="4" w:space="0"/>
              <w:left w:val="single" w:color="auto" w:sz="4" w:space="0"/>
              <w:right w:val="single" w:color="auto" w:sz="4" w:space="0"/>
            </w:tcBorders>
            <w:shd w:val="clear" w:color="auto" w:fill="FFFFFF"/>
            <w:noWrap w:val="0"/>
            <w:vAlign w:val="top"/>
          </w:tcPr>
          <w:p w14:paraId="54A3C906">
            <w:pPr>
              <w:pStyle w:val="27"/>
              <w:rPr>
                <w:color w:val="auto"/>
                <w:sz w:val="21"/>
                <w:szCs w:val="21"/>
                <w:highlight w:val="none"/>
              </w:rPr>
            </w:pPr>
          </w:p>
        </w:tc>
      </w:tr>
      <w:tr w14:paraId="0011C1B5">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noWrap w:val="0"/>
            <w:vAlign w:val="top"/>
          </w:tcPr>
          <w:p w14:paraId="4CA5EA8F">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4739D5C4">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717F9455">
            <w:pPr>
              <w:pStyle w:val="27"/>
              <w:rPr>
                <w:color w:val="auto"/>
                <w:sz w:val="21"/>
                <w:szCs w:val="21"/>
                <w:highlight w:val="none"/>
              </w:rPr>
            </w:pPr>
          </w:p>
        </w:tc>
        <w:tc>
          <w:tcPr>
            <w:tcW w:w="2093" w:type="dxa"/>
            <w:tcBorders>
              <w:top w:val="single" w:color="auto" w:sz="4" w:space="0"/>
              <w:left w:val="single" w:color="auto" w:sz="4" w:space="0"/>
              <w:right w:val="single" w:color="auto" w:sz="4" w:space="0"/>
            </w:tcBorders>
            <w:shd w:val="clear" w:color="auto" w:fill="FFFFFF"/>
            <w:noWrap w:val="0"/>
            <w:vAlign w:val="top"/>
          </w:tcPr>
          <w:p w14:paraId="58FBEE3B">
            <w:pPr>
              <w:pStyle w:val="27"/>
              <w:rPr>
                <w:color w:val="auto"/>
                <w:sz w:val="21"/>
                <w:szCs w:val="21"/>
                <w:highlight w:val="none"/>
              </w:rPr>
            </w:pPr>
          </w:p>
        </w:tc>
      </w:tr>
      <w:tr w14:paraId="006B4A1B">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noWrap w:val="0"/>
            <w:vAlign w:val="top"/>
          </w:tcPr>
          <w:p w14:paraId="56AD4F06">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237F3A8C">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620B65BF">
            <w:pPr>
              <w:pStyle w:val="27"/>
              <w:rPr>
                <w:color w:val="auto"/>
                <w:sz w:val="21"/>
                <w:szCs w:val="21"/>
                <w:highlight w:val="none"/>
              </w:rPr>
            </w:pPr>
          </w:p>
        </w:tc>
        <w:tc>
          <w:tcPr>
            <w:tcW w:w="2093" w:type="dxa"/>
            <w:tcBorders>
              <w:top w:val="single" w:color="auto" w:sz="4" w:space="0"/>
              <w:left w:val="single" w:color="auto" w:sz="4" w:space="0"/>
              <w:right w:val="single" w:color="auto" w:sz="4" w:space="0"/>
            </w:tcBorders>
            <w:shd w:val="clear" w:color="auto" w:fill="FFFFFF"/>
            <w:noWrap w:val="0"/>
            <w:vAlign w:val="top"/>
          </w:tcPr>
          <w:p w14:paraId="0534F63D">
            <w:pPr>
              <w:pStyle w:val="27"/>
              <w:rPr>
                <w:color w:val="auto"/>
                <w:sz w:val="21"/>
                <w:szCs w:val="21"/>
                <w:highlight w:val="none"/>
              </w:rPr>
            </w:pPr>
          </w:p>
        </w:tc>
      </w:tr>
      <w:tr w14:paraId="4B81E63E">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noWrap w:val="0"/>
            <w:vAlign w:val="top"/>
          </w:tcPr>
          <w:p w14:paraId="3A964C4A">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5EE0EFE1">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1285566A">
            <w:pPr>
              <w:pStyle w:val="27"/>
              <w:rPr>
                <w:color w:val="auto"/>
                <w:sz w:val="21"/>
                <w:szCs w:val="21"/>
                <w:highlight w:val="none"/>
              </w:rPr>
            </w:pPr>
          </w:p>
        </w:tc>
        <w:tc>
          <w:tcPr>
            <w:tcW w:w="2093" w:type="dxa"/>
            <w:tcBorders>
              <w:top w:val="single" w:color="auto" w:sz="4" w:space="0"/>
              <w:left w:val="single" w:color="auto" w:sz="4" w:space="0"/>
              <w:right w:val="single" w:color="auto" w:sz="4" w:space="0"/>
            </w:tcBorders>
            <w:shd w:val="clear" w:color="auto" w:fill="FFFFFF"/>
            <w:noWrap w:val="0"/>
            <w:vAlign w:val="top"/>
          </w:tcPr>
          <w:p w14:paraId="297B69A0">
            <w:pPr>
              <w:pStyle w:val="27"/>
              <w:rPr>
                <w:color w:val="auto"/>
                <w:sz w:val="21"/>
                <w:szCs w:val="21"/>
                <w:highlight w:val="none"/>
              </w:rPr>
            </w:pPr>
          </w:p>
        </w:tc>
      </w:tr>
      <w:tr w14:paraId="03E89243">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noWrap w:val="0"/>
            <w:vAlign w:val="top"/>
          </w:tcPr>
          <w:p w14:paraId="68F5A9AD">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5D41A58A">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26083363">
            <w:pPr>
              <w:pStyle w:val="27"/>
              <w:rPr>
                <w:color w:val="auto"/>
                <w:sz w:val="21"/>
                <w:szCs w:val="21"/>
                <w:highlight w:val="none"/>
              </w:rPr>
            </w:pPr>
          </w:p>
        </w:tc>
        <w:tc>
          <w:tcPr>
            <w:tcW w:w="2093" w:type="dxa"/>
            <w:tcBorders>
              <w:top w:val="single" w:color="auto" w:sz="4" w:space="0"/>
              <w:left w:val="single" w:color="auto" w:sz="4" w:space="0"/>
              <w:right w:val="single" w:color="auto" w:sz="4" w:space="0"/>
            </w:tcBorders>
            <w:shd w:val="clear" w:color="auto" w:fill="FFFFFF"/>
            <w:noWrap w:val="0"/>
            <w:vAlign w:val="top"/>
          </w:tcPr>
          <w:p w14:paraId="46029175">
            <w:pPr>
              <w:pStyle w:val="27"/>
              <w:rPr>
                <w:color w:val="auto"/>
                <w:sz w:val="21"/>
                <w:szCs w:val="21"/>
                <w:highlight w:val="none"/>
              </w:rPr>
            </w:pPr>
          </w:p>
        </w:tc>
      </w:tr>
      <w:tr w14:paraId="15C76B96">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noWrap w:val="0"/>
            <w:vAlign w:val="top"/>
          </w:tcPr>
          <w:p w14:paraId="4A74225D">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7D8F725A">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73045007">
            <w:pPr>
              <w:pStyle w:val="27"/>
              <w:rPr>
                <w:color w:val="auto"/>
                <w:sz w:val="21"/>
                <w:szCs w:val="21"/>
                <w:highlight w:val="none"/>
              </w:rPr>
            </w:pPr>
          </w:p>
        </w:tc>
        <w:tc>
          <w:tcPr>
            <w:tcW w:w="2093" w:type="dxa"/>
            <w:tcBorders>
              <w:top w:val="single" w:color="auto" w:sz="4" w:space="0"/>
              <w:left w:val="single" w:color="auto" w:sz="4" w:space="0"/>
              <w:right w:val="single" w:color="auto" w:sz="4" w:space="0"/>
            </w:tcBorders>
            <w:shd w:val="clear" w:color="auto" w:fill="FFFFFF"/>
            <w:noWrap w:val="0"/>
            <w:vAlign w:val="top"/>
          </w:tcPr>
          <w:p w14:paraId="5D8AA056">
            <w:pPr>
              <w:pStyle w:val="27"/>
              <w:rPr>
                <w:color w:val="auto"/>
                <w:sz w:val="21"/>
                <w:szCs w:val="21"/>
                <w:highlight w:val="none"/>
              </w:rPr>
            </w:pPr>
          </w:p>
        </w:tc>
      </w:tr>
      <w:tr w14:paraId="4580774F">
        <w:tblPrEx>
          <w:tblCellMar>
            <w:top w:w="0" w:type="dxa"/>
            <w:left w:w="10" w:type="dxa"/>
            <w:bottom w:w="0" w:type="dxa"/>
            <w:right w:w="10" w:type="dxa"/>
          </w:tblCellMar>
        </w:tblPrEx>
        <w:trPr>
          <w:trHeight w:val="571" w:hRule="exact"/>
          <w:jc w:val="center"/>
        </w:trPr>
        <w:tc>
          <w:tcPr>
            <w:tcW w:w="2093" w:type="dxa"/>
            <w:tcBorders>
              <w:top w:val="single" w:color="auto" w:sz="4" w:space="0"/>
              <w:left w:val="single" w:color="auto" w:sz="4" w:space="0"/>
            </w:tcBorders>
            <w:shd w:val="clear" w:color="auto" w:fill="FFFFFF"/>
            <w:noWrap w:val="0"/>
            <w:vAlign w:val="top"/>
          </w:tcPr>
          <w:p w14:paraId="595261C8">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68B5FD70">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20E81463">
            <w:pPr>
              <w:pStyle w:val="27"/>
              <w:rPr>
                <w:color w:val="auto"/>
                <w:sz w:val="21"/>
                <w:szCs w:val="21"/>
                <w:highlight w:val="none"/>
              </w:rPr>
            </w:pPr>
          </w:p>
        </w:tc>
        <w:tc>
          <w:tcPr>
            <w:tcW w:w="2093" w:type="dxa"/>
            <w:tcBorders>
              <w:top w:val="single" w:color="auto" w:sz="4" w:space="0"/>
              <w:left w:val="single" w:color="auto" w:sz="4" w:space="0"/>
              <w:right w:val="single" w:color="auto" w:sz="4" w:space="0"/>
            </w:tcBorders>
            <w:shd w:val="clear" w:color="auto" w:fill="FFFFFF"/>
            <w:noWrap w:val="0"/>
            <w:vAlign w:val="top"/>
          </w:tcPr>
          <w:p w14:paraId="6DAB8396">
            <w:pPr>
              <w:pStyle w:val="27"/>
              <w:rPr>
                <w:color w:val="auto"/>
                <w:sz w:val="21"/>
                <w:szCs w:val="21"/>
                <w:highlight w:val="none"/>
              </w:rPr>
            </w:pPr>
          </w:p>
        </w:tc>
      </w:tr>
      <w:tr w14:paraId="2BB88DD2">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noWrap w:val="0"/>
            <w:vAlign w:val="top"/>
          </w:tcPr>
          <w:p w14:paraId="1B131F47">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319614BF">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474203EF">
            <w:pPr>
              <w:pStyle w:val="27"/>
              <w:rPr>
                <w:color w:val="auto"/>
                <w:sz w:val="21"/>
                <w:szCs w:val="21"/>
                <w:highlight w:val="none"/>
              </w:rPr>
            </w:pPr>
          </w:p>
        </w:tc>
        <w:tc>
          <w:tcPr>
            <w:tcW w:w="2093" w:type="dxa"/>
            <w:tcBorders>
              <w:top w:val="single" w:color="auto" w:sz="4" w:space="0"/>
              <w:left w:val="single" w:color="auto" w:sz="4" w:space="0"/>
              <w:right w:val="single" w:color="auto" w:sz="4" w:space="0"/>
            </w:tcBorders>
            <w:shd w:val="clear" w:color="auto" w:fill="FFFFFF"/>
            <w:noWrap w:val="0"/>
            <w:vAlign w:val="top"/>
          </w:tcPr>
          <w:p w14:paraId="0DF1B9DF">
            <w:pPr>
              <w:pStyle w:val="27"/>
              <w:rPr>
                <w:color w:val="auto"/>
                <w:sz w:val="21"/>
                <w:szCs w:val="21"/>
                <w:highlight w:val="none"/>
              </w:rPr>
            </w:pPr>
          </w:p>
        </w:tc>
      </w:tr>
      <w:tr w14:paraId="10FFDA93">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noWrap w:val="0"/>
            <w:vAlign w:val="top"/>
          </w:tcPr>
          <w:p w14:paraId="34FC9E2C">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7A09DDC0">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5339B595">
            <w:pPr>
              <w:pStyle w:val="27"/>
              <w:rPr>
                <w:color w:val="auto"/>
                <w:sz w:val="21"/>
                <w:szCs w:val="21"/>
                <w:highlight w:val="none"/>
              </w:rPr>
            </w:pPr>
          </w:p>
        </w:tc>
        <w:tc>
          <w:tcPr>
            <w:tcW w:w="2093" w:type="dxa"/>
            <w:tcBorders>
              <w:top w:val="single" w:color="auto" w:sz="4" w:space="0"/>
              <w:left w:val="single" w:color="auto" w:sz="4" w:space="0"/>
              <w:right w:val="single" w:color="auto" w:sz="4" w:space="0"/>
            </w:tcBorders>
            <w:shd w:val="clear" w:color="auto" w:fill="FFFFFF"/>
            <w:noWrap w:val="0"/>
            <w:vAlign w:val="top"/>
          </w:tcPr>
          <w:p w14:paraId="1A5E8B86">
            <w:pPr>
              <w:pStyle w:val="27"/>
              <w:rPr>
                <w:color w:val="auto"/>
                <w:sz w:val="21"/>
                <w:szCs w:val="21"/>
                <w:highlight w:val="none"/>
              </w:rPr>
            </w:pPr>
          </w:p>
        </w:tc>
      </w:tr>
      <w:tr w14:paraId="56CEEABD">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noWrap w:val="0"/>
            <w:vAlign w:val="top"/>
          </w:tcPr>
          <w:p w14:paraId="20C235A6">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2CCE16B6">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525E657E">
            <w:pPr>
              <w:pStyle w:val="27"/>
              <w:rPr>
                <w:color w:val="auto"/>
                <w:sz w:val="21"/>
                <w:szCs w:val="21"/>
                <w:highlight w:val="none"/>
              </w:rPr>
            </w:pPr>
          </w:p>
        </w:tc>
        <w:tc>
          <w:tcPr>
            <w:tcW w:w="2093" w:type="dxa"/>
            <w:tcBorders>
              <w:top w:val="single" w:color="auto" w:sz="4" w:space="0"/>
              <w:left w:val="single" w:color="auto" w:sz="4" w:space="0"/>
              <w:right w:val="single" w:color="auto" w:sz="4" w:space="0"/>
            </w:tcBorders>
            <w:shd w:val="clear" w:color="auto" w:fill="FFFFFF"/>
            <w:noWrap w:val="0"/>
            <w:vAlign w:val="top"/>
          </w:tcPr>
          <w:p w14:paraId="6F816554">
            <w:pPr>
              <w:pStyle w:val="27"/>
              <w:rPr>
                <w:color w:val="auto"/>
                <w:sz w:val="21"/>
                <w:szCs w:val="21"/>
                <w:highlight w:val="none"/>
              </w:rPr>
            </w:pPr>
          </w:p>
        </w:tc>
      </w:tr>
      <w:tr w14:paraId="60DD770F">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noWrap w:val="0"/>
            <w:vAlign w:val="top"/>
          </w:tcPr>
          <w:p w14:paraId="260FCB78">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5E9787CD">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4569AD5A">
            <w:pPr>
              <w:pStyle w:val="27"/>
              <w:rPr>
                <w:color w:val="auto"/>
                <w:sz w:val="21"/>
                <w:szCs w:val="21"/>
                <w:highlight w:val="none"/>
              </w:rPr>
            </w:pPr>
          </w:p>
        </w:tc>
        <w:tc>
          <w:tcPr>
            <w:tcW w:w="2093" w:type="dxa"/>
            <w:tcBorders>
              <w:top w:val="single" w:color="auto" w:sz="4" w:space="0"/>
              <w:left w:val="single" w:color="auto" w:sz="4" w:space="0"/>
              <w:right w:val="single" w:color="auto" w:sz="4" w:space="0"/>
            </w:tcBorders>
            <w:shd w:val="clear" w:color="auto" w:fill="FFFFFF"/>
            <w:noWrap w:val="0"/>
            <w:vAlign w:val="top"/>
          </w:tcPr>
          <w:p w14:paraId="493136CA">
            <w:pPr>
              <w:pStyle w:val="27"/>
              <w:rPr>
                <w:color w:val="auto"/>
                <w:sz w:val="21"/>
                <w:szCs w:val="21"/>
                <w:highlight w:val="none"/>
              </w:rPr>
            </w:pPr>
          </w:p>
        </w:tc>
      </w:tr>
      <w:tr w14:paraId="0903B8E0">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noWrap w:val="0"/>
            <w:vAlign w:val="top"/>
          </w:tcPr>
          <w:p w14:paraId="768D5FF7">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4DE983D4">
            <w:pPr>
              <w:pStyle w:val="27"/>
              <w:rPr>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16F127A3">
            <w:pPr>
              <w:pStyle w:val="27"/>
              <w:rPr>
                <w:color w:val="auto"/>
                <w:sz w:val="21"/>
                <w:szCs w:val="21"/>
                <w:highlight w:val="none"/>
              </w:rPr>
            </w:pPr>
          </w:p>
        </w:tc>
        <w:tc>
          <w:tcPr>
            <w:tcW w:w="2093" w:type="dxa"/>
            <w:tcBorders>
              <w:top w:val="single" w:color="auto" w:sz="4" w:space="0"/>
              <w:left w:val="single" w:color="auto" w:sz="4" w:space="0"/>
              <w:right w:val="single" w:color="auto" w:sz="4" w:space="0"/>
            </w:tcBorders>
            <w:shd w:val="clear" w:color="auto" w:fill="FFFFFF"/>
            <w:noWrap w:val="0"/>
            <w:vAlign w:val="top"/>
          </w:tcPr>
          <w:p w14:paraId="3C696219">
            <w:pPr>
              <w:pStyle w:val="27"/>
              <w:rPr>
                <w:color w:val="auto"/>
                <w:sz w:val="21"/>
                <w:szCs w:val="21"/>
                <w:highlight w:val="none"/>
              </w:rPr>
            </w:pPr>
          </w:p>
        </w:tc>
      </w:tr>
      <w:tr w14:paraId="3E51182F">
        <w:tblPrEx>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bottom w:val="single" w:color="auto" w:sz="4" w:space="0"/>
            </w:tcBorders>
            <w:shd w:val="clear" w:color="auto" w:fill="FFFFFF"/>
            <w:noWrap w:val="0"/>
            <w:vAlign w:val="top"/>
          </w:tcPr>
          <w:p w14:paraId="77B94916">
            <w:pPr>
              <w:pStyle w:val="27"/>
              <w:rPr>
                <w:color w:val="auto"/>
                <w:sz w:val="21"/>
                <w:szCs w:val="21"/>
                <w:highlight w:val="none"/>
              </w:rPr>
            </w:pPr>
          </w:p>
        </w:tc>
        <w:tc>
          <w:tcPr>
            <w:tcW w:w="2083" w:type="dxa"/>
            <w:tcBorders>
              <w:top w:val="single" w:color="auto" w:sz="4" w:space="0"/>
              <w:left w:val="single" w:color="auto" w:sz="4" w:space="0"/>
              <w:bottom w:val="single" w:color="auto" w:sz="4" w:space="0"/>
            </w:tcBorders>
            <w:shd w:val="clear" w:color="auto" w:fill="FFFFFF"/>
            <w:noWrap w:val="0"/>
            <w:vAlign w:val="top"/>
          </w:tcPr>
          <w:p w14:paraId="6E1A8E91">
            <w:pPr>
              <w:pStyle w:val="27"/>
              <w:rPr>
                <w:color w:val="auto"/>
                <w:sz w:val="21"/>
                <w:szCs w:val="21"/>
                <w:highlight w:val="none"/>
              </w:rPr>
            </w:pPr>
          </w:p>
        </w:tc>
        <w:tc>
          <w:tcPr>
            <w:tcW w:w="2083" w:type="dxa"/>
            <w:tcBorders>
              <w:top w:val="single" w:color="auto" w:sz="4" w:space="0"/>
              <w:left w:val="single" w:color="auto" w:sz="4" w:space="0"/>
              <w:bottom w:val="single" w:color="auto" w:sz="4" w:space="0"/>
            </w:tcBorders>
            <w:shd w:val="clear" w:color="auto" w:fill="FFFFFF"/>
            <w:noWrap w:val="0"/>
            <w:vAlign w:val="top"/>
          </w:tcPr>
          <w:p w14:paraId="07BE04AD">
            <w:pPr>
              <w:pStyle w:val="27"/>
              <w:rPr>
                <w:color w:val="auto"/>
                <w:sz w:val="21"/>
                <w:szCs w:val="21"/>
                <w:highlight w: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7D93112">
            <w:pPr>
              <w:pStyle w:val="27"/>
              <w:rPr>
                <w:color w:val="auto"/>
                <w:sz w:val="21"/>
                <w:szCs w:val="21"/>
                <w:highlight w:val="none"/>
              </w:rPr>
            </w:pPr>
          </w:p>
        </w:tc>
      </w:tr>
    </w:tbl>
    <w:p w14:paraId="78E51FD5">
      <w:pPr>
        <w:tabs>
          <w:tab w:val="left" w:pos="3479"/>
        </w:tabs>
        <w:spacing w:line="520" w:lineRule="exact"/>
        <w:rPr>
          <w:rFonts w:ascii="方正小标宋简体" w:hAnsi="方正小标宋简体" w:eastAsia="方正小标宋简体" w:cs="方正小标宋简体"/>
          <w:bCs/>
          <w:color w:val="auto"/>
          <w:sz w:val="44"/>
          <w:szCs w:val="44"/>
          <w:highlight w:val="none"/>
        </w:rPr>
        <w:sectPr>
          <w:pgSz w:w="11910" w:h="16840"/>
          <w:pgMar w:top="1134" w:right="1134" w:bottom="1134" w:left="1134" w:header="850" w:footer="567" w:gutter="0"/>
          <w:cols w:space="720" w:num="1"/>
          <w:docGrid w:linePitch="286" w:charSpace="0"/>
        </w:sectPr>
      </w:pPr>
    </w:p>
    <w:p w14:paraId="0E24B4AF">
      <w:p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t>八、项目管理机构</w:t>
      </w:r>
    </w:p>
    <w:p w14:paraId="4A2CB15E">
      <w:pPr>
        <w:pStyle w:val="30"/>
        <w:spacing w:line="360" w:lineRule="exact"/>
        <w:jc w:val="center"/>
        <w:rPr>
          <w:color w:val="auto"/>
          <w:sz w:val="28"/>
          <w:szCs w:val="28"/>
          <w:highlight w:val="none"/>
          <w:lang w:eastAsia="zh-CN"/>
        </w:rPr>
      </w:pPr>
      <w:bookmarkStart w:id="122" w:name="_Toc11093"/>
      <w:bookmarkStart w:id="123" w:name="_Toc256000210"/>
      <w:bookmarkStart w:id="124" w:name="_Toc30880"/>
      <w:r>
        <w:rPr>
          <w:rFonts w:hint="eastAsia"/>
          <w:color w:val="auto"/>
          <w:sz w:val="28"/>
          <w:szCs w:val="28"/>
          <w:highlight w:val="none"/>
          <w:lang w:eastAsia="zh-CN"/>
        </w:rPr>
        <w:t>（一）拟投入本合同工程施工的项目管理机构组成表</w:t>
      </w:r>
      <w:bookmarkEnd w:id="122"/>
      <w:bookmarkEnd w:id="123"/>
      <w:bookmarkEnd w:id="124"/>
    </w:p>
    <w:p w14:paraId="7CD543AE">
      <w:pPr>
        <w:pStyle w:val="27"/>
        <w:rPr>
          <w:rFonts w:eastAsia="宋体"/>
          <w:color w:val="auto"/>
          <w:highlight w:val="none"/>
          <w:lang w:eastAsia="zh-CN"/>
        </w:rPr>
      </w:pP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
      <w:tblGrid>
        <w:gridCol w:w="1709"/>
        <w:gridCol w:w="854"/>
        <w:gridCol w:w="960"/>
        <w:gridCol w:w="750"/>
        <w:gridCol w:w="845"/>
        <w:gridCol w:w="696"/>
        <w:gridCol w:w="1677"/>
        <w:gridCol w:w="1341"/>
      </w:tblGrid>
      <w:tr w14:paraId="2219A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59" w:hRule="exact"/>
          <w:jc w:val="center"/>
        </w:trPr>
        <w:tc>
          <w:tcPr>
            <w:tcW w:w="1709" w:type="dxa"/>
            <w:shd w:val="clear" w:color="auto" w:fill="FFFFFF"/>
            <w:noWrap w:val="0"/>
            <w:vAlign w:val="center"/>
          </w:tcPr>
          <w:p w14:paraId="1B1BF687">
            <w:pPr>
              <w:pStyle w:val="29"/>
              <w:spacing w:line="240" w:lineRule="auto"/>
              <w:ind w:firstLine="300"/>
              <w:jc w:val="center"/>
              <w:rPr>
                <w:color w:val="auto"/>
                <w:sz w:val="21"/>
                <w:szCs w:val="21"/>
                <w:highlight w:val="none"/>
              </w:rPr>
            </w:pPr>
            <w:r>
              <w:rPr>
                <w:color w:val="auto"/>
                <w:sz w:val="21"/>
                <w:szCs w:val="21"/>
                <w:highlight w:val="none"/>
              </w:rPr>
              <w:t>工作岗位名称</w:t>
            </w:r>
          </w:p>
        </w:tc>
        <w:tc>
          <w:tcPr>
            <w:tcW w:w="854" w:type="dxa"/>
            <w:shd w:val="clear" w:color="auto" w:fill="FFFFFF"/>
            <w:noWrap w:val="0"/>
            <w:vAlign w:val="center"/>
          </w:tcPr>
          <w:p w14:paraId="1A2670BE">
            <w:pPr>
              <w:pStyle w:val="29"/>
              <w:spacing w:line="240" w:lineRule="auto"/>
              <w:ind w:firstLine="0"/>
              <w:jc w:val="center"/>
              <w:rPr>
                <w:color w:val="auto"/>
                <w:sz w:val="21"/>
                <w:szCs w:val="21"/>
                <w:highlight w:val="none"/>
              </w:rPr>
            </w:pPr>
            <w:r>
              <w:rPr>
                <w:color w:val="auto"/>
                <w:sz w:val="21"/>
                <w:szCs w:val="21"/>
                <w:highlight w:val="none"/>
              </w:rPr>
              <w:t>姓名</w:t>
            </w:r>
          </w:p>
        </w:tc>
        <w:tc>
          <w:tcPr>
            <w:tcW w:w="960" w:type="dxa"/>
            <w:shd w:val="clear" w:color="auto" w:fill="FFFFFF"/>
            <w:noWrap w:val="0"/>
            <w:vAlign w:val="center"/>
          </w:tcPr>
          <w:p w14:paraId="4FA0C4C3">
            <w:pPr>
              <w:pStyle w:val="29"/>
              <w:spacing w:line="240" w:lineRule="auto"/>
              <w:ind w:firstLine="0"/>
              <w:jc w:val="center"/>
              <w:rPr>
                <w:color w:val="auto"/>
                <w:sz w:val="21"/>
                <w:szCs w:val="21"/>
                <w:highlight w:val="none"/>
              </w:rPr>
            </w:pPr>
            <w:r>
              <w:rPr>
                <w:color w:val="auto"/>
                <w:sz w:val="21"/>
                <w:szCs w:val="21"/>
                <w:highlight w:val="none"/>
              </w:rPr>
              <w:t>性别</w:t>
            </w:r>
          </w:p>
        </w:tc>
        <w:tc>
          <w:tcPr>
            <w:tcW w:w="750" w:type="dxa"/>
            <w:shd w:val="clear" w:color="auto" w:fill="FFFFFF"/>
            <w:noWrap w:val="0"/>
            <w:vAlign w:val="center"/>
          </w:tcPr>
          <w:p w14:paraId="3B9FBBBA">
            <w:pPr>
              <w:pStyle w:val="29"/>
              <w:spacing w:line="262" w:lineRule="exact"/>
              <w:ind w:firstLine="0"/>
              <w:jc w:val="center"/>
              <w:rPr>
                <w:color w:val="auto"/>
                <w:sz w:val="21"/>
                <w:szCs w:val="21"/>
                <w:highlight w:val="none"/>
              </w:rPr>
            </w:pPr>
            <w:r>
              <w:rPr>
                <w:color w:val="auto"/>
                <w:sz w:val="21"/>
                <w:szCs w:val="21"/>
                <w:highlight w:val="none"/>
              </w:rPr>
              <w:t>工作职责</w:t>
            </w:r>
          </w:p>
        </w:tc>
        <w:tc>
          <w:tcPr>
            <w:tcW w:w="845" w:type="dxa"/>
            <w:shd w:val="clear" w:color="auto" w:fill="FFFFFF"/>
            <w:noWrap w:val="0"/>
            <w:vAlign w:val="center"/>
          </w:tcPr>
          <w:p w14:paraId="1ABD43AB">
            <w:pPr>
              <w:pStyle w:val="29"/>
              <w:spacing w:line="240" w:lineRule="auto"/>
              <w:ind w:firstLine="0"/>
              <w:jc w:val="center"/>
              <w:rPr>
                <w:color w:val="auto"/>
                <w:sz w:val="21"/>
                <w:szCs w:val="21"/>
                <w:highlight w:val="none"/>
              </w:rPr>
            </w:pPr>
            <w:r>
              <w:rPr>
                <w:color w:val="auto"/>
                <w:sz w:val="21"/>
                <w:szCs w:val="21"/>
                <w:highlight w:val="none"/>
              </w:rPr>
              <w:t>职称</w:t>
            </w:r>
          </w:p>
        </w:tc>
        <w:tc>
          <w:tcPr>
            <w:tcW w:w="696" w:type="dxa"/>
            <w:shd w:val="clear" w:color="auto" w:fill="FFFFFF"/>
            <w:noWrap w:val="0"/>
            <w:vAlign w:val="center"/>
          </w:tcPr>
          <w:p w14:paraId="4A351212">
            <w:pPr>
              <w:pStyle w:val="29"/>
              <w:spacing w:line="240" w:lineRule="auto"/>
              <w:ind w:firstLine="0"/>
              <w:jc w:val="center"/>
              <w:rPr>
                <w:color w:val="auto"/>
                <w:sz w:val="21"/>
                <w:szCs w:val="21"/>
                <w:highlight w:val="none"/>
              </w:rPr>
            </w:pPr>
            <w:r>
              <w:rPr>
                <w:color w:val="auto"/>
                <w:sz w:val="21"/>
                <w:szCs w:val="21"/>
                <w:highlight w:val="none"/>
              </w:rPr>
              <w:t>专业</w:t>
            </w:r>
          </w:p>
        </w:tc>
        <w:tc>
          <w:tcPr>
            <w:tcW w:w="1677" w:type="dxa"/>
            <w:shd w:val="clear" w:color="auto" w:fill="FFFFFF"/>
            <w:noWrap w:val="0"/>
            <w:vAlign w:val="center"/>
          </w:tcPr>
          <w:p w14:paraId="55FB5CA6">
            <w:pPr>
              <w:pStyle w:val="29"/>
              <w:spacing w:line="271" w:lineRule="exact"/>
              <w:ind w:firstLine="0"/>
              <w:jc w:val="center"/>
              <w:rPr>
                <w:color w:val="auto"/>
                <w:sz w:val="21"/>
                <w:szCs w:val="21"/>
                <w:highlight w:val="none"/>
              </w:rPr>
            </w:pPr>
            <w:r>
              <w:rPr>
                <w:color w:val="auto"/>
                <w:sz w:val="21"/>
                <w:szCs w:val="21"/>
                <w:highlight w:val="none"/>
              </w:rPr>
              <w:t>相关证书名称 及编号</w:t>
            </w:r>
          </w:p>
        </w:tc>
        <w:tc>
          <w:tcPr>
            <w:tcW w:w="1341" w:type="dxa"/>
            <w:shd w:val="clear" w:color="auto" w:fill="FFFFFF"/>
            <w:noWrap w:val="0"/>
            <w:vAlign w:val="center"/>
          </w:tcPr>
          <w:p w14:paraId="6A51CE8B">
            <w:pPr>
              <w:pStyle w:val="29"/>
              <w:spacing w:line="264" w:lineRule="exact"/>
              <w:ind w:firstLine="0"/>
              <w:jc w:val="center"/>
              <w:rPr>
                <w:color w:val="auto"/>
                <w:sz w:val="21"/>
                <w:szCs w:val="21"/>
                <w:highlight w:val="none"/>
              </w:rPr>
            </w:pPr>
            <w:r>
              <w:rPr>
                <w:color w:val="auto"/>
                <w:sz w:val="21"/>
                <w:szCs w:val="21"/>
                <w:highlight w:val="none"/>
              </w:rPr>
              <w:t>相关工作年限</w:t>
            </w:r>
          </w:p>
        </w:tc>
      </w:tr>
      <w:tr w14:paraId="61B41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51" w:hRule="exact"/>
          <w:jc w:val="center"/>
        </w:trPr>
        <w:tc>
          <w:tcPr>
            <w:tcW w:w="1709" w:type="dxa"/>
            <w:shd w:val="clear" w:color="auto" w:fill="FFFFFF"/>
            <w:noWrap w:val="0"/>
            <w:vAlign w:val="center"/>
          </w:tcPr>
          <w:p w14:paraId="4960C443">
            <w:pPr>
              <w:pStyle w:val="29"/>
              <w:spacing w:line="240" w:lineRule="auto"/>
              <w:ind w:firstLine="0"/>
              <w:jc w:val="center"/>
              <w:rPr>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854" w:type="dxa"/>
            <w:shd w:val="clear" w:color="auto" w:fill="FFFFFF"/>
            <w:noWrap w:val="0"/>
            <w:vAlign w:val="center"/>
          </w:tcPr>
          <w:p w14:paraId="1DD47B6B">
            <w:pPr>
              <w:pStyle w:val="27"/>
              <w:jc w:val="center"/>
              <w:rPr>
                <w:color w:val="auto"/>
                <w:sz w:val="21"/>
                <w:szCs w:val="21"/>
                <w:highlight w:val="none"/>
              </w:rPr>
            </w:pPr>
          </w:p>
        </w:tc>
        <w:tc>
          <w:tcPr>
            <w:tcW w:w="960" w:type="dxa"/>
            <w:shd w:val="clear" w:color="auto" w:fill="FFFFFF"/>
            <w:noWrap w:val="0"/>
            <w:vAlign w:val="center"/>
          </w:tcPr>
          <w:p w14:paraId="742D9A7D">
            <w:pPr>
              <w:pStyle w:val="27"/>
              <w:jc w:val="center"/>
              <w:rPr>
                <w:color w:val="auto"/>
                <w:sz w:val="21"/>
                <w:szCs w:val="21"/>
                <w:highlight w:val="none"/>
              </w:rPr>
            </w:pPr>
          </w:p>
        </w:tc>
        <w:tc>
          <w:tcPr>
            <w:tcW w:w="750" w:type="dxa"/>
            <w:shd w:val="clear" w:color="auto" w:fill="FFFFFF"/>
            <w:noWrap w:val="0"/>
            <w:vAlign w:val="center"/>
          </w:tcPr>
          <w:p w14:paraId="602F654B">
            <w:pPr>
              <w:pStyle w:val="27"/>
              <w:jc w:val="center"/>
              <w:rPr>
                <w:color w:val="auto"/>
                <w:sz w:val="21"/>
                <w:szCs w:val="21"/>
                <w:highlight w:val="none"/>
              </w:rPr>
            </w:pPr>
          </w:p>
        </w:tc>
        <w:tc>
          <w:tcPr>
            <w:tcW w:w="845" w:type="dxa"/>
            <w:shd w:val="clear" w:color="auto" w:fill="FFFFFF"/>
            <w:noWrap w:val="0"/>
            <w:vAlign w:val="center"/>
          </w:tcPr>
          <w:p w14:paraId="46EBB999">
            <w:pPr>
              <w:pStyle w:val="27"/>
              <w:jc w:val="center"/>
              <w:rPr>
                <w:color w:val="auto"/>
                <w:sz w:val="21"/>
                <w:szCs w:val="21"/>
                <w:highlight w:val="none"/>
              </w:rPr>
            </w:pPr>
          </w:p>
        </w:tc>
        <w:tc>
          <w:tcPr>
            <w:tcW w:w="696" w:type="dxa"/>
            <w:shd w:val="clear" w:color="auto" w:fill="FFFFFF"/>
            <w:noWrap w:val="0"/>
            <w:vAlign w:val="center"/>
          </w:tcPr>
          <w:p w14:paraId="23774F19">
            <w:pPr>
              <w:pStyle w:val="27"/>
              <w:jc w:val="center"/>
              <w:rPr>
                <w:color w:val="auto"/>
                <w:sz w:val="21"/>
                <w:szCs w:val="21"/>
                <w:highlight w:val="none"/>
              </w:rPr>
            </w:pPr>
          </w:p>
        </w:tc>
        <w:tc>
          <w:tcPr>
            <w:tcW w:w="1677" w:type="dxa"/>
            <w:shd w:val="clear" w:color="auto" w:fill="FFFFFF"/>
            <w:noWrap w:val="0"/>
            <w:vAlign w:val="center"/>
          </w:tcPr>
          <w:p w14:paraId="1A9AE9F2">
            <w:pPr>
              <w:pStyle w:val="27"/>
              <w:jc w:val="center"/>
              <w:rPr>
                <w:color w:val="auto"/>
                <w:sz w:val="21"/>
                <w:szCs w:val="21"/>
                <w:highlight w:val="none"/>
              </w:rPr>
            </w:pPr>
          </w:p>
        </w:tc>
        <w:tc>
          <w:tcPr>
            <w:tcW w:w="1341" w:type="dxa"/>
            <w:shd w:val="clear" w:color="auto" w:fill="FFFFFF"/>
            <w:noWrap w:val="0"/>
            <w:vAlign w:val="center"/>
          </w:tcPr>
          <w:p w14:paraId="69822BB3">
            <w:pPr>
              <w:pStyle w:val="27"/>
              <w:jc w:val="center"/>
              <w:rPr>
                <w:color w:val="auto"/>
                <w:sz w:val="21"/>
                <w:szCs w:val="21"/>
                <w:highlight w:val="none"/>
              </w:rPr>
            </w:pPr>
          </w:p>
        </w:tc>
      </w:tr>
      <w:tr w14:paraId="7F000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56" w:hRule="exact"/>
          <w:jc w:val="center"/>
        </w:trPr>
        <w:tc>
          <w:tcPr>
            <w:tcW w:w="1709" w:type="dxa"/>
            <w:shd w:val="clear" w:color="auto" w:fill="FFFFFF"/>
            <w:noWrap w:val="0"/>
            <w:vAlign w:val="center"/>
          </w:tcPr>
          <w:p w14:paraId="6BE3E697">
            <w:pPr>
              <w:pStyle w:val="29"/>
              <w:spacing w:line="240" w:lineRule="auto"/>
              <w:ind w:firstLine="0"/>
              <w:jc w:val="center"/>
              <w:rPr>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2.</w:t>
            </w:r>
            <w:r>
              <w:rPr>
                <w:color w:val="auto"/>
                <w:sz w:val="21"/>
                <w:szCs w:val="21"/>
                <w:highlight w:val="none"/>
              </w:rPr>
              <w:t>技术负责人</w:t>
            </w:r>
          </w:p>
        </w:tc>
        <w:tc>
          <w:tcPr>
            <w:tcW w:w="854" w:type="dxa"/>
            <w:shd w:val="clear" w:color="auto" w:fill="FFFFFF"/>
            <w:noWrap w:val="0"/>
            <w:vAlign w:val="center"/>
          </w:tcPr>
          <w:p w14:paraId="295D88A1">
            <w:pPr>
              <w:pStyle w:val="27"/>
              <w:jc w:val="center"/>
              <w:rPr>
                <w:color w:val="auto"/>
                <w:sz w:val="21"/>
                <w:szCs w:val="21"/>
                <w:highlight w:val="none"/>
              </w:rPr>
            </w:pPr>
          </w:p>
        </w:tc>
        <w:tc>
          <w:tcPr>
            <w:tcW w:w="960" w:type="dxa"/>
            <w:shd w:val="clear" w:color="auto" w:fill="FFFFFF"/>
            <w:noWrap w:val="0"/>
            <w:vAlign w:val="center"/>
          </w:tcPr>
          <w:p w14:paraId="33A3291F">
            <w:pPr>
              <w:pStyle w:val="27"/>
              <w:jc w:val="center"/>
              <w:rPr>
                <w:color w:val="auto"/>
                <w:sz w:val="21"/>
                <w:szCs w:val="21"/>
                <w:highlight w:val="none"/>
              </w:rPr>
            </w:pPr>
          </w:p>
        </w:tc>
        <w:tc>
          <w:tcPr>
            <w:tcW w:w="750" w:type="dxa"/>
            <w:shd w:val="clear" w:color="auto" w:fill="FFFFFF"/>
            <w:noWrap w:val="0"/>
            <w:vAlign w:val="center"/>
          </w:tcPr>
          <w:p w14:paraId="4C264E09">
            <w:pPr>
              <w:pStyle w:val="27"/>
              <w:jc w:val="center"/>
              <w:rPr>
                <w:color w:val="auto"/>
                <w:sz w:val="21"/>
                <w:szCs w:val="21"/>
                <w:highlight w:val="none"/>
              </w:rPr>
            </w:pPr>
          </w:p>
        </w:tc>
        <w:tc>
          <w:tcPr>
            <w:tcW w:w="845" w:type="dxa"/>
            <w:shd w:val="clear" w:color="auto" w:fill="FFFFFF"/>
            <w:noWrap w:val="0"/>
            <w:vAlign w:val="center"/>
          </w:tcPr>
          <w:p w14:paraId="5C4667FB">
            <w:pPr>
              <w:pStyle w:val="27"/>
              <w:jc w:val="center"/>
              <w:rPr>
                <w:color w:val="auto"/>
                <w:sz w:val="21"/>
                <w:szCs w:val="21"/>
                <w:highlight w:val="none"/>
              </w:rPr>
            </w:pPr>
          </w:p>
        </w:tc>
        <w:tc>
          <w:tcPr>
            <w:tcW w:w="696" w:type="dxa"/>
            <w:shd w:val="clear" w:color="auto" w:fill="FFFFFF"/>
            <w:noWrap w:val="0"/>
            <w:vAlign w:val="center"/>
          </w:tcPr>
          <w:p w14:paraId="62DD5EE7">
            <w:pPr>
              <w:pStyle w:val="27"/>
              <w:jc w:val="center"/>
              <w:rPr>
                <w:color w:val="auto"/>
                <w:sz w:val="21"/>
                <w:szCs w:val="21"/>
                <w:highlight w:val="none"/>
              </w:rPr>
            </w:pPr>
          </w:p>
        </w:tc>
        <w:tc>
          <w:tcPr>
            <w:tcW w:w="1677" w:type="dxa"/>
            <w:shd w:val="clear" w:color="auto" w:fill="FFFFFF"/>
            <w:noWrap w:val="0"/>
            <w:vAlign w:val="center"/>
          </w:tcPr>
          <w:p w14:paraId="06952AEA">
            <w:pPr>
              <w:pStyle w:val="27"/>
              <w:jc w:val="center"/>
              <w:rPr>
                <w:color w:val="auto"/>
                <w:sz w:val="21"/>
                <w:szCs w:val="21"/>
                <w:highlight w:val="none"/>
              </w:rPr>
            </w:pPr>
          </w:p>
        </w:tc>
        <w:tc>
          <w:tcPr>
            <w:tcW w:w="1341" w:type="dxa"/>
            <w:shd w:val="clear" w:color="auto" w:fill="FFFFFF"/>
            <w:noWrap w:val="0"/>
            <w:vAlign w:val="center"/>
          </w:tcPr>
          <w:p w14:paraId="408881F7">
            <w:pPr>
              <w:pStyle w:val="27"/>
              <w:jc w:val="center"/>
              <w:rPr>
                <w:color w:val="auto"/>
                <w:sz w:val="21"/>
                <w:szCs w:val="21"/>
                <w:highlight w:val="none"/>
              </w:rPr>
            </w:pPr>
          </w:p>
        </w:tc>
      </w:tr>
      <w:tr w14:paraId="48866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51" w:hRule="exact"/>
          <w:jc w:val="center"/>
        </w:trPr>
        <w:tc>
          <w:tcPr>
            <w:tcW w:w="1709" w:type="dxa"/>
            <w:shd w:val="clear" w:color="auto" w:fill="FFFFFF"/>
            <w:noWrap w:val="0"/>
            <w:vAlign w:val="center"/>
          </w:tcPr>
          <w:p w14:paraId="0E18234F">
            <w:pPr>
              <w:pStyle w:val="29"/>
              <w:spacing w:line="240" w:lineRule="auto"/>
              <w:ind w:firstLine="0"/>
              <w:jc w:val="center"/>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rFonts w:hint="eastAsia"/>
                <w:color w:val="auto"/>
                <w:sz w:val="21"/>
                <w:szCs w:val="21"/>
                <w:highlight w:val="none"/>
              </w:rPr>
              <w:t>质量员</w:t>
            </w:r>
          </w:p>
        </w:tc>
        <w:tc>
          <w:tcPr>
            <w:tcW w:w="854" w:type="dxa"/>
            <w:shd w:val="clear" w:color="auto" w:fill="FFFFFF"/>
            <w:noWrap w:val="0"/>
            <w:vAlign w:val="center"/>
          </w:tcPr>
          <w:p w14:paraId="3F3D49E6">
            <w:pPr>
              <w:pStyle w:val="27"/>
              <w:jc w:val="center"/>
              <w:rPr>
                <w:color w:val="auto"/>
                <w:sz w:val="21"/>
                <w:szCs w:val="21"/>
                <w:highlight w:val="none"/>
              </w:rPr>
            </w:pPr>
          </w:p>
        </w:tc>
        <w:tc>
          <w:tcPr>
            <w:tcW w:w="960" w:type="dxa"/>
            <w:shd w:val="clear" w:color="auto" w:fill="FFFFFF"/>
            <w:noWrap w:val="0"/>
            <w:vAlign w:val="center"/>
          </w:tcPr>
          <w:p w14:paraId="00D2B246">
            <w:pPr>
              <w:pStyle w:val="27"/>
              <w:jc w:val="center"/>
              <w:rPr>
                <w:color w:val="auto"/>
                <w:sz w:val="21"/>
                <w:szCs w:val="21"/>
                <w:highlight w:val="none"/>
              </w:rPr>
            </w:pPr>
          </w:p>
        </w:tc>
        <w:tc>
          <w:tcPr>
            <w:tcW w:w="750" w:type="dxa"/>
            <w:shd w:val="clear" w:color="auto" w:fill="FFFFFF"/>
            <w:noWrap w:val="0"/>
            <w:vAlign w:val="center"/>
          </w:tcPr>
          <w:p w14:paraId="02919CD0">
            <w:pPr>
              <w:pStyle w:val="27"/>
              <w:jc w:val="center"/>
              <w:rPr>
                <w:color w:val="auto"/>
                <w:sz w:val="21"/>
                <w:szCs w:val="21"/>
                <w:highlight w:val="none"/>
              </w:rPr>
            </w:pPr>
          </w:p>
        </w:tc>
        <w:tc>
          <w:tcPr>
            <w:tcW w:w="845" w:type="dxa"/>
            <w:shd w:val="clear" w:color="auto" w:fill="FFFFFF"/>
            <w:noWrap w:val="0"/>
            <w:vAlign w:val="center"/>
          </w:tcPr>
          <w:p w14:paraId="1F4DFE7C">
            <w:pPr>
              <w:pStyle w:val="27"/>
              <w:jc w:val="center"/>
              <w:rPr>
                <w:color w:val="auto"/>
                <w:sz w:val="21"/>
                <w:szCs w:val="21"/>
                <w:highlight w:val="none"/>
              </w:rPr>
            </w:pPr>
          </w:p>
        </w:tc>
        <w:tc>
          <w:tcPr>
            <w:tcW w:w="696" w:type="dxa"/>
            <w:shd w:val="clear" w:color="auto" w:fill="FFFFFF"/>
            <w:noWrap w:val="0"/>
            <w:vAlign w:val="center"/>
          </w:tcPr>
          <w:p w14:paraId="0FAC2623">
            <w:pPr>
              <w:pStyle w:val="27"/>
              <w:jc w:val="center"/>
              <w:rPr>
                <w:color w:val="auto"/>
                <w:sz w:val="21"/>
                <w:szCs w:val="21"/>
                <w:highlight w:val="none"/>
              </w:rPr>
            </w:pPr>
          </w:p>
        </w:tc>
        <w:tc>
          <w:tcPr>
            <w:tcW w:w="1677" w:type="dxa"/>
            <w:shd w:val="clear" w:color="auto" w:fill="FFFFFF"/>
            <w:noWrap w:val="0"/>
            <w:vAlign w:val="center"/>
          </w:tcPr>
          <w:p w14:paraId="437C6410">
            <w:pPr>
              <w:pStyle w:val="27"/>
              <w:jc w:val="center"/>
              <w:rPr>
                <w:color w:val="auto"/>
                <w:sz w:val="21"/>
                <w:szCs w:val="21"/>
                <w:highlight w:val="none"/>
              </w:rPr>
            </w:pPr>
          </w:p>
        </w:tc>
        <w:tc>
          <w:tcPr>
            <w:tcW w:w="1341" w:type="dxa"/>
            <w:shd w:val="clear" w:color="auto" w:fill="FFFFFF"/>
            <w:noWrap w:val="0"/>
            <w:vAlign w:val="center"/>
          </w:tcPr>
          <w:p w14:paraId="037AD85A">
            <w:pPr>
              <w:pStyle w:val="27"/>
              <w:jc w:val="center"/>
              <w:rPr>
                <w:color w:val="auto"/>
                <w:sz w:val="21"/>
                <w:szCs w:val="21"/>
                <w:highlight w:val="none"/>
              </w:rPr>
            </w:pPr>
          </w:p>
        </w:tc>
      </w:tr>
      <w:tr w14:paraId="4ED69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51" w:hRule="exact"/>
          <w:jc w:val="center"/>
        </w:trPr>
        <w:tc>
          <w:tcPr>
            <w:tcW w:w="1709" w:type="dxa"/>
            <w:shd w:val="clear" w:color="auto" w:fill="FFFFFF"/>
            <w:noWrap w:val="0"/>
            <w:vAlign w:val="center"/>
          </w:tcPr>
          <w:p w14:paraId="5CD15FE4">
            <w:pPr>
              <w:pStyle w:val="29"/>
              <w:spacing w:line="240" w:lineRule="auto"/>
              <w:ind w:firstLine="0"/>
              <w:jc w:val="center"/>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4.</w:t>
            </w:r>
            <w:r>
              <w:rPr>
                <w:rFonts w:hint="eastAsia"/>
                <w:color w:val="auto"/>
                <w:sz w:val="21"/>
                <w:szCs w:val="21"/>
                <w:highlight w:val="none"/>
              </w:rPr>
              <w:t>安全员</w:t>
            </w:r>
          </w:p>
        </w:tc>
        <w:tc>
          <w:tcPr>
            <w:tcW w:w="854" w:type="dxa"/>
            <w:shd w:val="clear" w:color="auto" w:fill="FFFFFF"/>
            <w:noWrap w:val="0"/>
            <w:vAlign w:val="center"/>
          </w:tcPr>
          <w:p w14:paraId="6A275091">
            <w:pPr>
              <w:pStyle w:val="27"/>
              <w:jc w:val="center"/>
              <w:rPr>
                <w:color w:val="auto"/>
                <w:sz w:val="21"/>
                <w:szCs w:val="21"/>
                <w:highlight w:val="none"/>
              </w:rPr>
            </w:pPr>
          </w:p>
        </w:tc>
        <w:tc>
          <w:tcPr>
            <w:tcW w:w="960" w:type="dxa"/>
            <w:shd w:val="clear" w:color="auto" w:fill="FFFFFF"/>
            <w:noWrap w:val="0"/>
            <w:vAlign w:val="center"/>
          </w:tcPr>
          <w:p w14:paraId="678F7C03">
            <w:pPr>
              <w:pStyle w:val="27"/>
              <w:jc w:val="center"/>
              <w:rPr>
                <w:color w:val="auto"/>
                <w:sz w:val="21"/>
                <w:szCs w:val="21"/>
                <w:highlight w:val="none"/>
              </w:rPr>
            </w:pPr>
          </w:p>
        </w:tc>
        <w:tc>
          <w:tcPr>
            <w:tcW w:w="750" w:type="dxa"/>
            <w:shd w:val="clear" w:color="auto" w:fill="FFFFFF"/>
            <w:noWrap w:val="0"/>
            <w:vAlign w:val="center"/>
          </w:tcPr>
          <w:p w14:paraId="39474226">
            <w:pPr>
              <w:pStyle w:val="27"/>
              <w:jc w:val="center"/>
              <w:rPr>
                <w:color w:val="auto"/>
                <w:sz w:val="21"/>
                <w:szCs w:val="21"/>
                <w:highlight w:val="none"/>
              </w:rPr>
            </w:pPr>
          </w:p>
        </w:tc>
        <w:tc>
          <w:tcPr>
            <w:tcW w:w="845" w:type="dxa"/>
            <w:shd w:val="clear" w:color="auto" w:fill="FFFFFF"/>
            <w:noWrap w:val="0"/>
            <w:vAlign w:val="center"/>
          </w:tcPr>
          <w:p w14:paraId="3D76797A">
            <w:pPr>
              <w:pStyle w:val="27"/>
              <w:jc w:val="center"/>
              <w:rPr>
                <w:color w:val="auto"/>
                <w:sz w:val="21"/>
                <w:szCs w:val="21"/>
                <w:highlight w:val="none"/>
              </w:rPr>
            </w:pPr>
          </w:p>
        </w:tc>
        <w:tc>
          <w:tcPr>
            <w:tcW w:w="696" w:type="dxa"/>
            <w:shd w:val="clear" w:color="auto" w:fill="FFFFFF"/>
            <w:noWrap w:val="0"/>
            <w:vAlign w:val="center"/>
          </w:tcPr>
          <w:p w14:paraId="5CF2DFE6">
            <w:pPr>
              <w:pStyle w:val="27"/>
              <w:jc w:val="center"/>
              <w:rPr>
                <w:color w:val="auto"/>
                <w:sz w:val="21"/>
                <w:szCs w:val="21"/>
                <w:highlight w:val="none"/>
              </w:rPr>
            </w:pPr>
          </w:p>
        </w:tc>
        <w:tc>
          <w:tcPr>
            <w:tcW w:w="1677" w:type="dxa"/>
            <w:shd w:val="clear" w:color="auto" w:fill="FFFFFF"/>
            <w:noWrap w:val="0"/>
            <w:vAlign w:val="center"/>
          </w:tcPr>
          <w:p w14:paraId="01630E11">
            <w:pPr>
              <w:pStyle w:val="27"/>
              <w:jc w:val="center"/>
              <w:rPr>
                <w:color w:val="auto"/>
                <w:sz w:val="21"/>
                <w:szCs w:val="21"/>
                <w:highlight w:val="none"/>
              </w:rPr>
            </w:pPr>
          </w:p>
        </w:tc>
        <w:tc>
          <w:tcPr>
            <w:tcW w:w="1341" w:type="dxa"/>
            <w:shd w:val="clear" w:color="auto" w:fill="FFFFFF"/>
            <w:noWrap w:val="0"/>
            <w:vAlign w:val="center"/>
          </w:tcPr>
          <w:p w14:paraId="15D0A5A1">
            <w:pPr>
              <w:pStyle w:val="27"/>
              <w:jc w:val="center"/>
              <w:rPr>
                <w:color w:val="auto"/>
                <w:sz w:val="21"/>
                <w:szCs w:val="21"/>
                <w:highlight w:val="none"/>
              </w:rPr>
            </w:pPr>
          </w:p>
        </w:tc>
      </w:tr>
      <w:tr w14:paraId="45CD4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56" w:hRule="exact"/>
          <w:jc w:val="center"/>
        </w:trPr>
        <w:tc>
          <w:tcPr>
            <w:tcW w:w="1709" w:type="dxa"/>
            <w:shd w:val="clear" w:color="auto" w:fill="FFFFFF"/>
            <w:noWrap w:val="0"/>
            <w:vAlign w:val="center"/>
          </w:tcPr>
          <w:p w14:paraId="03304B68">
            <w:pPr>
              <w:pStyle w:val="29"/>
              <w:spacing w:line="240" w:lineRule="auto"/>
              <w:ind w:firstLine="0"/>
              <w:jc w:val="center"/>
              <w:rPr>
                <w:color w:val="auto"/>
                <w:sz w:val="21"/>
                <w:szCs w:val="21"/>
                <w:highlight w:val="none"/>
              </w:rPr>
            </w:pPr>
            <w:r>
              <w:rPr>
                <w:rFonts w:hint="eastAsia" w:ascii="Times New Roman" w:hAnsi="Times New Roman" w:cs="Times New Roman"/>
                <w:color w:val="auto"/>
                <w:sz w:val="21"/>
                <w:szCs w:val="21"/>
                <w:highlight w:val="none"/>
                <w:lang w:val="en-US" w:bidi="en-US"/>
              </w:rPr>
              <w:t>5</w:t>
            </w:r>
            <w:r>
              <w:rPr>
                <w:rFonts w:ascii="Times New Roman" w:hAnsi="Times New Roman" w:eastAsia="Times New Roman" w:cs="Times New Roman"/>
                <w:color w:val="auto"/>
                <w:sz w:val="21"/>
                <w:szCs w:val="21"/>
                <w:highlight w:val="none"/>
                <w:lang w:val="en-US" w:eastAsia="en-US" w:bidi="en-US"/>
              </w:rPr>
              <w:t>.</w:t>
            </w:r>
            <w:r>
              <w:rPr>
                <w:rFonts w:hint="eastAsia"/>
                <w:color w:val="auto"/>
                <w:sz w:val="21"/>
                <w:szCs w:val="21"/>
                <w:highlight w:val="none"/>
              </w:rPr>
              <w:t>材料员</w:t>
            </w:r>
          </w:p>
        </w:tc>
        <w:tc>
          <w:tcPr>
            <w:tcW w:w="854" w:type="dxa"/>
            <w:shd w:val="clear" w:color="auto" w:fill="FFFFFF"/>
            <w:noWrap w:val="0"/>
            <w:vAlign w:val="center"/>
          </w:tcPr>
          <w:p w14:paraId="3CBBE706">
            <w:pPr>
              <w:pStyle w:val="27"/>
              <w:jc w:val="center"/>
              <w:rPr>
                <w:color w:val="auto"/>
                <w:sz w:val="21"/>
                <w:szCs w:val="21"/>
                <w:highlight w:val="none"/>
              </w:rPr>
            </w:pPr>
          </w:p>
        </w:tc>
        <w:tc>
          <w:tcPr>
            <w:tcW w:w="960" w:type="dxa"/>
            <w:shd w:val="clear" w:color="auto" w:fill="FFFFFF"/>
            <w:noWrap w:val="0"/>
            <w:vAlign w:val="center"/>
          </w:tcPr>
          <w:p w14:paraId="06BB2328">
            <w:pPr>
              <w:pStyle w:val="27"/>
              <w:jc w:val="center"/>
              <w:rPr>
                <w:color w:val="auto"/>
                <w:sz w:val="21"/>
                <w:szCs w:val="21"/>
                <w:highlight w:val="none"/>
              </w:rPr>
            </w:pPr>
          </w:p>
        </w:tc>
        <w:tc>
          <w:tcPr>
            <w:tcW w:w="750" w:type="dxa"/>
            <w:shd w:val="clear" w:color="auto" w:fill="FFFFFF"/>
            <w:noWrap w:val="0"/>
            <w:vAlign w:val="center"/>
          </w:tcPr>
          <w:p w14:paraId="3A8030EA">
            <w:pPr>
              <w:pStyle w:val="27"/>
              <w:jc w:val="center"/>
              <w:rPr>
                <w:color w:val="auto"/>
                <w:sz w:val="21"/>
                <w:szCs w:val="21"/>
                <w:highlight w:val="none"/>
              </w:rPr>
            </w:pPr>
          </w:p>
        </w:tc>
        <w:tc>
          <w:tcPr>
            <w:tcW w:w="845" w:type="dxa"/>
            <w:shd w:val="clear" w:color="auto" w:fill="FFFFFF"/>
            <w:noWrap w:val="0"/>
            <w:vAlign w:val="center"/>
          </w:tcPr>
          <w:p w14:paraId="181E2D68">
            <w:pPr>
              <w:pStyle w:val="27"/>
              <w:jc w:val="center"/>
              <w:rPr>
                <w:color w:val="auto"/>
                <w:sz w:val="21"/>
                <w:szCs w:val="21"/>
                <w:highlight w:val="none"/>
              </w:rPr>
            </w:pPr>
          </w:p>
        </w:tc>
        <w:tc>
          <w:tcPr>
            <w:tcW w:w="696" w:type="dxa"/>
            <w:shd w:val="clear" w:color="auto" w:fill="FFFFFF"/>
            <w:noWrap w:val="0"/>
            <w:vAlign w:val="center"/>
          </w:tcPr>
          <w:p w14:paraId="61DFDA7E">
            <w:pPr>
              <w:pStyle w:val="27"/>
              <w:jc w:val="center"/>
              <w:rPr>
                <w:color w:val="auto"/>
                <w:sz w:val="21"/>
                <w:szCs w:val="21"/>
                <w:highlight w:val="none"/>
              </w:rPr>
            </w:pPr>
          </w:p>
        </w:tc>
        <w:tc>
          <w:tcPr>
            <w:tcW w:w="1677" w:type="dxa"/>
            <w:shd w:val="clear" w:color="auto" w:fill="FFFFFF"/>
            <w:noWrap w:val="0"/>
            <w:vAlign w:val="center"/>
          </w:tcPr>
          <w:p w14:paraId="4DF903A5">
            <w:pPr>
              <w:pStyle w:val="27"/>
              <w:jc w:val="center"/>
              <w:rPr>
                <w:color w:val="auto"/>
                <w:sz w:val="21"/>
                <w:szCs w:val="21"/>
                <w:highlight w:val="none"/>
              </w:rPr>
            </w:pPr>
          </w:p>
        </w:tc>
        <w:tc>
          <w:tcPr>
            <w:tcW w:w="1341" w:type="dxa"/>
            <w:shd w:val="clear" w:color="auto" w:fill="FFFFFF"/>
            <w:noWrap w:val="0"/>
            <w:vAlign w:val="center"/>
          </w:tcPr>
          <w:p w14:paraId="17D34AF7">
            <w:pPr>
              <w:pStyle w:val="27"/>
              <w:jc w:val="center"/>
              <w:rPr>
                <w:color w:val="auto"/>
                <w:sz w:val="21"/>
                <w:szCs w:val="21"/>
                <w:highlight w:val="none"/>
              </w:rPr>
            </w:pPr>
          </w:p>
        </w:tc>
      </w:tr>
      <w:tr w14:paraId="0F767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56" w:hRule="exact"/>
          <w:jc w:val="center"/>
        </w:trPr>
        <w:tc>
          <w:tcPr>
            <w:tcW w:w="1709" w:type="dxa"/>
            <w:shd w:val="clear" w:color="auto" w:fill="FFFFFF"/>
            <w:noWrap w:val="0"/>
            <w:vAlign w:val="center"/>
          </w:tcPr>
          <w:p w14:paraId="2E77143A">
            <w:pPr>
              <w:pStyle w:val="29"/>
              <w:spacing w:line="240" w:lineRule="auto"/>
              <w:ind w:firstLine="0"/>
              <w:jc w:val="center"/>
              <w:rPr>
                <w:color w:val="auto"/>
                <w:sz w:val="21"/>
                <w:szCs w:val="21"/>
                <w:highlight w:val="none"/>
              </w:rPr>
            </w:pPr>
            <w:r>
              <w:rPr>
                <w:rFonts w:hint="eastAsia" w:ascii="Times New Roman" w:hAnsi="Times New Roman" w:cs="Times New Roman"/>
                <w:color w:val="auto"/>
                <w:sz w:val="21"/>
                <w:szCs w:val="21"/>
                <w:highlight w:val="none"/>
                <w:lang w:val="en-US" w:bidi="en-US"/>
              </w:rPr>
              <w:t>6</w:t>
            </w:r>
            <w:r>
              <w:rPr>
                <w:rFonts w:ascii="Times New Roman" w:hAnsi="Times New Roman" w:eastAsia="Times New Roman" w:cs="Times New Roman"/>
                <w:color w:val="auto"/>
                <w:sz w:val="21"/>
                <w:szCs w:val="21"/>
                <w:highlight w:val="none"/>
                <w:lang w:val="en-US" w:eastAsia="en-US" w:bidi="en-US"/>
              </w:rPr>
              <w:t>.</w:t>
            </w:r>
            <w:r>
              <w:rPr>
                <w:rFonts w:hint="eastAsia"/>
                <w:color w:val="auto"/>
                <w:sz w:val="21"/>
                <w:szCs w:val="21"/>
                <w:highlight w:val="none"/>
              </w:rPr>
              <w:t>施工员</w:t>
            </w:r>
          </w:p>
        </w:tc>
        <w:tc>
          <w:tcPr>
            <w:tcW w:w="854" w:type="dxa"/>
            <w:shd w:val="clear" w:color="auto" w:fill="FFFFFF"/>
            <w:noWrap w:val="0"/>
            <w:vAlign w:val="center"/>
          </w:tcPr>
          <w:p w14:paraId="0A91C5F4">
            <w:pPr>
              <w:pStyle w:val="27"/>
              <w:jc w:val="center"/>
              <w:rPr>
                <w:color w:val="auto"/>
                <w:sz w:val="21"/>
                <w:szCs w:val="21"/>
                <w:highlight w:val="none"/>
              </w:rPr>
            </w:pPr>
          </w:p>
        </w:tc>
        <w:tc>
          <w:tcPr>
            <w:tcW w:w="960" w:type="dxa"/>
            <w:shd w:val="clear" w:color="auto" w:fill="FFFFFF"/>
            <w:noWrap w:val="0"/>
            <w:vAlign w:val="center"/>
          </w:tcPr>
          <w:p w14:paraId="08908525">
            <w:pPr>
              <w:pStyle w:val="27"/>
              <w:jc w:val="center"/>
              <w:rPr>
                <w:color w:val="auto"/>
                <w:sz w:val="21"/>
                <w:szCs w:val="21"/>
                <w:highlight w:val="none"/>
              </w:rPr>
            </w:pPr>
          </w:p>
        </w:tc>
        <w:tc>
          <w:tcPr>
            <w:tcW w:w="750" w:type="dxa"/>
            <w:shd w:val="clear" w:color="auto" w:fill="FFFFFF"/>
            <w:noWrap w:val="0"/>
            <w:vAlign w:val="center"/>
          </w:tcPr>
          <w:p w14:paraId="4C4E9E10">
            <w:pPr>
              <w:pStyle w:val="27"/>
              <w:jc w:val="center"/>
              <w:rPr>
                <w:color w:val="auto"/>
                <w:sz w:val="21"/>
                <w:szCs w:val="21"/>
                <w:highlight w:val="none"/>
              </w:rPr>
            </w:pPr>
          </w:p>
        </w:tc>
        <w:tc>
          <w:tcPr>
            <w:tcW w:w="845" w:type="dxa"/>
            <w:shd w:val="clear" w:color="auto" w:fill="FFFFFF"/>
            <w:noWrap w:val="0"/>
            <w:vAlign w:val="center"/>
          </w:tcPr>
          <w:p w14:paraId="74678EDE">
            <w:pPr>
              <w:pStyle w:val="27"/>
              <w:jc w:val="center"/>
              <w:rPr>
                <w:color w:val="auto"/>
                <w:sz w:val="21"/>
                <w:szCs w:val="21"/>
                <w:highlight w:val="none"/>
              </w:rPr>
            </w:pPr>
          </w:p>
        </w:tc>
        <w:tc>
          <w:tcPr>
            <w:tcW w:w="696" w:type="dxa"/>
            <w:shd w:val="clear" w:color="auto" w:fill="FFFFFF"/>
            <w:noWrap w:val="0"/>
            <w:vAlign w:val="center"/>
          </w:tcPr>
          <w:p w14:paraId="608F7613">
            <w:pPr>
              <w:pStyle w:val="27"/>
              <w:jc w:val="center"/>
              <w:rPr>
                <w:color w:val="auto"/>
                <w:sz w:val="21"/>
                <w:szCs w:val="21"/>
                <w:highlight w:val="none"/>
              </w:rPr>
            </w:pPr>
          </w:p>
        </w:tc>
        <w:tc>
          <w:tcPr>
            <w:tcW w:w="1677" w:type="dxa"/>
            <w:shd w:val="clear" w:color="auto" w:fill="FFFFFF"/>
            <w:noWrap w:val="0"/>
            <w:vAlign w:val="center"/>
          </w:tcPr>
          <w:p w14:paraId="450DF264">
            <w:pPr>
              <w:pStyle w:val="27"/>
              <w:jc w:val="center"/>
              <w:rPr>
                <w:color w:val="auto"/>
                <w:sz w:val="21"/>
                <w:szCs w:val="21"/>
                <w:highlight w:val="none"/>
              </w:rPr>
            </w:pPr>
          </w:p>
        </w:tc>
        <w:tc>
          <w:tcPr>
            <w:tcW w:w="1341" w:type="dxa"/>
            <w:shd w:val="clear" w:color="auto" w:fill="FFFFFF"/>
            <w:noWrap w:val="0"/>
            <w:vAlign w:val="center"/>
          </w:tcPr>
          <w:p w14:paraId="3A82B169">
            <w:pPr>
              <w:pStyle w:val="27"/>
              <w:jc w:val="center"/>
              <w:rPr>
                <w:color w:val="auto"/>
                <w:sz w:val="21"/>
                <w:szCs w:val="21"/>
                <w:highlight w:val="none"/>
              </w:rPr>
            </w:pPr>
          </w:p>
        </w:tc>
      </w:tr>
      <w:tr w14:paraId="4B53E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51" w:hRule="exact"/>
          <w:jc w:val="center"/>
        </w:trPr>
        <w:tc>
          <w:tcPr>
            <w:tcW w:w="1709" w:type="dxa"/>
            <w:shd w:val="clear" w:color="auto" w:fill="FFFFFF"/>
            <w:noWrap w:val="0"/>
            <w:vAlign w:val="center"/>
          </w:tcPr>
          <w:p w14:paraId="1DDE2558">
            <w:pPr>
              <w:pStyle w:val="29"/>
              <w:spacing w:line="240" w:lineRule="auto"/>
              <w:ind w:firstLine="0"/>
              <w:jc w:val="center"/>
              <w:rPr>
                <w:color w:val="auto"/>
                <w:sz w:val="21"/>
                <w:szCs w:val="21"/>
                <w:highlight w:val="none"/>
              </w:rPr>
            </w:pPr>
          </w:p>
        </w:tc>
        <w:tc>
          <w:tcPr>
            <w:tcW w:w="854" w:type="dxa"/>
            <w:shd w:val="clear" w:color="auto" w:fill="FFFFFF"/>
            <w:noWrap w:val="0"/>
            <w:vAlign w:val="center"/>
          </w:tcPr>
          <w:p w14:paraId="48F8B686">
            <w:pPr>
              <w:pStyle w:val="27"/>
              <w:jc w:val="center"/>
              <w:rPr>
                <w:color w:val="auto"/>
                <w:sz w:val="21"/>
                <w:szCs w:val="21"/>
                <w:highlight w:val="none"/>
              </w:rPr>
            </w:pPr>
          </w:p>
        </w:tc>
        <w:tc>
          <w:tcPr>
            <w:tcW w:w="960" w:type="dxa"/>
            <w:shd w:val="clear" w:color="auto" w:fill="FFFFFF"/>
            <w:noWrap w:val="0"/>
            <w:vAlign w:val="center"/>
          </w:tcPr>
          <w:p w14:paraId="64C2226C">
            <w:pPr>
              <w:pStyle w:val="27"/>
              <w:jc w:val="center"/>
              <w:rPr>
                <w:color w:val="auto"/>
                <w:sz w:val="21"/>
                <w:szCs w:val="21"/>
                <w:highlight w:val="none"/>
              </w:rPr>
            </w:pPr>
          </w:p>
        </w:tc>
        <w:tc>
          <w:tcPr>
            <w:tcW w:w="750" w:type="dxa"/>
            <w:shd w:val="clear" w:color="auto" w:fill="FFFFFF"/>
            <w:noWrap w:val="0"/>
            <w:vAlign w:val="center"/>
          </w:tcPr>
          <w:p w14:paraId="231E972F">
            <w:pPr>
              <w:pStyle w:val="27"/>
              <w:jc w:val="center"/>
              <w:rPr>
                <w:color w:val="auto"/>
                <w:sz w:val="21"/>
                <w:szCs w:val="21"/>
                <w:highlight w:val="none"/>
              </w:rPr>
            </w:pPr>
          </w:p>
        </w:tc>
        <w:tc>
          <w:tcPr>
            <w:tcW w:w="845" w:type="dxa"/>
            <w:shd w:val="clear" w:color="auto" w:fill="FFFFFF"/>
            <w:noWrap w:val="0"/>
            <w:vAlign w:val="center"/>
          </w:tcPr>
          <w:p w14:paraId="79DB86BB">
            <w:pPr>
              <w:pStyle w:val="27"/>
              <w:jc w:val="center"/>
              <w:rPr>
                <w:color w:val="auto"/>
                <w:sz w:val="21"/>
                <w:szCs w:val="21"/>
                <w:highlight w:val="none"/>
              </w:rPr>
            </w:pPr>
          </w:p>
        </w:tc>
        <w:tc>
          <w:tcPr>
            <w:tcW w:w="696" w:type="dxa"/>
            <w:shd w:val="clear" w:color="auto" w:fill="FFFFFF"/>
            <w:noWrap w:val="0"/>
            <w:vAlign w:val="center"/>
          </w:tcPr>
          <w:p w14:paraId="3876E4C8">
            <w:pPr>
              <w:pStyle w:val="27"/>
              <w:jc w:val="center"/>
              <w:rPr>
                <w:color w:val="auto"/>
                <w:sz w:val="21"/>
                <w:szCs w:val="21"/>
                <w:highlight w:val="none"/>
              </w:rPr>
            </w:pPr>
          </w:p>
        </w:tc>
        <w:tc>
          <w:tcPr>
            <w:tcW w:w="1677" w:type="dxa"/>
            <w:shd w:val="clear" w:color="auto" w:fill="FFFFFF"/>
            <w:noWrap w:val="0"/>
            <w:vAlign w:val="center"/>
          </w:tcPr>
          <w:p w14:paraId="1E9234C8">
            <w:pPr>
              <w:pStyle w:val="27"/>
              <w:jc w:val="center"/>
              <w:rPr>
                <w:color w:val="auto"/>
                <w:sz w:val="21"/>
                <w:szCs w:val="21"/>
                <w:highlight w:val="none"/>
              </w:rPr>
            </w:pPr>
          </w:p>
        </w:tc>
        <w:tc>
          <w:tcPr>
            <w:tcW w:w="1341" w:type="dxa"/>
            <w:shd w:val="clear" w:color="auto" w:fill="FFFFFF"/>
            <w:noWrap w:val="0"/>
            <w:vAlign w:val="center"/>
          </w:tcPr>
          <w:p w14:paraId="78C4CB55">
            <w:pPr>
              <w:pStyle w:val="27"/>
              <w:jc w:val="center"/>
              <w:rPr>
                <w:color w:val="auto"/>
                <w:sz w:val="21"/>
                <w:szCs w:val="21"/>
                <w:highlight w:val="none"/>
              </w:rPr>
            </w:pPr>
          </w:p>
        </w:tc>
      </w:tr>
      <w:tr w14:paraId="2E169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66" w:hRule="exact"/>
          <w:jc w:val="center"/>
        </w:trPr>
        <w:tc>
          <w:tcPr>
            <w:tcW w:w="1709" w:type="dxa"/>
            <w:shd w:val="clear" w:color="auto" w:fill="FFFFFF"/>
            <w:noWrap w:val="0"/>
            <w:vAlign w:val="center"/>
          </w:tcPr>
          <w:p w14:paraId="5E1D0D7F">
            <w:pPr>
              <w:pStyle w:val="27"/>
              <w:jc w:val="center"/>
              <w:rPr>
                <w:color w:val="auto"/>
                <w:sz w:val="21"/>
                <w:szCs w:val="21"/>
                <w:highlight w:val="none"/>
              </w:rPr>
            </w:pPr>
          </w:p>
        </w:tc>
        <w:tc>
          <w:tcPr>
            <w:tcW w:w="854" w:type="dxa"/>
            <w:shd w:val="clear" w:color="auto" w:fill="FFFFFF"/>
            <w:noWrap w:val="0"/>
            <w:vAlign w:val="center"/>
          </w:tcPr>
          <w:p w14:paraId="05ACCAAB">
            <w:pPr>
              <w:pStyle w:val="27"/>
              <w:jc w:val="center"/>
              <w:rPr>
                <w:color w:val="auto"/>
                <w:sz w:val="21"/>
                <w:szCs w:val="21"/>
                <w:highlight w:val="none"/>
              </w:rPr>
            </w:pPr>
          </w:p>
        </w:tc>
        <w:tc>
          <w:tcPr>
            <w:tcW w:w="960" w:type="dxa"/>
            <w:shd w:val="clear" w:color="auto" w:fill="FFFFFF"/>
            <w:noWrap w:val="0"/>
            <w:vAlign w:val="center"/>
          </w:tcPr>
          <w:p w14:paraId="31A373A6">
            <w:pPr>
              <w:pStyle w:val="27"/>
              <w:jc w:val="center"/>
              <w:rPr>
                <w:color w:val="auto"/>
                <w:sz w:val="21"/>
                <w:szCs w:val="21"/>
                <w:highlight w:val="none"/>
              </w:rPr>
            </w:pPr>
          </w:p>
        </w:tc>
        <w:tc>
          <w:tcPr>
            <w:tcW w:w="750" w:type="dxa"/>
            <w:shd w:val="clear" w:color="auto" w:fill="FFFFFF"/>
            <w:noWrap w:val="0"/>
            <w:vAlign w:val="center"/>
          </w:tcPr>
          <w:p w14:paraId="03CBE7C1">
            <w:pPr>
              <w:pStyle w:val="27"/>
              <w:jc w:val="center"/>
              <w:rPr>
                <w:color w:val="auto"/>
                <w:sz w:val="21"/>
                <w:szCs w:val="21"/>
                <w:highlight w:val="none"/>
              </w:rPr>
            </w:pPr>
          </w:p>
        </w:tc>
        <w:tc>
          <w:tcPr>
            <w:tcW w:w="845" w:type="dxa"/>
            <w:shd w:val="clear" w:color="auto" w:fill="FFFFFF"/>
            <w:noWrap w:val="0"/>
            <w:vAlign w:val="center"/>
          </w:tcPr>
          <w:p w14:paraId="00063D0C">
            <w:pPr>
              <w:pStyle w:val="27"/>
              <w:jc w:val="center"/>
              <w:rPr>
                <w:color w:val="auto"/>
                <w:sz w:val="21"/>
                <w:szCs w:val="21"/>
                <w:highlight w:val="none"/>
              </w:rPr>
            </w:pPr>
          </w:p>
        </w:tc>
        <w:tc>
          <w:tcPr>
            <w:tcW w:w="696" w:type="dxa"/>
            <w:shd w:val="clear" w:color="auto" w:fill="FFFFFF"/>
            <w:noWrap w:val="0"/>
            <w:vAlign w:val="center"/>
          </w:tcPr>
          <w:p w14:paraId="616484EB">
            <w:pPr>
              <w:pStyle w:val="27"/>
              <w:jc w:val="center"/>
              <w:rPr>
                <w:color w:val="auto"/>
                <w:sz w:val="21"/>
                <w:szCs w:val="21"/>
                <w:highlight w:val="none"/>
              </w:rPr>
            </w:pPr>
          </w:p>
        </w:tc>
        <w:tc>
          <w:tcPr>
            <w:tcW w:w="1677" w:type="dxa"/>
            <w:shd w:val="clear" w:color="auto" w:fill="FFFFFF"/>
            <w:noWrap w:val="0"/>
            <w:vAlign w:val="center"/>
          </w:tcPr>
          <w:p w14:paraId="2D085B58">
            <w:pPr>
              <w:pStyle w:val="27"/>
              <w:jc w:val="center"/>
              <w:rPr>
                <w:color w:val="auto"/>
                <w:sz w:val="21"/>
                <w:szCs w:val="21"/>
                <w:highlight w:val="none"/>
              </w:rPr>
            </w:pPr>
          </w:p>
        </w:tc>
        <w:tc>
          <w:tcPr>
            <w:tcW w:w="1341" w:type="dxa"/>
            <w:shd w:val="clear" w:color="auto" w:fill="FFFFFF"/>
            <w:noWrap w:val="0"/>
            <w:vAlign w:val="center"/>
          </w:tcPr>
          <w:p w14:paraId="0A5CB338">
            <w:pPr>
              <w:pStyle w:val="27"/>
              <w:jc w:val="center"/>
              <w:rPr>
                <w:color w:val="auto"/>
                <w:sz w:val="21"/>
                <w:szCs w:val="21"/>
                <w:highlight w:val="none"/>
              </w:rPr>
            </w:pPr>
          </w:p>
        </w:tc>
      </w:tr>
    </w:tbl>
    <w:p w14:paraId="1867AF99">
      <w:pPr>
        <w:pStyle w:val="27"/>
        <w:spacing w:after="299" w:line="1" w:lineRule="exact"/>
        <w:rPr>
          <w:color w:val="auto"/>
          <w:highlight w:val="none"/>
        </w:rPr>
      </w:pPr>
    </w:p>
    <w:p w14:paraId="33E46757">
      <w:pPr>
        <w:pStyle w:val="26"/>
        <w:tabs>
          <w:tab w:val="left" w:pos="6000"/>
          <w:tab w:val="left" w:leader="underscore" w:pos="6002"/>
          <w:tab w:val="left" w:leader="underscore" w:pos="7058"/>
          <w:tab w:val="left" w:pos="7061"/>
          <w:tab w:val="left" w:pos="8117"/>
        </w:tabs>
        <w:spacing w:line="351" w:lineRule="exact"/>
        <w:jc w:val="both"/>
        <w:rPr>
          <w:rFonts w:hint="eastAsia"/>
          <w:color w:val="auto"/>
          <w:sz w:val="21"/>
          <w:szCs w:val="21"/>
          <w:highlight w:val="none"/>
        </w:rPr>
      </w:pPr>
      <w:r>
        <w:rPr>
          <w:color w:val="auto"/>
          <w:sz w:val="21"/>
          <w:szCs w:val="21"/>
          <w:highlight w:val="none"/>
        </w:rPr>
        <w:t>注</w:t>
      </w:r>
      <w:r>
        <w:rPr>
          <w:rFonts w:hint="eastAsia"/>
          <w:color w:val="auto"/>
          <w:sz w:val="21"/>
          <w:szCs w:val="21"/>
          <w:highlight w:val="none"/>
        </w:rPr>
        <w:t>：</w:t>
      </w:r>
    </w:p>
    <w:p w14:paraId="403D312A">
      <w:pPr>
        <w:pStyle w:val="26"/>
        <w:numPr>
          <w:ilvl w:val="0"/>
          <w:numId w:val="6"/>
        </w:numPr>
        <w:tabs>
          <w:tab w:val="left" w:pos="739"/>
        </w:tabs>
        <w:spacing w:line="351" w:lineRule="exact"/>
        <w:ind w:firstLine="420"/>
        <w:jc w:val="both"/>
        <w:rPr>
          <w:color w:val="auto"/>
          <w:sz w:val="21"/>
          <w:szCs w:val="21"/>
          <w:highlight w:val="none"/>
        </w:rPr>
      </w:pPr>
      <w:r>
        <w:rPr>
          <w:color w:val="auto"/>
          <w:sz w:val="21"/>
          <w:szCs w:val="21"/>
          <w:highlight w:val="none"/>
        </w:rPr>
        <w:t>本表所列岗位的所有管理人员的情况均应如实填写。可按以上格式扩展为多页填写。</w:t>
      </w:r>
    </w:p>
    <w:p w14:paraId="3D1FFE43">
      <w:pPr>
        <w:pStyle w:val="26"/>
        <w:numPr>
          <w:ilvl w:val="0"/>
          <w:numId w:val="6"/>
        </w:numPr>
        <w:tabs>
          <w:tab w:val="left" w:pos="742"/>
        </w:tabs>
        <w:spacing w:line="351" w:lineRule="exact"/>
        <w:ind w:firstLine="420"/>
        <w:jc w:val="both"/>
        <w:rPr>
          <w:color w:val="auto"/>
          <w:sz w:val="21"/>
          <w:szCs w:val="21"/>
          <w:highlight w:val="none"/>
        </w:rPr>
      </w:pPr>
      <w:r>
        <w:rPr>
          <w:color w:val="auto"/>
          <w:sz w:val="21"/>
          <w:szCs w:val="21"/>
          <w:highlight w:val="none"/>
        </w:rPr>
        <w:t>项目经理、技术负责人、</w:t>
      </w:r>
      <w:r>
        <w:rPr>
          <w:rFonts w:hint="eastAsia"/>
          <w:color w:val="auto"/>
          <w:sz w:val="21"/>
          <w:szCs w:val="21"/>
          <w:highlight w:val="none"/>
        </w:rPr>
        <w:t>安全员</w:t>
      </w:r>
      <w:r>
        <w:rPr>
          <w:color w:val="auto"/>
          <w:sz w:val="21"/>
          <w:szCs w:val="21"/>
          <w:highlight w:val="none"/>
        </w:rPr>
        <w:t>、</w:t>
      </w:r>
      <w:r>
        <w:rPr>
          <w:rFonts w:hint="eastAsia"/>
          <w:color w:val="auto"/>
          <w:sz w:val="21"/>
          <w:szCs w:val="21"/>
          <w:highlight w:val="none"/>
        </w:rPr>
        <w:t>质量员、材料员、施工员</w:t>
      </w:r>
      <w:r>
        <w:rPr>
          <w:color w:val="auto"/>
          <w:sz w:val="21"/>
          <w:szCs w:val="21"/>
          <w:highlight w:val="none"/>
        </w:rPr>
        <w:t>等主要管理人员要求提供相关证书材料</w:t>
      </w:r>
      <w:r>
        <w:rPr>
          <w:rFonts w:hint="eastAsia"/>
          <w:color w:val="auto"/>
          <w:sz w:val="21"/>
          <w:szCs w:val="21"/>
          <w:highlight w:val="none"/>
        </w:rPr>
        <w:t>，否则竞标无效。</w:t>
      </w:r>
    </w:p>
    <w:p w14:paraId="14352858">
      <w:pPr>
        <w:tabs>
          <w:tab w:val="left" w:pos="3479"/>
        </w:tabs>
        <w:spacing w:line="520" w:lineRule="exact"/>
        <w:rPr>
          <w:rFonts w:ascii="方正小标宋简体" w:hAnsi="方正小标宋简体" w:eastAsia="方正小标宋简体" w:cs="方正小标宋简体"/>
          <w:bCs/>
          <w:color w:val="auto"/>
          <w:szCs w:val="21"/>
          <w:highlight w:val="none"/>
        </w:rPr>
        <w:sectPr>
          <w:pgSz w:w="11910" w:h="16840"/>
          <w:pgMar w:top="1134" w:right="1134" w:bottom="1134" w:left="1134" w:header="850" w:footer="567" w:gutter="0"/>
          <w:cols w:space="720" w:num="1"/>
          <w:docGrid w:linePitch="286" w:charSpace="0"/>
        </w:sectPr>
      </w:pPr>
    </w:p>
    <w:p w14:paraId="79C2B656">
      <w:pPr>
        <w:pStyle w:val="30"/>
        <w:numPr>
          <w:ilvl w:val="0"/>
          <w:numId w:val="7"/>
        </w:numPr>
        <w:jc w:val="center"/>
        <w:rPr>
          <w:rFonts w:ascii="宋体" w:hAnsi="宋体" w:cs="宋体"/>
          <w:color w:val="auto"/>
          <w:sz w:val="28"/>
          <w:szCs w:val="28"/>
          <w:highlight w:val="none"/>
          <w:lang w:eastAsia="zh-CN"/>
        </w:rPr>
      </w:pPr>
      <w:bookmarkStart w:id="125" w:name="_Toc14181"/>
      <w:bookmarkStart w:id="126" w:name="_Toc1252"/>
      <w:bookmarkStart w:id="127" w:name="_Toc256000211"/>
      <w:r>
        <w:rPr>
          <w:rFonts w:hint="eastAsia" w:ascii="宋体" w:hAnsi="宋体" w:cs="宋体"/>
          <w:color w:val="auto"/>
          <w:sz w:val="28"/>
          <w:szCs w:val="28"/>
          <w:highlight w:val="none"/>
          <w:lang w:eastAsia="zh-CN"/>
        </w:rPr>
        <w:t>拟投入本合同工程施工的主要人员简历表</w:t>
      </w:r>
      <w:bookmarkEnd w:id="125"/>
      <w:bookmarkEnd w:id="126"/>
      <w:bookmarkEnd w:id="127"/>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434"/>
        <w:gridCol w:w="998"/>
        <w:gridCol w:w="1432"/>
        <w:gridCol w:w="1433"/>
        <w:gridCol w:w="1433"/>
        <w:gridCol w:w="1433"/>
      </w:tblGrid>
      <w:tr w14:paraId="11AF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gridSpan w:val="2"/>
            <w:noWrap w:val="0"/>
            <w:vAlign w:val="center"/>
          </w:tcPr>
          <w:p w14:paraId="29954030">
            <w:pPr>
              <w:pStyle w:val="26"/>
              <w:tabs>
                <w:tab w:val="left" w:pos="6882"/>
                <w:tab w:val="left" w:pos="7510"/>
              </w:tabs>
              <w:spacing w:line="350" w:lineRule="exact"/>
              <w:ind w:firstLine="0"/>
              <w:jc w:val="center"/>
              <w:rPr>
                <w:color w:val="auto"/>
                <w:sz w:val="21"/>
                <w:szCs w:val="21"/>
                <w:highlight w:val="none"/>
              </w:rPr>
            </w:pPr>
            <w:r>
              <w:rPr>
                <w:rFonts w:hint="eastAsia"/>
                <w:color w:val="auto"/>
                <w:sz w:val="21"/>
                <w:szCs w:val="21"/>
                <w:highlight w:val="none"/>
              </w:rPr>
              <w:t>姓名</w:t>
            </w:r>
          </w:p>
        </w:tc>
        <w:tc>
          <w:tcPr>
            <w:tcW w:w="998" w:type="dxa"/>
            <w:noWrap w:val="0"/>
            <w:vAlign w:val="center"/>
          </w:tcPr>
          <w:p w14:paraId="0A263B29">
            <w:pPr>
              <w:pStyle w:val="26"/>
              <w:tabs>
                <w:tab w:val="left" w:pos="6882"/>
                <w:tab w:val="left" w:pos="7510"/>
              </w:tabs>
              <w:spacing w:line="350" w:lineRule="exact"/>
              <w:ind w:firstLine="0"/>
              <w:jc w:val="center"/>
              <w:rPr>
                <w:color w:val="auto"/>
                <w:sz w:val="21"/>
                <w:szCs w:val="21"/>
                <w:highlight w:val="none"/>
              </w:rPr>
            </w:pPr>
          </w:p>
        </w:tc>
        <w:tc>
          <w:tcPr>
            <w:tcW w:w="1432" w:type="dxa"/>
            <w:noWrap w:val="0"/>
            <w:vAlign w:val="center"/>
          </w:tcPr>
          <w:p w14:paraId="7FCD6295">
            <w:pPr>
              <w:pStyle w:val="26"/>
              <w:tabs>
                <w:tab w:val="left" w:pos="6882"/>
                <w:tab w:val="left" w:pos="7510"/>
              </w:tabs>
              <w:spacing w:line="350" w:lineRule="exact"/>
              <w:ind w:firstLine="0"/>
              <w:jc w:val="center"/>
              <w:rPr>
                <w:color w:val="auto"/>
                <w:sz w:val="21"/>
                <w:szCs w:val="21"/>
                <w:highlight w:val="none"/>
              </w:rPr>
            </w:pPr>
            <w:r>
              <w:rPr>
                <w:rFonts w:hint="eastAsia"/>
                <w:color w:val="auto"/>
                <w:sz w:val="21"/>
                <w:szCs w:val="21"/>
                <w:highlight w:val="none"/>
              </w:rPr>
              <w:t>性别</w:t>
            </w:r>
          </w:p>
        </w:tc>
        <w:tc>
          <w:tcPr>
            <w:tcW w:w="1433" w:type="dxa"/>
            <w:noWrap w:val="0"/>
            <w:vAlign w:val="center"/>
          </w:tcPr>
          <w:p w14:paraId="3C7CC8D0">
            <w:pPr>
              <w:pStyle w:val="26"/>
              <w:tabs>
                <w:tab w:val="left" w:pos="6882"/>
                <w:tab w:val="left" w:pos="7510"/>
              </w:tabs>
              <w:spacing w:line="350" w:lineRule="exact"/>
              <w:ind w:firstLine="0"/>
              <w:jc w:val="center"/>
              <w:rPr>
                <w:color w:val="auto"/>
                <w:sz w:val="21"/>
                <w:szCs w:val="21"/>
                <w:highlight w:val="none"/>
              </w:rPr>
            </w:pPr>
          </w:p>
        </w:tc>
        <w:tc>
          <w:tcPr>
            <w:tcW w:w="1433" w:type="dxa"/>
            <w:noWrap w:val="0"/>
            <w:vAlign w:val="center"/>
          </w:tcPr>
          <w:p w14:paraId="3FD08209">
            <w:pPr>
              <w:pStyle w:val="26"/>
              <w:tabs>
                <w:tab w:val="left" w:pos="6882"/>
                <w:tab w:val="left" w:pos="7510"/>
              </w:tabs>
              <w:spacing w:line="350" w:lineRule="exact"/>
              <w:ind w:firstLine="0"/>
              <w:jc w:val="center"/>
              <w:rPr>
                <w:color w:val="auto"/>
                <w:sz w:val="21"/>
                <w:szCs w:val="21"/>
                <w:highlight w:val="none"/>
              </w:rPr>
            </w:pPr>
            <w:r>
              <w:rPr>
                <w:rFonts w:hint="eastAsia"/>
                <w:color w:val="auto"/>
                <w:sz w:val="21"/>
                <w:szCs w:val="21"/>
                <w:highlight w:val="none"/>
              </w:rPr>
              <w:t>出生年月（</w:t>
            </w:r>
            <w:r>
              <w:rPr>
                <w:rFonts w:hint="eastAsia"/>
                <w:color w:val="auto"/>
                <w:sz w:val="21"/>
                <w:szCs w:val="21"/>
                <w:highlight w:val="none"/>
                <w:lang w:val="en-US"/>
              </w:rPr>
              <w:t xml:space="preserve">   岁</w:t>
            </w:r>
            <w:r>
              <w:rPr>
                <w:rFonts w:hint="eastAsia"/>
                <w:color w:val="auto"/>
                <w:sz w:val="21"/>
                <w:szCs w:val="21"/>
                <w:highlight w:val="none"/>
              </w:rPr>
              <w:t>）</w:t>
            </w:r>
          </w:p>
        </w:tc>
        <w:tc>
          <w:tcPr>
            <w:tcW w:w="1433" w:type="dxa"/>
            <w:noWrap w:val="0"/>
            <w:vAlign w:val="top"/>
          </w:tcPr>
          <w:p w14:paraId="3C52C5FB">
            <w:pPr>
              <w:pStyle w:val="26"/>
              <w:tabs>
                <w:tab w:val="left" w:pos="6882"/>
                <w:tab w:val="left" w:pos="7510"/>
              </w:tabs>
              <w:spacing w:line="350" w:lineRule="exact"/>
              <w:ind w:firstLine="0"/>
              <w:jc w:val="both"/>
              <w:rPr>
                <w:color w:val="auto"/>
                <w:sz w:val="21"/>
                <w:szCs w:val="21"/>
                <w:highlight w:val="none"/>
              </w:rPr>
            </w:pPr>
          </w:p>
        </w:tc>
      </w:tr>
      <w:tr w14:paraId="39F4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gridSpan w:val="2"/>
            <w:noWrap w:val="0"/>
            <w:vAlign w:val="center"/>
          </w:tcPr>
          <w:p w14:paraId="09A21BCF">
            <w:pPr>
              <w:pStyle w:val="26"/>
              <w:tabs>
                <w:tab w:val="left" w:pos="6882"/>
                <w:tab w:val="left" w:pos="7510"/>
              </w:tabs>
              <w:spacing w:line="350" w:lineRule="exact"/>
              <w:ind w:firstLine="0"/>
              <w:jc w:val="center"/>
              <w:rPr>
                <w:color w:val="auto"/>
                <w:sz w:val="21"/>
                <w:szCs w:val="21"/>
                <w:highlight w:val="none"/>
              </w:rPr>
            </w:pPr>
            <w:r>
              <w:rPr>
                <w:rFonts w:hint="eastAsia"/>
                <w:color w:val="auto"/>
                <w:sz w:val="21"/>
                <w:szCs w:val="21"/>
                <w:highlight w:val="none"/>
              </w:rPr>
              <w:t>职务</w:t>
            </w:r>
          </w:p>
        </w:tc>
        <w:tc>
          <w:tcPr>
            <w:tcW w:w="998" w:type="dxa"/>
            <w:noWrap w:val="0"/>
            <w:vAlign w:val="center"/>
          </w:tcPr>
          <w:p w14:paraId="4CFC7A14">
            <w:pPr>
              <w:pStyle w:val="26"/>
              <w:tabs>
                <w:tab w:val="left" w:pos="6882"/>
                <w:tab w:val="left" w:pos="7510"/>
              </w:tabs>
              <w:spacing w:line="350" w:lineRule="exact"/>
              <w:ind w:firstLine="0"/>
              <w:jc w:val="center"/>
              <w:rPr>
                <w:color w:val="auto"/>
                <w:sz w:val="21"/>
                <w:szCs w:val="21"/>
                <w:highlight w:val="none"/>
              </w:rPr>
            </w:pPr>
          </w:p>
        </w:tc>
        <w:tc>
          <w:tcPr>
            <w:tcW w:w="1432" w:type="dxa"/>
            <w:noWrap w:val="0"/>
            <w:vAlign w:val="center"/>
          </w:tcPr>
          <w:p w14:paraId="13A537A6">
            <w:pPr>
              <w:pStyle w:val="26"/>
              <w:tabs>
                <w:tab w:val="left" w:pos="6882"/>
                <w:tab w:val="left" w:pos="7510"/>
              </w:tabs>
              <w:spacing w:line="350" w:lineRule="exact"/>
              <w:ind w:firstLine="0"/>
              <w:jc w:val="center"/>
              <w:rPr>
                <w:color w:val="auto"/>
                <w:sz w:val="21"/>
                <w:szCs w:val="21"/>
                <w:highlight w:val="none"/>
              </w:rPr>
            </w:pPr>
            <w:r>
              <w:rPr>
                <w:rFonts w:hint="eastAsia"/>
                <w:color w:val="auto"/>
                <w:sz w:val="21"/>
                <w:szCs w:val="21"/>
                <w:highlight w:val="none"/>
              </w:rPr>
              <w:t>职称</w:t>
            </w:r>
          </w:p>
        </w:tc>
        <w:tc>
          <w:tcPr>
            <w:tcW w:w="1433" w:type="dxa"/>
            <w:noWrap w:val="0"/>
            <w:vAlign w:val="center"/>
          </w:tcPr>
          <w:p w14:paraId="321609C8">
            <w:pPr>
              <w:pStyle w:val="26"/>
              <w:tabs>
                <w:tab w:val="left" w:pos="6882"/>
                <w:tab w:val="left" w:pos="7510"/>
              </w:tabs>
              <w:spacing w:line="350" w:lineRule="exact"/>
              <w:ind w:firstLine="0"/>
              <w:jc w:val="center"/>
              <w:rPr>
                <w:color w:val="auto"/>
                <w:sz w:val="21"/>
                <w:szCs w:val="21"/>
                <w:highlight w:val="none"/>
              </w:rPr>
            </w:pPr>
          </w:p>
        </w:tc>
        <w:tc>
          <w:tcPr>
            <w:tcW w:w="1433" w:type="dxa"/>
            <w:noWrap w:val="0"/>
            <w:vAlign w:val="center"/>
          </w:tcPr>
          <w:p w14:paraId="2EAF7271">
            <w:pPr>
              <w:pStyle w:val="26"/>
              <w:tabs>
                <w:tab w:val="left" w:pos="6882"/>
                <w:tab w:val="left" w:pos="7510"/>
              </w:tabs>
              <w:spacing w:line="350" w:lineRule="exact"/>
              <w:ind w:firstLine="0"/>
              <w:jc w:val="center"/>
              <w:rPr>
                <w:color w:val="auto"/>
                <w:sz w:val="21"/>
                <w:szCs w:val="21"/>
                <w:highlight w:val="none"/>
              </w:rPr>
            </w:pPr>
            <w:r>
              <w:rPr>
                <w:rFonts w:hint="eastAsia"/>
                <w:color w:val="auto"/>
                <w:sz w:val="21"/>
                <w:szCs w:val="21"/>
                <w:highlight w:val="none"/>
              </w:rPr>
              <w:t>学历</w:t>
            </w:r>
          </w:p>
        </w:tc>
        <w:tc>
          <w:tcPr>
            <w:tcW w:w="1433" w:type="dxa"/>
            <w:noWrap w:val="0"/>
            <w:vAlign w:val="top"/>
          </w:tcPr>
          <w:p w14:paraId="573E7FFD">
            <w:pPr>
              <w:pStyle w:val="26"/>
              <w:tabs>
                <w:tab w:val="left" w:pos="6882"/>
                <w:tab w:val="left" w:pos="7510"/>
              </w:tabs>
              <w:spacing w:line="350" w:lineRule="exact"/>
              <w:ind w:firstLine="0"/>
              <w:jc w:val="both"/>
              <w:rPr>
                <w:color w:val="auto"/>
                <w:sz w:val="21"/>
                <w:szCs w:val="21"/>
                <w:highlight w:val="none"/>
              </w:rPr>
            </w:pPr>
          </w:p>
        </w:tc>
      </w:tr>
      <w:tr w14:paraId="3041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gridSpan w:val="2"/>
            <w:noWrap w:val="0"/>
            <w:vAlign w:val="top"/>
          </w:tcPr>
          <w:p w14:paraId="1778CC6D">
            <w:pPr>
              <w:pStyle w:val="26"/>
              <w:tabs>
                <w:tab w:val="left" w:pos="6882"/>
                <w:tab w:val="left" w:pos="7510"/>
              </w:tabs>
              <w:spacing w:line="350" w:lineRule="exact"/>
              <w:ind w:firstLine="0"/>
              <w:jc w:val="center"/>
              <w:rPr>
                <w:color w:val="auto"/>
                <w:sz w:val="21"/>
                <w:szCs w:val="21"/>
                <w:highlight w:val="none"/>
              </w:rPr>
            </w:pPr>
            <w:r>
              <w:rPr>
                <w:rFonts w:hint="eastAsia"/>
                <w:color w:val="auto"/>
                <w:sz w:val="21"/>
                <w:szCs w:val="21"/>
                <w:highlight w:val="none"/>
              </w:rPr>
              <w:t>职执业或职业资格证书名称及编号</w:t>
            </w:r>
          </w:p>
        </w:tc>
        <w:tc>
          <w:tcPr>
            <w:tcW w:w="3863" w:type="dxa"/>
            <w:gridSpan w:val="3"/>
            <w:noWrap w:val="0"/>
            <w:vAlign w:val="top"/>
          </w:tcPr>
          <w:p w14:paraId="4BE04BFF">
            <w:pPr>
              <w:pStyle w:val="26"/>
              <w:tabs>
                <w:tab w:val="left" w:pos="6882"/>
                <w:tab w:val="left" w:pos="7510"/>
              </w:tabs>
              <w:spacing w:line="350" w:lineRule="exact"/>
              <w:ind w:firstLine="0"/>
              <w:jc w:val="center"/>
              <w:rPr>
                <w:color w:val="auto"/>
                <w:sz w:val="21"/>
                <w:szCs w:val="21"/>
                <w:highlight w:val="none"/>
              </w:rPr>
            </w:pPr>
          </w:p>
        </w:tc>
        <w:tc>
          <w:tcPr>
            <w:tcW w:w="1433" w:type="dxa"/>
            <w:noWrap w:val="0"/>
            <w:vAlign w:val="top"/>
          </w:tcPr>
          <w:p w14:paraId="3378454A">
            <w:pPr>
              <w:pStyle w:val="26"/>
              <w:tabs>
                <w:tab w:val="left" w:pos="6882"/>
                <w:tab w:val="left" w:pos="7510"/>
              </w:tabs>
              <w:spacing w:line="350" w:lineRule="exact"/>
              <w:ind w:firstLine="0"/>
              <w:jc w:val="center"/>
              <w:rPr>
                <w:rFonts w:hint="eastAsia"/>
                <w:color w:val="auto"/>
                <w:sz w:val="21"/>
                <w:szCs w:val="21"/>
                <w:highlight w:val="none"/>
              </w:rPr>
            </w:pPr>
            <w:r>
              <w:rPr>
                <w:rFonts w:hint="eastAsia"/>
                <w:color w:val="auto"/>
                <w:sz w:val="21"/>
                <w:szCs w:val="21"/>
                <w:highlight w:val="none"/>
              </w:rPr>
              <w:t>拟在本合同</w:t>
            </w:r>
          </w:p>
          <w:p w14:paraId="23A06C13">
            <w:pPr>
              <w:pStyle w:val="26"/>
              <w:tabs>
                <w:tab w:val="left" w:pos="6882"/>
                <w:tab w:val="left" w:pos="7510"/>
              </w:tabs>
              <w:spacing w:line="350" w:lineRule="exact"/>
              <w:ind w:firstLine="0"/>
              <w:jc w:val="center"/>
              <w:rPr>
                <w:color w:val="auto"/>
                <w:sz w:val="21"/>
                <w:szCs w:val="21"/>
                <w:highlight w:val="none"/>
              </w:rPr>
            </w:pPr>
            <w:r>
              <w:rPr>
                <w:rFonts w:hint="eastAsia"/>
                <w:color w:val="auto"/>
                <w:sz w:val="21"/>
                <w:szCs w:val="21"/>
                <w:highlight w:val="none"/>
              </w:rPr>
              <w:t>任职</w:t>
            </w:r>
          </w:p>
        </w:tc>
        <w:tc>
          <w:tcPr>
            <w:tcW w:w="1433" w:type="dxa"/>
            <w:noWrap w:val="0"/>
            <w:vAlign w:val="top"/>
          </w:tcPr>
          <w:p w14:paraId="00286577">
            <w:pPr>
              <w:pStyle w:val="26"/>
              <w:tabs>
                <w:tab w:val="left" w:pos="6882"/>
                <w:tab w:val="left" w:pos="7510"/>
              </w:tabs>
              <w:spacing w:line="350" w:lineRule="exact"/>
              <w:ind w:firstLine="0"/>
              <w:jc w:val="both"/>
              <w:rPr>
                <w:color w:val="auto"/>
                <w:sz w:val="21"/>
                <w:szCs w:val="21"/>
                <w:highlight w:val="none"/>
              </w:rPr>
            </w:pPr>
          </w:p>
        </w:tc>
      </w:tr>
      <w:tr w14:paraId="30CB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gridSpan w:val="2"/>
            <w:noWrap w:val="0"/>
            <w:vAlign w:val="top"/>
          </w:tcPr>
          <w:p w14:paraId="75F45467">
            <w:pPr>
              <w:pStyle w:val="26"/>
              <w:tabs>
                <w:tab w:val="left" w:pos="6882"/>
                <w:tab w:val="left" w:pos="7510"/>
              </w:tabs>
              <w:spacing w:line="350" w:lineRule="exact"/>
              <w:ind w:firstLine="0"/>
              <w:jc w:val="center"/>
              <w:rPr>
                <w:rFonts w:hint="eastAsia"/>
                <w:color w:val="auto"/>
                <w:sz w:val="21"/>
                <w:szCs w:val="21"/>
                <w:highlight w:val="none"/>
              </w:rPr>
            </w:pPr>
            <w:r>
              <w:rPr>
                <w:rFonts w:hint="eastAsia"/>
                <w:color w:val="auto"/>
                <w:sz w:val="21"/>
                <w:szCs w:val="21"/>
                <w:highlight w:val="none"/>
              </w:rPr>
              <w:t>安全生产考核</w:t>
            </w:r>
          </w:p>
          <w:p w14:paraId="568E7EB5">
            <w:pPr>
              <w:pStyle w:val="26"/>
              <w:tabs>
                <w:tab w:val="left" w:pos="6882"/>
                <w:tab w:val="left" w:pos="7510"/>
              </w:tabs>
              <w:spacing w:line="350" w:lineRule="exact"/>
              <w:ind w:firstLine="0"/>
              <w:jc w:val="center"/>
              <w:rPr>
                <w:color w:val="auto"/>
                <w:sz w:val="21"/>
                <w:szCs w:val="21"/>
                <w:highlight w:val="none"/>
              </w:rPr>
            </w:pPr>
            <w:r>
              <w:rPr>
                <w:rFonts w:hint="eastAsia"/>
                <w:color w:val="auto"/>
                <w:sz w:val="21"/>
                <w:szCs w:val="21"/>
                <w:highlight w:val="none"/>
              </w:rPr>
              <w:t>合格证书</w:t>
            </w:r>
          </w:p>
        </w:tc>
        <w:tc>
          <w:tcPr>
            <w:tcW w:w="3863" w:type="dxa"/>
            <w:gridSpan w:val="3"/>
            <w:noWrap w:val="0"/>
            <w:vAlign w:val="top"/>
          </w:tcPr>
          <w:p w14:paraId="637C2495">
            <w:pPr>
              <w:pStyle w:val="26"/>
              <w:tabs>
                <w:tab w:val="left" w:pos="6882"/>
                <w:tab w:val="left" w:pos="7510"/>
              </w:tabs>
              <w:spacing w:line="350" w:lineRule="exact"/>
              <w:ind w:firstLine="0"/>
              <w:jc w:val="center"/>
              <w:rPr>
                <w:color w:val="auto"/>
                <w:sz w:val="21"/>
                <w:szCs w:val="21"/>
                <w:highlight w:val="none"/>
              </w:rPr>
            </w:pPr>
          </w:p>
        </w:tc>
        <w:tc>
          <w:tcPr>
            <w:tcW w:w="1433" w:type="dxa"/>
            <w:noWrap w:val="0"/>
            <w:vAlign w:val="top"/>
          </w:tcPr>
          <w:p w14:paraId="02693802">
            <w:pPr>
              <w:pStyle w:val="26"/>
              <w:tabs>
                <w:tab w:val="left" w:pos="6882"/>
                <w:tab w:val="left" w:pos="7510"/>
              </w:tabs>
              <w:spacing w:line="350" w:lineRule="exact"/>
              <w:ind w:firstLine="0"/>
              <w:jc w:val="center"/>
              <w:rPr>
                <w:rFonts w:hint="eastAsia"/>
                <w:color w:val="auto"/>
                <w:sz w:val="21"/>
                <w:szCs w:val="21"/>
                <w:highlight w:val="none"/>
              </w:rPr>
            </w:pPr>
            <w:r>
              <w:rPr>
                <w:rFonts w:hint="eastAsia"/>
                <w:color w:val="auto"/>
                <w:sz w:val="21"/>
                <w:szCs w:val="21"/>
                <w:highlight w:val="none"/>
              </w:rPr>
              <w:t>担任本职</w:t>
            </w:r>
          </w:p>
          <w:p w14:paraId="632ED60A">
            <w:pPr>
              <w:pStyle w:val="26"/>
              <w:tabs>
                <w:tab w:val="left" w:pos="6882"/>
                <w:tab w:val="left" w:pos="7510"/>
              </w:tabs>
              <w:spacing w:line="350" w:lineRule="exact"/>
              <w:ind w:firstLine="0"/>
              <w:jc w:val="center"/>
              <w:rPr>
                <w:color w:val="auto"/>
                <w:sz w:val="21"/>
                <w:szCs w:val="21"/>
                <w:highlight w:val="none"/>
              </w:rPr>
            </w:pPr>
            <w:r>
              <w:rPr>
                <w:rFonts w:hint="eastAsia"/>
                <w:color w:val="auto"/>
                <w:sz w:val="21"/>
                <w:szCs w:val="21"/>
                <w:highlight w:val="none"/>
              </w:rPr>
              <w:t>工作年限</w:t>
            </w:r>
          </w:p>
        </w:tc>
        <w:tc>
          <w:tcPr>
            <w:tcW w:w="1433" w:type="dxa"/>
            <w:noWrap w:val="0"/>
            <w:vAlign w:val="top"/>
          </w:tcPr>
          <w:p w14:paraId="1CB304D3">
            <w:pPr>
              <w:pStyle w:val="26"/>
              <w:tabs>
                <w:tab w:val="left" w:pos="6882"/>
                <w:tab w:val="left" w:pos="7510"/>
              </w:tabs>
              <w:spacing w:line="350" w:lineRule="exact"/>
              <w:ind w:firstLine="0"/>
              <w:jc w:val="both"/>
              <w:rPr>
                <w:color w:val="auto"/>
                <w:sz w:val="21"/>
                <w:szCs w:val="21"/>
                <w:highlight w:val="none"/>
              </w:rPr>
            </w:pPr>
          </w:p>
        </w:tc>
      </w:tr>
      <w:tr w14:paraId="64C4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gridSpan w:val="2"/>
            <w:noWrap w:val="0"/>
            <w:vAlign w:val="top"/>
          </w:tcPr>
          <w:p w14:paraId="2D22CA81">
            <w:pPr>
              <w:pStyle w:val="26"/>
              <w:tabs>
                <w:tab w:val="left" w:pos="6882"/>
                <w:tab w:val="left" w:pos="7510"/>
              </w:tabs>
              <w:spacing w:line="350" w:lineRule="exact"/>
              <w:ind w:firstLine="0"/>
              <w:jc w:val="both"/>
              <w:rPr>
                <w:color w:val="auto"/>
                <w:sz w:val="21"/>
                <w:szCs w:val="21"/>
                <w:highlight w:val="none"/>
              </w:rPr>
            </w:pPr>
            <w:r>
              <w:rPr>
                <w:rFonts w:hint="eastAsia"/>
                <w:color w:val="auto"/>
                <w:sz w:val="21"/>
                <w:szCs w:val="21"/>
                <w:highlight w:val="none"/>
              </w:rPr>
              <w:t>毕业学校</w:t>
            </w:r>
          </w:p>
        </w:tc>
        <w:tc>
          <w:tcPr>
            <w:tcW w:w="6729" w:type="dxa"/>
            <w:gridSpan w:val="5"/>
            <w:noWrap w:val="0"/>
            <w:vAlign w:val="top"/>
          </w:tcPr>
          <w:p w14:paraId="587C02DF">
            <w:pPr>
              <w:pStyle w:val="26"/>
              <w:tabs>
                <w:tab w:val="left" w:pos="6882"/>
                <w:tab w:val="left" w:pos="7510"/>
              </w:tabs>
              <w:spacing w:line="350" w:lineRule="exact"/>
              <w:ind w:firstLine="1050" w:firstLineChars="500"/>
              <w:jc w:val="both"/>
              <w:rPr>
                <w:color w:val="auto"/>
                <w:sz w:val="21"/>
                <w:szCs w:val="21"/>
                <w:highlight w:val="none"/>
                <w:lang w:val="en-US"/>
              </w:rPr>
            </w:pPr>
            <w:r>
              <w:rPr>
                <w:rFonts w:hint="eastAsia"/>
                <w:color w:val="auto"/>
                <w:sz w:val="21"/>
                <w:szCs w:val="21"/>
                <w:highlight w:val="none"/>
              </w:rPr>
              <w:t>年</w:t>
            </w:r>
            <w:r>
              <w:rPr>
                <w:rFonts w:hint="eastAsia"/>
                <w:color w:val="auto"/>
                <w:sz w:val="21"/>
                <w:szCs w:val="21"/>
                <w:highlight w:val="none"/>
                <w:lang w:val="en-US"/>
              </w:rPr>
              <w:t>月毕业于          学校       专业</w:t>
            </w:r>
          </w:p>
        </w:tc>
      </w:tr>
      <w:tr w14:paraId="3D19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5" w:type="dxa"/>
            <w:gridSpan w:val="7"/>
            <w:noWrap w:val="0"/>
            <w:vAlign w:val="top"/>
          </w:tcPr>
          <w:p w14:paraId="70F88B77">
            <w:pPr>
              <w:pStyle w:val="26"/>
              <w:tabs>
                <w:tab w:val="left" w:pos="6882"/>
                <w:tab w:val="left" w:pos="7510"/>
              </w:tabs>
              <w:spacing w:line="350" w:lineRule="exact"/>
              <w:ind w:firstLine="2730" w:firstLineChars="1300"/>
              <w:jc w:val="both"/>
              <w:rPr>
                <w:color w:val="auto"/>
                <w:sz w:val="21"/>
                <w:szCs w:val="21"/>
                <w:highlight w:val="none"/>
              </w:rPr>
            </w:pPr>
            <w:r>
              <w:rPr>
                <w:rFonts w:hint="eastAsia"/>
                <w:color w:val="auto"/>
                <w:sz w:val="21"/>
                <w:szCs w:val="21"/>
                <w:highlight w:val="none"/>
              </w:rPr>
              <w:t>已完成工程项目情况表</w:t>
            </w:r>
          </w:p>
        </w:tc>
      </w:tr>
      <w:tr w14:paraId="25BE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noWrap w:val="0"/>
            <w:vAlign w:val="top"/>
          </w:tcPr>
          <w:p w14:paraId="5241DD13">
            <w:pPr>
              <w:pStyle w:val="26"/>
              <w:tabs>
                <w:tab w:val="left" w:pos="6882"/>
                <w:tab w:val="left" w:pos="7510"/>
              </w:tabs>
              <w:spacing w:line="350" w:lineRule="exact"/>
              <w:ind w:firstLine="0"/>
              <w:jc w:val="center"/>
              <w:rPr>
                <w:color w:val="auto"/>
                <w:sz w:val="21"/>
                <w:szCs w:val="21"/>
                <w:highlight w:val="none"/>
              </w:rPr>
            </w:pPr>
            <w:r>
              <w:rPr>
                <w:rFonts w:hint="eastAsia"/>
                <w:color w:val="auto"/>
                <w:sz w:val="21"/>
                <w:szCs w:val="21"/>
                <w:highlight w:val="none"/>
              </w:rPr>
              <w:t>建设单位</w:t>
            </w:r>
          </w:p>
        </w:tc>
        <w:tc>
          <w:tcPr>
            <w:tcW w:w="1432" w:type="dxa"/>
            <w:gridSpan w:val="2"/>
            <w:noWrap w:val="0"/>
            <w:vAlign w:val="top"/>
          </w:tcPr>
          <w:p w14:paraId="50FA9DD2">
            <w:pPr>
              <w:pStyle w:val="26"/>
              <w:tabs>
                <w:tab w:val="left" w:pos="6882"/>
                <w:tab w:val="left" w:pos="7510"/>
              </w:tabs>
              <w:spacing w:line="350" w:lineRule="exact"/>
              <w:ind w:firstLine="0"/>
              <w:jc w:val="center"/>
              <w:rPr>
                <w:color w:val="auto"/>
                <w:sz w:val="21"/>
                <w:szCs w:val="21"/>
                <w:highlight w:val="none"/>
              </w:rPr>
            </w:pPr>
            <w:r>
              <w:rPr>
                <w:rFonts w:hint="eastAsia"/>
                <w:color w:val="auto"/>
                <w:sz w:val="21"/>
                <w:szCs w:val="21"/>
                <w:highlight w:val="none"/>
              </w:rPr>
              <w:t>项目名称</w:t>
            </w:r>
          </w:p>
        </w:tc>
        <w:tc>
          <w:tcPr>
            <w:tcW w:w="1432" w:type="dxa"/>
            <w:noWrap w:val="0"/>
            <w:vAlign w:val="top"/>
          </w:tcPr>
          <w:p w14:paraId="12A8EA77">
            <w:pPr>
              <w:pStyle w:val="26"/>
              <w:tabs>
                <w:tab w:val="left" w:pos="6882"/>
                <w:tab w:val="left" w:pos="7510"/>
              </w:tabs>
              <w:spacing w:line="350" w:lineRule="exact"/>
              <w:ind w:firstLine="0"/>
              <w:jc w:val="center"/>
              <w:rPr>
                <w:color w:val="auto"/>
                <w:sz w:val="21"/>
                <w:szCs w:val="21"/>
                <w:highlight w:val="none"/>
              </w:rPr>
            </w:pPr>
            <w:r>
              <w:rPr>
                <w:rFonts w:hint="eastAsia"/>
                <w:color w:val="auto"/>
                <w:sz w:val="21"/>
                <w:szCs w:val="21"/>
                <w:highlight w:val="none"/>
              </w:rPr>
              <w:t>建设规模</w:t>
            </w:r>
          </w:p>
        </w:tc>
        <w:tc>
          <w:tcPr>
            <w:tcW w:w="1433" w:type="dxa"/>
            <w:noWrap w:val="0"/>
            <w:vAlign w:val="top"/>
          </w:tcPr>
          <w:p w14:paraId="650B63AF">
            <w:pPr>
              <w:pStyle w:val="26"/>
              <w:tabs>
                <w:tab w:val="left" w:pos="6882"/>
                <w:tab w:val="left" w:pos="7510"/>
              </w:tabs>
              <w:spacing w:line="350" w:lineRule="exact"/>
              <w:ind w:firstLine="0"/>
              <w:jc w:val="center"/>
              <w:rPr>
                <w:color w:val="auto"/>
                <w:sz w:val="21"/>
                <w:szCs w:val="21"/>
                <w:highlight w:val="none"/>
              </w:rPr>
            </w:pPr>
            <w:r>
              <w:rPr>
                <w:rFonts w:hint="eastAsia"/>
                <w:color w:val="auto"/>
                <w:sz w:val="21"/>
                <w:szCs w:val="21"/>
                <w:highlight w:val="none"/>
              </w:rPr>
              <w:t>开、竣工日期</w:t>
            </w:r>
          </w:p>
        </w:tc>
        <w:tc>
          <w:tcPr>
            <w:tcW w:w="1433" w:type="dxa"/>
            <w:noWrap w:val="0"/>
            <w:vAlign w:val="top"/>
          </w:tcPr>
          <w:p w14:paraId="3B4576D4">
            <w:pPr>
              <w:pStyle w:val="26"/>
              <w:tabs>
                <w:tab w:val="left" w:pos="6882"/>
                <w:tab w:val="left" w:pos="7510"/>
              </w:tabs>
              <w:spacing w:line="350" w:lineRule="exact"/>
              <w:ind w:firstLine="0"/>
              <w:jc w:val="center"/>
              <w:rPr>
                <w:color w:val="auto"/>
                <w:sz w:val="21"/>
                <w:szCs w:val="21"/>
                <w:highlight w:val="none"/>
              </w:rPr>
            </w:pPr>
            <w:r>
              <w:rPr>
                <w:rFonts w:hint="eastAsia"/>
                <w:color w:val="auto"/>
                <w:sz w:val="21"/>
                <w:szCs w:val="21"/>
                <w:highlight w:val="none"/>
              </w:rPr>
              <w:t>工程质量</w:t>
            </w:r>
          </w:p>
        </w:tc>
        <w:tc>
          <w:tcPr>
            <w:tcW w:w="1433" w:type="dxa"/>
            <w:noWrap w:val="0"/>
            <w:vAlign w:val="top"/>
          </w:tcPr>
          <w:p w14:paraId="4AA6D5FE">
            <w:pPr>
              <w:pStyle w:val="26"/>
              <w:tabs>
                <w:tab w:val="left" w:pos="6882"/>
                <w:tab w:val="left" w:pos="7510"/>
              </w:tabs>
              <w:spacing w:line="350" w:lineRule="exact"/>
              <w:ind w:firstLine="0"/>
              <w:jc w:val="center"/>
              <w:rPr>
                <w:color w:val="auto"/>
                <w:sz w:val="21"/>
                <w:szCs w:val="21"/>
                <w:highlight w:val="none"/>
              </w:rPr>
            </w:pPr>
            <w:r>
              <w:rPr>
                <w:rFonts w:hint="eastAsia"/>
                <w:color w:val="auto"/>
                <w:sz w:val="21"/>
                <w:szCs w:val="21"/>
                <w:highlight w:val="none"/>
              </w:rPr>
              <w:t>受奖情况</w:t>
            </w:r>
          </w:p>
        </w:tc>
      </w:tr>
      <w:tr w14:paraId="3412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noWrap w:val="0"/>
            <w:vAlign w:val="top"/>
          </w:tcPr>
          <w:p w14:paraId="75795AC3">
            <w:pPr>
              <w:pStyle w:val="26"/>
              <w:tabs>
                <w:tab w:val="left" w:pos="6882"/>
                <w:tab w:val="left" w:pos="7510"/>
              </w:tabs>
              <w:spacing w:line="350" w:lineRule="exact"/>
              <w:ind w:firstLine="0"/>
              <w:jc w:val="both"/>
              <w:rPr>
                <w:color w:val="auto"/>
                <w:sz w:val="21"/>
                <w:szCs w:val="21"/>
                <w:highlight w:val="none"/>
              </w:rPr>
            </w:pPr>
          </w:p>
        </w:tc>
        <w:tc>
          <w:tcPr>
            <w:tcW w:w="1432" w:type="dxa"/>
            <w:gridSpan w:val="2"/>
            <w:noWrap w:val="0"/>
            <w:vAlign w:val="top"/>
          </w:tcPr>
          <w:p w14:paraId="5F8AF5CB">
            <w:pPr>
              <w:pStyle w:val="26"/>
              <w:tabs>
                <w:tab w:val="left" w:pos="6882"/>
                <w:tab w:val="left" w:pos="7510"/>
              </w:tabs>
              <w:spacing w:line="350" w:lineRule="exact"/>
              <w:ind w:firstLine="0"/>
              <w:jc w:val="both"/>
              <w:rPr>
                <w:color w:val="auto"/>
                <w:sz w:val="21"/>
                <w:szCs w:val="21"/>
                <w:highlight w:val="none"/>
              </w:rPr>
            </w:pPr>
          </w:p>
        </w:tc>
        <w:tc>
          <w:tcPr>
            <w:tcW w:w="1432" w:type="dxa"/>
            <w:noWrap w:val="0"/>
            <w:vAlign w:val="top"/>
          </w:tcPr>
          <w:p w14:paraId="7859ABFF">
            <w:pPr>
              <w:pStyle w:val="26"/>
              <w:tabs>
                <w:tab w:val="left" w:pos="6882"/>
                <w:tab w:val="left" w:pos="7510"/>
              </w:tabs>
              <w:spacing w:line="350" w:lineRule="exact"/>
              <w:ind w:firstLine="0"/>
              <w:jc w:val="both"/>
              <w:rPr>
                <w:color w:val="auto"/>
                <w:sz w:val="21"/>
                <w:szCs w:val="21"/>
                <w:highlight w:val="none"/>
              </w:rPr>
            </w:pPr>
          </w:p>
        </w:tc>
        <w:tc>
          <w:tcPr>
            <w:tcW w:w="1433" w:type="dxa"/>
            <w:noWrap w:val="0"/>
            <w:vAlign w:val="top"/>
          </w:tcPr>
          <w:p w14:paraId="4E7190FC">
            <w:pPr>
              <w:pStyle w:val="26"/>
              <w:tabs>
                <w:tab w:val="left" w:pos="6882"/>
                <w:tab w:val="left" w:pos="7510"/>
              </w:tabs>
              <w:spacing w:line="350" w:lineRule="exact"/>
              <w:ind w:firstLine="0"/>
              <w:jc w:val="both"/>
              <w:rPr>
                <w:color w:val="auto"/>
                <w:sz w:val="21"/>
                <w:szCs w:val="21"/>
                <w:highlight w:val="none"/>
              </w:rPr>
            </w:pPr>
          </w:p>
        </w:tc>
        <w:tc>
          <w:tcPr>
            <w:tcW w:w="1433" w:type="dxa"/>
            <w:noWrap w:val="0"/>
            <w:vAlign w:val="top"/>
          </w:tcPr>
          <w:p w14:paraId="7D2BA3A7">
            <w:pPr>
              <w:pStyle w:val="26"/>
              <w:tabs>
                <w:tab w:val="left" w:pos="6882"/>
                <w:tab w:val="left" w:pos="7510"/>
              </w:tabs>
              <w:spacing w:line="350" w:lineRule="exact"/>
              <w:ind w:firstLine="0"/>
              <w:jc w:val="both"/>
              <w:rPr>
                <w:color w:val="auto"/>
                <w:sz w:val="21"/>
                <w:szCs w:val="21"/>
                <w:highlight w:val="none"/>
              </w:rPr>
            </w:pPr>
          </w:p>
        </w:tc>
        <w:tc>
          <w:tcPr>
            <w:tcW w:w="1433" w:type="dxa"/>
            <w:noWrap w:val="0"/>
            <w:vAlign w:val="top"/>
          </w:tcPr>
          <w:p w14:paraId="6CDC73C4">
            <w:pPr>
              <w:pStyle w:val="26"/>
              <w:tabs>
                <w:tab w:val="left" w:pos="6882"/>
                <w:tab w:val="left" w:pos="7510"/>
              </w:tabs>
              <w:spacing w:line="350" w:lineRule="exact"/>
              <w:ind w:firstLine="0"/>
              <w:jc w:val="both"/>
              <w:rPr>
                <w:color w:val="auto"/>
                <w:sz w:val="21"/>
                <w:szCs w:val="21"/>
                <w:highlight w:val="none"/>
              </w:rPr>
            </w:pPr>
          </w:p>
        </w:tc>
      </w:tr>
      <w:tr w14:paraId="5881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noWrap w:val="0"/>
            <w:vAlign w:val="top"/>
          </w:tcPr>
          <w:p w14:paraId="21EBE652">
            <w:pPr>
              <w:pStyle w:val="26"/>
              <w:tabs>
                <w:tab w:val="left" w:pos="6882"/>
                <w:tab w:val="left" w:pos="7510"/>
              </w:tabs>
              <w:spacing w:line="350" w:lineRule="exact"/>
              <w:ind w:firstLine="0"/>
              <w:jc w:val="both"/>
              <w:rPr>
                <w:color w:val="auto"/>
                <w:sz w:val="21"/>
                <w:szCs w:val="21"/>
                <w:highlight w:val="none"/>
              </w:rPr>
            </w:pPr>
          </w:p>
        </w:tc>
        <w:tc>
          <w:tcPr>
            <w:tcW w:w="1432" w:type="dxa"/>
            <w:gridSpan w:val="2"/>
            <w:noWrap w:val="0"/>
            <w:vAlign w:val="top"/>
          </w:tcPr>
          <w:p w14:paraId="0462E488">
            <w:pPr>
              <w:pStyle w:val="26"/>
              <w:tabs>
                <w:tab w:val="left" w:pos="6882"/>
                <w:tab w:val="left" w:pos="7510"/>
              </w:tabs>
              <w:spacing w:line="350" w:lineRule="exact"/>
              <w:ind w:firstLine="0"/>
              <w:jc w:val="both"/>
              <w:rPr>
                <w:color w:val="auto"/>
                <w:sz w:val="21"/>
                <w:szCs w:val="21"/>
                <w:highlight w:val="none"/>
              </w:rPr>
            </w:pPr>
          </w:p>
        </w:tc>
        <w:tc>
          <w:tcPr>
            <w:tcW w:w="1432" w:type="dxa"/>
            <w:noWrap w:val="0"/>
            <w:vAlign w:val="top"/>
          </w:tcPr>
          <w:p w14:paraId="3863CD17">
            <w:pPr>
              <w:pStyle w:val="26"/>
              <w:tabs>
                <w:tab w:val="left" w:pos="6882"/>
                <w:tab w:val="left" w:pos="7510"/>
              </w:tabs>
              <w:spacing w:line="350" w:lineRule="exact"/>
              <w:ind w:firstLine="0"/>
              <w:jc w:val="both"/>
              <w:rPr>
                <w:color w:val="auto"/>
                <w:sz w:val="21"/>
                <w:szCs w:val="21"/>
                <w:highlight w:val="none"/>
              </w:rPr>
            </w:pPr>
          </w:p>
        </w:tc>
        <w:tc>
          <w:tcPr>
            <w:tcW w:w="1433" w:type="dxa"/>
            <w:noWrap w:val="0"/>
            <w:vAlign w:val="top"/>
          </w:tcPr>
          <w:p w14:paraId="32147219">
            <w:pPr>
              <w:pStyle w:val="26"/>
              <w:tabs>
                <w:tab w:val="left" w:pos="6882"/>
                <w:tab w:val="left" w:pos="7510"/>
              </w:tabs>
              <w:spacing w:line="350" w:lineRule="exact"/>
              <w:ind w:firstLine="0"/>
              <w:jc w:val="both"/>
              <w:rPr>
                <w:color w:val="auto"/>
                <w:sz w:val="21"/>
                <w:szCs w:val="21"/>
                <w:highlight w:val="none"/>
              </w:rPr>
            </w:pPr>
          </w:p>
        </w:tc>
        <w:tc>
          <w:tcPr>
            <w:tcW w:w="1433" w:type="dxa"/>
            <w:noWrap w:val="0"/>
            <w:vAlign w:val="top"/>
          </w:tcPr>
          <w:p w14:paraId="6F17C1CF">
            <w:pPr>
              <w:pStyle w:val="26"/>
              <w:tabs>
                <w:tab w:val="left" w:pos="6882"/>
                <w:tab w:val="left" w:pos="7510"/>
              </w:tabs>
              <w:spacing w:line="350" w:lineRule="exact"/>
              <w:ind w:firstLine="0"/>
              <w:jc w:val="both"/>
              <w:rPr>
                <w:color w:val="auto"/>
                <w:sz w:val="21"/>
                <w:szCs w:val="21"/>
                <w:highlight w:val="none"/>
              </w:rPr>
            </w:pPr>
          </w:p>
        </w:tc>
        <w:tc>
          <w:tcPr>
            <w:tcW w:w="1433" w:type="dxa"/>
            <w:noWrap w:val="0"/>
            <w:vAlign w:val="top"/>
          </w:tcPr>
          <w:p w14:paraId="2CB0D854">
            <w:pPr>
              <w:pStyle w:val="26"/>
              <w:tabs>
                <w:tab w:val="left" w:pos="6882"/>
                <w:tab w:val="left" w:pos="7510"/>
              </w:tabs>
              <w:spacing w:line="350" w:lineRule="exact"/>
              <w:ind w:firstLine="0"/>
              <w:jc w:val="both"/>
              <w:rPr>
                <w:color w:val="auto"/>
                <w:sz w:val="21"/>
                <w:szCs w:val="21"/>
                <w:highlight w:val="none"/>
              </w:rPr>
            </w:pPr>
          </w:p>
        </w:tc>
      </w:tr>
      <w:tr w14:paraId="387E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noWrap w:val="0"/>
            <w:vAlign w:val="top"/>
          </w:tcPr>
          <w:p w14:paraId="775B2331">
            <w:pPr>
              <w:pStyle w:val="26"/>
              <w:tabs>
                <w:tab w:val="left" w:pos="6882"/>
                <w:tab w:val="left" w:pos="7510"/>
              </w:tabs>
              <w:spacing w:line="350" w:lineRule="exact"/>
              <w:ind w:firstLine="0"/>
              <w:jc w:val="both"/>
              <w:rPr>
                <w:color w:val="auto"/>
                <w:sz w:val="21"/>
                <w:szCs w:val="21"/>
                <w:highlight w:val="none"/>
              </w:rPr>
            </w:pPr>
          </w:p>
        </w:tc>
        <w:tc>
          <w:tcPr>
            <w:tcW w:w="1432" w:type="dxa"/>
            <w:gridSpan w:val="2"/>
            <w:noWrap w:val="0"/>
            <w:vAlign w:val="top"/>
          </w:tcPr>
          <w:p w14:paraId="7F3E8A1A">
            <w:pPr>
              <w:pStyle w:val="26"/>
              <w:tabs>
                <w:tab w:val="left" w:pos="6882"/>
                <w:tab w:val="left" w:pos="7510"/>
              </w:tabs>
              <w:spacing w:line="350" w:lineRule="exact"/>
              <w:ind w:firstLine="0"/>
              <w:jc w:val="both"/>
              <w:rPr>
                <w:color w:val="auto"/>
                <w:sz w:val="21"/>
                <w:szCs w:val="21"/>
                <w:highlight w:val="none"/>
              </w:rPr>
            </w:pPr>
          </w:p>
        </w:tc>
        <w:tc>
          <w:tcPr>
            <w:tcW w:w="1432" w:type="dxa"/>
            <w:noWrap w:val="0"/>
            <w:vAlign w:val="top"/>
          </w:tcPr>
          <w:p w14:paraId="75463A0D">
            <w:pPr>
              <w:pStyle w:val="26"/>
              <w:tabs>
                <w:tab w:val="left" w:pos="6882"/>
                <w:tab w:val="left" w:pos="7510"/>
              </w:tabs>
              <w:spacing w:line="350" w:lineRule="exact"/>
              <w:ind w:firstLine="0"/>
              <w:jc w:val="both"/>
              <w:rPr>
                <w:color w:val="auto"/>
                <w:sz w:val="21"/>
                <w:szCs w:val="21"/>
                <w:highlight w:val="none"/>
              </w:rPr>
            </w:pPr>
          </w:p>
        </w:tc>
        <w:tc>
          <w:tcPr>
            <w:tcW w:w="1433" w:type="dxa"/>
            <w:noWrap w:val="0"/>
            <w:vAlign w:val="top"/>
          </w:tcPr>
          <w:p w14:paraId="5613C500">
            <w:pPr>
              <w:pStyle w:val="26"/>
              <w:tabs>
                <w:tab w:val="left" w:pos="6882"/>
                <w:tab w:val="left" w:pos="7510"/>
              </w:tabs>
              <w:spacing w:line="350" w:lineRule="exact"/>
              <w:ind w:firstLine="0"/>
              <w:jc w:val="both"/>
              <w:rPr>
                <w:color w:val="auto"/>
                <w:sz w:val="21"/>
                <w:szCs w:val="21"/>
                <w:highlight w:val="none"/>
              </w:rPr>
            </w:pPr>
          </w:p>
        </w:tc>
        <w:tc>
          <w:tcPr>
            <w:tcW w:w="1433" w:type="dxa"/>
            <w:noWrap w:val="0"/>
            <w:vAlign w:val="top"/>
          </w:tcPr>
          <w:p w14:paraId="3DD31E9D">
            <w:pPr>
              <w:pStyle w:val="26"/>
              <w:tabs>
                <w:tab w:val="left" w:pos="6882"/>
                <w:tab w:val="left" w:pos="7510"/>
              </w:tabs>
              <w:spacing w:line="350" w:lineRule="exact"/>
              <w:ind w:firstLine="0"/>
              <w:jc w:val="both"/>
              <w:rPr>
                <w:color w:val="auto"/>
                <w:sz w:val="21"/>
                <w:szCs w:val="21"/>
                <w:highlight w:val="none"/>
              </w:rPr>
            </w:pPr>
          </w:p>
        </w:tc>
        <w:tc>
          <w:tcPr>
            <w:tcW w:w="1433" w:type="dxa"/>
            <w:noWrap w:val="0"/>
            <w:vAlign w:val="top"/>
          </w:tcPr>
          <w:p w14:paraId="0DB71564">
            <w:pPr>
              <w:pStyle w:val="26"/>
              <w:tabs>
                <w:tab w:val="left" w:pos="6882"/>
                <w:tab w:val="left" w:pos="7510"/>
              </w:tabs>
              <w:spacing w:line="350" w:lineRule="exact"/>
              <w:ind w:firstLine="0"/>
              <w:jc w:val="both"/>
              <w:rPr>
                <w:color w:val="auto"/>
                <w:sz w:val="21"/>
                <w:szCs w:val="21"/>
                <w:highlight w:val="none"/>
              </w:rPr>
            </w:pPr>
          </w:p>
        </w:tc>
      </w:tr>
    </w:tbl>
    <w:p w14:paraId="5A14C7DB">
      <w:pPr>
        <w:pStyle w:val="26"/>
        <w:tabs>
          <w:tab w:val="left" w:pos="854"/>
          <w:tab w:val="left" w:pos="1925"/>
          <w:tab w:val="left" w:pos="2966"/>
          <w:tab w:val="left" w:pos="3014"/>
        </w:tabs>
        <w:spacing w:after="320" w:line="350" w:lineRule="exact"/>
        <w:ind w:firstLine="0"/>
        <w:jc w:val="right"/>
        <w:rPr>
          <w:color w:val="auto"/>
          <w:sz w:val="21"/>
          <w:szCs w:val="21"/>
          <w:highlight w:val="none"/>
        </w:rPr>
      </w:pPr>
    </w:p>
    <w:p w14:paraId="3064BBBD">
      <w:pPr>
        <w:pStyle w:val="26"/>
        <w:spacing w:after="320" w:line="353" w:lineRule="exact"/>
        <w:ind w:firstLine="420"/>
        <w:jc w:val="both"/>
        <w:rPr>
          <w:color w:val="auto"/>
          <w:sz w:val="21"/>
          <w:szCs w:val="21"/>
          <w:highlight w:val="none"/>
        </w:rPr>
      </w:pPr>
      <w:r>
        <w:rPr>
          <w:color w:val="auto"/>
          <w:sz w:val="21"/>
          <w:szCs w:val="21"/>
          <w:highlight w:val="none"/>
        </w:rPr>
        <w:t>注</w:t>
      </w:r>
      <w:r>
        <w:rPr>
          <w:rFonts w:hint="eastAsia"/>
          <w:color w:val="auto"/>
          <w:sz w:val="21"/>
          <w:szCs w:val="21"/>
          <w:highlight w:val="none"/>
        </w:rPr>
        <w:t>：</w:t>
      </w:r>
      <w:r>
        <w:rPr>
          <w:color w:val="auto"/>
          <w:sz w:val="21"/>
          <w:szCs w:val="21"/>
          <w:highlight w:val="none"/>
        </w:rPr>
        <w:t>①主要人员指项目经理、技术负责人、</w:t>
      </w:r>
      <w:r>
        <w:rPr>
          <w:rFonts w:hint="eastAsia"/>
          <w:color w:val="auto"/>
          <w:sz w:val="21"/>
          <w:szCs w:val="21"/>
          <w:highlight w:val="none"/>
        </w:rPr>
        <w:t>安全员</w:t>
      </w:r>
      <w:r>
        <w:rPr>
          <w:color w:val="auto"/>
          <w:sz w:val="21"/>
          <w:szCs w:val="21"/>
          <w:highlight w:val="none"/>
        </w:rPr>
        <w:t>、</w:t>
      </w:r>
      <w:r>
        <w:rPr>
          <w:rFonts w:hint="eastAsia"/>
          <w:color w:val="auto"/>
          <w:sz w:val="21"/>
          <w:szCs w:val="21"/>
          <w:highlight w:val="none"/>
        </w:rPr>
        <w:t>质量员</w:t>
      </w:r>
      <w:r>
        <w:rPr>
          <w:color w:val="auto"/>
          <w:sz w:val="21"/>
          <w:szCs w:val="21"/>
          <w:highlight w:val="none"/>
        </w:rPr>
        <w:t>及其它主要人员。 每个人员按照以上格式填写（可扩展为多页）。</w:t>
      </w:r>
    </w:p>
    <w:p w14:paraId="2B7E733E">
      <w:pPr>
        <w:spacing w:line="580" w:lineRule="exact"/>
        <w:rPr>
          <w:rFonts w:hint="eastAsia" w:ascii="宋体" w:hAnsi="宋体" w:cs="宋体"/>
          <w:b/>
          <w:color w:val="auto"/>
          <w:sz w:val="30"/>
          <w:szCs w:val="30"/>
          <w:highlight w:val="none"/>
        </w:rPr>
      </w:pPr>
    </w:p>
    <w:p w14:paraId="4DD5A41E">
      <w:pPr>
        <w:spacing w:line="580" w:lineRule="exact"/>
        <w:rPr>
          <w:rFonts w:hint="eastAsia" w:ascii="宋体" w:hAnsi="宋体" w:cs="宋体"/>
          <w:b/>
          <w:color w:val="auto"/>
          <w:sz w:val="30"/>
          <w:szCs w:val="30"/>
          <w:highlight w:val="none"/>
        </w:rPr>
      </w:pPr>
    </w:p>
    <w:p w14:paraId="57A39B7F">
      <w:pPr>
        <w:spacing w:line="580" w:lineRule="exact"/>
        <w:rPr>
          <w:rFonts w:hint="eastAsia" w:ascii="宋体" w:hAnsi="宋体" w:cs="宋体"/>
          <w:b/>
          <w:color w:val="auto"/>
          <w:sz w:val="30"/>
          <w:szCs w:val="30"/>
          <w:highlight w:val="none"/>
        </w:rPr>
      </w:pPr>
    </w:p>
    <w:p w14:paraId="20ADC5F9">
      <w:p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t>九、供应商认为需要提供的其他有关资料</w:t>
      </w:r>
    </w:p>
    <w:p w14:paraId="56E361B7">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13DB46C8">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0D45AF9">
      <w:pPr>
        <w:autoSpaceDE w:val="0"/>
        <w:autoSpaceDN w:val="0"/>
        <w:spacing w:line="360" w:lineRule="auto"/>
        <w:ind w:firstLine="6480" w:firstLineChars="2700"/>
        <w:rPr>
          <w:rFonts w:hint="eastAsia" w:ascii="宋体" w:hAnsi="宋体" w:cs="宋体"/>
          <w:color w:val="auto"/>
          <w:sz w:val="32"/>
          <w:szCs w:val="32"/>
          <w:highlight w:val="none"/>
        </w:rPr>
        <w:sectPr>
          <w:headerReference r:id="rId6" w:type="default"/>
          <w:footerReference r:id="rId7" w:type="default"/>
          <w:pgSz w:w="11910" w:h="16840"/>
          <w:pgMar w:top="1440" w:right="1080" w:bottom="1440" w:left="1080" w:header="0" w:footer="720" w:gutter="0"/>
          <w:cols w:space="720" w:num="1"/>
        </w:sectPr>
      </w:pPr>
      <w:r>
        <w:rPr>
          <w:rFonts w:hint="eastAsia" w:ascii="宋体" w:hAnsi="宋体" w:cs="宋体"/>
          <w:color w:val="auto"/>
          <w:kern w:val="0"/>
          <w:sz w:val="24"/>
          <w:highlight w:val="none"/>
          <w:lang w:val="zh-CN"/>
        </w:rPr>
        <w:t>日期： 年  月   日</w:t>
      </w:r>
    </w:p>
    <w:p w14:paraId="06751F14">
      <w:pPr>
        <w:pStyle w:val="2"/>
        <w:rPr>
          <w:rFonts w:hint="eastAsia" w:ascii="宋体" w:hAnsi="宋体" w:cs="宋体"/>
          <w:color w:val="auto"/>
          <w:sz w:val="32"/>
          <w:szCs w:val="32"/>
          <w:highlight w:val="none"/>
          <w:lang w:eastAsia="zh-CN"/>
        </w:rPr>
      </w:pPr>
      <w:bookmarkStart w:id="128" w:name="_Toc20935"/>
      <w:bookmarkStart w:id="129" w:name="_Toc26782"/>
      <w:bookmarkStart w:id="130" w:name="_Toc14924"/>
      <w:r>
        <w:rPr>
          <w:rFonts w:hint="eastAsia" w:ascii="宋体" w:hAnsi="宋体" w:cs="宋体"/>
          <w:color w:val="auto"/>
          <w:sz w:val="32"/>
          <w:szCs w:val="32"/>
          <w:highlight w:val="none"/>
          <w:lang w:eastAsia="zh-CN"/>
        </w:rPr>
        <w:t>三、首次</w:t>
      </w:r>
      <w:r>
        <w:rPr>
          <w:rFonts w:hint="eastAsia" w:ascii="宋体" w:hAnsi="宋体" w:cs="宋体"/>
          <w:color w:val="auto"/>
          <w:sz w:val="32"/>
          <w:szCs w:val="32"/>
          <w:highlight w:val="none"/>
        </w:rPr>
        <w:t>报价文件格式</w:t>
      </w:r>
      <w:bookmarkEnd w:id="128"/>
      <w:bookmarkEnd w:id="129"/>
      <w:bookmarkEnd w:id="130"/>
    </w:p>
    <w:p w14:paraId="55EF2723">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7871E106">
      <w:pPr>
        <w:snapToGrid w:val="0"/>
        <w:spacing w:before="120" w:beforeLines="50" w:after="50"/>
        <w:rPr>
          <w:rFonts w:hint="eastAsia" w:ascii="宋体" w:hAnsi="宋体" w:cs="宋体"/>
          <w:color w:val="auto"/>
          <w:sz w:val="24"/>
          <w:szCs w:val="20"/>
          <w:highlight w:val="none"/>
        </w:rPr>
      </w:pPr>
    </w:p>
    <w:p w14:paraId="1596485A">
      <w:pPr>
        <w:snapToGrid w:val="0"/>
        <w:spacing w:before="120" w:beforeLines="50" w:after="50"/>
        <w:rPr>
          <w:rFonts w:hint="eastAsia" w:ascii="宋体" w:hAnsi="宋体" w:cs="宋体"/>
          <w:color w:val="auto"/>
          <w:sz w:val="24"/>
          <w:szCs w:val="20"/>
          <w:highlight w:val="none"/>
        </w:rPr>
      </w:pPr>
    </w:p>
    <w:p w14:paraId="37D0611C">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7BC5FDB4">
      <w:pPr>
        <w:snapToGrid w:val="0"/>
        <w:spacing w:before="120" w:beforeLines="50" w:after="50"/>
        <w:rPr>
          <w:rFonts w:hint="eastAsia" w:ascii="宋体" w:hAnsi="宋体" w:eastAsia="宋体" w:cs="宋体"/>
          <w:color w:val="auto"/>
          <w:sz w:val="24"/>
          <w:szCs w:val="20"/>
          <w:highlight w:val="none"/>
        </w:rPr>
      </w:pPr>
    </w:p>
    <w:p w14:paraId="7B5F7B6D">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首  次  报  价  文  件</w:t>
      </w:r>
    </w:p>
    <w:p w14:paraId="661D88CE">
      <w:pPr>
        <w:snapToGrid w:val="0"/>
        <w:spacing w:before="120" w:beforeLines="50" w:after="50"/>
        <w:rPr>
          <w:rFonts w:hint="eastAsia" w:ascii="宋体" w:hAnsi="宋体"/>
          <w:bCs/>
          <w:color w:val="auto"/>
          <w:sz w:val="24"/>
          <w:szCs w:val="20"/>
          <w:highlight w:val="none"/>
        </w:rPr>
      </w:pPr>
    </w:p>
    <w:p w14:paraId="6C3D035E">
      <w:pPr>
        <w:snapToGrid w:val="0"/>
        <w:spacing w:before="120" w:beforeLines="50" w:after="50"/>
        <w:rPr>
          <w:rFonts w:hint="eastAsia" w:ascii="宋体" w:hAnsi="宋体"/>
          <w:bCs/>
          <w:color w:val="auto"/>
          <w:sz w:val="24"/>
          <w:szCs w:val="20"/>
          <w:highlight w:val="none"/>
        </w:rPr>
      </w:pPr>
    </w:p>
    <w:p w14:paraId="5A89BE12">
      <w:pPr>
        <w:snapToGrid w:val="0"/>
        <w:spacing w:before="120" w:beforeLines="50" w:after="50"/>
        <w:rPr>
          <w:rFonts w:hint="eastAsia" w:ascii="宋体" w:hAnsi="宋体"/>
          <w:bCs/>
          <w:color w:val="auto"/>
          <w:sz w:val="24"/>
          <w:szCs w:val="20"/>
          <w:highlight w:val="none"/>
        </w:rPr>
      </w:pPr>
    </w:p>
    <w:p w14:paraId="66A3FB54">
      <w:pPr>
        <w:snapToGrid w:val="0"/>
        <w:spacing w:before="120" w:beforeLines="50" w:after="50"/>
        <w:rPr>
          <w:rFonts w:hint="eastAsia" w:ascii="宋体" w:hAnsi="宋体"/>
          <w:bCs/>
          <w:color w:val="auto"/>
          <w:sz w:val="24"/>
          <w:szCs w:val="20"/>
          <w:highlight w:val="none"/>
        </w:rPr>
      </w:pPr>
    </w:p>
    <w:p w14:paraId="0F63FA1E">
      <w:pPr>
        <w:snapToGrid w:val="0"/>
        <w:spacing w:before="120" w:beforeLines="50" w:after="50"/>
        <w:rPr>
          <w:rFonts w:hint="eastAsia" w:ascii="宋体" w:hAnsi="宋体"/>
          <w:bCs/>
          <w:color w:val="auto"/>
          <w:sz w:val="24"/>
          <w:szCs w:val="20"/>
          <w:highlight w:val="none"/>
        </w:rPr>
      </w:pPr>
    </w:p>
    <w:p w14:paraId="51414671">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6A4BBE7">
      <w:pPr>
        <w:snapToGrid w:val="0"/>
        <w:spacing w:before="120" w:beforeLines="50" w:after="50"/>
        <w:ind w:firstLine="720" w:firstLineChars="225"/>
        <w:rPr>
          <w:rFonts w:hint="eastAsia" w:ascii="宋体" w:hAnsi="宋体" w:cs="仿宋_GB2312"/>
          <w:bCs/>
          <w:color w:val="auto"/>
          <w:sz w:val="32"/>
          <w:szCs w:val="32"/>
          <w:highlight w:val="none"/>
        </w:rPr>
      </w:pPr>
    </w:p>
    <w:p w14:paraId="7D046BE3">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7B8709C">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3247F49">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w:t>
      </w:r>
    </w:p>
    <w:p w14:paraId="624DF3E0">
      <w:pPr>
        <w:snapToGrid w:val="0"/>
        <w:spacing w:before="120" w:beforeLines="50" w:after="50"/>
        <w:ind w:firstLine="720" w:firstLineChars="225"/>
        <w:rPr>
          <w:rFonts w:hint="eastAsia" w:ascii="宋体" w:hAnsi="宋体" w:cs="仿宋_GB2312"/>
          <w:bCs/>
          <w:color w:val="auto"/>
          <w:sz w:val="32"/>
          <w:szCs w:val="32"/>
          <w:highlight w:val="none"/>
        </w:rPr>
      </w:pPr>
    </w:p>
    <w:p w14:paraId="325122FA">
      <w:pPr>
        <w:pStyle w:val="5"/>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BABD40D">
      <w:pPr>
        <w:pStyle w:val="5"/>
        <w:snapToGrid w:val="0"/>
        <w:spacing w:before="50" w:after="50"/>
        <w:ind w:firstLine="640" w:firstLineChars="200"/>
        <w:rPr>
          <w:rFonts w:hint="eastAsia" w:ascii="宋体" w:hAnsi="宋体" w:cs="仿宋_GB2312"/>
          <w:bCs/>
          <w:color w:val="auto"/>
          <w:sz w:val="32"/>
          <w:szCs w:val="32"/>
          <w:highlight w:val="none"/>
        </w:rPr>
      </w:pPr>
    </w:p>
    <w:p w14:paraId="316E6579">
      <w:pPr>
        <w:pStyle w:val="5"/>
        <w:snapToGrid w:val="0"/>
        <w:spacing w:before="50" w:after="50"/>
        <w:ind w:firstLine="0"/>
        <w:rPr>
          <w:rFonts w:hint="eastAsia" w:ascii="宋体" w:hAnsi="宋体" w:cs="仿宋_GB2312"/>
          <w:bCs/>
          <w:color w:val="auto"/>
          <w:sz w:val="32"/>
          <w:szCs w:val="32"/>
          <w:highlight w:val="none"/>
        </w:rPr>
      </w:pPr>
    </w:p>
    <w:p w14:paraId="42878165">
      <w:pPr>
        <w:pStyle w:val="5"/>
        <w:snapToGrid w:val="0"/>
        <w:spacing w:before="50" w:after="50"/>
        <w:ind w:firstLine="1280" w:firstLineChars="400"/>
        <w:rPr>
          <w:rFonts w:hint="eastAsia" w:ascii="宋体" w:hAnsi="宋体" w:cs="仿宋_GB2312"/>
          <w:bCs/>
          <w:color w:val="auto"/>
          <w:sz w:val="32"/>
          <w:szCs w:val="32"/>
          <w:highlight w:val="none"/>
        </w:rPr>
      </w:pPr>
    </w:p>
    <w:p w14:paraId="4AC3C03D">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A3419AB">
      <w:pPr>
        <w:snapToGrid w:val="0"/>
        <w:spacing w:before="120" w:beforeLines="50" w:after="50" w:line="400" w:lineRule="exact"/>
        <w:jc w:val="center"/>
        <w:rPr>
          <w:rFonts w:hint="eastAsia" w:ascii="宋体" w:hAnsi="宋体" w:cs="宋体"/>
          <w:b/>
          <w:bCs/>
          <w:color w:val="auto"/>
          <w:sz w:val="32"/>
          <w:szCs w:val="32"/>
          <w:highlight w:val="none"/>
        </w:rPr>
      </w:pPr>
    </w:p>
    <w:p w14:paraId="7F93D9C3">
      <w:pPr>
        <w:snapToGrid w:val="0"/>
        <w:spacing w:before="120" w:beforeLines="50" w:after="50" w:line="400" w:lineRule="exact"/>
        <w:jc w:val="center"/>
        <w:rPr>
          <w:rFonts w:hint="eastAsia" w:ascii="宋体" w:hAnsi="宋体" w:cs="宋体"/>
          <w:b/>
          <w:bCs/>
          <w:color w:val="auto"/>
          <w:sz w:val="32"/>
          <w:szCs w:val="32"/>
          <w:highlight w:val="none"/>
        </w:rPr>
      </w:pPr>
    </w:p>
    <w:p w14:paraId="39FB401D">
      <w:pPr>
        <w:snapToGrid w:val="0"/>
        <w:spacing w:before="120" w:beforeLines="50" w:after="50" w:line="400" w:lineRule="exact"/>
        <w:jc w:val="center"/>
        <w:rPr>
          <w:rFonts w:hint="eastAsia" w:ascii="宋体" w:hAnsi="宋体" w:cs="宋体"/>
          <w:b/>
          <w:bCs/>
          <w:color w:val="auto"/>
          <w:sz w:val="32"/>
          <w:szCs w:val="32"/>
          <w:highlight w:val="none"/>
        </w:rPr>
      </w:pPr>
    </w:p>
    <w:p w14:paraId="1005C5B0">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22E3F024">
      <w:pPr>
        <w:rPr>
          <w:rFonts w:hint="eastAsia" w:ascii="宋体" w:hAnsi="宋体" w:cs="宋体"/>
          <w:color w:val="auto"/>
          <w:highlight w:val="none"/>
        </w:rPr>
      </w:pPr>
    </w:p>
    <w:p w14:paraId="141C7EB8">
      <w:pPr>
        <w:numPr>
          <w:ilvl w:val="0"/>
          <w:numId w:val="8"/>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响应函及响应函附录………………………………………………………………（页码）</w:t>
      </w:r>
    </w:p>
    <w:p w14:paraId="0BFEE7EF">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二</w:t>
      </w:r>
      <w:r>
        <w:rPr>
          <w:rFonts w:hint="eastAsia" w:ascii="宋体" w:hAnsi="宋体" w:cs="宋体"/>
          <w:color w:val="auto"/>
          <w:kern w:val="0"/>
          <w:sz w:val="24"/>
          <w:highlight w:val="none"/>
        </w:rPr>
        <w:t>、已标价工程量清单…………………………………………………………………（页码）</w:t>
      </w:r>
    </w:p>
    <w:p w14:paraId="70CBE4F9">
      <w:pPr>
        <w:tabs>
          <w:tab w:val="left" w:pos="3479"/>
        </w:tabs>
        <w:spacing w:line="520" w:lineRule="exact"/>
        <w:rPr>
          <w:rFonts w:ascii="方正小标宋简体" w:hAnsi="方正小标宋简体" w:eastAsia="方正小标宋简体" w:cs="方正小标宋简体"/>
          <w:bCs/>
          <w:color w:val="auto"/>
          <w:sz w:val="44"/>
          <w:szCs w:val="44"/>
          <w:highlight w:val="none"/>
        </w:rPr>
        <w:sectPr>
          <w:pgSz w:w="11910" w:h="16840"/>
          <w:pgMar w:top="1134" w:right="1134" w:bottom="1134" w:left="1134" w:header="850" w:footer="567" w:gutter="0"/>
          <w:cols w:space="720" w:num="1"/>
          <w:docGrid w:linePitch="286" w:charSpace="0"/>
        </w:sectPr>
      </w:pPr>
    </w:p>
    <w:p w14:paraId="121B43DC">
      <w:pPr>
        <w:pStyle w:val="11"/>
        <w:spacing w:line="500" w:lineRule="exact"/>
        <w:jc w:val="left"/>
        <w:rPr>
          <w:rFonts w:hint="eastAsia" w:hAnsi="宋体" w:cs="宋体"/>
          <w:b/>
          <w:bCs/>
          <w:color w:val="auto"/>
          <w:sz w:val="30"/>
          <w:szCs w:val="30"/>
          <w:highlight w:val="none"/>
          <w:lang w:val="en-US" w:eastAsia="zh-CN"/>
        </w:rPr>
      </w:pPr>
      <w:r>
        <w:rPr>
          <w:rFonts w:hint="eastAsia" w:hAnsi="宋体" w:cs="宋体"/>
          <w:b/>
          <w:bCs/>
          <w:color w:val="auto"/>
          <w:sz w:val="30"/>
          <w:szCs w:val="30"/>
          <w:highlight w:val="none"/>
          <w:lang w:eastAsia="zh-CN"/>
        </w:rPr>
        <w:t>一、响应函及响应函附录</w:t>
      </w:r>
    </w:p>
    <w:p w14:paraId="08DD2EB2">
      <w:pPr>
        <w:pStyle w:val="11"/>
        <w:spacing w:line="500" w:lineRule="exact"/>
        <w:ind w:firstLine="602"/>
        <w:jc w:val="center"/>
        <w:rPr>
          <w:rFonts w:hint="eastAsia" w:hAnsi="宋体" w:cs="宋体"/>
          <w:b/>
          <w:bCs/>
          <w:color w:val="auto"/>
          <w:sz w:val="30"/>
          <w:szCs w:val="30"/>
          <w:highlight w:val="none"/>
        </w:rPr>
      </w:pPr>
    </w:p>
    <w:p w14:paraId="6542F2F8">
      <w:pPr>
        <w:pStyle w:val="30"/>
        <w:jc w:val="center"/>
        <w:rPr>
          <w:rFonts w:hint="eastAsia" w:ascii="宋体" w:hAnsi="宋体"/>
          <w:color w:val="auto"/>
          <w:sz w:val="24"/>
          <w:szCs w:val="24"/>
          <w:highlight w:val="none"/>
          <w:lang w:eastAsia="zh-CN"/>
        </w:rPr>
      </w:pPr>
      <w:bookmarkStart w:id="131" w:name="_Toc28668"/>
      <w:bookmarkStart w:id="132" w:name="_Toc15311"/>
      <w:r>
        <w:rPr>
          <w:rFonts w:hint="eastAsia" w:ascii="宋体" w:hAnsi="宋体"/>
          <w:color w:val="auto"/>
          <w:sz w:val="28"/>
          <w:szCs w:val="28"/>
          <w:highlight w:val="none"/>
          <w:lang w:eastAsia="zh-CN"/>
        </w:rPr>
        <w:t>（―）响应函</w:t>
      </w:r>
      <w:bookmarkEnd w:id="131"/>
      <w:bookmarkEnd w:id="132"/>
    </w:p>
    <w:p w14:paraId="3F699CCD">
      <w:pPr>
        <w:pStyle w:val="27"/>
        <w:spacing w:line="420" w:lineRule="exact"/>
        <w:rPr>
          <w:color w:val="auto"/>
          <w:highlight w:val="none"/>
          <w:lang w:eastAsia="zh-CN"/>
        </w:rPr>
      </w:pP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u w:val="single"/>
          <w:lang w:eastAsia="zh-CN"/>
        </w:rPr>
        <w:t xml:space="preserve">   </w:t>
      </w:r>
      <w:r>
        <w:rPr>
          <w:color w:val="auto"/>
          <w:highlight w:val="none"/>
          <w:lang w:eastAsia="zh-CN"/>
        </w:rPr>
        <w:t>（</w:t>
      </w:r>
      <w:r>
        <w:rPr>
          <w:rFonts w:hint="eastAsia"/>
          <w:color w:val="auto"/>
          <w:highlight w:val="none"/>
          <w:lang w:eastAsia="zh-CN"/>
        </w:rPr>
        <w:t>采购人名称</w:t>
      </w:r>
      <w:r>
        <w:rPr>
          <w:color w:val="auto"/>
          <w:highlight w:val="none"/>
          <w:lang w:eastAsia="zh-CN"/>
        </w:rPr>
        <w:t>）</w:t>
      </w:r>
      <w:r>
        <w:rPr>
          <w:rFonts w:hint="eastAsia"/>
          <w:color w:val="auto"/>
          <w:highlight w:val="none"/>
          <w:lang w:eastAsia="zh-CN"/>
        </w:rPr>
        <w:t>：</w:t>
      </w:r>
    </w:p>
    <w:p w14:paraId="5BFFE018">
      <w:pPr>
        <w:pStyle w:val="26"/>
        <w:numPr>
          <w:ilvl w:val="0"/>
          <w:numId w:val="9"/>
        </w:numPr>
        <w:tabs>
          <w:tab w:val="left" w:pos="762"/>
          <w:tab w:val="left" w:pos="2074"/>
          <w:tab w:val="left" w:pos="3430"/>
          <w:tab w:val="left" w:pos="4687"/>
          <w:tab w:val="left" w:pos="7898"/>
        </w:tabs>
        <w:spacing w:line="420" w:lineRule="exact"/>
        <w:ind w:firstLine="44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我方已仔细研究了</w:t>
      </w:r>
      <w:r>
        <w:rPr>
          <w:rFonts w:hint="eastAsia" w:ascii="Times New Roman" w:hAnsi="Times New Roman" w:cs="Times New Roman"/>
          <w:color w:val="auto"/>
          <w:sz w:val="24"/>
          <w:szCs w:val="24"/>
          <w:highlight w:val="none"/>
          <w:u w:val="single"/>
          <w:lang w:val="en-US"/>
        </w:rPr>
        <w:t xml:space="preserve">           </w:t>
      </w:r>
      <w:r>
        <w:rPr>
          <w:rFonts w:ascii="Times New Roman" w:hAnsi="Times New Roman" w:cs="Times New Roman"/>
          <w:color w:val="auto"/>
          <w:sz w:val="24"/>
          <w:szCs w:val="24"/>
          <w:highlight w:val="none"/>
        </w:rPr>
        <w:t>（项目名称）</w:t>
      </w:r>
      <w:r>
        <w:rPr>
          <w:rFonts w:hint="eastAsia" w:ascii="Times New Roman" w:hAnsi="Times New Roman" w:cs="Times New Roman"/>
          <w:color w:val="auto"/>
          <w:sz w:val="24"/>
          <w:szCs w:val="24"/>
          <w:highlight w:val="none"/>
          <w:u w:val="single"/>
          <w:lang w:val="en-US"/>
        </w:rPr>
        <w:t xml:space="preserve">          </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项目编号</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施工竞争性谈判文件</w:t>
      </w:r>
      <w:r>
        <w:rPr>
          <w:rFonts w:ascii="Times New Roman" w:hAnsi="Times New Roman" w:cs="Times New Roman"/>
          <w:color w:val="auto"/>
          <w:sz w:val="24"/>
          <w:szCs w:val="24"/>
          <w:highlight w:val="none"/>
        </w:rPr>
        <w:t>的全部内容，愿意以人民币（大写）</w:t>
      </w:r>
      <w:r>
        <w:rPr>
          <w:rFonts w:hint="eastAsia" w:ascii="Times New Roman" w:hAnsi="Times New Roman" w:cs="Times New Roman"/>
          <w:color w:val="auto"/>
          <w:sz w:val="24"/>
          <w:szCs w:val="24"/>
          <w:highlight w:val="none"/>
          <w:u w:val="single"/>
          <w:lang w:val="en-US"/>
        </w:rPr>
        <w:t xml:space="preserve">            </w:t>
      </w:r>
      <w:r>
        <w:rPr>
          <w:rFonts w:ascii="Times New Roman" w:hAnsi="Times New Roman" w:cs="Times New Roman"/>
          <w:color w:val="auto"/>
          <w:sz w:val="24"/>
          <w:szCs w:val="24"/>
          <w:highlight w:val="none"/>
        </w:rPr>
        <w:t>元（¥</w:t>
      </w:r>
      <w:r>
        <w:rPr>
          <w:rFonts w:hint="eastAsia" w:ascii="Times New Roman" w:hAnsi="Times New Roman" w:cs="Times New Roman"/>
          <w:color w:val="auto"/>
          <w:sz w:val="24"/>
          <w:szCs w:val="24"/>
          <w:highlight w:val="none"/>
          <w:u w:val="single"/>
          <w:lang w:val="en-US"/>
        </w:rPr>
        <w:t xml:space="preserve">        </w:t>
      </w:r>
      <w:r>
        <w:rPr>
          <w:rFonts w:ascii="Times New Roman" w:hAnsi="Times New Roman" w:cs="Times New Roman"/>
          <w:color w:val="auto"/>
          <w:sz w:val="24"/>
          <w:szCs w:val="24"/>
          <w:highlight w:val="none"/>
        </w:rPr>
        <w:t>元）的</w:t>
      </w:r>
      <w:r>
        <w:rPr>
          <w:rFonts w:hint="eastAsia" w:ascii="Times New Roman" w:hAnsi="Times New Roman" w:cs="Times New Roman"/>
          <w:color w:val="auto"/>
          <w:sz w:val="24"/>
          <w:szCs w:val="24"/>
          <w:highlight w:val="none"/>
        </w:rPr>
        <w:t>竞标总报价</w:t>
      </w:r>
      <w:r>
        <w:rPr>
          <w:rFonts w:ascii="Times New Roman" w:hAnsi="Times New Roman" w:cs="Times New Roman"/>
          <w:color w:val="auto"/>
          <w:sz w:val="24"/>
          <w:szCs w:val="24"/>
          <w:highlight w:val="none"/>
        </w:rPr>
        <w:t>，工期</w:t>
      </w:r>
      <w:r>
        <w:rPr>
          <w:rFonts w:hint="eastAsia" w:ascii="Times New Roman" w:hAnsi="Times New Roman" w:cs="Times New Roman"/>
          <w:color w:val="auto"/>
          <w:sz w:val="24"/>
          <w:szCs w:val="24"/>
          <w:highlight w:val="none"/>
          <w:u w:val="single"/>
          <w:lang w:val="en-US"/>
        </w:rPr>
        <w:t xml:space="preserve">            </w:t>
      </w:r>
      <w:r>
        <w:rPr>
          <w:rFonts w:ascii="Times New Roman" w:hAnsi="Times New Roman" w:cs="Times New Roman"/>
          <w:color w:val="auto"/>
          <w:sz w:val="24"/>
          <w:szCs w:val="24"/>
          <w:highlight w:val="none"/>
        </w:rPr>
        <w:t>日历天，按合同约定实施和完成承包工程，修补工程中的任何缺陷，工程质量达到</w:t>
      </w:r>
      <w:r>
        <w:rPr>
          <w:rFonts w:hint="eastAsia" w:ascii="Times New Roman" w:hAnsi="Times New Roman" w:cs="Times New Roman"/>
          <w:color w:val="auto"/>
          <w:sz w:val="24"/>
          <w:szCs w:val="24"/>
          <w:highlight w:val="none"/>
          <w:u w:val="single"/>
          <w:lang w:val="en-US"/>
        </w:rPr>
        <w:t xml:space="preserve">           </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lang w:val="en-US" w:bidi="en-US"/>
        </w:rPr>
        <w:t>。</w:t>
      </w:r>
    </w:p>
    <w:p w14:paraId="0443040D">
      <w:pPr>
        <w:pStyle w:val="26"/>
        <w:numPr>
          <w:ilvl w:val="0"/>
          <w:numId w:val="9"/>
        </w:numPr>
        <w:tabs>
          <w:tab w:val="left" w:pos="774"/>
        </w:tabs>
        <w:spacing w:line="420" w:lineRule="exact"/>
        <w:ind w:firstLine="44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我方承诺在投标有效期内不补充、修改、替代或者撤回本</w:t>
      </w:r>
      <w:r>
        <w:rPr>
          <w:rFonts w:hint="eastAsia" w:ascii="Times New Roman" w:hAnsi="Times New Roman" w:cs="Times New Roman"/>
          <w:color w:val="auto"/>
          <w:sz w:val="24"/>
          <w:szCs w:val="24"/>
          <w:highlight w:val="none"/>
        </w:rPr>
        <w:t>响应文件</w:t>
      </w:r>
      <w:r>
        <w:rPr>
          <w:rFonts w:ascii="Times New Roman" w:hAnsi="Times New Roman" w:cs="Times New Roman"/>
          <w:color w:val="auto"/>
          <w:sz w:val="24"/>
          <w:szCs w:val="24"/>
          <w:highlight w:val="none"/>
        </w:rPr>
        <w:t>。</w:t>
      </w:r>
    </w:p>
    <w:p w14:paraId="679DCAD8">
      <w:pPr>
        <w:pStyle w:val="26"/>
        <w:numPr>
          <w:ilvl w:val="0"/>
          <w:numId w:val="9"/>
        </w:numPr>
        <w:tabs>
          <w:tab w:val="left" w:pos="762"/>
        </w:tabs>
        <w:spacing w:line="420" w:lineRule="exact"/>
        <w:ind w:firstLine="42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如</w:t>
      </w:r>
      <w:r>
        <w:rPr>
          <w:rFonts w:hint="eastAsia" w:ascii="Times New Roman" w:hAnsi="Times New Roman" w:cs="Times New Roman"/>
          <w:color w:val="auto"/>
          <w:sz w:val="24"/>
          <w:szCs w:val="24"/>
          <w:highlight w:val="none"/>
        </w:rPr>
        <w:t>我方成交：</w:t>
      </w:r>
    </w:p>
    <w:p w14:paraId="0424E57B">
      <w:pPr>
        <w:pStyle w:val="26"/>
        <w:tabs>
          <w:tab w:val="left" w:pos="903"/>
        </w:tabs>
        <w:spacing w:line="420" w:lineRule="exact"/>
        <w:ind w:firstLine="42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（1）我方承诺在收到</w:t>
      </w:r>
      <w:r>
        <w:rPr>
          <w:rFonts w:hint="eastAsia" w:ascii="Times New Roman" w:hAnsi="Times New Roman" w:cs="Times New Roman"/>
          <w:color w:val="auto"/>
          <w:sz w:val="24"/>
          <w:szCs w:val="24"/>
          <w:highlight w:val="none"/>
        </w:rPr>
        <w:t>成交通知书</w:t>
      </w:r>
      <w:r>
        <w:rPr>
          <w:rFonts w:ascii="Times New Roman" w:hAnsi="Times New Roman" w:cs="Times New Roman"/>
          <w:color w:val="auto"/>
          <w:sz w:val="24"/>
          <w:szCs w:val="24"/>
          <w:highlight w:val="none"/>
        </w:rPr>
        <w:t>后，在</w:t>
      </w:r>
      <w:r>
        <w:rPr>
          <w:rFonts w:hint="eastAsia" w:ascii="Times New Roman" w:hAnsi="Times New Roman" w:cs="Times New Roman"/>
          <w:color w:val="auto"/>
          <w:sz w:val="24"/>
          <w:szCs w:val="24"/>
          <w:highlight w:val="none"/>
        </w:rPr>
        <w:t>成交通知书</w:t>
      </w:r>
      <w:r>
        <w:rPr>
          <w:rFonts w:ascii="Times New Roman" w:hAnsi="Times New Roman" w:cs="Times New Roman"/>
          <w:color w:val="auto"/>
          <w:sz w:val="24"/>
          <w:szCs w:val="24"/>
          <w:highlight w:val="none"/>
        </w:rPr>
        <w:t>规定的期限内与你方签订合同。</w:t>
      </w:r>
    </w:p>
    <w:p w14:paraId="0FF35890">
      <w:pPr>
        <w:pStyle w:val="26"/>
        <w:tabs>
          <w:tab w:val="left" w:pos="903"/>
        </w:tabs>
        <w:spacing w:line="420" w:lineRule="exact"/>
        <w:ind w:firstLine="42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（2）随同本</w:t>
      </w:r>
      <w:r>
        <w:rPr>
          <w:rFonts w:hint="eastAsia" w:ascii="Times New Roman" w:hAnsi="Times New Roman" w:cs="Times New Roman"/>
          <w:color w:val="auto"/>
          <w:sz w:val="24"/>
          <w:szCs w:val="24"/>
          <w:highlight w:val="none"/>
        </w:rPr>
        <w:t>响应函</w:t>
      </w:r>
      <w:r>
        <w:rPr>
          <w:rFonts w:ascii="Times New Roman" w:hAnsi="Times New Roman" w:cs="Times New Roman"/>
          <w:color w:val="auto"/>
          <w:sz w:val="24"/>
          <w:szCs w:val="24"/>
          <w:highlight w:val="none"/>
        </w:rPr>
        <w:t>递交的</w:t>
      </w:r>
      <w:r>
        <w:rPr>
          <w:rFonts w:hint="eastAsia" w:ascii="Times New Roman" w:hAnsi="Times New Roman" w:cs="Times New Roman"/>
          <w:color w:val="auto"/>
          <w:sz w:val="24"/>
          <w:szCs w:val="24"/>
          <w:highlight w:val="none"/>
        </w:rPr>
        <w:t>响应函</w:t>
      </w:r>
      <w:r>
        <w:rPr>
          <w:rFonts w:ascii="Times New Roman" w:hAnsi="Times New Roman" w:cs="Times New Roman"/>
          <w:color w:val="auto"/>
          <w:sz w:val="24"/>
          <w:szCs w:val="24"/>
          <w:highlight w:val="none"/>
        </w:rPr>
        <w:t>附录属于合同文件的组成部分。</w:t>
      </w:r>
    </w:p>
    <w:p w14:paraId="7A225F0C">
      <w:pPr>
        <w:pStyle w:val="26"/>
        <w:tabs>
          <w:tab w:val="left" w:pos="903"/>
        </w:tabs>
        <w:spacing w:line="420" w:lineRule="exact"/>
        <w:ind w:firstLine="42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（3）我方承诺按照</w:t>
      </w:r>
      <w:r>
        <w:rPr>
          <w:rFonts w:hint="eastAsia" w:ascii="Times New Roman" w:hAnsi="Times New Roman" w:cs="Times New Roman"/>
          <w:color w:val="auto"/>
          <w:sz w:val="24"/>
          <w:szCs w:val="24"/>
          <w:highlight w:val="none"/>
        </w:rPr>
        <w:t>竞争性谈判文件</w:t>
      </w:r>
      <w:r>
        <w:rPr>
          <w:rFonts w:ascii="Times New Roman" w:hAnsi="Times New Roman" w:cs="Times New Roman"/>
          <w:color w:val="auto"/>
          <w:sz w:val="24"/>
          <w:szCs w:val="24"/>
          <w:highlight w:val="none"/>
        </w:rPr>
        <w:t>规定向你方递交履约担保。</w:t>
      </w:r>
    </w:p>
    <w:p w14:paraId="08709430">
      <w:pPr>
        <w:pStyle w:val="26"/>
        <w:tabs>
          <w:tab w:val="left" w:pos="903"/>
        </w:tabs>
        <w:spacing w:line="420" w:lineRule="exact"/>
        <w:ind w:firstLine="42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（4）我方承诺在合同约定的期限内完成并移交全部合同工程。</w:t>
      </w:r>
    </w:p>
    <w:p w14:paraId="1F826889">
      <w:pPr>
        <w:pStyle w:val="26"/>
        <w:numPr>
          <w:ilvl w:val="0"/>
          <w:numId w:val="9"/>
        </w:numPr>
        <w:tabs>
          <w:tab w:val="left" w:pos="762"/>
        </w:tabs>
        <w:spacing w:line="420" w:lineRule="exact"/>
        <w:ind w:firstLine="44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我方在此声明，所递交的</w:t>
      </w:r>
      <w:r>
        <w:rPr>
          <w:rFonts w:hint="eastAsia" w:ascii="Times New Roman" w:hAnsi="Times New Roman" w:cs="Times New Roman"/>
          <w:color w:val="auto"/>
          <w:sz w:val="24"/>
          <w:szCs w:val="24"/>
          <w:highlight w:val="none"/>
        </w:rPr>
        <w:t>响应文件</w:t>
      </w:r>
      <w:r>
        <w:rPr>
          <w:rFonts w:ascii="Times New Roman" w:hAnsi="Times New Roman" w:cs="Times New Roman"/>
          <w:color w:val="auto"/>
          <w:sz w:val="24"/>
          <w:szCs w:val="24"/>
          <w:highlight w:val="none"/>
        </w:rPr>
        <w:t>及有关资料内容完整、真实和准确。</w:t>
      </w:r>
    </w:p>
    <w:p w14:paraId="478994F8">
      <w:pPr>
        <w:pStyle w:val="26"/>
        <w:numPr>
          <w:ilvl w:val="0"/>
          <w:numId w:val="9"/>
        </w:numPr>
        <w:tabs>
          <w:tab w:val="left" w:pos="779"/>
          <w:tab w:val="left" w:pos="3704"/>
        </w:tabs>
        <w:spacing w:after="340" w:line="420" w:lineRule="exact"/>
        <w:ind w:firstLine="440"/>
        <w:jc w:val="both"/>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u w:val="single"/>
          <w:lang w:val="en-US"/>
        </w:rPr>
        <w:t xml:space="preserve">                                                       </w:t>
      </w:r>
      <w:r>
        <w:rPr>
          <w:rFonts w:ascii="Times New Roman" w:hAnsi="Times New Roman" w:cs="Times New Roman"/>
          <w:color w:val="auto"/>
          <w:sz w:val="24"/>
          <w:szCs w:val="24"/>
          <w:highlight w:val="none"/>
        </w:rPr>
        <w:t>（其他补充说明）。</w:t>
      </w:r>
    </w:p>
    <w:p w14:paraId="3D6B484A">
      <w:pPr>
        <w:pStyle w:val="26"/>
        <w:tabs>
          <w:tab w:val="left" w:pos="6938"/>
          <w:tab w:val="left" w:pos="7567"/>
          <w:tab w:val="left" w:pos="8340"/>
        </w:tabs>
        <w:ind w:left="3120" w:firstLine="40"/>
        <w:jc w:val="both"/>
        <w:rPr>
          <w:color w:val="auto"/>
          <w:sz w:val="24"/>
          <w:szCs w:val="24"/>
          <w:highlight w:val="none"/>
        </w:rPr>
      </w:pPr>
      <w:r>
        <w:rPr>
          <w:rFonts w:hint="eastAsia"/>
          <w:color w:val="auto"/>
          <w:sz w:val="24"/>
          <w:szCs w:val="24"/>
          <w:highlight w:val="none"/>
        </w:rPr>
        <w:t>竞标人：</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（盖单位电子公章）</w:t>
      </w:r>
    </w:p>
    <w:p w14:paraId="770F76B7">
      <w:pPr>
        <w:pStyle w:val="26"/>
        <w:tabs>
          <w:tab w:val="left" w:pos="6938"/>
          <w:tab w:val="left" w:pos="7567"/>
          <w:tab w:val="left" w:pos="8340"/>
        </w:tabs>
        <w:ind w:left="3120" w:firstLine="40"/>
        <w:jc w:val="both"/>
        <w:rPr>
          <w:color w:val="auto"/>
          <w:sz w:val="24"/>
          <w:szCs w:val="24"/>
          <w:highlight w:val="none"/>
        </w:rPr>
      </w:pPr>
      <w:r>
        <w:rPr>
          <w:rFonts w:hint="eastAsia"/>
          <w:color w:val="auto"/>
          <w:sz w:val="24"/>
          <w:szCs w:val="24"/>
          <w:highlight w:val="none"/>
        </w:rPr>
        <w:t>法定代表人或其委托代理人：</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（签字或电子签名） </w:t>
      </w:r>
    </w:p>
    <w:p w14:paraId="79DCF27F">
      <w:pPr>
        <w:pStyle w:val="26"/>
        <w:tabs>
          <w:tab w:val="left" w:pos="6938"/>
          <w:tab w:val="left" w:pos="7567"/>
          <w:tab w:val="left" w:pos="8340"/>
        </w:tabs>
        <w:ind w:left="3120" w:firstLine="40"/>
        <w:jc w:val="both"/>
        <w:rPr>
          <w:color w:val="auto"/>
          <w:sz w:val="24"/>
          <w:szCs w:val="24"/>
          <w:highlight w:val="none"/>
          <w:u w:val="single"/>
          <w:lang w:val="en-US"/>
        </w:rPr>
      </w:pPr>
      <w:r>
        <w:rPr>
          <w:rFonts w:hint="eastAsia"/>
          <w:color w:val="auto"/>
          <w:sz w:val="24"/>
          <w:szCs w:val="24"/>
          <w:highlight w:val="none"/>
        </w:rPr>
        <w:t>地 址：</w:t>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 xml:space="preserve">   </w:t>
      </w:r>
    </w:p>
    <w:p w14:paraId="2C889869">
      <w:pPr>
        <w:pStyle w:val="26"/>
        <w:tabs>
          <w:tab w:val="left" w:pos="6938"/>
          <w:tab w:val="left" w:pos="7567"/>
          <w:tab w:val="left" w:pos="8340"/>
        </w:tabs>
        <w:ind w:left="3120" w:firstLine="40"/>
        <w:jc w:val="both"/>
        <w:rPr>
          <w:color w:val="auto"/>
          <w:sz w:val="24"/>
          <w:szCs w:val="24"/>
          <w:highlight w:val="none"/>
        </w:rPr>
      </w:pPr>
      <w:r>
        <w:rPr>
          <w:rFonts w:hint="eastAsia"/>
          <w:color w:val="auto"/>
          <w:sz w:val="24"/>
          <w:szCs w:val="24"/>
          <w:highlight w:val="none"/>
        </w:rPr>
        <w:t>邮政编码：</w:t>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 xml:space="preserve">  </w:t>
      </w:r>
    </w:p>
    <w:p w14:paraId="63F2D0D6">
      <w:pPr>
        <w:pStyle w:val="26"/>
        <w:tabs>
          <w:tab w:val="left" w:pos="6938"/>
          <w:tab w:val="left" w:pos="7567"/>
          <w:tab w:val="left" w:pos="8340"/>
        </w:tabs>
        <w:ind w:left="3120" w:firstLine="40"/>
        <w:jc w:val="both"/>
        <w:rPr>
          <w:color w:val="auto"/>
          <w:sz w:val="24"/>
          <w:szCs w:val="24"/>
          <w:highlight w:val="none"/>
        </w:rPr>
      </w:pPr>
      <w:r>
        <w:rPr>
          <w:rFonts w:hint="eastAsia"/>
          <w:color w:val="auto"/>
          <w:sz w:val="24"/>
          <w:szCs w:val="24"/>
          <w:highlight w:val="none"/>
        </w:rPr>
        <w:t>电 话：</w:t>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 xml:space="preserve">  </w:t>
      </w:r>
    </w:p>
    <w:p w14:paraId="25993151">
      <w:pPr>
        <w:pStyle w:val="26"/>
        <w:tabs>
          <w:tab w:val="left" w:pos="6938"/>
          <w:tab w:val="left" w:pos="7567"/>
          <w:tab w:val="left" w:pos="8340"/>
        </w:tabs>
        <w:ind w:left="3120" w:firstLine="40"/>
        <w:jc w:val="both"/>
        <w:rPr>
          <w:rFonts w:hint="eastAsia"/>
          <w:color w:val="auto"/>
          <w:sz w:val="24"/>
          <w:szCs w:val="24"/>
          <w:highlight w:val="none"/>
        </w:rPr>
      </w:pPr>
      <w:r>
        <w:rPr>
          <w:rFonts w:hint="eastAsia"/>
          <w:color w:val="auto"/>
          <w:sz w:val="24"/>
          <w:szCs w:val="24"/>
          <w:highlight w:val="none"/>
        </w:rPr>
        <w:t>手机号码：</w:t>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 xml:space="preserve">  </w:t>
      </w:r>
    </w:p>
    <w:p w14:paraId="29C97824">
      <w:pPr>
        <w:pStyle w:val="26"/>
        <w:tabs>
          <w:tab w:val="left" w:pos="6938"/>
          <w:tab w:val="left" w:pos="7567"/>
          <w:tab w:val="left" w:pos="8340"/>
        </w:tabs>
        <w:ind w:left="3120" w:firstLine="40"/>
        <w:jc w:val="both"/>
        <w:rPr>
          <w:color w:val="auto"/>
          <w:sz w:val="24"/>
          <w:szCs w:val="24"/>
          <w:highlight w:val="none"/>
        </w:rPr>
      </w:pPr>
      <w:r>
        <w:rPr>
          <w:rFonts w:hint="eastAsia"/>
          <w:color w:val="auto"/>
          <w:sz w:val="24"/>
          <w:szCs w:val="24"/>
          <w:highlight w:val="none"/>
        </w:rPr>
        <w:t>传 真：</w:t>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 xml:space="preserve">  </w:t>
      </w:r>
    </w:p>
    <w:p w14:paraId="0DF9C936">
      <w:pPr>
        <w:pStyle w:val="11"/>
        <w:spacing w:line="440" w:lineRule="exact"/>
        <w:ind w:firstLine="3160"/>
        <w:rPr>
          <w:rFonts w:hint="eastAsia"/>
          <w:color w:val="auto"/>
          <w:sz w:val="24"/>
          <w:szCs w:val="24"/>
          <w:highlight w:val="none"/>
          <w:u w:val="single"/>
        </w:rPr>
      </w:pPr>
      <w:r>
        <w:rPr>
          <w:rFonts w:hint="eastAsia"/>
          <w:color w:val="auto"/>
          <w:sz w:val="24"/>
          <w:szCs w:val="24"/>
          <w:highlight w:val="none"/>
        </w:rPr>
        <w:t>网 址</w:t>
      </w:r>
      <w:r>
        <w:rPr>
          <w:rFonts w:hint="eastAsia"/>
          <w:color w:val="auto"/>
          <w:sz w:val="24"/>
          <w:szCs w:val="24"/>
          <w:highlight w:val="none"/>
          <w:lang w:eastAsia="zh-CN"/>
        </w:rPr>
        <w:t>：</w:t>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p w14:paraId="5A78E3C1">
      <w:pPr>
        <w:pStyle w:val="11"/>
        <w:spacing w:line="440" w:lineRule="exact"/>
        <w:ind w:firstLine="3160"/>
        <w:rPr>
          <w:rFonts w:hint="eastAsia" w:hAnsi="宋体" w:cs="宋体"/>
          <w:color w:val="auto"/>
          <w:sz w:val="24"/>
          <w:szCs w:val="24"/>
          <w:highlight w:val="none"/>
          <w:u w:val="single"/>
        </w:rPr>
      </w:pPr>
      <w:r>
        <w:rPr>
          <w:rFonts w:hint="eastAsia" w:hAnsi="宋体" w:cs="宋体"/>
          <w:color w:val="auto"/>
          <w:sz w:val="24"/>
          <w:szCs w:val="24"/>
          <w:highlight w:val="none"/>
        </w:rPr>
        <w:t>开户名称</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p>
    <w:p w14:paraId="5CD0225E">
      <w:pPr>
        <w:pStyle w:val="11"/>
        <w:spacing w:line="440" w:lineRule="exact"/>
        <w:ind w:firstLine="3160"/>
        <w:rPr>
          <w:rFonts w:hint="eastAsia" w:hAnsi="宋体" w:cs="宋体"/>
          <w:color w:val="auto"/>
          <w:sz w:val="24"/>
          <w:szCs w:val="24"/>
          <w:highlight w:val="none"/>
          <w:u w:val="single"/>
        </w:rPr>
      </w:pPr>
      <w:r>
        <w:rPr>
          <w:rFonts w:hint="eastAsia" w:hAnsi="宋体" w:cs="宋体"/>
          <w:color w:val="auto"/>
          <w:sz w:val="24"/>
          <w:szCs w:val="24"/>
          <w:highlight w:val="none"/>
        </w:rPr>
        <w:t>开户银行</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p>
    <w:p w14:paraId="6D95B3A2">
      <w:pPr>
        <w:pStyle w:val="11"/>
        <w:spacing w:line="440" w:lineRule="exact"/>
        <w:ind w:firstLine="3160"/>
        <w:rPr>
          <w:rFonts w:hint="eastAsia" w:hAnsi="宋体" w:cs="宋体"/>
          <w:color w:val="auto"/>
          <w:sz w:val="24"/>
          <w:szCs w:val="24"/>
          <w:highlight w:val="none"/>
          <w:u w:val="single"/>
        </w:rPr>
      </w:pPr>
      <w:r>
        <w:rPr>
          <w:rFonts w:hint="eastAsia" w:hAnsi="宋体" w:cs="宋体"/>
          <w:color w:val="auto"/>
          <w:sz w:val="24"/>
          <w:szCs w:val="24"/>
          <w:highlight w:val="none"/>
        </w:rPr>
        <w:t>银行账号</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p>
    <w:p w14:paraId="0A308F83">
      <w:pPr>
        <w:tabs>
          <w:tab w:val="left" w:pos="3479"/>
        </w:tabs>
        <w:spacing w:line="520" w:lineRule="exact"/>
        <w:jc w:val="right"/>
        <w:rPr>
          <w:rFonts w:hint="eastAsia"/>
          <w:color w:val="auto"/>
          <w:sz w:val="24"/>
          <w:highlight w:val="none"/>
        </w:rPr>
        <w:sectPr>
          <w:pgSz w:w="11910" w:h="16840"/>
          <w:pgMar w:top="1134" w:right="1134" w:bottom="1134" w:left="1134" w:header="0" w:footer="0" w:gutter="0"/>
          <w:cols w:space="720" w:num="1"/>
          <w:docGrid w:linePitch="286" w:charSpace="0"/>
        </w:sectPr>
      </w:pPr>
      <w:r>
        <w:rPr>
          <w:rFonts w:hint="eastAsia"/>
          <w:color w:val="auto"/>
          <w:sz w:val="24"/>
          <w:highlight w:val="none"/>
          <w:u w:val="single"/>
        </w:rPr>
        <w:t xml:space="preserve">        </w:t>
      </w:r>
      <w:r>
        <w:rPr>
          <w:color w:val="auto"/>
          <w:sz w:val="24"/>
          <w:highlight w:val="none"/>
        </w:rPr>
        <w:t>年</w:t>
      </w:r>
      <w:r>
        <w:rPr>
          <w:rFonts w:hint="eastAsia"/>
          <w:color w:val="auto"/>
          <w:sz w:val="24"/>
          <w:highlight w:val="none"/>
          <w:u w:val="single"/>
        </w:rPr>
        <w:t xml:space="preserve">        </w:t>
      </w:r>
      <w:r>
        <w:rPr>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39ABD74A">
      <w:pPr>
        <w:pStyle w:val="30"/>
        <w:jc w:val="center"/>
        <w:rPr>
          <w:rFonts w:hint="eastAsia" w:ascii="宋体" w:hAnsi="宋体"/>
          <w:color w:val="auto"/>
          <w:sz w:val="24"/>
          <w:szCs w:val="24"/>
          <w:highlight w:val="none"/>
          <w:lang w:eastAsia="zh-CN"/>
        </w:rPr>
      </w:pPr>
      <w:bookmarkStart w:id="133" w:name="_Toc16205"/>
      <w:bookmarkStart w:id="134" w:name="_Toc14512"/>
      <w:r>
        <w:rPr>
          <w:rFonts w:hint="eastAsia" w:ascii="宋体" w:hAnsi="宋体"/>
          <w:color w:val="auto"/>
          <w:sz w:val="28"/>
          <w:szCs w:val="28"/>
          <w:highlight w:val="none"/>
          <w:lang w:eastAsia="zh-CN"/>
        </w:rPr>
        <w:t>（二）响应函附录</w:t>
      </w:r>
      <w:bookmarkEnd w:id="133"/>
      <w:bookmarkEnd w:id="134"/>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33"/>
        <w:gridCol w:w="1404"/>
        <w:gridCol w:w="4066"/>
        <w:gridCol w:w="840"/>
      </w:tblGrid>
      <w:tr w14:paraId="71FF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exact"/>
          <w:jc w:val="center"/>
        </w:trPr>
        <w:tc>
          <w:tcPr>
            <w:tcW w:w="833" w:type="dxa"/>
            <w:shd w:val="clear" w:color="auto" w:fill="FFFFFF"/>
            <w:noWrap w:val="0"/>
            <w:vAlign w:val="center"/>
          </w:tcPr>
          <w:p w14:paraId="6043C5D3">
            <w:pPr>
              <w:pStyle w:val="29"/>
              <w:spacing w:line="240" w:lineRule="auto"/>
              <w:ind w:firstLine="0"/>
              <w:jc w:val="center"/>
              <w:rPr>
                <w:color w:val="auto"/>
                <w:sz w:val="24"/>
                <w:szCs w:val="24"/>
                <w:highlight w:val="none"/>
              </w:rPr>
            </w:pPr>
            <w:r>
              <w:rPr>
                <w:rFonts w:hint="eastAsia"/>
                <w:color w:val="auto"/>
                <w:sz w:val="24"/>
                <w:szCs w:val="24"/>
                <w:highlight w:val="none"/>
              </w:rPr>
              <w:t>序号</w:t>
            </w:r>
          </w:p>
        </w:tc>
        <w:tc>
          <w:tcPr>
            <w:tcW w:w="1404" w:type="dxa"/>
            <w:shd w:val="clear" w:color="auto" w:fill="FFFFFF"/>
            <w:noWrap w:val="0"/>
            <w:vAlign w:val="center"/>
          </w:tcPr>
          <w:p w14:paraId="67BDC0C4">
            <w:pPr>
              <w:pStyle w:val="29"/>
              <w:spacing w:line="240" w:lineRule="auto"/>
              <w:ind w:firstLine="0"/>
              <w:jc w:val="center"/>
              <w:rPr>
                <w:color w:val="auto"/>
                <w:sz w:val="24"/>
                <w:szCs w:val="24"/>
                <w:highlight w:val="none"/>
              </w:rPr>
            </w:pPr>
            <w:r>
              <w:rPr>
                <w:rFonts w:hint="eastAsia"/>
                <w:color w:val="auto"/>
                <w:sz w:val="24"/>
                <w:szCs w:val="24"/>
                <w:highlight w:val="none"/>
              </w:rPr>
              <w:t>条款名称</w:t>
            </w:r>
          </w:p>
        </w:tc>
        <w:tc>
          <w:tcPr>
            <w:tcW w:w="4066" w:type="dxa"/>
            <w:shd w:val="clear" w:color="auto" w:fill="FFFFFF"/>
            <w:noWrap w:val="0"/>
            <w:vAlign w:val="center"/>
          </w:tcPr>
          <w:p w14:paraId="7ACCE854">
            <w:pPr>
              <w:pStyle w:val="29"/>
              <w:spacing w:line="240" w:lineRule="auto"/>
              <w:ind w:firstLine="0"/>
              <w:jc w:val="center"/>
              <w:rPr>
                <w:color w:val="auto"/>
                <w:sz w:val="24"/>
                <w:szCs w:val="24"/>
                <w:highlight w:val="none"/>
              </w:rPr>
            </w:pPr>
            <w:r>
              <w:rPr>
                <w:rFonts w:hint="eastAsia"/>
                <w:color w:val="auto"/>
                <w:sz w:val="24"/>
                <w:szCs w:val="24"/>
                <w:highlight w:val="none"/>
              </w:rPr>
              <w:t>约定内容</w:t>
            </w:r>
          </w:p>
        </w:tc>
        <w:tc>
          <w:tcPr>
            <w:tcW w:w="840" w:type="dxa"/>
            <w:shd w:val="clear" w:color="auto" w:fill="FFFFFF"/>
            <w:noWrap w:val="0"/>
            <w:vAlign w:val="center"/>
          </w:tcPr>
          <w:p w14:paraId="4282A55D">
            <w:pPr>
              <w:pStyle w:val="29"/>
              <w:spacing w:line="240" w:lineRule="auto"/>
              <w:ind w:firstLine="0"/>
              <w:jc w:val="center"/>
              <w:rPr>
                <w:color w:val="auto"/>
                <w:sz w:val="24"/>
                <w:szCs w:val="24"/>
                <w:highlight w:val="none"/>
              </w:rPr>
            </w:pPr>
            <w:r>
              <w:rPr>
                <w:rFonts w:hint="eastAsia"/>
                <w:color w:val="auto"/>
                <w:sz w:val="24"/>
                <w:szCs w:val="24"/>
                <w:highlight w:val="none"/>
              </w:rPr>
              <w:t>备注</w:t>
            </w:r>
          </w:p>
        </w:tc>
      </w:tr>
      <w:tr w14:paraId="4FB7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11" w:hRule="exact"/>
          <w:jc w:val="center"/>
        </w:trPr>
        <w:tc>
          <w:tcPr>
            <w:tcW w:w="833" w:type="dxa"/>
            <w:shd w:val="clear" w:color="auto" w:fill="FFFFFF"/>
            <w:noWrap w:val="0"/>
            <w:vAlign w:val="center"/>
          </w:tcPr>
          <w:p w14:paraId="6712458D">
            <w:pPr>
              <w:pStyle w:val="29"/>
              <w:spacing w:line="240" w:lineRule="auto"/>
              <w:ind w:firstLine="0"/>
              <w:jc w:val="center"/>
              <w:rPr>
                <w:color w:val="auto"/>
                <w:sz w:val="24"/>
                <w:szCs w:val="24"/>
                <w:highlight w:val="none"/>
              </w:rPr>
            </w:pPr>
            <w:r>
              <w:rPr>
                <w:rFonts w:hint="eastAsia"/>
                <w:color w:val="auto"/>
                <w:sz w:val="24"/>
                <w:szCs w:val="24"/>
                <w:highlight w:val="none"/>
              </w:rPr>
              <w:t>1</w:t>
            </w:r>
          </w:p>
        </w:tc>
        <w:tc>
          <w:tcPr>
            <w:tcW w:w="1404" w:type="dxa"/>
            <w:shd w:val="clear" w:color="auto" w:fill="FFFFFF"/>
            <w:noWrap w:val="0"/>
            <w:vAlign w:val="center"/>
          </w:tcPr>
          <w:p w14:paraId="67732369">
            <w:pPr>
              <w:pStyle w:val="29"/>
              <w:spacing w:line="240" w:lineRule="auto"/>
              <w:ind w:firstLine="0"/>
              <w:jc w:val="center"/>
              <w:rPr>
                <w:color w:val="auto"/>
                <w:sz w:val="24"/>
                <w:szCs w:val="24"/>
                <w:highlight w:val="none"/>
              </w:rPr>
            </w:pPr>
            <w:r>
              <w:rPr>
                <w:rFonts w:hint="eastAsia"/>
                <w:color w:val="auto"/>
                <w:sz w:val="24"/>
                <w:szCs w:val="24"/>
                <w:highlight w:val="none"/>
              </w:rPr>
              <w:t>项目经理</w:t>
            </w:r>
          </w:p>
        </w:tc>
        <w:tc>
          <w:tcPr>
            <w:tcW w:w="4066" w:type="dxa"/>
            <w:shd w:val="clear" w:color="auto" w:fill="FFFFFF"/>
            <w:noWrap w:val="0"/>
            <w:vAlign w:val="center"/>
          </w:tcPr>
          <w:p w14:paraId="1B04AB22">
            <w:pPr>
              <w:pStyle w:val="27"/>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姓名：</w:t>
            </w:r>
          </w:p>
          <w:p w14:paraId="4D00D1EC">
            <w:pPr>
              <w:pStyle w:val="27"/>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身份证号码：</w:t>
            </w:r>
          </w:p>
          <w:p w14:paraId="6AA2E0FA">
            <w:pPr>
              <w:pStyle w:val="27"/>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职称：</w:t>
            </w:r>
          </w:p>
          <w:p w14:paraId="1B9E9C6F">
            <w:pPr>
              <w:pStyle w:val="27"/>
              <w:rPr>
                <w:color w:val="auto"/>
                <w:highlight w:val="none"/>
              </w:rPr>
            </w:pPr>
            <w:r>
              <w:rPr>
                <w:rFonts w:hint="eastAsia" w:ascii="宋体" w:hAnsi="宋体" w:eastAsia="宋体" w:cs="宋体"/>
                <w:color w:val="auto"/>
                <w:highlight w:val="none"/>
                <w:lang w:eastAsia="zh-CN"/>
              </w:rPr>
              <w:t>注册执业资格：</w:t>
            </w:r>
          </w:p>
        </w:tc>
        <w:tc>
          <w:tcPr>
            <w:tcW w:w="840" w:type="dxa"/>
            <w:shd w:val="clear" w:color="auto" w:fill="FFFFFF"/>
            <w:noWrap w:val="0"/>
            <w:vAlign w:val="top"/>
          </w:tcPr>
          <w:p w14:paraId="358756B9">
            <w:pPr>
              <w:pStyle w:val="27"/>
              <w:rPr>
                <w:rFonts w:ascii="宋体" w:hAnsi="宋体" w:eastAsia="宋体" w:cs="宋体"/>
                <w:color w:val="auto"/>
                <w:highlight w:val="none"/>
              </w:rPr>
            </w:pPr>
          </w:p>
        </w:tc>
      </w:tr>
      <w:tr w14:paraId="11B9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98" w:hRule="exact"/>
          <w:jc w:val="center"/>
        </w:trPr>
        <w:tc>
          <w:tcPr>
            <w:tcW w:w="833" w:type="dxa"/>
            <w:shd w:val="clear" w:color="auto" w:fill="FFFFFF"/>
            <w:noWrap w:val="0"/>
            <w:vAlign w:val="center"/>
          </w:tcPr>
          <w:p w14:paraId="5B40E92F">
            <w:pPr>
              <w:pStyle w:val="29"/>
              <w:spacing w:line="240" w:lineRule="auto"/>
              <w:ind w:firstLine="0"/>
              <w:jc w:val="center"/>
              <w:rPr>
                <w:rFonts w:hint="eastAsia"/>
                <w:color w:val="auto"/>
                <w:sz w:val="24"/>
                <w:szCs w:val="24"/>
                <w:highlight w:val="none"/>
              </w:rPr>
            </w:pPr>
            <w:r>
              <w:rPr>
                <w:rFonts w:hint="eastAsia"/>
                <w:color w:val="auto"/>
                <w:sz w:val="24"/>
                <w:szCs w:val="24"/>
                <w:highlight w:val="none"/>
              </w:rPr>
              <w:t>2</w:t>
            </w:r>
          </w:p>
        </w:tc>
        <w:tc>
          <w:tcPr>
            <w:tcW w:w="1404" w:type="dxa"/>
            <w:shd w:val="clear" w:color="auto" w:fill="FFFFFF"/>
            <w:noWrap w:val="0"/>
            <w:vAlign w:val="center"/>
          </w:tcPr>
          <w:p w14:paraId="3EC193E5">
            <w:pPr>
              <w:pStyle w:val="29"/>
              <w:spacing w:line="240" w:lineRule="auto"/>
              <w:ind w:firstLine="0"/>
              <w:jc w:val="center"/>
              <w:rPr>
                <w:rFonts w:hint="eastAsia"/>
                <w:color w:val="auto"/>
                <w:sz w:val="24"/>
                <w:szCs w:val="24"/>
                <w:highlight w:val="none"/>
              </w:rPr>
            </w:pPr>
            <w:r>
              <w:rPr>
                <w:rFonts w:hint="eastAsia"/>
                <w:color w:val="auto"/>
                <w:sz w:val="24"/>
                <w:szCs w:val="24"/>
                <w:highlight w:val="none"/>
              </w:rPr>
              <w:t>技术负责人</w:t>
            </w:r>
          </w:p>
        </w:tc>
        <w:tc>
          <w:tcPr>
            <w:tcW w:w="4066" w:type="dxa"/>
            <w:shd w:val="clear" w:color="auto" w:fill="FFFFFF"/>
            <w:noWrap w:val="0"/>
            <w:vAlign w:val="center"/>
          </w:tcPr>
          <w:p w14:paraId="12E4EBE2">
            <w:pPr>
              <w:pStyle w:val="27"/>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姓名：</w:t>
            </w:r>
          </w:p>
          <w:p w14:paraId="743EE8CF">
            <w:pPr>
              <w:pStyle w:val="27"/>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身份证号码：</w:t>
            </w:r>
          </w:p>
          <w:p w14:paraId="742BD0C6">
            <w:pPr>
              <w:pStyle w:val="27"/>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职称：</w:t>
            </w:r>
          </w:p>
        </w:tc>
        <w:tc>
          <w:tcPr>
            <w:tcW w:w="840" w:type="dxa"/>
            <w:shd w:val="clear" w:color="auto" w:fill="FFFFFF"/>
            <w:noWrap w:val="0"/>
            <w:vAlign w:val="top"/>
          </w:tcPr>
          <w:p w14:paraId="2B32473E">
            <w:pPr>
              <w:pStyle w:val="27"/>
              <w:rPr>
                <w:rFonts w:ascii="宋体" w:hAnsi="宋体" w:eastAsia="宋体" w:cs="宋体"/>
                <w:color w:val="auto"/>
                <w:highlight w:val="none"/>
                <w:lang w:eastAsia="zh-CN"/>
              </w:rPr>
            </w:pPr>
          </w:p>
        </w:tc>
      </w:tr>
      <w:tr w14:paraId="1D10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42" w:hRule="exact"/>
          <w:jc w:val="center"/>
        </w:trPr>
        <w:tc>
          <w:tcPr>
            <w:tcW w:w="833" w:type="dxa"/>
            <w:shd w:val="clear" w:color="auto" w:fill="FFFFFF"/>
            <w:noWrap w:val="0"/>
            <w:vAlign w:val="center"/>
          </w:tcPr>
          <w:p w14:paraId="43450515">
            <w:pPr>
              <w:pStyle w:val="29"/>
              <w:spacing w:line="240" w:lineRule="auto"/>
              <w:ind w:firstLine="0"/>
              <w:jc w:val="center"/>
              <w:rPr>
                <w:rFonts w:hint="eastAsia"/>
                <w:color w:val="auto"/>
                <w:sz w:val="24"/>
                <w:szCs w:val="24"/>
                <w:highlight w:val="none"/>
              </w:rPr>
            </w:pPr>
            <w:r>
              <w:rPr>
                <w:rFonts w:hint="eastAsia"/>
                <w:color w:val="auto"/>
                <w:sz w:val="24"/>
                <w:szCs w:val="24"/>
                <w:highlight w:val="none"/>
              </w:rPr>
              <w:t>3</w:t>
            </w:r>
          </w:p>
        </w:tc>
        <w:tc>
          <w:tcPr>
            <w:tcW w:w="1404" w:type="dxa"/>
            <w:shd w:val="clear" w:color="auto" w:fill="FFFFFF"/>
            <w:noWrap w:val="0"/>
            <w:vAlign w:val="center"/>
          </w:tcPr>
          <w:p w14:paraId="5AF35A8D">
            <w:pPr>
              <w:pStyle w:val="29"/>
              <w:spacing w:line="240" w:lineRule="auto"/>
              <w:ind w:firstLine="0"/>
              <w:jc w:val="center"/>
              <w:rPr>
                <w:rFonts w:hint="eastAsia"/>
                <w:color w:val="auto"/>
                <w:sz w:val="24"/>
                <w:szCs w:val="24"/>
                <w:highlight w:val="none"/>
              </w:rPr>
            </w:pPr>
            <w:r>
              <w:rPr>
                <w:rFonts w:hint="eastAsia"/>
                <w:color w:val="auto"/>
                <w:sz w:val="24"/>
                <w:szCs w:val="24"/>
                <w:highlight w:val="none"/>
              </w:rPr>
              <w:t>专职安全员</w:t>
            </w:r>
          </w:p>
        </w:tc>
        <w:tc>
          <w:tcPr>
            <w:tcW w:w="4066" w:type="dxa"/>
            <w:shd w:val="clear" w:color="auto" w:fill="FFFFFF"/>
            <w:noWrap w:val="0"/>
            <w:vAlign w:val="center"/>
          </w:tcPr>
          <w:p w14:paraId="64734F81">
            <w:pPr>
              <w:pStyle w:val="27"/>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姓名：</w:t>
            </w:r>
          </w:p>
          <w:p w14:paraId="16652D82">
            <w:pPr>
              <w:pStyle w:val="27"/>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身份证号码：</w:t>
            </w:r>
          </w:p>
          <w:p w14:paraId="555AAD65">
            <w:pPr>
              <w:pStyle w:val="27"/>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安全生产考核合格证书号码：</w:t>
            </w:r>
          </w:p>
        </w:tc>
        <w:tc>
          <w:tcPr>
            <w:tcW w:w="840" w:type="dxa"/>
            <w:shd w:val="clear" w:color="auto" w:fill="FFFFFF"/>
            <w:noWrap w:val="0"/>
            <w:vAlign w:val="top"/>
          </w:tcPr>
          <w:p w14:paraId="6D759B85">
            <w:pPr>
              <w:pStyle w:val="27"/>
              <w:rPr>
                <w:rFonts w:ascii="宋体" w:hAnsi="宋体" w:eastAsia="宋体" w:cs="宋体"/>
                <w:color w:val="auto"/>
                <w:highlight w:val="none"/>
                <w:lang w:eastAsia="zh-CN"/>
              </w:rPr>
            </w:pPr>
          </w:p>
        </w:tc>
      </w:tr>
      <w:tr w14:paraId="46D6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exact"/>
          <w:jc w:val="center"/>
        </w:trPr>
        <w:tc>
          <w:tcPr>
            <w:tcW w:w="833" w:type="dxa"/>
            <w:shd w:val="clear" w:color="auto" w:fill="FFFFFF"/>
            <w:noWrap w:val="0"/>
            <w:vAlign w:val="center"/>
          </w:tcPr>
          <w:p w14:paraId="1D72F75E">
            <w:pPr>
              <w:pStyle w:val="29"/>
              <w:spacing w:line="240" w:lineRule="auto"/>
              <w:ind w:firstLine="0"/>
              <w:jc w:val="center"/>
              <w:rPr>
                <w:color w:val="auto"/>
                <w:sz w:val="24"/>
                <w:szCs w:val="24"/>
                <w:highlight w:val="none"/>
              </w:rPr>
            </w:pPr>
            <w:r>
              <w:rPr>
                <w:rFonts w:hint="eastAsia"/>
                <w:color w:val="auto"/>
                <w:sz w:val="24"/>
                <w:szCs w:val="24"/>
                <w:highlight w:val="none"/>
              </w:rPr>
              <w:t>4</w:t>
            </w:r>
          </w:p>
        </w:tc>
        <w:tc>
          <w:tcPr>
            <w:tcW w:w="1404" w:type="dxa"/>
            <w:shd w:val="clear" w:color="auto" w:fill="FFFFFF"/>
            <w:noWrap w:val="0"/>
            <w:vAlign w:val="center"/>
          </w:tcPr>
          <w:p w14:paraId="0B95FF4D">
            <w:pPr>
              <w:pStyle w:val="29"/>
              <w:spacing w:line="240" w:lineRule="auto"/>
              <w:ind w:firstLine="0"/>
              <w:jc w:val="center"/>
              <w:rPr>
                <w:color w:val="auto"/>
                <w:sz w:val="24"/>
                <w:szCs w:val="24"/>
                <w:highlight w:val="none"/>
              </w:rPr>
            </w:pPr>
            <w:r>
              <w:rPr>
                <w:rFonts w:hint="eastAsia"/>
                <w:color w:val="auto"/>
                <w:sz w:val="24"/>
                <w:szCs w:val="24"/>
                <w:highlight w:val="none"/>
              </w:rPr>
              <w:t>工期</w:t>
            </w:r>
          </w:p>
        </w:tc>
        <w:tc>
          <w:tcPr>
            <w:tcW w:w="4066" w:type="dxa"/>
            <w:shd w:val="clear" w:color="auto" w:fill="FFFFFF"/>
            <w:noWrap w:val="0"/>
            <w:vAlign w:val="center"/>
          </w:tcPr>
          <w:p w14:paraId="219FE3B5">
            <w:pPr>
              <w:pStyle w:val="29"/>
              <w:tabs>
                <w:tab w:val="left" w:leader="underscore" w:pos="1212"/>
              </w:tabs>
              <w:spacing w:line="240" w:lineRule="auto"/>
              <w:ind w:firstLine="0"/>
              <w:rPr>
                <w:color w:val="auto"/>
                <w:sz w:val="24"/>
                <w:szCs w:val="24"/>
                <w:highlight w:val="none"/>
              </w:rPr>
            </w:pPr>
            <w:r>
              <w:rPr>
                <w:rFonts w:hint="eastAsia"/>
                <w:color w:val="auto"/>
                <w:sz w:val="24"/>
                <w:szCs w:val="24"/>
                <w:highlight w:val="none"/>
              </w:rPr>
              <w:t>天数：</w:t>
            </w:r>
            <w:r>
              <w:rPr>
                <w:rFonts w:hint="eastAsia"/>
                <w:color w:val="auto"/>
                <w:sz w:val="24"/>
                <w:szCs w:val="24"/>
                <w:highlight w:val="none"/>
                <w:u w:val="single"/>
                <w:lang w:val="en-US"/>
              </w:rPr>
              <w:t xml:space="preserve">  </w:t>
            </w:r>
            <w:r>
              <w:rPr>
                <w:rFonts w:hint="eastAsia"/>
                <w:color w:val="auto"/>
                <w:sz w:val="24"/>
                <w:szCs w:val="24"/>
                <w:highlight w:val="none"/>
              </w:rPr>
              <w:t>日历天</w:t>
            </w:r>
          </w:p>
        </w:tc>
        <w:tc>
          <w:tcPr>
            <w:tcW w:w="840" w:type="dxa"/>
            <w:shd w:val="clear" w:color="auto" w:fill="FFFFFF"/>
            <w:noWrap w:val="0"/>
            <w:vAlign w:val="top"/>
          </w:tcPr>
          <w:p w14:paraId="3E990712">
            <w:pPr>
              <w:pStyle w:val="27"/>
              <w:rPr>
                <w:rFonts w:ascii="宋体" w:hAnsi="宋体" w:eastAsia="宋体" w:cs="宋体"/>
                <w:color w:val="auto"/>
                <w:highlight w:val="none"/>
              </w:rPr>
            </w:pPr>
          </w:p>
        </w:tc>
      </w:tr>
      <w:tr w14:paraId="5A98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13" w:hRule="exact"/>
          <w:jc w:val="center"/>
        </w:trPr>
        <w:tc>
          <w:tcPr>
            <w:tcW w:w="833" w:type="dxa"/>
            <w:shd w:val="clear" w:color="auto" w:fill="FFFFFF"/>
            <w:noWrap w:val="0"/>
            <w:vAlign w:val="center"/>
          </w:tcPr>
          <w:p w14:paraId="49D3DEF9">
            <w:pPr>
              <w:pStyle w:val="29"/>
              <w:spacing w:line="240" w:lineRule="auto"/>
              <w:ind w:firstLine="0"/>
              <w:jc w:val="center"/>
              <w:rPr>
                <w:color w:val="auto"/>
                <w:sz w:val="24"/>
                <w:szCs w:val="24"/>
                <w:highlight w:val="none"/>
              </w:rPr>
            </w:pPr>
            <w:r>
              <w:rPr>
                <w:rFonts w:hint="eastAsia"/>
                <w:color w:val="auto"/>
                <w:sz w:val="24"/>
                <w:szCs w:val="24"/>
                <w:highlight w:val="none"/>
              </w:rPr>
              <w:t>5</w:t>
            </w:r>
          </w:p>
        </w:tc>
        <w:tc>
          <w:tcPr>
            <w:tcW w:w="1404" w:type="dxa"/>
            <w:shd w:val="clear" w:color="auto" w:fill="FFFFFF"/>
            <w:noWrap w:val="0"/>
            <w:vAlign w:val="center"/>
          </w:tcPr>
          <w:p w14:paraId="61B660D7">
            <w:pPr>
              <w:pStyle w:val="29"/>
              <w:spacing w:line="271" w:lineRule="exact"/>
              <w:ind w:firstLine="0"/>
              <w:jc w:val="center"/>
              <w:rPr>
                <w:color w:val="auto"/>
                <w:sz w:val="24"/>
                <w:szCs w:val="24"/>
                <w:highlight w:val="none"/>
              </w:rPr>
            </w:pPr>
            <w:r>
              <w:rPr>
                <w:rFonts w:hint="eastAsia"/>
                <w:color w:val="auto"/>
                <w:sz w:val="24"/>
                <w:szCs w:val="24"/>
                <w:highlight w:val="none"/>
              </w:rPr>
              <w:t>缺陷责任期 （工程质量保修期）</w:t>
            </w:r>
          </w:p>
        </w:tc>
        <w:tc>
          <w:tcPr>
            <w:tcW w:w="4066" w:type="dxa"/>
            <w:shd w:val="clear" w:color="auto" w:fill="FFFFFF"/>
            <w:noWrap w:val="0"/>
            <w:vAlign w:val="top"/>
          </w:tcPr>
          <w:p w14:paraId="0CAFAB73">
            <w:pPr>
              <w:pStyle w:val="27"/>
              <w:rPr>
                <w:rFonts w:ascii="宋体" w:hAnsi="宋体" w:eastAsia="宋体" w:cs="宋体"/>
                <w:color w:val="auto"/>
                <w:highlight w:val="none"/>
              </w:rPr>
            </w:pPr>
          </w:p>
        </w:tc>
        <w:tc>
          <w:tcPr>
            <w:tcW w:w="840" w:type="dxa"/>
            <w:shd w:val="clear" w:color="auto" w:fill="FFFFFF"/>
            <w:noWrap w:val="0"/>
            <w:vAlign w:val="top"/>
          </w:tcPr>
          <w:p w14:paraId="7E70BCED">
            <w:pPr>
              <w:pStyle w:val="27"/>
              <w:rPr>
                <w:rFonts w:ascii="宋体" w:hAnsi="宋体" w:eastAsia="宋体" w:cs="宋体"/>
                <w:color w:val="auto"/>
                <w:highlight w:val="none"/>
              </w:rPr>
            </w:pPr>
          </w:p>
        </w:tc>
      </w:tr>
      <w:tr w14:paraId="2C4D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3" w:hRule="exact"/>
          <w:jc w:val="center"/>
        </w:trPr>
        <w:tc>
          <w:tcPr>
            <w:tcW w:w="833" w:type="dxa"/>
            <w:shd w:val="clear" w:color="auto" w:fill="FFFFFF"/>
            <w:noWrap w:val="0"/>
            <w:vAlign w:val="center"/>
          </w:tcPr>
          <w:p w14:paraId="4563B59F">
            <w:pPr>
              <w:pStyle w:val="29"/>
              <w:spacing w:line="240" w:lineRule="auto"/>
              <w:ind w:firstLine="0"/>
              <w:jc w:val="center"/>
              <w:rPr>
                <w:rFonts w:hint="eastAsia"/>
                <w:color w:val="auto"/>
                <w:sz w:val="24"/>
                <w:szCs w:val="24"/>
                <w:highlight w:val="none"/>
                <w:lang w:val="en-US"/>
              </w:rPr>
            </w:pPr>
            <w:r>
              <w:rPr>
                <w:rFonts w:hint="eastAsia"/>
                <w:color w:val="auto"/>
                <w:sz w:val="24"/>
                <w:szCs w:val="24"/>
                <w:highlight w:val="none"/>
                <w:lang w:val="en-US"/>
              </w:rPr>
              <w:t>6</w:t>
            </w:r>
          </w:p>
        </w:tc>
        <w:tc>
          <w:tcPr>
            <w:tcW w:w="1404" w:type="dxa"/>
            <w:shd w:val="clear" w:color="auto" w:fill="FFFFFF"/>
            <w:noWrap w:val="0"/>
            <w:vAlign w:val="center"/>
          </w:tcPr>
          <w:p w14:paraId="505C8922">
            <w:pPr>
              <w:pStyle w:val="29"/>
              <w:spacing w:line="240" w:lineRule="auto"/>
              <w:ind w:firstLine="0"/>
              <w:jc w:val="center"/>
              <w:rPr>
                <w:color w:val="auto"/>
                <w:sz w:val="24"/>
                <w:szCs w:val="24"/>
                <w:highlight w:val="none"/>
              </w:rPr>
            </w:pPr>
            <w:r>
              <w:rPr>
                <w:rFonts w:hint="eastAsia"/>
                <w:color w:val="auto"/>
                <w:sz w:val="24"/>
                <w:szCs w:val="24"/>
                <w:highlight w:val="none"/>
              </w:rPr>
              <w:t>分包</w:t>
            </w:r>
          </w:p>
        </w:tc>
        <w:tc>
          <w:tcPr>
            <w:tcW w:w="4066" w:type="dxa"/>
            <w:shd w:val="clear" w:color="auto" w:fill="FFFFFF"/>
            <w:noWrap w:val="0"/>
            <w:vAlign w:val="center"/>
          </w:tcPr>
          <w:p w14:paraId="1D365A28">
            <w:pPr>
              <w:pStyle w:val="27"/>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lang w:eastAsia="zh-CN"/>
              </w:rPr>
              <w:t>不允许；</w:t>
            </w:r>
          </w:p>
          <w:p w14:paraId="21905659">
            <w:pPr>
              <w:pStyle w:val="27"/>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□允许，分包工程项目：</w:t>
            </w:r>
          </w:p>
          <w:p w14:paraId="609A06ED">
            <w:pPr>
              <w:pStyle w:val="27"/>
              <w:ind w:firstLine="960" w:firstLineChars="4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分包金额限额：</w:t>
            </w:r>
          </w:p>
        </w:tc>
        <w:tc>
          <w:tcPr>
            <w:tcW w:w="840" w:type="dxa"/>
            <w:shd w:val="clear" w:color="auto" w:fill="FFFFFF"/>
            <w:noWrap w:val="0"/>
            <w:vAlign w:val="top"/>
          </w:tcPr>
          <w:p w14:paraId="1845B2BE">
            <w:pPr>
              <w:pStyle w:val="27"/>
              <w:rPr>
                <w:rFonts w:ascii="宋体" w:hAnsi="宋体" w:eastAsia="宋体" w:cs="宋体"/>
                <w:color w:val="auto"/>
                <w:highlight w:val="none"/>
              </w:rPr>
            </w:pPr>
          </w:p>
        </w:tc>
      </w:tr>
    </w:tbl>
    <w:p w14:paraId="486E54D2">
      <w:pPr>
        <w:pStyle w:val="27"/>
        <w:spacing w:after="639" w:line="1" w:lineRule="exact"/>
        <w:rPr>
          <w:color w:val="auto"/>
          <w:highlight w:val="none"/>
        </w:rPr>
      </w:pPr>
    </w:p>
    <w:p w14:paraId="2C7A4108">
      <w:pPr>
        <w:pStyle w:val="26"/>
        <w:tabs>
          <w:tab w:val="left" w:pos="6882"/>
          <w:tab w:val="left" w:pos="7510"/>
        </w:tabs>
        <w:spacing w:line="350" w:lineRule="exact"/>
        <w:ind w:left="3380" w:firstLine="0"/>
        <w:jc w:val="right"/>
        <w:rPr>
          <w:color w:val="auto"/>
          <w:sz w:val="24"/>
          <w:szCs w:val="24"/>
          <w:highlight w:val="none"/>
        </w:rPr>
      </w:pPr>
    </w:p>
    <w:p w14:paraId="3EED65B4">
      <w:pPr>
        <w:pStyle w:val="26"/>
        <w:tabs>
          <w:tab w:val="left" w:pos="6882"/>
          <w:tab w:val="left" w:pos="7510"/>
        </w:tabs>
        <w:spacing w:line="350" w:lineRule="exact"/>
        <w:ind w:left="3380" w:firstLine="0"/>
        <w:jc w:val="both"/>
        <w:rPr>
          <w:color w:val="auto"/>
          <w:sz w:val="24"/>
          <w:szCs w:val="24"/>
          <w:highlight w:val="none"/>
          <w:lang w:val="en-US"/>
        </w:rPr>
      </w:pPr>
      <w:r>
        <w:rPr>
          <w:rFonts w:hint="eastAsia"/>
          <w:color w:val="auto"/>
          <w:sz w:val="24"/>
          <w:szCs w:val="24"/>
          <w:highlight w:val="none"/>
        </w:rPr>
        <w:t>竞标人：</w:t>
      </w:r>
      <w:r>
        <w:rPr>
          <w:rFonts w:hint="eastAsia"/>
          <w:color w:val="auto"/>
          <w:sz w:val="24"/>
          <w:szCs w:val="24"/>
          <w:highlight w:val="none"/>
          <w:u w:val="single"/>
        </w:rPr>
        <w:t xml:space="preserve">                         </w:t>
      </w:r>
      <w:r>
        <w:rPr>
          <w:rFonts w:hint="eastAsia"/>
          <w:color w:val="auto"/>
          <w:sz w:val="24"/>
          <w:szCs w:val="24"/>
          <w:highlight w:val="none"/>
        </w:rPr>
        <w:t>（盖单位电子公章）</w:t>
      </w:r>
    </w:p>
    <w:p w14:paraId="53E785E4">
      <w:pPr>
        <w:pStyle w:val="26"/>
        <w:tabs>
          <w:tab w:val="left" w:pos="6882"/>
          <w:tab w:val="left" w:pos="7510"/>
        </w:tabs>
        <w:spacing w:line="350" w:lineRule="exact"/>
        <w:ind w:left="3380" w:firstLine="0"/>
        <w:jc w:val="both"/>
        <w:rPr>
          <w:color w:val="auto"/>
          <w:sz w:val="24"/>
          <w:szCs w:val="24"/>
          <w:highlight w:val="none"/>
        </w:rPr>
      </w:pPr>
      <w:r>
        <w:rPr>
          <w:rFonts w:hint="eastAsia"/>
          <w:color w:val="auto"/>
          <w:sz w:val="24"/>
          <w:szCs w:val="24"/>
          <w:highlight w:val="none"/>
        </w:rPr>
        <w:t>法定代表人或授权委托代理人：</w:t>
      </w:r>
      <w:r>
        <w:rPr>
          <w:rFonts w:hint="eastAsia"/>
          <w:color w:val="auto"/>
          <w:sz w:val="24"/>
          <w:szCs w:val="24"/>
          <w:highlight w:val="none"/>
          <w:u w:val="single"/>
        </w:rPr>
        <w:t xml:space="preserve">   </w:t>
      </w:r>
      <w:r>
        <w:rPr>
          <w:rFonts w:hint="eastAsia"/>
          <w:color w:val="auto"/>
          <w:sz w:val="24"/>
          <w:szCs w:val="24"/>
          <w:highlight w:val="none"/>
        </w:rPr>
        <w:t>（签字或电子签名）</w:t>
      </w:r>
    </w:p>
    <w:p w14:paraId="52465D0B">
      <w:pPr>
        <w:pStyle w:val="26"/>
        <w:tabs>
          <w:tab w:val="left" w:pos="854"/>
          <w:tab w:val="left" w:pos="1925"/>
          <w:tab w:val="left" w:pos="2966"/>
          <w:tab w:val="left" w:pos="3014"/>
        </w:tabs>
        <w:spacing w:after="200" w:line="350" w:lineRule="exact"/>
        <w:ind w:firstLine="0"/>
        <w:jc w:val="right"/>
        <w:rPr>
          <w:rFonts w:hint="eastAsia"/>
          <w:color w:val="auto"/>
          <w:sz w:val="24"/>
          <w:szCs w:val="24"/>
          <w:highlight w:val="none"/>
        </w:rPr>
      </w:pP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17B2B7DB">
      <w:pPr>
        <w:tabs>
          <w:tab w:val="left" w:pos="3479"/>
        </w:tabs>
        <w:spacing w:line="520" w:lineRule="exact"/>
        <w:jc w:val="left"/>
        <w:rPr>
          <w:rFonts w:ascii="方正小标宋简体" w:hAnsi="方正小标宋简体" w:eastAsia="方正小标宋简体" w:cs="方正小标宋简体"/>
          <w:bCs/>
          <w:color w:val="auto"/>
          <w:sz w:val="44"/>
          <w:szCs w:val="44"/>
          <w:highlight w:val="none"/>
        </w:rPr>
        <w:sectPr>
          <w:pgSz w:w="11910" w:h="16840"/>
          <w:pgMar w:top="1134" w:right="1134" w:bottom="1134" w:left="1134" w:header="0" w:footer="0" w:gutter="0"/>
          <w:cols w:space="720" w:num="1"/>
          <w:docGrid w:linePitch="286" w:charSpace="0"/>
        </w:sectPr>
      </w:pPr>
    </w:p>
    <w:p w14:paraId="78328DAB">
      <w:pPr>
        <w:pStyle w:val="11"/>
        <w:spacing w:line="500" w:lineRule="exact"/>
        <w:rPr>
          <w:rFonts w:hint="eastAsia" w:hAnsi="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二、已标价工程量清单</w:t>
      </w:r>
    </w:p>
    <w:p w14:paraId="68CD44C7">
      <w:pPr>
        <w:pStyle w:val="12"/>
        <w:ind w:left="5250"/>
        <w:rPr>
          <w:rFonts w:hint="eastAsia" w:ascii="宋体" w:hAnsi="宋体" w:cs="宋体"/>
          <w:color w:val="auto"/>
          <w:highlight w:val="none"/>
          <w:lang w:val="en-US" w:eastAsia="zh-CN"/>
        </w:rPr>
      </w:pPr>
    </w:p>
    <w:p w14:paraId="0E601607">
      <w:pPr>
        <w:spacing w:line="360" w:lineRule="auto"/>
        <w:ind w:firstLine="236" w:firstLineChars="98"/>
        <w:rPr>
          <w:rFonts w:hint="eastAsia" w:ascii="宋体" w:hAnsi="宋体" w:cs="宋体"/>
          <w:b/>
          <w:color w:val="auto"/>
          <w:sz w:val="24"/>
          <w:highlight w:val="none"/>
        </w:rPr>
      </w:pPr>
      <w:r>
        <w:rPr>
          <w:rFonts w:hint="eastAsia" w:ascii="宋体" w:hAnsi="宋体" w:cs="宋体"/>
          <w:b/>
          <w:color w:val="auto"/>
          <w:sz w:val="24"/>
          <w:highlight w:val="none"/>
        </w:rPr>
        <w:t>说明：已标价工程量清单按所提供的“招标工程量清单”中的相关清单表格式填写，否则竞标无效。构成合同文件的已标价工程量清单包括规范中的“招标工程量清单”有关招标工程量清单、竞标报价以及其他说明的内容。</w:t>
      </w:r>
    </w:p>
    <w:p w14:paraId="4B4A7BAB">
      <w:pPr>
        <w:tabs>
          <w:tab w:val="left" w:pos="3479"/>
        </w:tabs>
        <w:spacing w:line="520" w:lineRule="exact"/>
        <w:jc w:val="left"/>
        <w:rPr>
          <w:rFonts w:ascii="方正小标宋简体" w:hAnsi="方正小标宋简体" w:eastAsia="方正小标宋简体" w:cs="方正小标宋简体"/>
          <w:bCs/>
          <w:color w:val="auto"/>
          <w:sz w:val="44"/>
          <w:szCs w:val="44"/>
          <w:highlight w:val="none"/>
        </w:rPr>
        <w:sectPr>
          <w:pgSz w:w="11910" w:h="16840"/>
          <w:pgMar w:top="1134" w:right="1134" w:bottom="1134" w:left="1134" w:header="0" w:footer="0" w:gutter="0"/>
          <w:cols w:space="720" w:num="1"/>
          <w:docGrid w:linePitch="286" w:charSpace="0"/>
        </w:sectPr>
      </w:pPr>
    </w:p>
    <w:p w14:paraId="77022F80">
      <w:pPr>
        <w:pStyle w:val="2"/>
        <w:rPr>
          <w:rFonts w:hint="eastAsia" w:ascii="宋体" w:hAnsi="宋体" w:cs="宋体"/>
          <w:color w:val="auto"/>
          <w:sz w:val="32"/>
          <w:szCs w:val="32"/>
          <w:highlight w:val="none"/>
        </w:rPr>
      </w:pPr>
      <w:bookmarkStart w:id="135" w:name="_Toc29309"/>
      <w:bookmarkStart w:id="136" w:name="_Toc5398"/>
      <w:bookmarkStart w:id="137" w:name="_Toc20827"/>
      <w:r>
        <w:rPr>
          <w:rFonts w:hint="eastAsia" w:ascii="宋体" w:hAnsi="宋体" w:cs="宋体"/>
          <w:color w:val="auto"/>
          <w:sz w:val="32"/>
          <w:szCs w:val="32"/>
          <w:highlight w:val="none"/>
          <w:lang w:eastAsia="zh-CN"/>
        </w:rPr>
        <w:t>四、最后报价</w:t>
      </w:r>
      <w:r>
        <w:rPr>
          <w:rFonts w:hint="eastAsia" w:ascii="宋体" w:hAnsi="宋体" w:cs="宋体"/>
          <w:color w:val="auto"/>
          <w:sz w:val="32"/>
          <w:szCs w:val="32"/>
          <w:highlight w:val="none"/>
        </w:rPr>
        <w:t>文件格式</w:t>
      </w:r>
      <w:bookmarkEnd w:id="135"/>
      <w:bookmarkEnd w:id="136"/>
      <w:bookmarkEnd w:id="137"/>
    </w:p>
    <w:p w14:paraId="458803B0">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0F869678">
      <w:pPr>
        <w:snapToGrid w:val="0"/>
        <w:spacing w:before="120" w:beforeLines="50" w:after="50"/>
        <w:rPr>
          <w:rFonts w:hint="eastAsia" w:ascii="宋体" w:hAnsi="宋体" w:eastAsia="宋体" w:cs="宋体"/>
          <w:color w:val="auto"/>
          <w:sz w:val="24"/>
          <w:szCs w:val="20"/>
          <w:highlight w:val="none"/>
        </w:rPr>
      </w:pPr>
    </w:p>
    <w:p w14:paraId="53E647A1">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最  后  报  价  文  件</w:t>
      </w:r>
    </w:p>
    <w:p w14:paraId="51F3C8F0">
      <w:pPr>
        <w:snapToGrid w:val="0"/>
        <w:spacing w:before="120" w:beforeLines="50" w:after="50"/>
        <w:rPr>
          <w:rFonts w:hint="eastAsia" w:ascii="宋体" w:hAnsi="宋体"/>
          <w:bCs/>
          <w:color w:val="auto"/>
          <w:sz w:val="24"/>
          <w:szCs w:val="20"/>
          <w:highlight w:val="none"/>
        </w:rPr>
      </w:pPr>
    </w:p>
    <w:p w14:paraId="70D4F176">
      <w:pPr>
        <w:snapToGrid w:val="0"/>
        <w:spacing w:before="120" w:beforeLines="50" w:after="50"/>
        <w:rPr>
          <w:rFonts w:hint="eastAsia" w:ascii="宋体" w:hAnsi="宋体"/>
          <w:bCs/>
          <w:color w:val="auto"/>
          <w:sz w:val="24"/>
          <w:szCs w:val="20"/>
          <w:highlight w:val="none"/>
        </w:rPr>
      </w:pPr>
    </w:p>
    <w:p w14:paraId="664E031D">
      <w:pPr>
        <w:snapToGrid w:val="0"/>
        <w:spacing w:before="120" w:beforeLines="50" w:after="50"/>
        <w:rPr>
          <w:rFonts w:hint="eastAsia" w:ascii="宋体" w:hAnsi="宋体"/>
          <w:bCs/>
          <w:color w:val="auto"/>
          <w:sz w:val="24"/>
          <w:szCs w:val="20"/>
          <w:highlight w:val="none"/>
        </w:rPr>
      </w:pPr>
    </w:p>
    <w:p w14:paraId="510AA27B">
      <w:pPr>
        <w:snapToGrid w:val="0"/>
        <w:spacing w:before="120" w:beforeLines="50" w:after="50"/>
        <w:rPr>
          <w:rFonts w:hint="eastAsia" w:ascii="宋体" w:hAnsi="宋体"/>
          <w:bCs/>
          <w:color w:val="auto"/>
          <w:sz w:val="24"/>
          <w:szCs w:val="20"/>
          <w:highlight w:val="none"/>
        </w:rPr>
      </w:pPr>
    </w:p>
    <w:p w14:paraId="6402A083">
      <w:pPr>
        <w:snapToGrid w:val="0"/>
        <w:spacing w:before="120" w:beforeLines="50" w:after="50"/>
        <w:rPr>
          <w:rFonts w:hint="eastAsia" w:ascii="宋体" w:hAnsi="宋体"/>
          <w:bCs/>
          <w:color w:val="auto"/>
          <w:sz w:val="24"/>
          <w:szCs w:val="20"/>
          <w:highlight w:val="none"/>
        </w:rPr>
      </w:pPr>
    </w:p>
    <w:p w14:paraId="18D29BDC">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B059295">
      <w:pPr>
        <w:snapToGrid w:val="0"/>
        <w:spacing w:before="120" w:beforeLines="50" w:after="50"/>
        <w:ind w:firstLine="720" w:firstLineChars="225"/>
        <w:rPr>
          <w:rFonts w:hint="eastAsia" w:ascii="宋体" w:hAnsi="宋体" w:cs="仿宋_GB2312"/>
          <w:bCs/>
          <w:color w:val="auto"/>
          <w:sz w:val="32"/>
          <w:szCs w:val="32"/>
          <w:highlight w:val="none"/>
        </w:rPr>
      </w:pPr>
    </w:p>
    <w:p w14:paraId="7E67D770">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D845879">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3CB8405">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w:t>
      </w:r>
    </w:p>
    <w:p w14:paraId="0E79BDB5">
      <w:pPr>
        <w:snapToGrid w:val="0"/>
        <w:spacing w:before="120" w:beforeLines="50" w:after="50"/>
        <w:ind w:firstLine="720" w:firstLineChars="225"/>
        <w:rPr>
          <w:rFonts w:hint="eastAsia" w:ascii="宋体" w:hAnsi="宋体" w:cs="仿宋_GB2312"/>
          <w:bCs/>
          <w:color w:val="auto"/>
          <w:sz w:val="32"/>
          <w:szCs w:val="32"/>
          <w:highlight w:val="none"/>
        </w:rPr>
      </w:pPr>
    </w:p>
    <w:p w14:paraId="2A562BEB">
      <w:pPr>
        <w:pStyle w:val="5"/>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D445340">
      <w:pPr>
        <w:pStyle w:val="5"/>
        <w:snapToGrid w:val="0"/>
        <w:spacing w:before="50" w:after="50"/>
        <w:ind w:firstLine="640" w:firstLineChars="200"/>
        <w:rPr>
          <w:rFonts w:hint="eastAsia" w:ascii="宋体" w:hAnsi="宋体" w:cs="仿宋_GB2312"/>
          <w:bCs/>
          <w:color w:val="auto"/>
          <w:sz w:val="32"/>
          <w:szCs w:val="32"/>
          <w:highlight w:val="none"/>
        </w:rPr>
      </w:pPr>
    </w:p>
    <w:p w14:paraId="56A6A377">
      <w:pPr>
        <w:pStyle w:val="5"/>
        <w:snapToGrid w:val="0"/>
        <w:spacing w:before="50" w:after="50"/>
        <w:ind w:firstLine="0"/>
        <w:rPr>
          <w:rFonts w:hint="eastAsia" w:ascii="宋体" w:hAnsi="宋体" w:cs="仿宋_GB2312"/>
          <w:bCs/>
          <w:color w:val="auto"/>
          <w:sz w:val="32"/>
          <w:szCs w:val="32"/>
          <w:highlight w:val="none"/>
        </w:rPr>
      </w:pPr>
    </w:p>
    <w:p w14:paraId="69039CF4">
      <w:pPr>
        <w:pStyle w:val="5"/>
        <w:snapToGrid w:val="0"/>
        <w:spacing w:before="50" w:after="50"/>
        <w:ind w:firstLine="1280" w:firstLineChars="400"/>
        <w:rPr>
          <w:rFonts w:hint="eastAsia" w:ascii="宋体" w:hAnsi="宋体" w:cs="仿宋_GB2312"/>
          <w:bCs/>
          <w:color w:val="auto"/>
          <w:sz w:val="32"/>
          <w:szCs w:val="32"/>
          <w:highlight w:val="none"/>
        </w:rPr>
      </w:pPr>
    </w:p>
    <w:p w14:paraId="2BFE538B">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0A64382">
      <w:pPr>
        <w:snapToGrid w:val="0"/>
        <w:spacing w:before="120" w:beforeLines="50" w:after="50"/>
        <w:jc w:val="center"/>
        <w:rPr>
          <w:rFonts w:hint="eastAsia" w:ascii="宋体" w:hAnsi="宋体" w:cs="宋体"/>
          <w:color w:val="auto"/>
          <w:sz w:val="32"/>
          <w:szCs w:val="32"/>
          <w:highlight w:val="none"/>
        </w:rPr>
      </w:pPr>
    </w:p>
    <w:p w14:paraId="70B664E8">
      <w:pPr>
        <w:tabs>
          <w:tab w:val="left" w:pos="3479"/>
        </w:tabs>
        <w:spacing w:line="520" w:lineRule="exact"/>
        <w:jc w:val="left"/>
        <w:rPr>
          <w:rFonts w:ascii="方正小标宋简体" w:hAnsi="方正小标宋简体" w:eastAsia="方正小标宋简体" w:cs="方正小标宋简体"/>
          <w:bCs/>
          <w:color w:val="auto"/>
          <w:sz w:val="44"/>
          <w:szCs w:val="44"/>
          <w:highlight w:val="none"/>
        </w:rPr>
        <w:sectPr>
          <w:pgSz w:w="11910" w:h="16840"/>
          <w:pgMar w:top="1134" w:right="1134" w:bottom="1134" w:left="1134" w:header="0" w:footer="0" w:gutter="0"/>
          <w:cols w:space="720" w:num="1"/>
          <w:docGrid w:linePitch="286" w:charSpace="0"/>
        </w:sectPr>
      </w:pPr>
    </w:p>
    <w:p w14:paraId="654B1A45">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6389A5AE">
      <w:pPr>
        <w:kinsoku w:val="0"/>
        <w:overflowPunct w:val="0"/>
        <w:spacing w:line="200" w:lineRule="exact"/>
        <w:rPr>
          <w:rFonts w:hint="eastAsia" w:ascii="宋体" w:hAnsi="宋体" w:cs="宋体"/>
          <w:b/>
          <w:color w:val="auto"/>
          <w:sz w:val="24"/>
          <w:highlight w:val="none"/>
        </w:rPr>
      </w:pPr>
    </w:p>
    <w:p w14:paraId="362AB764">
      <w:pPr>
        <w:kinsoku w:val="0"/>
        <w:overflowPunct w:val="0"/>
        <w:spacing w:after="120" w:line="310" w:lineRule="auto"/>
        <w:ind w:firstLine="420"/>
        <w:rPr>
          <w:rFonts w:hint="eastAsia" w:ascii="宋体" w:hAnsi="宋体" w:cs="宋体"/>
          <w:color w:val="auto"/>
          <w:highlight w:val="none"/>
        </w:rPr>
      </w:pPr>
      <w:r>
        <w:rPr>
          <w:rFonts w:hint="eastAsia" w:ascii="宋体" w:hAnsi="宋体" w:cs="宋体"/>
          <w:b/>
          <w:color w:val="auto"/>
          <w:sz w:val="24"/>
          <w:highlight w:val="none"/>
        </w:rPr>
        <w:t>最后报价期间递交：（以下材料，必须提供，否则竞标无效）（如供应商在最后报价时，总报价不做改变，则无需再次提供</w:t>
      </w:r>
      <w:r>
        <w:rPr>
          <w:rFonts w:hint="eastAsia" w:ascii="宋体" w:hAnsi="宋体" w:cs="宋体"/>
          <w:b/>
          <w:color w:val="auto"/>
          <w:sz w:val="24"/>
          <w:highlight w:val="none"/>
          <w:u w:val="thick"/>
        </w:rPr>
        <w:t>最后报价已标价工程量清单</w:t>
      </w:r>
      <w:r>
        <w:rPr>
          <w:rFonts w:hint="eastAsia" w:ascii="宋体" w:hAnsi="宋体" w:cs="宋体"/>
          <w:b/>
          <w:color w:val="auto"/>
          <w:sz w:val="24"/>
          <w:highlight w:val="none"/>
        </w:rPr>
        <w:t>）</w:t>
      </w:r>
    </w:p>
    <w:p w14:paraId="30DBEA31">
      <w:pPr>
        <w:numPr>
          <w:ilvl w:val="0"/>
          <w:numId w:val="0"/>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一、</w:t>
      </w:r>
      <w:r>
        <w:rPr>
          <w:rFonts w:hint="eastAsia" w:ascii="宋体" w:hAnsi="宋体" w:cs="宋体"/>
          <w:color w:val="auto"/>
          <w:kern w:val="0"/>
          <w:sz w:val="24"/>
          <w:highlight w:val="none"/>
        </w:rPr>
        <w:t>响应函及响应函附录………………………………………………………………（页码）</w:t>
      </w:r>
    </w:p>
    <w:p w14:paraId="3D5E33C0">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二</w:t>
      </w:r>
      <w:r>
        <w:rPr>
          <w:rFonts w:hint="eastAsia" w:ascii="宋体" w:hAnsi="宋体" w:cs="宋体"/>
          <w:color w:val="auto"/>
          <w:kern w:val="0"/>
          <w:sz w:val="24"/>
          <w:highlight w:val="none"/>
        </w:rPr>
        <w:t>、已标价工程量清单…………………………………………………………………（页码）</w:t>
      </w:r>
    </w:p>
    <w:p w14:paraId="2E01870C">
      <w:pPr>
        <w:tabs>
          <w:tab w:val="left" w:pos="3479"/>
        </w:tabs>
        <w:spacing w:line="520" w:lineRule="exact"/>
        <w:jc w:val="left"/>
        <w:rPr>
          <w:rFonts w:ascii="方正小标宋简体" w:hAnsi="方正小标宋简体" w:eastAsia="方正小标宋简体" w:cs="方正小标宋简体"/>
          <w:bCs/>
          <w:color w:val="auto"/>
          <w:sz w:val="44"/>
          <w:szCs w:val="44"/>
          <w:highlight w:val="none"/>
        </w:rPr>
        <w:sectPr>
          <w:pgSz w:w="11910" w:h="16840"/>
          <w:pgMar w:top="1134" w:right="1134" w:bottom="1134" w:left="1134" w:header="0" w:footer="0" w:gutter="0"/>
          <w:cols w:space="720" w:num="1"/>
          <w:docGrid w:linePitch="286" w:charSpace="0"/>
        </w:sectPr>
      </w:pPr>
    </w:p>
    <w:p w14:paraId="576D2099">
      <w:pPr>
        <w:pStyle w:val="11"/>
        <w:spacing w:line="500" w:lineRule="exact"/>
        <w:jc w:val="left"/>
        <w:rPr>
          <w:rFonts w:hint="eastAsia" w:hAnsi="宋体" w:cs="宋体"/>
          <w:b/>
          <w:color w:val="auto"/>
          <w:kern w:val="2"/>
          <w:sz w:val="24"/>
          <w:szCs w:val="24"/>
          <w:highlight w:val="none"/>
        </w:rPr>
      </w:pPr>
      <w:r>
        <w:rPr>
          <w:rFonts w:hint="eastAsia" w:hAnsi="宋体" w:cs="宋体"/>
          <w:b/>
          <w:bCs/>
          <w:color w:val="auto"/>
          <w:sz w:val="30"/>
          <w:szCs w:val="30"/>
          <w:highlight w:val="none"/>
          <w:lang w:eastAsia="zh-CN"/>
        </w:rPr>
        <w:t>一、响应函及响应函附录</w:t>
      </w:r>
    </w:p>
    <w:p w14:paraId="4EDBAD62">
      <w:pPr>
        <w:pStyle w:val="21"/>
        <w:rPr>
          <w:rFonts w:hint="eastAsia" w:ascii="宋体" w:hAnsi="宋体" w:cs="宋体"/>
          <w:b/>
          <w:color w:val="auto"/>
          <w:kern w:val="2"/>
          <w:highlight w:val="none"/>
        </w:rPr>
      </w:pPr>
    </w:p>
    <w:p w14:paraId="6E7EC029">
      <w:pPr>
        <w:pStyle w:val="30"/>
        <w:jc w:val="center"/>
        <w:rPr>
          <w:rFonts w:hint="eastAsia" w:ascii="宋体" w:hAnsi="宋体"/>
          <w:color w:val="auto"/>
          <w:sz w:val="28"/>
          <w:szCs w:val="28"/>
          <w:highlight w:val="none"/>
          <w:lang w:eastAsia="zh-CN"/>
        </w:rPr>
      </w:pPr>
      <w:bookmarkStart w:id="138" w:name="_Toc26653"/>
      <w:bookmarkStart w:id="139" w:name="_Toc1744"/>
      <w:bookmarkStart w:id="140" w:name="_Toc26901"/>
      <w:bookmarkStart w:id="141" w:name="_Toc256000196"/>
      <w:bookmarkStart w:id="142" w:name="bookmark2064"/>
      <w:bookmarkStart w:id="143" w:name="bookmark2062"/>
      <w:bookmarkStart w:id="144" w:name="bookmark2063"/>
      <w:bookmarkStart w:id="145" w:name="_Toc11427"/>
      <w:bookmarkStart w:id="146" w:name="_Toc21965"/>
      <w:r>
        <w:rPr>
          <w:rFonts w:hint="eastAsia" w:ascii="宋体" w:hAnsi="宋体"/>
          <w:color w:val="auto"/>
          <w:sz w:val="28"/>
          <w:szCs w:val="28"/>
          <w:highlight w:val="none"/>
          <w:lang w:eastAsia="zh-CN"/>
        </w:rPr>
        <w:t>（―）</w:t>
      </w:r>
      <w:bookmarkEnd w:id="138"/>
      <w:bookmarkEnd w:id="139"/>
      <w:bookmarkEnd w:id="140"/>
      <w:bookmarkEnd w:id="141"/>
      <w:bookmarkEnd w:id="142"/>
      <w:bookmarkEnd w:id="143"/>
      <w:bookmarkEnd w:id="144"/>
      <w:r>
        <w:rPr>
          <w:rFonts w:hint="eastAsia" w:ascii="宋体" w:hAnsi="宋体"/>
          <w:color w:val="auto"/>
          <w:sz w:val="28"/>
          <w:szCs w:val="28"/>
          <w:highlight w:val="none"/>
          <w:lang w:eastAsia="zh-CN"/>
        </w:rPr>
        <w:t>响应函</w:t>
      </w:r>
      <w:bookmarkEnd w:id="145"/>
      <w:bookmarkEnd w:id="146"/>
    </w:p>
    <w:p w14:paraId="6EC07D3E">
      <w:pPr>
        <w:pStyle w:val="27"/>
        <w:spacing w:line="420" w:lineRule="exact"/>
        <w:rPr>
          <w:color w:val="auto"/>
          <w:highlight w:val="none"/>
          <w:lang w:eastAsia="zh-CN"/>
        </w:rPr>
      </w:pP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u w:val="single"/>
          <w:lang w:eastAsia="zh-CN"/>
        </w:rPr>
        <w:t xml:space="preserve">   </w:t>
      </w:r>
      <w:r>
        <w:rPr>
          <w:color w:val="auto"/>
          <w:highlight w:val="none"/>
          <w:lang w:eastAsia="zh-CN"/>
        </w:rPr>
        <w:t>（</w:t>
      </w:r>
      <w:r>
        <w:rPr>
          <w:rFonts w:hint="eastAsia"/>
          <w:color w:val="auto"/>
          <w:highlight w:val="none"/>
          <w:lang w:eastAsia="zh-CN"/>
        </w:rPr>
        <w:t>采购人名称</w:t>
      </w:r>
      <w:r>
        <w:rPr>
          <w:color w:val="auto"/>
          <w:highlight w:val="none"/>
          <w:lang w:eastAsia="zh-CN"/>
        </w:rPr>
        <w:t>）</w:t>
      </w:r>
      <w:r>
        <w:rPr>
          <w:rFonts w:hint="eastAsia"/>
          <w:color w:val="auto"/>
          <w:highlight w:val="none"/>
          <w:lang w:eastAsia="zh-CN"/>
        </w:rPr>
        <w:t>：</w:t>
      </w:r>
    </w:p>
    <w:p w14:paraId="405AF613">
      <w:pPr>
        <w:pStyle w:val="26"/>
        <w:numPr>
          <w:ilvl w:val="0"/>
          <w:numId w:val="10"/>
        </w:numPr>
        <w:tabs>
          <w:tab w:val="left" w:pos="762"/>
          <w:tab w:val="left" w:pos="2074"/>
          <w:tab w:val="left" w:pos="3430"/>
          <w:tab w:val="left" w:pos="4687"/>
          <w:tab w:val="left" w:pos="7898"/>
        </w:tabs>
        <w:spacing w:line="420" w:lineRule="exact"/>
        <w:ind w:left="0" w:firstLine="440"/>
        <w:jc w:val="both"/>
        <w:rPr>
          <w:rFonts w:ascii="Times New Roman" w:hAnsi="Times New Roman" w:cs="Times New Roman"/>
          <w:color w:val="auto"/>
          <w:sz w:val="24"/>
          <w:szCs w:val="24"/>
          <w:highlight w:val="none"/>
        </w:rPr>
      </w:pPr>
      <w:bookmarkStart w:id="147" w:name="bookmark2065"/>
      <w:bookmarkEnd w:id="147"/>
      <w:r>
        <w:rPr>
          <w:rFonts w:ascii="Times New Roman" w:hAnsi="Times New Roman" w:cs="Times New Roman"/>
          <w:color w:val="auto"/>
          <w:sz w:val="24"/>
          <w:szCs w:val="24"/>
          <w:highlight w:val="none"/>
        </w:rPr>
        <w:t>我方已仔细研究了</w:t>
      </w:r>
      <w:r>
        <w:rPr>
          <w:rFonts w:hint="eastAsia" w:ascii="Times New Roman" w:hAnsi="Times New Roman" w:cs="Times New Roman"/>
          <w:color w:val="auto"/>
          <w:sz w:val="24"/>
          <w:szCs w:val="24"/>
          <w:highlight w:val="none"/>
          <w:u w:val="single"/>
          <w:lang w:val="en-US"/>
        </w:rPr>
        <w:t xml:space="preserve">           </w:t>
      </w:r>
      <w:r>
        <w:rPr>
          <w:rFonts w:ascii="Times New Roman" w:hAnsi="Times New Roman" w:cs="Times New Roman"/>
          <w:color w:val="auto"/>
          <w:sz w:val="24"/>
          <w:szCs w:val="24"/>
          <w:highlight w:val="none"/>
        </w:rPr>
        <w:t>（项目名称）</w:t>
      </w:r>
      <w:r>
        <w:rPr>
          <w:rFonts w:hint="eastAsia" w:ascii="Times New Roman" w:hAnsi="Times New Roman" w:cs="Times New Roman"/>
          <w:color w:val="auto"/>
          <w:sz w:val="24"/>
          <w:szCs w:val="24"/>
          <w:highlight w:val="none"/>
          <w:u w:val="single"/>
          <w:lang w:val="en-US"/>
        </w:rPr>
        <w:t xml:space="preserve">          </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项目编号</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施工竞争性谈判文件</w:t>
      </w:r>
      <w:r>
        <w:rPr>
          <w:rFonts w:ascii="Times New Roman" w:hAnsi="Times New Roman" w:cs="Times New Roman"/>
          <w:color w:val="auto"/>
          <w:sz w:val="24"/>
          <w:szCs w:val="24"/>
          <w:highlight w:val="none"/>
        </w:rPr>
        <w:t>的全部内容，愿意以人民币（大写）</w:t>
      </w:r>
      <w:r>
        <w:rPr>
          <w:rFonts w:hint="eastAsia" w:ascii="Times New Roman" w:hAnsi="Times New Roman" w:cs="Times New Roman"/>
          <w:color w:val="auto"/>
          <w:sz w:val="24"/>
          <w:szCs w:val="24"/>
          <w:highlight w:val="none"/>
          <w:u w:val="single"/>
          <w:lang w:val="en-US"/>
        </w:rPr>
        <w:t xml:space="preserve">            </w:t>
      </w:r>
      <w:r>
        <w:rPr>
          <w:rFonts w:ascii="Times New Roman" w:hAnsi="Times New Roman" w:cs="Times New Roman"/>
          <w:color w:val="auto"/>
          <w:sz w:val="24"/>
          <w:szCs w:val="24"/>
          <w:highlight w:val="none"/>
        </w:rPr>
        <w:t>元（¥</w:t>
      </w:r>
      <w:r>
        <w:rPr>
          <w:rFonts w:hint="eastAsia" w:ascii="Times New Roman" w:hAnsi="Times New Roman" w:cs="Times New Roman"/>
          <w:color w:val="auto"/>
          <w:sz w:val="24"/>
          <w:szCs w:val="24"/>
          <w:highlight w:val="none"/>
          <w:u w:val="single"/>
          <w:lang w:val="en-US"/>
        </w:rPr>
        <w:t xml:space="preserve">        </w:t>
      </w:r>
      <w:r>
        <w:rPr>
          <w:rFonts w:ascii="Times New Roman" w:hAnsi="Times New Roman" w:cs="Times New Roman"/>
          <w:color w:val="auto"/>
          <w:sz w:val="24"/>
          <w:szCs w:val="24"/>
          <w:highlight w:val="none"/>
        </w:rPr>
        <w:t>元）的</w:t>
      </w:r>
      <w:r>
        <w:rPr>
          <w:rFonts w:hint="eastAsia" w:ascii="Times New Roman" w:hAnsi="Times New Roman" w:cs="Times New Roman"/>
          <w:color w:val="auto"/>
          <w:sz w:val="24"/>
          <w:szCs w:val="24"/>
          <w:highlight w:val="none"/>
        </w:rPr>
        <w:t>竞标总报价</w:t>
      </w:r>
      <w:r>
        <w:rPr>
          <w:rFonts w:ascii="Times New Roman" w:hAnsi="Times New Roman" w:cs="Times New Roman"/>
          <w:color w:val="auto"/>
          <w:sz w:val="24"/>
          <w:szCs w:val="24"/>
          <w:highlight w:val="none"/>
        </w:rPr>
        <w:t>，工期</w:t>
      </w:r>
      <w:r>
        <w:rPr>
          <w:rFonts w:hint="eastAsia" w:ascii="Times New Roman" w:hAnsi="Times New Roman" w:cs="Times New Roman"/>
          <w:color w:val="auto"/>
          <w:sz w:val="24"/>
          <w:szCs w:val="24"/>
          <w:highlight w:val="none"/>
          <w:u w:val="single"/>
          <w:lang w:val="en-US"/>
        </w:rPr>
        <w:t xml:space="preserve">            </w:t>
      </w:r>
      <w:r>
        <w:rPr>
          <w:rFonts w:ascii="Times New Roman" w:hAnsi="Times New Roman" w:cs="Times New Roman"/>
          <w:color w:val="auto"/>
          <w:sz w:val="24"/>
          <w:szCs w:val="24"/>
          <w:highlight w:val="none"/>
        </w:rPr>
        <w:t>日历天，按合同约定实施和完成承包工程，修补工程中的任何缺陷，工程质量达到</w:t>
      </w:r>
      <w:r>
        <w:rPr>
          <w:rFonts w:hint="eastAsia" w:ascii="Times New Roman" w:hAnsi="Times New Roman" w:cs="Times New Roman"/>
          <w:color w:val="auto"/>
          <w:sz w:val="24"/>
          <w:szCs w:val="24"/>
          <w:highlight w:val="none"/>
          <w:u w:val="single"/>
          <w:lang w:val="en-US"/>
        </w:rPr>
        <w:t xml:space="preserve">           </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lang w:val="en-US" w:bidi="en-US"/>
        </w:rPr>
        <w:t>。</w:t>
      </w:r>
    </w:p>
    <w:p w14:paraId="345B1BC7">
      <w:pPr>
        <w:pStyle w:val="26"/>
        <w:numPr>
          <w:ilvl w:val="0"/>
          <w:numId w:val="10"/>
        </w:numPr>
        <w:tabs>
          <w:tab w:val="left" w:pos="774"/>
        </w:tabs>
        <w:spacing w:line="420" w:lineRule="exact"/>
        <w:ind w:left="0" w:firstLine="440"/>
        <w:jc w:val="both"/>
        <w:rPr>
          <w:rFonts w:ascii="Times New Roman" w:hAnsi="Times New Roman" w:cs="Times New Roman"/>
          <w:color w:val="auto"/>
          <w:sz w:val="24"/>
          <w:szCs w:val="24"/>
          <w:highlight w:val="none"/>
        </w:rPr>
      </w:pPr>
      <w:bookmarkStart w:id="148" w:name="bookmark2066"/>
      <w:bookmarkEnd w:id="148"/>
      <w:r>
        <w:rPr>
          <w:rFonts w:ascii="Times New Roman" w:hAnsi="Times New Roman" w:cs="Times New Roman"/>
          <w:color w:val="auto"/>
          <w:sz w:val="24"/>
          <w:szCs w:val="24"/>
          <w:highlight w:val="none"/>
        </w:rPr>
        <w:t>我方承诺在投标有效期内不补充、修改、替代或者撤回本</w:t>
      </w:r>
      <w:r>
        <w:rPr>
          <w:rFonts w:hint="eastAsia" w:ascii="Times New Roman" w:hAnsi="Times New Roman" w:cs="Times New Roman"/>
          <w:color w:val="auto"/>
          <w:sz w:val="24"/>
          <w:szCs w:val="24"/>
          <w:highlight w:val="none"/>
        </w:rPr>
        <w:t>响应文件</w:t>
      </w:r>
      <w:r>
        <w:rPr>
          <w:rFonts w:ascii="Times New Roman" w:hAnsi="Times New Roman" w:cs="Times New Roman"/>
          <w:color w:val="auto"/>
          <w:sz w:val="24"/>
          <w:szCs w:val="24"/>
          <w:highlight w:val="none"/>
        </w:rPr>
        <w:t>。</w:t>
      </w:r>
    </w:p>
    <w:p w14:paraId="263D80D0">
      <w:pPr>
        <w:pStyle w:val="26"/>
        <w:numPr>
          <w:ilvl w:val="0"/>
          <w:numId w:val="10"/>
        </w:numPr>
        <w:tabs>
          <w:tab w:val="left" w:pos="762"/>
        </w:tabs>
        <w:spacing w:line="420" w:lineRule="exact"/>
        <w:ind w:left="0" w:firstLine="440"/>
        <w:jc w:val="both"/>
        <w:rPr>
          <w:rFonts w:ascii="Times New Roman" w:hAnsi="Times New Roman" w:cs="Times New Roman"/>
          <w:color w:val="auto"/>
          <w:sz w:val="24"/>
          <w:szCs w:val="24"/>
          <w:highlight w:val="none"/>
        </w:rPr>
      </w:pPr>
      <w:bookmarkStart w:id="149" w:name="bookmark2068"/>
      <w:bookmarkEnd w:id="149"/>
      <w:bookmarkStart w:id="150" w:name="bookmark2067"/>
      <w:bookmarkEnd w:id="150"/>
      <w:r>
        <w:rPr>
          <w:rFonts w:ascii="Times New Roman" w:hAnsi="Times New Roman" w:cs="Times New Roman"/>
          <w:color w:val="auto"/>
          <w:sz w:val="24"/>
          <w:szCs w:val="24"/>
          <w:highlight w:val="none"/>
        </w:rPr>
        <w:t>如</w:t>
      </w:r>
      <w:r>
        <w:rPr>
          <w:rFonts w:hint="eastAsia" w:ascii="Times New Roman" w:hAnsi="Times New Roman" w:cs="Times New Roman"/>
          <w:color w:val="auto"/>
          <w:sz w:val="24"/>
          <w:szCs w:val="24"/>
          <w:highlight w:val="none"/>
        </w:rPr>
        <w:t>我方成交：</w:t>
      </w:r>
    </w:p>
    <w:p w14:paraId="7E8356F3">
      <w:pPr>
        <w:pStyle w:val="26"/>
        <w:tabs>
          <w:tab w:val="left" w:pos="903"/>
        </w:tabs>
        <w:spacing w:line="420" w:lineRule="exact"/>
        <w:ind w:firstLine="420"/>
        <w:jc w:val="both"/>
        <w:rPr>
          <w:rFonts w:ascii="Times New Roman" w:hAnsi="Times New Roman" w:cs="Times New Roman"/>
          <w:color w:val="auto"/>
          <w:sz w:val="24"/>
          <w:szCs w:val="24"/>
          <w:highlight w:val="none"/>
        </w:rPr>
      </w:pPr>
      <w:bookmarkStart w:id="151" w:name="bookmark2069"/>
      <w:r>
        <w:rPr>
          <w:rFonts w:ascii="Times New Roman" w:hAnsi="Times New Roman" w:cs="Times New Roman"/>
          <w:color w:val="auto"/>
          <w:sz w:val="24"/>
          <w:szCs w:val="24"/>
          <w:highlight w:val="none"/>
        </w:rPr>
        <w:t>（</w:t>
      </w:r>
      <w:bookmarkEnd w:id="151"/>
      <w:r>
        <w:rPr>
          <w:rFonts w:ascii="Times New Roman" w:hAnsi="Times New Roman" w:cs="Times New Roman"/>
          <w:color w:val="auto"/>
          <w:sz w:val="24"/>
          <w:szCs w:val="24"/>
          <w:highlight w:val="none"/>
        </w:rPr>
        <w:t>1）我方承诺在收到</w:t>
      </w:r>
      <w:r>
        <w:rPr>
          <w:rFonts w:hint="eastAsia" w:ascii="Times New Roman" w:hAnsi="Times New Roman" w:cs="Times New Roman"/>
          <w:color w:val="auto"/>
          <w:sz w:val="24"/>
          <w:szCs w:val="24"/>
          <w:highlight w:val="none"/>
        </w:rPr>
        <w:t>成交通知书</w:t>
      </w:r>
      <w:r>
        <w:rPr>
          <w:rFonts w:ascii="Times New Roman" w:hAnsi="Times New Roman" w:cs="Times New Roman"/>
          <w:color w:val="auto"/>
          <w:sz w:val="24"/>
          <w:szCs w:val="24"/>
          <w:highlight w:val="none"/>
        </w:rPr>
        <w:t>后，在</w:t>
      </w:r>
      <w:r>
        <w:rPr>
          <w:rFonts w:hint="eastAsia" w:ascii="Times New Roman" w:hAnsi="Times New Roman" w:cs="Times New Roman"/>
          <w:color w:val="auto"/>
          <w:sz w:val="24"/>
          <w:szCs w:val="24"/>
          <w:highlight w:val="none"/>
        </w:rPr>
        <w:t>成交通知书</w:t>
      </w:r>
      <w:r>
        <w:rPr>
          <w:rFonts w:ascii="Times New Roman" w:hAnsi="Times New Roman" w:cs="Times New Roman"/>
          <w:color w:val="auto"/>
          <w:sz w:val="24"/>
          <w:szCs w:val="24"/>
          <w:highlight w:val="none"/>
        </w:rPr>
        <w:t>规定的期限内与你方签订合同。</w:t>
      </w:r>
    </w:p>
    <w:p w14:paraId="4C40BD50">
      <w:pPr>
        <w:pStyle w:val="26"/>
        <w:tabs>
          <w:tab w:val="left" w:pos="903"/>
        </w:tabs>
        <w:spacing w:line="420" w:lineRule="exact"/>
        <w:ind w:firstLine="420"/>
        <w:jc w:val="both"/>
        <w:rPr>
          <w:rFonts w:ascii="Times New Roman" w:hAnsi="Times New Roman" w:cs="Times New Roman"/>
          <w:color w:val="auto"/>
          <w:sz w:val="24"/>
          <w:szCs w:val="24"/>
          <w:highlight w:val="none"/>
        </w:rPr>
      </w:pPr>
      <w:bookmarkStart w:id="152" w:name="bookmark2070"/>
      <w:r>
        <w:rPr>
          <w:rFonts w:ascii="Times New Roman" w:hAnsi="Times New Roman" w:cs="Times New Roman"/>
          <w:color w:val="auto"/>
          <w:sz w:val="24"/>
          <w:szCs w:val="24"/>
          <w:highlight w:val="none"/>
        </w:rPr>
        <w:t>（</w:t>
      </w:r>
      <w:bookmarkEnd w:id="152"/>
      <w:r>
        <w:rPr>
          <w:rFonts w:ascii="Times New Roman" w:hAnsi="Times New Roman" w:cs="Times New Roman"/>
          <w:color w:val="auto"/>
          <w:sz w:val="24"/>
          <w:szCs w:val="24"/>
          <w:highlight w:val="none"/>
        </w:rPr>
        <w:t>2）随同本</w:t>
      </w:r>
      <w:r>
        <w:rPr>
          <w:rFonts w:hint="eastAsia" w:ascii="Times New Roman" w:hAnsi="Times New Roman" w:cs="Times New Roman"/>
          <w:color w:val="auto"/>
          <w:sz w:val="24"/>
          <w:szCs w:val="24"/>
          <w:highlight w:val="none"/>
        </w:rPr>
        <w:t>响应函</w:t>
      </w:r>
      <w:r>
        <w:rPr>
          <w:rFonts w:ascii="Times New Roman" w:hAnsi="Times New Roman" w:cs="Times New Roman"/>
          <w:color w:val="auto"/>
          <w:sz w:val="24"/>
          <w:szCs w:val="24"/>
          <w:highlight w:val="none"/>
        </w:rPr>
        <w:t>递交的</w:t>
      </w:r>
      <w:r>
        <w:rPr>
          <w:rFonts w:hint="eastAsia" w:ascii="Times New Roman" w:hAnsi="Times New Roman" w:cs="Times New Roman"/>
          <w:color w:val="auto"/>
          <w:sz w:val="24"/>
          <w:szCs w:val="24"/>
          <w:highlight w:val="none"/>
        </w:rPr>
        <w:t>响应函</w:t>
      </w:r>
      <w:r>
        <w:rPr>
          <w:rFonts w:ascii="Times New Roman" w:hAnsi="Times New Roman" w:cs="Times New Roman"/>
          <w:color w:val="auto"/>
          <w:sz w:val="24"/>
          <w:szCs w:val="24"/>
          <w:highlight w:val="none"/>
        </w:rPr>
        <w:t>附录属于合同文件的组成部分。</w:t>
      </w:r>
    </w:p>
    <w:p w14:paraId="1E3B5350">
      <w:pPr>
        <w:pStyle w:val="26"/>
        <w:tabs>
          <w:tab w:val="left" w:pos="903"/>
        </w:tabs>
        <w:spacing w:line="420" w:lineRule="exact"/>
        <w:ind w:firstLine="420"/>
        <w:jc w:val="both"/>
        <w:rPr>
          <w:rFonts w:ascii="Times New Roman" w:hAnsi="Times New Roman" w:cs="Times New Roman"/>
          <w:color w:val="auto"/>
          <w:sz w:val="24"/>
          <w:szCs w:val="24"/>
          <w:highlight w:val="none"/>
        </w:rPr>
      </w:pPr>
      <w:bookmarkStart w:id="153" w:name="bookmark2071"/>
      <w:r>
        <w:rPr>
          <w:rFonts w:ascii="Times New Roman" w:hAnsi="Times New Roman" w:cs="Times New Roman"/>
          <w:color w:val="auto"/>
          <w:sz w:val="24"/>
          <w:szCs w:val="24"/>
          <w:highlight w:val="none"/>
        </w:rPr>
        <w:t>（</w:t>
      </w:r>
      <w:bookmarkEnd w:id="153"/>
      <w:r>
        <w:rPr>
          <w:rFonts w:ascii="Times New Roman" w:hAnsi="Times New Roman" w:cs="Times New Roman"/>
          <w:color w:val="auto"/>
          <w:sz w:val="24"/>
          <w:szCs w:val="24"/>
          <w:highlight w:val="none"/>
        </w:rPr>
        <w:t>3）我方承诺按照</w:t>
      </w:r>
      <w:r>
        <w:rPr>
          <w:rFonts w:hint="eastAsia" w:ascii="Times New Roman" w:hAnsi="Times New Roman" w:cs="Times New Roman"/>
          <w:color w:val="auto"/>
          <w:sz w:val="24"/>
          <w:szCs w:val="24"/>
          <w:highlight w:val="none"/>
        </w:rPr>
        <w:t>竞争性谈判文件</w:t>
      </w:r>
      <w:r>
        <w:rPr>
          <w:rFonts w:ascii="Times New Roman" w:hAnsi="Times New Roman" w:cs="Times New Roman"/>
          <w:color w:val="auto"/>
          <w:sz w:val="24"/>
          <w:szCs w:val="24"/>
          <w:highlight w:val="none"/>
        </w:rPr>
        <w:t>规定向你方递交履约担保。</w:t>
      </w:r>
    </w:p>
    <w:p w14:paraId="71FF0D14">
      <w:pPr>
        <w:pStyle w:val="26"/>
        <w:tabs>
          <w:tab w:val="left" w:pos="903"/>
        </w:tabs>
        <w:spacing w:line="420" w:lineRule="exact"/>
        <w:ind w:firstLine="420"/>
        <w:jc w:val="both"/>
        <w:rPr>
          <w:rFonts w:ascii="Times New Roman" w:hAnsi="Times New Roman" w:cs="Times New Roman"/>
          <w:color w:val="auto"/>
          <w:sz w:val="24"/>
          <w:szCs w:val="24"/>
          <w:highlight w:val="none"/>
        </w:rPr>
      </w:pPr>
      <w:bookmarkStart w:id="154" w:name="bookmark2072"/>
      <w:r>
        <w:rPr>
          <w:rFonts w:ascii="Times New Roman" w:hAnsi="Times New Roman" w:cs="Times New Roman"/>
          <w:color w:val="auto"/>
          <w:sz w:val="24"/>
          <w:szCs w:val="24"/>
          <w:highlight w:val="none"/>
        </w:rPr>
        <w:t>（</w:t>
      </w:r>
      <w:bookmarkEnd w:id="154"/>
      <w:r>
        <w:rPr>
          <w:rFonts w:ascii="Times New Roman" w:hAnsi="Times New Roman" w:cs="Times New Roman"/>
          <w:color w:val="auto"/>
          <w:sz w:val="24"/>
          <w:szCs w:val="24"/>
          <w:highlight w:val="none"/>
        </w:rPr>
        <w:t>4）我方承诺在合同约定的期限内完成并移交全部合同工程。</w:t>
      </w:r>
    </w:p>
    <w:p w14:paraId="28C2B71A">
      <w:pPr>
        <w:pStyle w:val="26"/>
        <w:tabs>
          <w:tab w:val="left" w:pos="762"/>
        </w:tabs>
        <w:spacing w:line="420" w:lineRule="exact"/>
        <w:ind w:firstLine="480" w:firstLineChars="200"/>
        <w:jc w:val="both"/>
        <w:rPr>
          <w:rFonts w:ascii="Times New Roman" w:hAnsi="Times New Roman" w:cs="Times New Roman"/>
          <w:color w:val="auto"/>
          <w:sz w:val="24"/>
          <w:szCs w:val="24"/>
          <w:highlight w:val="none"/>
        </w:rPr>
      </w:pPr>
      <w:bookmarkStart w:id="155" w:name="bookmark2073"/>
      <w:bookmarkEnd w:id="155"/>
      <w:r>
        <w:rPr>
          <w:rFonts w:hint="eastAsia" w:ascii="Times New Roman" w:hAnsi="Times New Roman" w:cs="Times New Roman"/>
          <w:color w:val="auto"/>
          <w:sz w:val="24"/>
          <w:szCs w:val="24"/>
          <w:highlight w:val="none"/>
          <w:lang w:val="en-US"/>
        </w:rPr>
        <w:t>4.</w:t>
      </w:r>
      <w:r>
        <w:rPr>
          <w:rFonts w:ascii="Times New Roman" w:hAnsi="Times New Roman" w:cs="Times New Roman"/>
          <w:color w:val="auto"/>
          <w:sz w:val="24"/>
          <w:szCs w:val="24"/>
          <w:highlight w:val="none"/>
        </w:rPr>
        <w:t>我方在此声明，所递交的</w:t>
      </w:r>
      <w:r>
        <w:rPr>
          <w:rFonts w:hint="eastAsia" w:ascii="Times New Roman" w:hAnsi="Times New Roman" w:cs="Times New Roman"/>
          <w:color w:val="auto"/>
          <w:sz w:val="24"/>
          <w:szCs w:val="24"/>
          <w:highlight w:val="none"/>
        </w:rPr>
        <w:t>响应文件</w:t>
      </w:r>
      <w:r>
        <w:rPr>
          <w:rFonts w:ascii="Times New Roman" w:hAnsi="Times New Roman" w:cs="Times New Roman"/>
          <w:color w:val="auto"/>
          <w:sz w:val="24"/>
          <w:szCs w:val="24"/>
          <w:highlight w:val="none"/>
        </w:rPr>
        <w:t>及有关资料内容完整、真实和准确。</w:t>
      </w:r>
    </w:p>
    <w:p w14:paraId="081B325E">
      <w:pPr>
        <w:pStyle w:val="26"/>
        <w:tabs>
          <w:tab w:val="left" w:pos="779"/>
          <w:tab w:val="left" w:pos="3704"/>
        </w:tabs>
        <w:spacing w:after="340" w:line="420" w:lineRule="exact"/>
        <w:ind w:firstLine="480" w:firstLineChars="200"/>
        <w:jc w:val="both"/>
        <w:rPr>
          <w:rFonts w:ascii="Times New Roman" w:hAnsi="Times New Roman" w:cs="Times New Roman"/>
          <w:color w:val="auto"/>
          <w:sz w:val="24"/>
          <w:szCs w:val="24"/>
          <w:highlight w:val="none"/>
        </w:rPr>
      </w:pPr>
      <w:bookmarkStart w:id="156" w:name="bookmark2074"/>
      <w:bookmarkEnd w:id="156"/>
      <w:r>
        <w:rPr>
          <w:rFonts w:hint="eastAsia" w:ascii="Times New Roman" w:hAnsi="Times New Roman" w:cs="Times New Roman"/>
          <w:color w:val="auto"/>
          <w:sz w:val="24"/>
          <w:szCs w:val="24"/>
          <w:highlight w:val="none"/>
          <w:lang w:val="en-US"/>
        </w:rPr>
        <w:t xml:space="preserve">5. </w:t>
      </w:r>
      <w:r>
        <w:rPr>
          <w:rFonts w:hint="eastAsia" w:ascii="Times New Roman" w:hAnsi="Times New Roman" w:cs="Times New Roman"/>
          <w:color w:val="auto"/>
          <w:sz w:val="24"/>
          <w:szCs w:val="24"/>
          <w:highlight w:val="none"/>
          <w:u w:val="single"/>
          <w:lang w:val="en-US"/>
        </w:rPr>
        <w:t xml:space="preserve">                                                      </w:t>
      </w:r>
      <w:r>
        <w:rPr>
          <w:rFonts w:ascii="Times New Roman" w:hAnsi="Times New Roman" w:cs="Times New Roman"/>
          <w:color w:val="auto"/>
          <w:sz w:val="24"/>
          <w:szCs w:val="24"/>
          <w:highlight w:val="none"/>
        </w:rPr>
        <w:t>（其他补充说明）。</w:t>
      </w:r>
    </w:p>
    <w:p w14:paraId="4075B000">
      <w:pPr>
        <w:pStyle w:val="26"/>
        <w:tabs>
          <w:tab w:val="left" w:pos="6938"/>
          <w:tab w:val="left" w:pos="7567"/>
          <w:tab w:val="left" w:pos="8340"/>
        </w:tabs>
        <w:ind w:left="3120" w:firstLine="40"/>
        <w:jc w:val="both"/>
        <w:rPr>
          <w:color w:val="auto"/>
          <w:sz w:val="24"/>
          <w:szCs w:val="24"/>
          <w:highlight w:val="none"/>
        </w:rPr>
      </w:pPr>
      <w:r>
        <w:rPr>
          <w:rFonts w:hint="eastAsia"/>
          <w:color w:val="auto"/>
          <w:sz w:val="24"/>
          <w:szCs w:val="24"/>
          <w:highlight w:val="none"/>
        </w:rPr>
        <w:t>竞标人：</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（盖单位电子公章）</w:t>
      </w:r>
    </w:p>
    <w:p w14:paraId="07594B31">
      <w:pPr>
        <w:pStyle w:val="26"/>
        <w:tabs>
          <w:tab w:val="left" w:pos="6938"/>
          <w:tab w:val="left" w:pos="7567"/>
          <w:tab w:val="left" w:pos="8340"/>
        </w:tabs>
        <w:ind w:left="3120" w:firstLine="40"/>
        <w:jc w:val="both"/>
        <w:rPr>
          <w:color w:val="auto"/>
          <w:sz w:val="24"/>
          <w:szCs w:val="24"/>
          <w:highlight w:val="none"/>
        </w:rPr>
      </w:pPr>
      <w:r>
        <w:rPr>
          <w:rFonts w:hint="eastAsia"/>
          <w:color w:val="auto"/>
          <w:sz w:val="24"/>
          <w:szCs w:val="24"/>
          <w:highlight w:val="none"/>
        </w:rPr>
        <w:t>法定代表人或其委托代理人：</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（签字或电子签名） </w:t>
      </w:r>
    </w:p>
    <w:p w14:paraId="161199E6">
      <w:pPr>
        <w:pStyle w:val="26"/>
        <w:tabs>
          <w:tab w:val="left" w:pos="6938"/>
          <w:tab w:val="left" w:pos="7567"/>
          <w:tab w:val="left" w:pos="8340"/>
        </w:tabs>
        <w:ind w:left="3120" w:firstLine="40"/>
        <w:jc w:val="both"/>
        <w:rPr>
          <w:color w:val="auto"/>
          <w:sz w:val="24"/>
          <w:szCs w:val="24"/>
          <w:highlight w:val="none"/>
          <w:u w:val="single"/>
          <w:lang w:val="en-US"/>
        </w:rPr>
      </w:pPr>
      <w:r>
        <w:rPr>
          <w:rFonts w:hint="eastAsia"/>
          <w:color w:val="auto"/>
          <w:sz w:val="24"/>
          <w:szCs w:val="24"/>
          <w:highlight w:val="none"/>
        </w:rPr>
        <w:t>地 址：</w:t>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 xml:space="preserve">   </w:t>
      </w:r>
    </w:p>
    <w:p w14:paraId="582B1212">
      <w:pPr>
        <w:pStyle w:val="26"/>
        <w:tabs>
          <w:tab w:val="left" w:pos="6938"/>
          <w:tab w:val="left" w:pos="7567"/>
          <w:tab w:val="left" w:pos="8340"/>
        </w:tabs>
        <w:ind w:left="3120" w:firstLine="40"/>
        <w:jc w:val="both"/>
        <w:rPr>
          <w:color w:val="auto"/>
          <w:sz w:val="24"/>
          <w:szCs w:val="24"/>
          <w:highlight w:val="none"/>
        </w:rPr>
      </w:pPr>
      <w:r>
        <w:rPr>
          <w:rFonts w:hint="eastAsia"/>
          <w:color w:val="auto"/>
          <w:sz w:val="24"/>
          <w:szCs w:val="24"/>
          <w:highlight w:val="none"/>
        </w:rPr>
        <w:t>邮政编码：</w:t>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 xml:space="preserve">  </w:t>
      </w:r>
    </w:p>
    <w:p w14:paraId="2588B971">
      <w:pPr>
        <w:pStyle w:val="26"/>
        <w:tabs>
          <w:tab w:val="left" w:pos="6938"/>
          <w:tab w:val="left" w:pos="7567"/>
          <w:tab w:val="left" w:pos="8340"/>
        </w:tabs>
        <w:ind w:left="3120" w:firstLine="40"/>
        <w:jc w:val="both"/>
        <w:rPr>
          <w:color w:val="auto"/>
          <w:sz w:val="24"/>
          <w:szCs w:val="24"/>
          <w:highlight w:val="none"/>
        </w:rPr>
      </w:pPr>
      <w:r>
        <w:rPr>
          <w:rFonts w:hint="eastAsia"/>
          <w:color w:val="auto"/>
          <w:sz w:val="24"/>
          <w:szCs w:val="24"/>
          <w:highlight w:val="none"/>
        </w:rPr>
        <w:t>电 话：</w:t>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 xml:space="preserve">  </w:t>
      </w:r>
    </w:p>
    <w:p w14:paraId="19EAC80D">
      <w:pPr>
        <w:pStyle w:val="26"/>
        <w:tabs>
          <w:tab w:val="left" w:pos="6938"/>
          <w:tab w:val="left" w:pos="7567"/>
          <w:tab w:val="left" w:pos="8340"/>
        </w:tabs>
        <w:ind w:left="3120" w:firstLine="40"/>
        <w:jc w:val="both"/>
        <w:rPr>
          <w:rFonts w:hint="eastAsia"/>
          <w:color w:val="auto"/>
          <w:sz w:val="24"/>
          <w:szCs w:val="24"/>
          <w:highlight w:val="none"/>
        </w:rPr>
      </w:pPr>
      <w:r>
        <w:rPr>
          <w:rFonts w:hint="eastAsia"/>
          <w:color w:val="auto"/>
          <w:sz w:val="24"/>
          <w:szCs w:val="24"/>
          <w:highlight w:val="none"/>
        </w:rPr>
        <w:t>手机号码：</w:t>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 xml:space="preserve">  </w:t>
      </w:r>
    </w:p>
    <w:p w14:paraId="7CF2C452">
      <w:pPr>
        <w:pStyle w:val="26"/>
        <w:tabs>
          <w:tab w:val="left" w:pos="6938"/>
          <w:tab w:val="left" w:pos="7567"/>
          <w:tab w:val="left" w:pos="8340"/>
        </w:tabs>
        <w:ind w:left="3120" w:firstLine="40"/>
        <w:jc w:val="both"/>
        <w:rPr>
          <w:color w:val="auto"/>
          <w:sz w:val="24"/>
          <w:szCs w:val="24"/>
          <w:highlight w:val="none"/>
        </w:rPr>
      </w:pPr>
      <w:r>
        <w:rPr>
          <w:rFonts w:hint="eastAsia"/>
          <w:color w:val="auto"/>
          <w:sz w:val="24"/>
          <w:szCs w:val="24"/>
          <w:highlight w:val="none"/>
        </w:rPr>
        <w:t>传 真：</w:t>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 xml:space="preserve">  </w:t>
      </w:r>
    </w:p>
    <w:p w14:paraId="03D2899B">
      <w:pPr>
        <w:pStyle w:val="11"/>
        <w:spacing w:line="440" w:lineRule="exact"/>
        <w:ind w:firstLine="3160"/>
        <w:rPr>
          <w:rFonts w:hint="eastAsia"/>
          <w:color w:val="auto"/>
          <w:sz w:val="24"/>
          <w:szCs w:val="24"/>
          <w:highlight w:val="none"/>
          <w:u w:val="single"/>
        </w:rPr>
      </w:pPr>
      <w:r>
        <w:rPr>
          <w:rFonts w:hint="eastAsia"/>
          <w:color w:val="auto"/>
          <w:sz w:val="24"/>
          <w:szCs w:val="24"/>
          <w:highlight w:val="none"/>
        </w:rPr>
        <w:t>网 址</w:t>
      </w:r>
      <w:r>
        <w:rPr>
          <w:rFonts w:hint="eastAsia"/>
          <w:color w:val="auto"/>
          <w:sz w:val="24"/>
          <w:szCs w:val="24"/>
          <w:highlight w:val="none"/>
          <w:lang w:eastAsia="zh-CN"/>
        </w:rPr>
        <w:t>：</w:t>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p w14:paraId="10535A0E">
      <w:pPr>
        <w:pStyle w:val="11"/>
        <w:spacing w:line="440" w:lineRule="exact"/>
        <w:ind w:firstLine="3160"/>
        <w:rPr>
          <w:rFonts w:hint="eastAsia" w:hAnsi="宋体" w:cs="宋体"/>
          <w:color w:val="auto"/>
          <w:sz w:val="24"/>
          <w:szCs w:val="24"/>
          <w:highlight w:val="none"/>
          <w:u w:val="single"/>
        </w:rPr>
      </w:pPr>
      <w:r>
        <w:rPr>
          <w:rFonts w:hint="eastAsia" w:hAnsi="宋体" w:cs="宋体"/>
          <w:color w:val="auto"/>
          <w:sz w:val="24"/>
          <w:szCs w:val="24"/>
          <w:highlight w:val="none"/>
        </w:rPr>
        <w:t>开户名称</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p>
    <w:p w14:paraId="36B42D78">
      <w:pPr>
        <w:pStyle w:val="11"/>
        <w:spacing w:line="440" w:lineRule="exact"/>
        <w:ind w:firstLine="3160"/>
        <w:rPr>
          <w:rFonts w:hint="eastAsia" w:hAnsi="宋体" w:cs="宋体"/>
          <w:color w:val="auto"/>
          <w:sz w:val="24"/>
          <w:szCs w:val="24"/>
          <w:highlight w:val="none"/>
          <w:u w:val="single"/>
        </w:rPr>
      </w:pPr>
      <w:r>
        <w:rPr>
          <w:rFonts w:hint="eastAsia" w:hAnsi="宋体" w:cs="宋体"/>
          <w:color w:val="auto"/>
          <w:sz w:val="24"/>
          <w:szCs w:val="24"/>
          <w:highlight w:val="none"/>
        </w:rPr>
        <w:t>开户银行</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p>
    <w:p w14:paraId="520A8652">
      <w:pPr>
        <w:pStyle w:val="11"/>
        <w:spacing w:line="440" w:lineRule="exact"/>
        <w:ind w:firstLine="3160"/>
        <w:rPr>
          <w:rFonts w:hint="eastAsia" w:hAnsi="宋体" w:cs="宋体"/>
          <w:color w:val="auto"/>
          <w:sz w:val="24"/>
          <w:szCs w:val="24"/>
          <w:highlight w:val="none"/>
          <w:u w:val="single"/>
        </w:rPr>
      </w:pPr>
      <w:r>
        <w:rPr>
          <w:rFonts w:hint="eastAsia" w:hAnsi="宋体" w:cs="宋体"/>
          <w:color w:val="auto"/>
          <w:sz w:val="24"/>
          <w:szCs w:val="24"/>
          <w:highlight w:val="none"/>
        </w:rPr>
        <w:t>银行账号</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p>
    <w:p w14:paraId="13409B55">
      <w:pPr>
        <w:pStyle w:val="26"/>
        <w:tabs>
          <w:tab w:val="left" w:pos="850"/>
          <w:tab w:val="left" w:pos="1906"/>
          <w:tab w:val="left" w:pos="2964"/>
        </w:tabs>
        <w:wordWrap w:val="0"/>
        <w:ind w:firstLine="0"/>
        <w:jc w:val="right"/>
        <w:rPr>
          <w:color w:val="auto"/>
          <w:sz w:val="24"/>
          <w:szCs w:val="24"/>
          <w:highlight w:val="none"/>
        </w:rPr>
      </w:pP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rPr>
        <w:t>日</w:t>
      </w:r>
    </w:p>
    <w:p w14:paraId="1712465F">
      <w:pPr>
        <w:tabs>
          <w:tab w:val="left" w:pos="3479"/>
        </w:tabs>
        <w:spacing w:line="520" w:lineRule="exact"/>
        <w:jc w:val="left"/>
        <w:rPr>
          <w:rFonts w:ascii="方正小标宋简体" w:hAnsi="方正小标宋简体" w:eastAsia="方正小标宋简体" w:cs="方正小标宋简体"/>
          <w:bCs/>
          <w:color w:val="auto"/>
          <w:sz w:val="44"/>
          <w:szCs w:val="44"/>
          <w:highlight w:val="none"/>
        </w:rPr>
        <w:sectPr>
          <w:pgSz w:w="11910" w:h="16840"/>
          <w:pgMar w:top="1134" w:right="1134" w:bottom="1134" w:left="1134" w:header="0" w:footer="0" w:gutter="0"/>
          <w:cols w:space="720" w:num="1"/>
          <w:docGrid w:linePitch="286" w:charSpace="0"/>
        </w:sectPr>
      </w:pPr>
    </w:p>
    <w:p w14:paraId="19674E36">
      <w:pPr>
        <w:pStyle w:val="30"/>
        <w:jc w:val="center"/>
        <w:rPr>
          <w:rFonts w:hint="eastAsia" w:ascii="宋体" w:hAnsi="宋体"/>
          <w:color w:val="auto"/>
          <w:sz w:val="24"/>
          <w:szCs w:val="24"/>
          <w:highlight w:val="none"/>
          <w:lang w:eastAsia="zh-CN"/>
        </w:rPr>
      </w:pPr>
      <w:bookmarkStart w:id="157" w:name="_Toc11826"/>
      <w:bookmarkStart w:id="158" w:name="_Toc21608"/>
      <w:bookmarkStart w:id="159" w:name="_Toc256000197"/>
      <w:r>
        <w:rPr>
          <w:rFonts w:hint="eastAsia" w:ascii="宋体" w:hAnsi="宋体"/>
          <w:color w:val="auto"/>
          <w:sz w:val="28"/>
          <w:szCs w:val="28"/>
          <w:highlight w:val="none"/>
          <w:lang w:eastAsia="zh-CN"/>
        </w:rPr>
        <w:t>（二）响应函附录</w:t>
      </w:r>
      <w:bookmarkEnd w:id="157"/>
      <w:bookmarkEnd w:id="158"/>
      <w:bookmarkEnd w:id="159"/>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10"/>
        <w:gridCol w:w="1254"/>
        <w:gridCol w:w="1282"/>
        <w:gridCol w:w="4134"/>
        <w:gridCol w:w="840"/>
      </w:tblGrid>
      <w:tr w14:paraId="6E82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exact"/>
          <w:jc w:val="center"/>
        </w:trPr>
        <w:tc>
          <w:tcPr>
            <w:tcW w:w="710" w:type="dxa"/>
            <w:shd w:val="clear" w:color="auto" w:fill="FFFFFF"/>
            <w:noWrap w:val="0"/>
            <w:vAlign w:val="center"/>
          </w:tcPr>
          <w:p w14:paraId="4303E147">
            <w:pPr>
              <w:pStyle w:val="29"/>
              <w:spacing w:line="240" w:lineRule="auto"/>
              <w:ind w:firstLine="0"/>
              <w:jc w:val="center"/>
              <w:rPr>
                <w:color w:val="auto"/>
                <w:sz w:val="24"/>
                <w:szCs w:val="24"/>
                <w:highlight w:val="none"/>
              </w:rPr>
            </w:pPr>
            <w:r>
              <w:rPr>
                <w:rFonts w:hint="eastAsia"/>
                <w:color w:val="auto"/>
                <w:sz w:val="24"/>
                <w:szCs w:val="24"/>
                <w:highlight w:val="none"/>
              </w:rPr>
              <w:t>序号</w:t>
            </w:r>
          </w:p>
        </w:tc>
        <w:tc>
          <w:tcPr>
            <w:tcW w:w="1254" w:type="dxa"/>
            <w:shd w:val="clear" w:color="auto" w:fill="FFFFFF"/>
            <w:noWrap w:val="0"/>
            <w:vAlign w:val="center"/>
          </w:tcPr>
          <w:p w14:paraId="4A9C5CB4">
            <w:pPr>
              <w:pStyle w:val="29"/>
              <w:spacing w:line="240" w:lineRule="auto"/>
              <w:ind w:firstLine="0"/>
              <w:jc w:val="center"/>
              <w:rPr>
                <w:color w:val="auto"/>
                <w:sz w:val="24"/>
                <w:szCs w:val="24"/>
                <w:highlight w:val="none"/>
              </w:rPr>
            </w:pPr>
            <w:r>
              <w:rPr>
                <w:rFonts w:hint="eastAsia"/>
                <w:color w:val="auto"/>
                <w:sz w:val="24"/>
                <w:szCs w:val="24"/>
                <w:highlight w:val="none"/>
              </w:rPr>
              <w:t>条款名称</w:t>
            </w:r>
          </w:p>
        </w:tc>
        <w:tc>
          <w:tcPr>
            <w:tcW w:w="1282" w:type="dxa"/>
            <w:shd w:val="clear" w:color="auto" w:fill="FFFFFF"/>
            <w:noWrap w:val="0"/>
            <w:vAlign w:val="center"/>
          </w:tcPr>
          <w:p w14:paraId="26E529A6">
            <w:pPr>
              <w:pStyle w:val="29"/>
              <w:spacing w:line="240" w:lineRule="auto"/>
              <w:ind w:firstLine="0"/>
              <w:jc w:val="center"/>
              <w:rPr>
                <w:color w:val="auto"/>
                <w:sz w:val="24"/>
                <w:szCs w:val="24"/>
                <w:highlight w:val="none"/>
              </w:rPr>
            </w:pPr>
            <w:r>
              <w:rPr>
                <w:rFonts w:hint="eastAsia"/>
                <w:color w:val="auto"/>
                <w:sz w:val="24"/>
                <w:szCs w:val="24"/>
                <w:highlight w:val="none"/>
              </w:rPr>
              <w:t>合同条款号</w:t>
            </w:r>
          </w:p>
        </w:tc>
        <w:tc>
          <w:tcPr>
            <w:tcW w:w="4134" w:type="dxa"/>
            <w:shd w:val="clear" w:color="auto" w:fill="FFFFFF"/>
            <w:noWrap w:val="0"/>
            <w:vAlign w:val="center"/>
          </w:tcPr>
          <w:p w14:paraId="4590411D">
            <w:pPr>
              <w:pStyle w:val="29"/>
              <w:spacing w:line="240" w:lineRule="auto"/>
              <w:ind w:firstLine="0"/>
              <w:jc w:val="center"/>
              <w:rPr>
                <w:color w:val="auto"/>
                <w:sz w:val="24"/>
                <w:szCs w:val="24"/>
                <w:highlight w:val="none"/>
              </w:rPr>
            </w:pPr>
            <w:r>
              <w:rPr>
                <w:rFonts w:hint="eastAsia"/>
                <w:color w:val="auto"/>
                <w:sz w:val="24"/>
                <w:szCs w:val="24"/>
                <w:highlight w:val="none"/>
              </w:rPr>
              <w:t>约定内容</w:t>
            </w:r>
          </w:p>
        </w:tc>
        <w:tc>
          <w:tcPr>
            <w:tcW w:w="840" w:type="dxa"/>
            <w:shd w:val="clear" w:color="auto" w:fill="FFFFFF"/>
            <w:noWrap w:val="0"/>
            <w:vAlign w:val="center"/>
          </w:tcPr>
          <w:p w14:paraId="334F08D4">
            <w:pPr>
              <w:pStyle w:val="29"/>
              <w:spacing w:line="240" w:lineRule="auto"/>
              <w:ind w:firstLine="0"/>
              <w:jc w:val="center"/>
              <w:rPr>
                <w:color w:val="auto"/>
                <w:sz w:val="24"/>
                <w:szCs w:val="24"/>
                <w:highlight w:val="none"/>
              </w:rPr>
            </w:pPr>
            <w:r>
              <w:rPr>
                <w:rFonts w:hint="eastAsia"/>
                <w:color w:val="auto"/>
                <w:sz w:val="24"/>
                <w:szCs w:val="24"/>
                <w:highlight w:val="none"/>
              </w:rPr>
              <w:t>备注</w:t>
            </w:r>
          </w:p>
        </w:tc>
      </w:tr>
      <w:tr w14:paraId="025D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90" w:hRule="exact"/>
          <w:jc w:val="center"/>
        </w:trPr>
        <w:tc>
          <w:tcPr>
            <w:tcW w:w="710" w:type="dxa"/>
            <w:shd w:val="clear" w:color="auto" w:fill="FFFFFF"/>
            <w:noWrap w:val="0"/>
            <w:vAlign w:val="center"/>
          </w:tcPr>
          <w:p w14:paraId="6313C59F">
            <w:pPr>
              <w:pStyle w:val="29"/>
              <w:spacing w:line="240" w:lineRule="auto"/>
              <w:ind w:firstLine="0"/>
              <w:jc w:val="center"/>
              <w:rPr>
                <w:color w:val="auto"/>
                <w:sz w:val="24"/>
                <w:szCs w:val="24"/>
                <w:highlight w:val="none"/>
              </w:rPr>
            </w:pPr>
            <w:r>
              <w:rPr>
                <w:rFonts w:hint="eastAsia"/>
                <w:color w:val="auto"/>
                <w:sz w:val="24"/>
                <w:szCs w:val="24"/>
                <w:highlight w:val="none"/>
              </w:rPr>
              <w:t>1</w:t>
            </w:r>
          </w:p>
        </w:tc>
        <w:tc>
          <w:tcPr>
            <w:tcW w:w="1254" w:type="dxa"/>
            <w:shd w:val="clear" w:color="auto" w:fill="FFFFFF"/>
            <w:noWrap w:val="0"/>
            <w:vAlign w:val="center"/>
          </w:tcPr>
          <w:p w14:paraId="6D92F616">
            <w:pPr>
              <w:pStyle w:val="29"/>
              <w:spacing w:line="240" w:lineRule="auto"/>
              <w:ind w:firstLine="0"/>
              <w:jc w:val="center"/>
              <w:rPr>
                <w:color w:val="auto"/>
                <w:sz w:val="24"/>
                <w:szCs w:val="24"/>
                <w:highlight w:val="none"/>
              </w:rPr>
            </w:pPr>
            <w:r>
              <w:rPr>
                <w:rFonts w:hint="eastAsia"/>
                <w:color w:val="auto"/>
                <w:sz w:val="24"/>
                <w:szCs w:val="24"/>
                <w:highlight w:val="none"/>
              </w:rPr>
              <w:t>项目经理</w:t>
            </w:r>
          </w:p>
        </w:tc>
        <w:tc>
          <w:tcPr>
            <w:tcW w:w="1282" w:type="dxa"/>
            <w:shd w:val="clear" w:color="auto" w:fill="FFFFFF"/>
            <w:noWrap w:val="0"/>
            <w:vAlign w:val="center"/>
          </w:tcPr>
          <w:p w14:paraId="72423AA1">
            <w:pPr>
              <w:pStyle w:val="29"/>
              <w:spacing w:line="240" w:lineRule="auto"/>
              <w:ind w:firstLine="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lang w:val="en-US" w:eastAsia="en-US" w:bidi="en-US"/>
              </w:rPr>
              <w:t>1. 1.2.4</w:t>
            </w:r>
          </w:p>
        </w:tc>
        <w:tc>
          <w:tcPr>
            <w:tcW w:w="4134" w:type="dxa"/>
            <w:shd w:val="clear" w:color="auto" w:fill="FFFFFF"/>
            <w:noWrap w:val="0"/>
            <w:vAlign w:val="center"/>
          </w:tcPr>
          <w:p w14:paraId="549D3F99">
            <w:pPr>
              <w:pStyle w:val="27"/>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姓名：</w:t>
            </w:r>
          </w:p>
          <w:p w14:paraId="3C9042A0">
            <w:pPr>
              <w:pStyle w:val="27"/>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身份证号码：</w:t>
            </w:r>
          </w:p>
          <w:p w14:paraId="6A660CA4">
            <w:pPr>
              <w:pStyle w:val="27"/>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职称：</w:t>
            </w:r>
          </w:p>
          <w:p w14:paraId="0E290AA1">
            <w:pPr>
              <w:pStyle w:val="27"/>
              <w:rPr>
                <w:color w:val="auto"/>
                <w:highlight w:val="none"/>
              </w:rPr>
            </w:pPr>
            <w:r>
              <w:rPr>
                <w:rFonts w:hint="eastAsia" w:ascii="宋体" w:hAnsi="宋体" w:eastAsia="宋体" w:cs="宋体"/>
                <w:color w:val="auto"/>
                <w:highlight w:val="none"/>
                <w:lang w:eastAsia="zh-CN"/>
              </w:rPr>
              <w:t>注册执业资格：</w:t>
            </w:r>
          </w:p>
        </w:tc>
        <w:tc>
          <w:tcPr>
            <w:tcW w:w="840" w:type="dxa"/>
            <w:shd w:val="clear" w:color="auto" w:fill="FFFFFF"/>
            <w:noWrap w:val="0"/>
            <w:vAlign w:val="top"/>
          </w:tcPr>
          <w:p w14:paraId="0706F0DE">
            <w:pPr>
              <w:pStyle w:val="27"/>
              <w:rPr>
                <w:rFonts w:ascii="宋体" w:hAnsi="宋体" w:eastAsia="宋体" w:cs="宋体"/>
                <w:color w:val="auto"/>
                <w:highlight w:val="none"/>
              </w:rPr>
            </w:pPr>
          </w:p>
        </w:tc>
      </w:tr>
      <w:tr w14:paraId="77A5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6" w:hRule="exact"/>
          <w:jc w:val="center"/>
        </w:trPr>
        <w:tc>
          <w:tcPr>
            <w:tcW w:w="710" w:type="dxa"/>
            <w:shd w:val="clear" w:color="auto" w:fill="FFFFFF"/>
            <w:noWrap w:val="0"/>
            <w:vAlign w:val="center"/>
          </w:tcPr>
          <w:p w14:paraId="63D6C934">
            <w:pPr>
              <w:pStyle w:val="29"/>
              <w:spacing w:line="240" w:lineRule="auto"/>
              <w:ind w:firstLine="0"/>
              <w:jc w:val="center"/>
              <w:rPr>
                <w:rFonts w:hint="eastAsia"/>
                <w:color w:val="auto"/>
                <w:sz w:val="24"/>
                <w:szCs w:val="24"/>
                <w:highlight w:val="none"/>
              </w:rPr>
            </w:pPr>
            <w:r>
              <w:rPr>
                <w:rFonts w:hint="eastAsia"/>
                <w:color w:val="auto"/>
                <w:sz w:val="24"/>
                <w:szCs w:val="24"/>
                <w:highlight w:val="none"/>
              </w:rPr>
              <w:t>2</w:t>
            </w:r>
          </w:p>
        </w:tc>
        <w:tc>
          <w:tcPr>
            <w:tcW w:w="1254" w:type="dxa"/>
            <w:shd w:val="clear" w:color="auto" w:fill="FFFFFF"/>
            <w:noWrap w:val="0"/>
            <w:vAlign w:val="center"/>
          </w:tcPr>
          <w:p w14:paraId="0A137F9A">
            <w:pPr>
              <w:pStyle w:val="29"/>
              <w:spacing w:line="240" w:lineRule="auto"/>
              <w:ind w:firstLine="0"/>
              <w:jc w:val="center"/>
              <w:rPr>
                <w:rFonts w:hint="eastAsia"/>
                <w:color w:val="auto"/>
                <w:sz w:val="24"/>
                <w:szCs w:val="24"/>
                <w:highlight w:val="none"/>
              </w:rPr>
            </w:pPr>
            <w:r>
              <w:rPr>
                <w:rFonts w:hint="eastAsia"/>
                <w:color w:val="auto"/>
                <w:sz w:val="24"/>
                <w:szCs w:val="24"/>
                <w:highlight w:val="none"/>
              </w:rPr>
              <w:t>技术负责人</w:t>
            </w:r>
          </w:p>
        </w:tc>
        <w:tc>
          <w:tcPr>
            <w:tcW w:w="1282" w:type="dxa"/>
            <w:shd w:val="clear" w:color="auto" w:fill="FFFFFF"/>
            <w:noWrap w:val="0"/>
            <w:vAlign w:val="center"/>
          </w:tcPr>
          <w:p w14:paraId="1CD5A4D7">
            <w:pPr>
              <w:pStyle w:val="29"/>
              <w:spacing w:line="240" w:lineRule="auto"/>
              <w:ind w:firstLine="0"/>
              <w:jc w:val="center"/>
              <w:rPr>
                <w:rFonts w:ascii="Times New Roman" w:hAnsi="Times New Roman" w:cs="Times New Roman"/>
                <w:color w:val="auto"/>
                <w:sz w:val="24"/>
                <w:szCs w:val="24"/>
                <w:highlight w:val="none"/>
                <w:lang w:val="en-US" w:eastAsia="en-US" w:bidi="en-US"/>
              </w:rPr>
            </w:pPr>
            <w:r>
              <w:rPr>
                <w:rFonts w:ascii="Times New Roman" w:hAnsi="Times New Roman" w:cs="Times New Roman"/>
                <w:color w:val="auto"/>
                <w:sz w:val="24"/>
                <w:szCs w:val="24"/>
                <w:highlight w:val="none"/>
                <w:lang w:val="en-US" w:eastAsia="en-US" w:bidi="en-US"/>
              </w:rPr>
              <w:t>1. 1.2.4</w:t>
            </w:r>
          </w:p>
        </w:tc>
        <w:tc>
          <w:tcPr>
            <w:tcW w:w="4134" w:type="dxa"/>
            <w:shd w:val="clear" w:color="auto" w:fill="FFFFFF"/>
            <w:noWrap w:val="0"/>
            <w:vAlign w:val="center"/>
          </w:tcPr>
          <w:p w14:paraId="14772D02">
            <w:pPr>
              <w:pStyle w:val="27"/>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姓名：</w:t>
            </w:r>
          </w:p>
          <w:p w14:paraId="60193518">
            <w:pPr>
              <w:pStyle w:val="27"/>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身份证号码：</w:t>
            </w:r>
          </w:p>
          <w:p w14:paraId="6904E65C">
            <w:pPr>
              <w:pStyle w:val="27"/>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职称：</w:t>
            </w:r>
          </w:p>
        </w:tc>
        <w:tc>
          <w:tcPr>
            <w:tcW w:w="840" w:type="dxa"/>
            <w:shd w:val="clear" w:color="auto" w:fill="FFFFFF"/>
            <w:noWrap w:val="0"/>
            <w:vAlign w:val="top"/>
          </w:tcPr>
          <w:p w14:paraId="3B097F9D">
            <w:pPr>
              <w:pStyle w:val="27"/>
              <w:rPr>
                <w:rFonts w:ascii="宋体" w:hAnsi="宋体" w:eastAsia="宋体" w:cs="宋体"/>
                <w:color w:val="auto"/>
                <w:highlight w:val="none"/>
                <w:lang w:eastAsia="zh-CN"/>
              </w:rPr>
            </w:pPr>
          </w:p>
        </w:tc>
      </w:tr>
      <w:tr w14:paraId="108E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28" w:hRule="exact"/>
          <w:jc w:val="center"/>
        </w:trPr>
        <w:tc>
          <w:tcPr>
            <w:tcW w:w="710" w:type="dxa"/>
            <w:shd w:val="clear" w:color="auto" w:fill="FFFFFF"/>
            <w:noWrap w:val="0"/>
            <w:vAlign w:val="center"/>
          </w:tcPr>
          <w:p w14:paraId="11CD4474">
            <w:pPr>
              <w:pStyle w:val="29"/>
              <w:spacing w:line="240" w:lineRule="auto"/>
              <w:ind w:firstLine="0"/>
              <w:jc w:val="center"/>
              <w:rPr>
                <w:rFonts w:hint="eastAsia"/>
                <w:color w:val="auto"/>
                <w:sz w:val="24"/>
                <w:szCs w:val="24"/>
                <w:highlight w:val="none"/>
              </w:rPr>
            </w:pPr>
            <w:r>
              <w:rPr>
                <w:rFonts w:hint="eastAsia"/>
                <w:color w:val="auto"/>
                <w:sz w:val="24"/>
                <w:szCs w:val="24"/>
                <w:highlight w:val="none"/>
              </w:rPr>
              <w:t>3</w:t>
            </w:r>
          </w:p>
        </w:tc>
        <w:tc>
          <w:tcPr>
            <w:tcW w:w="1254" w:type="dxa"/>
            <w:shd w:val="clear" w:color="auto" w:fill="FFFFFF"/>
            <w:noWrap w:val="0"/>
            <w:vAlign w:val="center"/>
          </w:tcPr>
          <w:p w14:paraId="77B757B3">
            <w:pPr>
              <w:pStyle w:val="29"/>
              <w:spacing w:line="240" w:lineRule="auto"/>
              <w:ind w:firstLine="0"/>
              <w:jc w:val="center"/>
              <w:rPr>
                <w:rFonts w:hint="eastAsia"/>
                <w:color w:val="auto"/>
                <w:sz w:val="24"/>
                <w:szCs w:val="24"/>
                <w:highlight w:val="none"/>
              </w:rPr>
            </w:pPr>
            <w:r>
              <w:rPr>
                <w:rFonts w:hint="eastAsia"/>
                <w:color w:val="auto"/>
                <w:sz w:val="24"/>
                <w:szCs w:val="24"/>
                <w:highlight w:val="none"/>
              </w:rPr>
              <w:t>专职安全员</w:t>
            </w:r>
          </w:p>
        </w:tc>
        <w:tc>
          <w:tcPr>
            <w:tcW w:w="1282" w:type="dxa"/>
            <w:shd w:val="clear" w:color="auto" w:fill="FFFFFF"/>
            <w:noWrap w:val="0"/>
            <w:vAlign w:val="center"/>
          </w:tcPr>
          <w:p w14:paraId="500A1473">
            <w:pPr>
              <w:pStyle w:val="29"/>
              <w:spacing w:line="240" w:lineRule="auto"/>
              <w:ind w:firstLine="0"/>
              <w:jc w:val="center"/>
              <w:rPr>
                <w:rFonts w:ascii="Times New Roman" w:hAnsi="Times New Roman" w:cs="Times New Roman"/>
                <w:color w:val="auto"/>
                <w:sz w:val="24"/>
                <w:szCs w:val="24"/>
                <w:highlight w:val="none"/>
                <w:lang w:val="en-US" w:eastAsia="en-US" w:bidi="en-US"/>
              </w:rPr>
            </w:pPr>
            <w:r>
              <w:rPr>
                <w:rFonts w:ascii="Times New Roman" w:hAnsi="Times New Roman" w:cs="Times New Roman"/>
                <w:color w:val="auto"/>
                <w:sz w:val="24"/>
                <w:szCs w:val="24"/>
                <w:highlight w:val="none"/>
                <w:lang w:val="en-US" w:eastAsia="en-US" w:bidi="en-US"/>
              </w:rPr>
              <w:t>1. 1.2.4</w:t>
            </w:r>
          </w:p>
        </w:tc>
        <w:tc>
          <w:tcPr>
            <w:tcW w:w="4134" w:type="dxa"/>
            <w:shd w:val="clear" w:color="auto" w:fill="FFFFFF"/>
            <w:noWrap w:val="0"/>
            <w:vAlign w:val="center"/>
          </w:tcPr>
          <w:p w14:paraId="50603CB7">
            <w:pPr>
              <w:pStyle w:val="27"/>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姓名：</w:t>
            </w:r>
          </w:p>
          <w:p w14:paraId="2A4C41A2">
            <w:pPr>
              <w:pStyle w:val="27"/>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身份证号码：</w:t>
            </w:r>
          </w:p>
          <w:p w14:paraId="30626DF6">
            <w:pPr>
              <w:pStyle w:val="27"/>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安全生产考核合格证书号码：</w:t>
            </w:r>
          </w:p>
        </w:tc>
        <w:tc>
          <w:tcPr>
            <w:tcW w:w="840" w:type="dxa"/>
            <w:shd w:val="clear" w:color="auto" w:fill="FFFFFF"/>
            <w:noWrap w:val="0"/>
            <w:vAlign w:val="top"/>
          </w:tcPr>
          <w:p w14:paraId="60DD7F33">
            <w:pPr>
              <w:pStyle w:val="27"/>
              <w:rPr>
                <w:rFonts w:ascii="宋体" w:hAnsi="宋体" w:eastAsia="宋体" w:cs="宋体"/>
                <w:color w:val="auto"/>
                <w:highlight w:val="none"/>
                <w:lang w:eastAsia="zh-CN"/>
              </w:rPr>
            </w:pPr>
          </w:p>
        </w:tc>
      </w:tr>
      <w:tr w14:paraId="14B9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exact"/>
          <w:jc w:val="center"/>
        </w:trPr>
        <w:tc>
          <w:tcPr>
            <w:tcW w:w="710" w:type="dxa"/>
            <w:shd w:val="clear" w:color="auto" w:fill="FFFFFF"/>
            <w:noWrap w:val="0"/>
            <w:vAlign w:val="center"/>
          </w:tcPr>
          <w:p w14:paraId="02136C58">
            <w:pPr>
              <w:pStyle w:val="29"/>
              <w:spacing w:line="240" w:lineRule="auto"/>
              <w:ind w:firstLine="0"/>
              <w:jc w:val="center"/>
              <w:rPr>
                <w:color w:val="auto"/>
                <w:sz w:val="24"/>
                <w:szCs w:val="24"/>
                <w:highlight w:val="none"/>
              </w:rPr>
            </w:pPr>
            <w:r>
              <w:rPr>
                <w:rFonts w:hint="eastAsia"/>
                <w:color w:val="auto"/>
                <w:sz w:val="24"/>
                <w:szCs w:val="24"/>
                <w:highlight w:val="none"/>
              </w:rPr>
              <w:t>4</w:t>
            </w:r>
          </w:p>
        </w:tc>
        <w:tc>
          <w:tcPr>
            <w:tcW w:w="1254" w:type="dxa"/>
            <w:shd w:val="clear" w:color="auto" w:fill="FFFFFF"/>
            <w:noWrap w:val="0"/>
            <w:vAlign w:val="center"/>
          </w:tcPr>
          <w:p w14:paraId="4FA6E3D2">
            <w:pPr>
              <w:pStyle w:val="29"/>
              <w:spacing w:line="240" w:lineRule="auto"/>
              <w:ind w:firstLine="0"/>
              <w:jc w:val="center"/>
              <w:rPr>
                <w:color w:val="auto"/>
                <w:sz w:val="24"/>
                <w:szCs w:val="24"/>
                <w:highlight w:val="none"/>
              </w:rPr>
            </w:pPr>
            <w:r>
              <w:rPr>
                <w:rFonts w:hint="eastAsia"/>
                <w:color w:val="auto"/>
                <w:sz w:val="24"/>
                <w:szCs w:val="24"/>
                <w:highlight w:val="none"/>
              </w:rPr>
              <w:t>工期</w:t>
            </w:r>
          </w:p>
        </w:tc>
        <w:tc>
          <w:tcPr>
            <w:tcW w:w="1282" w:type="dxa"/>
            <w:shd w:val="clear" w:color="auto" w:fill="FFFFFF"/>
            <w:noWrap w:val="0"/>
            <w:vAlign w:val="center"/>
          </w:tcPr>
          <w:p w14:paraId="4BB063AF">
            <w:pPr>
              <w:pStyle w:val="29"/>
              <w:spacing w:line="240" w:lineRule="auto"/>
              <w:ind w:firstLine="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lang w:val="en-US" w:eastAsia="en-US" w:bidi="en-US"/>
              </w:rPr>
              <w:t>1. 1.4.3</w:t>
            </w:r>
          </w:p>
        </w:tc>
        <w:tc>
          <w:tcPr>
            <w:tcW w:w="4134" w:type="dxa"/>
            <w:shd w:val="clear" w:color="auto" w:fill="FFFFFF"/>
            <w:noWrap w:val="0"/>
            <w:vAlign w:val="center"/>
          </w:tcPr>
          <w:p w14:paraId="24053019">
            <w:pPr>
              <w:pStyle w:val="29"/>
              <w:tabs>
                <w:tab w:val="left" w:leader="underscore" w:pos="1212"/>
              </w:tabs>
              <w:spacing w:line="240" w:lineRule="auto"/>
              <w:ind w:firstLine="0"/>
              <w:rPr>
                <w:color w:val="auto"/>
                <w:sz w:val="24"/>
                <w:szCs w:val="24"/>
                <w:highlight w:val="none"/>
              </w:rPr>
            </w:pPr>
            <w:r>
              <w:rPr>
                <w:rFonts w:hint="eastAsia"/>
                <w:color w:val="auto"/>
                <w:sz w:val="24"/>
                <w:szCs w:val="24"/>
                <w:highlight w:val="none"/>
              </w:rPr>
              <w:t>天数：</w:t>
            </w:r>
            <w:r>
              <w:rPr>
                <w:rFonts w:hint="eastAsia"/>
                <w:color w:val="auto"/>
                <w:sz w:val="24"/>
                <w:szCs w:val="24"/>
                <w:highlight w:val="none"/>
                <w:u w:val="single"/>
                <w:lang w:val="en-US"/>
              </w:rPr>
              <w:t xml:space="preserve">  </w:t>
            </w:r>
            <w:r>
              <w:rPr>
                <w:rFonts w:hint="eastAsia"/>
                <w:color w:val="auto"/>
                <w:sz w:val="24"/>
                <w:szCs w:val="24"/>
                <w:highlight w:val="none"/>
              </w:rPr>
              <w:t>日历天</w:t>
            </w:r>
          </w:p>
        </w:tc>
        <w:tc>
          <w:tcPr>
            <w:tcW w:w="840" w:type="dxa"/>
            <w:shd w:val="clear" w:color="auto" w:fill="FFFFFF"/>
            <w:noWrap w:val="0"/>
            <w:vAlign w:val="top"/>
          </w:tcPr>
          <w:p w14:paraId="727687E8">
            <w:pPr>
              <w:pStyle w:val="27"/>
              <w:rPr>
                <w:rFonts w:ascii="宋体" w:hAnsi="宋体" w:eastAsia="宋体" w:cs="宋体"/>
                <w:color w:val="auto"/>
                <w:highlight w:val="none"/>
              </w:rPr>
            </w:pPr>
          </w:p>
        </w:tc>
      </w:tr>
      <w:tr w14:paraId="56FC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13" w:hRule="exact"/>
          <w:jc w:val="center"/>
        </w:trPr>
        <w:tc>
          <w:tcPr>
            <w:tcW w:w="710" w:type="dxa"/>
            <w:shd w:val="clear" w:color="auto" w:fill="FFFFFF"/>
            <w:noWrap w:val="0"/>
            <w:vAlign w:val="center"/>
          </w:tcPr>
          <w:p w14:paraId="32C4F44B">
            <w:pPr>
              <w:pStyle w:val="29"/>
              <w:spacing w:line="240" w:lineRule="auto"/>
              <w:ind w:firstLine="0"/>
              <w:jc w:val="center"/>
              <w:rPr>
                <w:color w:val="auto"/>
                <w:sz w:val="24"/>
                <w:szCs w:val="24"/>
                <w:highlight w:val="none"/>
              </w:rPr>
            </w:pPr>
            <w:r>
              <w:rPr>
                <w:rFonts w:hint="eastAsia"/>
                <w:color w:val="auto"/>
                <w:sz w:val="24"/>
                <w:szCs w:val="24"/>
                <w:highlight w:val="none"/>
              </w:rPr>
              <w:t>5</w:t>
            </w:r>
          </w:p>
        </w:tc>
        <w:tc>
          <w:tcPr>
            <w:tcW w:w="1254" w:type="dxa"/>
            <w:shd w:val="clear" w:color="auto" w:fill="FFFFFF"/>
            <w:noWrap w:val="0"/>
            <w:vAlign w:val="center"/>
          </w:tcPr>
          <w:p w14:paraId="1B82E7BE">
            <w:pPr>
              <w:pStyle w:val="29"/>
              <w:spacing w:line="271" w:lineRule="exact"/>
              <w:ind w:firstLine="0"/>
              <w:jc w:val="center"/>
              <w:rPr>
                <w:color w:val="auto"/>
                <w:sz w:val="24"/>
                <w:szCs w:val="24"/>
                <w:highlight w:val="none"/>
              </w:rPr>
            </w:pPr>
            <w:r>
              <w:rPr>
                <w:rFonts w:hint="eastAsia"/>
                <w:color w:val="auto"/>
                <w:sz w:val="24"/>
                <w:szCs w:val="24"/>
                <w:highlight w:val="none"/>
              </w:rPr>
              <w:t>缺陷责任期 （工程质量保修期）</w:t>
            </w:r>
          </w:p>
        </w:tc>
        <w:tc>
          <w:tcPr>
            <w:tcW w:w="1282" w:type="dxa"/>
            <w:shd w:val="clear" w:color="auto" w:fill="FFFFFF"/>
            <w:noWrap w:val="0"/>
            <w:vAlign w:val="center"/>
          </w:tcPr>
          <w:p w14:paraId="1A95D3B5">
            <w:pPr>
              <w:pStyle w:val="29"/>
              <w:spacing w:line="240" w:lineRule="auto"/>
              <w:ind w:firstLine="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lang w:val="en-US" w:eastAsia="en-US" w:bidi="en-US"/>
              </w:rPr>
              <w:t>1. 1.4.5</w:t>
            </w:r>
          </w:p>
        </w:tc>
        <w:tc>
          <w:tcPr>
            <w:tcW w:w="4134" w:type="dxa"/>
            <w:shd w:val="clear" w:color="auto" w:fill="FFFFFF"/>
            <w:noWrap w:val="0"/>
            <w:vAlign w:val="top"/>
          </w:tcPr>
          <w:p w14:paraId="6B57961A">
            <w:pPr>
              <w:pStyle w:val="27"/>
              <w:rPr>
                <w:rFonts w:ascii="宋体" w:hAnsi="宋体" w:eastAsia="宋体" w:cs="宋体"/>
                <w:color w:val="auto"/>
                <w:highlight w:val="none"/>
              </w:rPr>
            </w:pPr>
          </w:p>
        </w:tc>
        <w:tc>
          <w:tcPr>
            <w:tcW w:w="840" w:type="dxa"/>
            <w:shd w:val="clear" w:color="auto" w:fill="FFFFFF"/>
            <w:noWrap w:val="0"/>
            <w:vAlign w:val="top"/>
          </w:tcPr>
          <w:p w14:paraId="0E91D7AE">
            <w:pPr>
              <w:pStyle w:val="27"/>
              <w:rPr>
                <w:rFonts w:ascii="宋体" w:hAnsi="宋体" w:eastAsia="宋体" w:cs="宋体"/>
                <w:color w:val="auto"/>
                <w:highlight w:val="none"/>
              </w:rPr>
            </w:pPr>
          </w:p>
        </w:tc>
      </w:tr>
      <w:tr w14:paraId="76AD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6" w:hRule="exact"/>
          <w:jc w:val="center"/>
        </w:trPr>
        <w:tc>
          <w:tcPr>
            <w:tcW w:w="710" w:type="dxa"/>
            <w:shd w:val="clear" w:color="auto" w:fill="FFFFFF"/>
            <w:noWrap w:val="0"/>
            <w:vAlign w:val="center"/>
          </w:tcPr>
          <w:p w14:paraId="534B5BB4">
            <w:pPr>
              <w:pStyle w:val="29"/>
              <w:spacing w:line="240" w:lineRule="auto"/>
              <w:ind w:firstLine="0"/>
              <w:jc w:val="center"/>
              <w:rPr>
                <w:rFonts w:hint="eastAsia"/>
                <w:color w:val="auto"/>
                <w:sz w:val="24"/>
                <w:szCs w:val="24"/>
                <w:highlight w:val="none"/>
                <w:lang w:val="en-US"/>
              </w:rPr>
            </w:pPr>
            <w:r>
              <w:rPr>
                <w:rFonts w:hint="eastAsia"/>
                <w:color w:val="auto"/>
                <w:sz w:val="24"/>
                <w:szCs w:val="24"/>
                <w:highlight w:val="none"/>
                <w:lang w:val="en-US"/>
              </w:rPr>
              <w:t>6</w:t>
            </w:r>
          </w:p>
        </w:tc>
        <w:tc>
          <w:tcPr>
            <w:tcW w:w="1254" w:type="dxa"/>
            <w:shd w:val="clear" w:color="auto" w:fill="FFFFFF"/>
            <w:noWrap w:val="0"/>
            <w:vAlign w:val="center"/>
          </w:tcPr>
          <w:p w14:paraId="6DBD6E94">
            <w:pPr>
              <w:pStyle w:val="29"/>
              <w:spacing w:line="240" w:lineRule="auto"/>
              <w:ind w:firstLine="0"/>
              <w:jc w:val="center"/>
              <w:rPr>
                <w:color w:val="auto"/>
                <w:sz w:val="24"/>
                <w:szCs w:val="24"/>
                <w:highlight w:val="none"/>
              </w:rPr>
            </w:pPr>
            <w:r>
              <w:rPr>
                <w:rFonts w:hint="eastAsia"/>
                <w:color w:val="auto"/>
                <w:sz w:val="24"/>
                <w:szCs w:val="24"/>
                <w:highlight w:val="none"/>
              </w:rPr>
              <w:t>分包</w:t>
            </w:r>
          </w:p>
        </w:tc>
        <w:tc>
          <w:tcPr>
            <w:tcW w:w="1282" w:type="dxa"/>
            <w:shd w:val="clear" w:color="auto" w:fill="FFFFFF"/>
            <w:noWrap w:val="0"/>
            <w:vAlign w:val="center"/>
          </w:tcPr>
          <w:p w14:paraId="68C4153A">
            <w:pPr>
              <w:pStyle w:val="29"/>
              <w:spacing w:line="240" w:lineRule="auto"/>
              <w:ind w:firstLine="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lang w:val="en-US" w:eastAsia="en-US" w:bidi="en-US"/>
              </w:rPr>
              <w:t>4.3</w:t>
            </w:r>
          </w:p>
        </w:tc>
        <w:tc>
          <w:tcPr>
            <w:tcW w:w="4134" w:type="dxa"/>
            <w:shd w:val="clear" w:color="auto" w:fill="FFFFFF"/>
            <w:noWrap w:val="0"/>
            <w:vAlign w:val="center"/>
          </w:tcPr>
          <w:p w14:paraId="08EC7115">
            <w:pPr>
              <w:pStyle w:val="27"/>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lang w:eastAsia="zh-CN"/>
              </w:rPr>
              <w:t>不允许；</w:t>
            </w:r>
          </w:p>
          <w:p w14:paraId="7FA910DB">
            <w:pPr>
              <w:pStyle w:val="27"/>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□允许，分包工程项目：</w:t>
            </w:r>
          </w:p>
          <w:p w14:paraId="6C239A3A">
            <w:pPr>
              <w:pStyle w:val="27"/>
              <w:ind w:firstLine="960" w:firstLineChars="4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分包金额限额：</w:t>
            </w:r>
          </w:p>
        </w:tc>
        <w:tc>
          <w:tcPr>
            <w:tcW w:w="840" w:type="dxa"/>
            <w:shd w:val="clear" w:color="auto" w:fill="FFFFFF"/>
            <w:noWrap w:val="0"/>
            <w:vAlign w:val="top"/>
          </w:tcPr>
          <w:p w14:paraId="5E993B33">
            <w:pPr>
              <w:pStyle w:val="27"/>
              <w:rPr>
                <w:rFonts w:ascii="宋体" w:hAnsi="宋体" w:eastAsia="宋体" w:cs="宋体"/>
                <w:color w:val="auto"/>
                <w:highlight w:val="none"/>
              </w:rPr>
            </w:pPr>
          </w:p>
        </w:tc>
      </w:tr>
    </w:tbl>
    <w:p w14:paraId="566DE673">
      <w:pPr>
        <w:pStyle w:val="27"/>
        <w:spacing w:after="639" w:line="1" w:lineRule="exact"/>
        <w:rPr>
          <w:color w:val="auto"/>
          <w:highlight w:val="none"/>
        </w:rPr>
      </w:pPr>
    </w:p>
    <w:p w14:paraId="21E962BD">
      <w:pPr>
        <w:pStyle w:val="26"/>
        <w:tabs>
          <w:tab w:val="left" w:pos="6882"/>
          <w:tab w:val="left" w:pos="7510"/>
        </w:tabs>
        <w:spacing w:line="350" w:lineRule="exact"/>
        <w:ind w:left="3380" w:firstLine="0"/>
        <w:jc w:val="right"/>
        <w:rPr>
          <w:color w:val="auto"/>
          <w:sz w:val="24"/>
          <w:szCs w:val="24"/>
          <w:highlight w:val="none"/>
        </w:rPr>
      </w:pPr>
    </w:p>
    <w:p w14:paraId="290857F5">
      <w:pPr>
        <w:pStyle w:val="26"/>
        <w:tabs>
          <w:tab w:val="left" w:pos="6882"/>
          <w:tab w:val="left" w:pos="7510"/>
        </w:tabs>
        <w:spacing w:line="350" w:lineRule="exact"/>
        <w:ind w:left="3380" w:firstLine="0"/>
        <w:jc w:val="both"/>
        <w:rPr>
          <w:color w:val="auto"/>
          <w:sz w:val="24"/>
          <w:szCs w:val="24"/>
          <w:highlight w:val="none"/>
          <w:lang w:val="en-US"/>
        </w:rPr>
      </w:pPr>
      <w:r>
        <w:rPr>
          <w:rFonts w:hint="eastAsia"/>
          <w:color w:val="auto"/>
          <w:sz w:val="24"/>
          <w:szCs w:val="24"/>
          <w:highlight w:val="none"/>
        </w:rPr>
        <w:t>竞标人：</w:t>
      </w:r>
      <w:r>
        <w:rPr>
          <w:rFonts w:hint="eastAsia"/>
          <w:color w:val="auto"/>
          <w:sz w:val="24"/>
          <w:szCs w:val="24"/>
          <w:highlight w:val="none"/>
          <w:u w:val="single"/>
        </w:rPr>
        <w:t xml:space="preserve">                         </w:t>
      </w:r>
      <w:r>
        <w:rPr>
          <w:rFonts w:hint="eastAsia"/>
          <w:color w:val="auto"/>
          <w:sz w:val="24"/>
          <w:szCs w:val="24"/>
          <w:highlight w:val="none"/>
        </w:rPr>
        <w:t>（盖单位电子公章）</w:t>
      </w:r>
    </w:p>
    <w:p w14:paraId="28BD0E56">
      <w:pPr>
        <w:pStyle w:val="26"/>
        <w:tabs>
          <w:tab w:val="left" w:pos="6882"/>
          <w:tab w:val="left" w:pos="7510"/>
        </w:tabs>
        <w:spacing w:line="350" w:lineRule="exact"/>
        <w:ind w:left="3380" w:firstLine="0"/>
        <w:jc w:val="both"/>
        <w:rPr>
          <w:color w:val="auto"/>
          <w:sz w:val="24"/>
          <w:szCs w:val="24"/>
          <w:highlight w:val="none"/>
        </w:rPr>
      </w:pPr>
      <w:r>
        <w:rPr>
          <w:rFonts w:hint="eastAsia"/>
          <w:color w:val="auto"/>
          <w:sz w:val="24"/>
          <w:szCs w:val="24"/>
          <w:highlight w:val="none"/>
        </w:rPr>
        <w:t>法定代表人或授权委托代理人：</w:t>
      </w:r>
      <w:r>
        <w:rPr>
          <w:rFonts w:hint="eastAsia"/>
          <w:color w:val="auto"/>
          <w:sz w:val="24"/>
          <w:szCs w:val="24"/>
          <w:highlight w:val="none"/>
          <w:u w:val="single"/>
        </w:rPr>
        <w:t xml:space="preserve">   </w:t>
      </w:r>
      <w:r>
        <w:rPr>
          <w:rFonts w:hint="eastAsia"/>
          <w:color w:val="auto"/>
          <w:sz w:val="24"/>
          <w:szCs w:val="24"/>
          <w:highlight w:val="none"/>
        </w:rPr>
        <w:t>（签字或电子签名）</w:t>
      </w:r>
    </w:p>
    <w:p w14:paraId="2B3C14C8">
      <w:pPr>
        <w:pStyle w:val="26"/>
        <w:tabs>
          <w:tab w:val="left" w:pos="854"/>
          <w:tab w:val="left" w:pos="1925"/>
          <w:tab w:val="left" w:pos="2966"/>
          <w:tab w:val="left" w:pos="3014"/>
        </w:tabs>
        <w:spacing w:after="200" w:line="350" w:lineRule="exact"/>
        <w:ind w:firstLine="0"/>
        <w:jc w:val="right"/>
        <w:rPr>
          <w:rFonts w:hint="eastAsia"/>
          <w:color w:val="auto"/>
          <w:sz w:val="24"/>
          <w:szCs w:val="24"/>
          <w:highlight w:val="none"/>
        </w:rPr>
      </w:pP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292660CC">
      <w:pPr>
        <w:tabs>
          <w:tab w:val="left" w:pos="3479"/>
        </w:tabs>
        <w:spacing w:line="520" w:lineRule="exact"/>
        <w:jc w:val="left"/>
        <w:rPr>
          <w:rFonts w:ascii="方正小标宋简体" w:hAnsi="方正小标宋简体" w:eastAsia="方正小标宋简体" w:cs="方正小标宋简体"/>
          <w:bCs/>
          <w:color w:val="auto"/>
          <w:sz w:val="44"/>
          <w:szCs w:val="44"/>
          <w:highlight w:val="none"/>
        </w:rPr>
        <w:sectPr>
          <w:pgSz w:w="11910" w:h="16840"/>
          <w:pgMar w:top="1134" w:right="1134" w:bottom="1134" w:left="1134" w:header="0" w:footer="0" w:gutter="0"/>
          <w:cols w:space="720" w:num="1"/>
          <w:docGrid w:linePitch="286" w:charSpace="0"/>
        </w:sectPr>
      </w:pPr>
    </w:p>
    <w:p w14:paraId="0F9B4B6B">
      <w:pPr>
        <w:pStyle w:val="11"/>
        <w:spacing w:line="500" w:lineRule="exact"/>
        <w:rPr>
          <w:rFonts w:hint="eastAsia" w:hAnsi="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二、已标价工程量清单</w:t>
      </w:r>
    </w:p>
    <w:p w14:paraId="35A243AD">
      <w:pPr>
        <w:pStyle w:val="12"/>
        <w:ind w:left="5250"/>
        <w:rPr>
          <w:rFonts w:hint="eastAsia" w:ascii="宋体" w:hAnsi="宋体" w:cs="宋体"/>
          <w:color w:val="auto"/>
          <w:highlight w:val="none"/>
          <w:lang w:val="en-US" w:eastAsia="zh-CN"/>
        </w:rPr>
      </w:pPr>
    </w:p>
    <w:p w14:paraId="3716D776">
      <w:pPr>
        <w:spacing w:line="360" w:lineRule="auto"/>
        <w:ind w:firstLine="236" w:firstLineChars="98"/>
        <w:rPr>
          <w:rFonts w:hint="eastAsia" w:ascii="宋体" w:hAnsi="宋体" w:cs="宋体"/>
          <w:b/>
          <w:color w:val="auto"/>
          <w:sz w:val="24"/>
          <w:highlight w:val="none"/>
        </w:rPr>
      </w:pPr>
      <w:r>
        <w:rPr>
          <w:rFonts w:hint="eastAsia" w:ascii="宋体" w:hAnsi="宋体" w:cs="宋体"/>
          <w:b/>
          <w:color w:val="auto"/>
          <w:sz w:val="24"/>
          <w:highlight w:val="none"/>
        </w:rPr>
        <w:t>说明：最后已标价工程量清单按所提供的“招标工程量清单”中的相关清单表格式填写，否则竞标无效。构成合同文件的已标价工程量清单包括规范中的“招标工程量清单”有关招标工程量清单、竞标报价以及其他说明的内容。</w:t>
      </w:r>
    </w:p>
    <w:p w14:paraId="0474D430">
      <w:pPr>
        <w:tabs>
          <w:tab w:val="left" w:pos="3479"/>
        </w:tabs>
        <w:spacing w:line="520" w:lineRule="exact"/>
        <w:jc w:val="left"/>
        <w:rPr>
          <w:rFonts w:ascii="方正小标宋简体" w:hAnsi="方正小标宋简体" w:eastAsia="方正小标宋简体" w:cs="方正小标宋简体"/>
          <w:bCs/>
          <w:color w:val="auto"/>
          <w:sz w:val="44"/>
          <w:szCs w:val="44"/>
          <w:highlight w:val="none"/>
        </w:rPr>
        <w:sectPr>
          <w:pgSz w:w="11910" w:h="16840"/>
          <w:pgMar w:top="1134" w:right="1134" w:bottom="1134" w:left="1134" w:header="0" w:footer="0" w:gutter="0"/>
          <w:cols w:space="720" w:num="1"/>
          <w:docGrid w:linePitch="286" w:charSpace="0"/>
        </w:sectPr>
      </w:pPr>
    </w:p>
    <w:p w14:paraId="3A2549FE">
      <w:pPr>
        <w:pStyle w:val="2"/>
        <w:rPr>
          <w:rFonts w:hint="eastAsia" w:ascii="宋体" w:hAnsi="宋体" w:cs="宋体"/>
          <w:color w:val="auto"/>
          <w:sz w:val="24"/>
          <w:highlight w:val="none"/>
        </w:rPr>
      </w:pPr>
      <w:bookmarkStart w:id="160" w:name="_Toc22541"/>
      <w:bookmarkStart w:id="161" w:name="_Toc3811"/>
      <w:bookmarkStart w:id="162" w:name="_Toc8424"/>
      <w:r>
        <w:rPr>
          <w:rFonts w:hint="eastAsia" w:ascii="宋体" w:hAnsi="宋体" w:cs="宋体"/>
          <w:color w:val="auto"/>
          <w:sz w:val="32"/>
          <w:szCs w:val="32"/>
          <w:highlight w:val="none"/>
          <w:lang w:val="en-US" w:eastAsia="zh-CN"/>
        </w:rPr>
        <w:t>五、其他文书、文件格式</w:t>
      </w:r>
      <w:bookmarkEnd w:id="160"/>
      <w:bookmarkEnd w:id="161"/>
      <w:bookmarkEnd w:id="162"/>
    </w:p>
    <w:p w14:paraId="74A37581">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知识产权合规性声明</w:t>
      </w:r>
    </w:p>
    <w:p w14:paraId="7D6F3201">
      <w:pPr>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    </w:t>
      </w:r>
    </w:p>
    <w:p w14:paraId="03954C77">
      <w:pPr>
        <w:spacing w:line="360" w:lineRule="auto"/>
        <w:rPr>
          <w:rFonts w:hint="eastAsia" w:ascii="宋体" w:hAnsi="宋体" w:cs="宋体"/>
          <w:color w:val="auto"/>
          <w:sz w:val="24"/>
          <w:highlight w:val="none"/>
        </w:rPr>
      </w:pPr>
      <w:r>
        <w:rPr>
          <w:rFonts w:hint="eastAsia" w:ascii="宋体" w:hAnsi="宋体" w:cs="宋体"/>
          <w:color w:val="auto"/>
          <w:sz w:val="30"/>
          <w:szCs w:val="30"/>
          <w:highlight w:val="none"/>
        </w:rPr>
        <w:t xml:space="preserve">   </w:t>
      </w:r>
      <w:r>
        <w:rPr>
          <w:rFonts w:hint="eastAsia" w:ascii="宋体" w:hAnsi="宋体" w:cs="宋体"/>
          <w:color w:val="auto"/>
          <w:sz w:val="24"/>
          <w:highlight w:val="none"/>
        </w:rPr>
        <w:t xml:space="preserve"> 本企业自愿参与政府投资政府采购的</w:t>
      </w:r>
      <w:r>
        <w:rPr>
          <w:rFonts w:hint="eastAsia" w:ascii="宋体" w:hAnsi="宋体" w:cs="宋体"/>
          <w:color w:val="auto"/>
          <w:sz w:val="24"/>
          <w:highlight w:val="none"/>
          <w:u w:val="thick"/>
          <w:lang w:eastAsia="zh-CN"/>
        </w:rPr>
        <w:t>南宁市社会福利院提升改造工程(一期)0.4KV电线路迁改及配电房整合优化工程</w:t>
      </w:r>
      <w:r>
        <w:rPr>
          <w:rFonts w:hint="eastAsia" w:ascii="宋体" w:hAnsi="宋体" w:cs="宋体"/>
          <w:color w:val="auto"/>
          <w:sz w:val="24"/>
          <w:highlight w:val="none"/>
        </w:rPr>
        <w:t>项目，</w:t>
      </w:r>
      <w:r>
        <w:rPr>
          <w:rFonts w:hint="eastAsia" w:ascii="宋体" w:hAnsi="宋体" w:cs="宋体"/>
          <w:b/>
          <w:color w:val="auto"/>
          <w:sz w:val="24"/>
          <w:highlight w:val="none"/>
        </w:rPr>
        <w:t>在此郑重承诺：</w:t>
      </w:r>
      <w:r>
        <w:rPr>
          <w:rFonts w:hint="eastAsia" w:ascii="宋体" w:hAnsi="宋体" w:cs="宋体"/>
          <w:color w:val="auto"/>
          <w:sz w:val="24"/>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588B2B95">
      <w:pPr>
        <w:snapToGrid w:val="0"/>
        <w:spacing w:line="360" w:lineRule="auto"/>
        <w:ind w:left="5634" w:leftChars="1736" w:hanging="1988" w:hangingChars="825"/>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5D3183F0">
      <w:pPr>
        <w:snapToGrid w:val="0"/>
        <w:spacing w:line="360" w:lineRule="auto"/>
        <w:ind w:left="5634" w:leftChars="1736" w:hanging="1988" w:hangingChars="825"/>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2195D521">
      <w:pPr>
        <w:snapToGrid w:val="0"/>
        <w:spacing w:line="360" w:lineRule="auto"/>
        <w:ind w:left="5634" w:leftChars="1736" w:hanging="1988" w:hangingChars="825"/>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4679C6E1">
      <w:pPr>
        <w:snapToGrid w:val="0"/>
        <w:spacing w:line="360" w:lineRule="auto"/>
        <w:ind w:left="5634" w:leftChars="1736" w:hanging="1988" w:hangingChars="825"/>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61F1539A">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4C9C614">
      <w:pPr>
        <w:autoSpaceDE w:val="0"/>
        <w:autoSpaceDN w:val="0"/>
        <w:spacing w:line="360" w:lineRule="auto"/>
        <w:ind w:firstLine="6480" w:firstLineChars="2700"/>
        <w:rPr>
          <w:rFonts w:hint="eastAsia" w:ascii="宋体" w:hAnsi="宋体" w:cs="宋体"/>
          <w:color w:val="auto"/>
          <w:kern w:val="0"/>
          <w:sz w:val="24"/>
          <w:highlight w:val="none"/>
          <w:lang w:val="zh-CN"/>
        </w:rPr>
        <w:sectPr>
          <w:footerReference r:id="rId8" w:type="default"/>
          <w:pgSz w:w="11906" w:h="16838"/>
          <w:pgMar w:top="1134" w:right="1286" w:bottom="1440" w:left="1588" w:header="0" w:footer="0" w:gutter="0"/>
          <w:cols w:space="720" w:num="1"/>
          <w:docGrid w:linePitch="312" w:charSpace="0"/>
        </w:sect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26480D1">
      <w:pPr>
        <w:pStyle w:val="2"/>
        <w:jc w:val="center"/>
        <w:rPr>
          <w:rFonts w:hint="eastAsia"/>
          <w:color w:val="auto"/>
          <w:highlight w:val="none"/>
        </w:rPr>
      </w:pPr>
      <w:bookmarkStart w:id="163" w:name="_Toc74322013"/>
      <w:bookmarkStart w:id="164" w:name="_Toc31060"/>
      <w:bookmarkStart w:id="165" w:name="_Toc27832"/>
      <w:r>
        <w:rPr>
          <w:rFonts w:hint="eastAsia"/>
          <w:color w:val="auto"/>
          <w:highlight w:val="none"/>
        </w:rPr>
        <w:t>第六章 合同文本</w:t>
      </w:r>
      <w:bookmarkEnd w:id="163"/>
      <w:bookmarkEnd w:id="164"/>
      <w:bookmarkEnd w:id="165"/>
    </w:p>
    <w:p w14:paraId="6EFC21A9">
      <w:pPr>
        <w:rPr>
          <w:rFonts w:hint="eastAsia" w:ascii="宋体" w:hAnsi="宋体" w:cs="宋体"/>
          <w:color w:val="auto"/>
          <w:szCs w:val="21"/>
        </w:rPr>
      </w:pPr>
      <w:r>
        <w:rPr>
          <w:rFonts w:hint="eastAsia" w:ascii="宋体" w:hAnsi="宋体" w:cs="宋体"/>
          <w:color w:val="auto"/>
          <w:szCs w:val="21"/>
        </w:rPr>
        <w:br w:type="page"/>
      </w:r>
    </w:p>
    <w:p w14:paraId="1594553C">
      <w:pPr>
        <w:spacing w:line="360" w:lineRule="auto"/>
        <w:rPr>
          <w:rFonts w:hint="eastAsia" w:ascii="宋体" w:hAnsi="宋体"/>
          <w:bCs/>
          <w:color w:val="auto"/>
          <w:kern w:val="44"/>
          <w:sz w:val="44"/>
          <w:szCs w:val="44"/>
          <w:highlight w:val="none"/>
        </w:rPr>
      </w:pPr>
      <w:bookmarkStart w:id="166" w:name="_Toc407135191"/>
      <w:bookmarkStart w:id="167" w:name="_Toc389065255"/>
      <w:bookmarkStart w:id="168" w:name="_Toc373227552"/>
      <w:bookmarkStart w:id="169" w:name="_Toc351203480"/>
      <w:bookmarkStart w:id="170" w:name="_Toc296503025"/>
      <w:bookmarkStart w:id="171" w:name="_Toc256000099"/>
      <w:bookmarkStart w:id="172" w:name="_Toc296890982"/>
      <w:bookmarkStart w:id="173" w:name="_Toc23781182"/>
      <w:bookmarkStart w:id="174" w:name="_Toc373478199"/>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政采云</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平台合同编号：</w:t>
      </w:r>
    </w:p>
    <w:p w14:paraId="4648CA87">
      <w:pPr>
        <w:keepNext/>
        <w:keepLines/>
        <w:spacing w:before="340" w:after="330" w:line="578" w:lineRule="auto"/>
        <w:jc w:val="center"/>
        <w:outlineLvl w:val="0"/>
        <w:rPr>
          <w:rFonts w:ascii="宋体" w:hAnsi="宋体"/>
          <w:bCs/>
          <w:color w:val="auto"/>
          <w:kern w:val="44"/>
          <w:sz w:val="44"/>
          <w:szCs w:val="44"/>
          <w:highlight w:val="none"/>
        </w:rPr>
      </w:pPr>
      <w:r>
        <w:rPr>
          <w:rFonts w:hint="eastAsia" w:ascii="宋体" w:hAnsi="宋体"/>
          <w:bCs/>
          <w:color w:val="auto"/>
          <w:kern w:val="44"/>
          <w:sz w:val="44"/>
          <w:szCs w:val="44"/>
          <w:highlight w:val="none"/>
        </w:rPr>
        <w:t>（项目全称）</w:t>
      </w:r>
    </w:p>
    <w:p w14:paraId="596CDA6C">
      <w:pPr>
        <w:widowControl/>
        <w:spacing w:beforeAutospacing="1" w:afterAutospacing="1" w:line="360" w:lineRule="auto"/>
        <w:jc w:val="center"/>
        <w:rPr>
          <w:rFonts w:ascii="宋体" w:hAnsi="宋体"/>
          <w:color w:val="auto"/>
          <w:sz w:val="32"/>
          <w:szCs w:val="32"/>
          <w:highlight w:val="none"/>
        </w:rPr>
      </w:pPr>
    </w:p>
    <w:p w14:paraId="189377FC">
      <w:pPr>
        <w:widowControl/>
        <w:spacing w:beforeAutospacing="1" w:afterAutospacing="1" w:line="360" w:lineRule="auto"/>
        <w:jc w:val="center"/>
        <w:rPr>
          <w:rFonts w:ascii="宋体" w:hAnsi="宋体"/>
          <w:color w:val="auto"/>
          <w:sz w:val="32"/>
          <w:szCs w:val="32"/>
          <w:highlight w:val="none"/>
        </w:rPr>
      </w:pPr>
    </w:p>
    <w:p w14:paraId="435FF837">
      <w:pPr>
        <w:adjustRightInd w:val="0"/>
        <w:spacing w:after="60" w:line="360" w:lineRule="atLeast"/>
        <w:ind w:left="63" w:leftChars="30" w:right="63" w:rightChars="30"/>
        <w:jc w:val="center"/>
        <w:textAlignment w:val="baseline"/>
        <w:rPr>
          <w:rFonts w:ascii="宋体" w:hAnsi="宋体"/>
          <w:color w:val="auto"/>
          <w:sz w:val="22"/>
          <w:szCs w:val="22"/>
          <w:highlight w:val="none"/>
        </w:rPr>
      </w:pPr>
    </w:p>
    <w:p w14:paraId="502FB91C">
      <w:pPr>
        <w:widowControl/>
        <w:spacing w:beforeAutospacing="1" w:afterAutospacing="1" w:line="360" w:lineRule="auto"/>
        <w:jc w:val="center"/>
        <w:rPr>
          <w:rFonts w:ascii="宋体" w:hAnsi="宋体"/>
          <w:color w:val="auto"/>
          <w:sz w:val="32"/>
          <w:szCs w:val="32"/>
          <w:highlight w:val="none"/>
        </w:rPr>
      </w:pPr>
    </w:p>
    <w:p w14:paraId="2ACDD5C6">
      <w:pPr>
        <w:widowControl/>
        <w:spacing w:beforeAutospacing="1" w:afterAutospacing="1" w:line="360" w:lineRule="auto"/>
        <w:jc w:val="center"/>
        <w:rPr>
          <w:rFonts w:ascii="宋体" w:hAnsi="宋体"/>
          <w:b/>
          <w:color w:val="auto"/>
          <w:sz w:val="72"/>
          <w:szCs w:val="72"/>
          <w:highlight w:val="none"/>
        </w:rPr>
      </w:pPr>
      <w:r>
        <w:rPr>
          <w:rFonts w:hint="eastAsia" w:ascii="宋体" w:hAnsi="宋体"/>
          <w:b/>
          <w:color w:val="auto"/>
          <w:sz w:val="72"/>
          <w:szCs w:val="72"/>
          <w:highlight w:val="none"/>
        </w:rPr>
        <w:t>施 工 合 同</w:t>
      </w:r>
    </w:p>
    <w:p w14:paraId="5FEED74A">
      <w:pPr>
        <w:widowControl/>
        <w:spacing w:beforeAutospacing="1" w:afterAutospacing="1" w:line="360" w:lineRule="auto"/>
        <w:jc w:val="center"/>
        <w:rPr>
          <w:rFonts w:ascii="宋体" w:hAnsi="宋体"/>
          <w:b/>
          <w:color w:val="auto"/>
          <w:sz w:val="30"/>
          <w:szCs w:val="30"/>
          <w:highlight w:val="none"/>
        </w:rPr>
      </w:pPr>
    </w:p>
    <w:p w14:paraId="72833EF3">
      <w:pPr>
        <w:widowControl/>
        <w:spacing w:beforeAutospacing="1" w:afterAutospacing="1" w:line="360" w:lineRule="auto"/>
        <w:ind w:firstLine="3614" w:firstLineChars="1200"/>
        <w:rPr>
          <w:rFonts w:ascii="宋体" w:hAnsi="宋体"/>
          <w:b/>
          <w:color w:val="auto"/>
          <w:sz w:val="30"/>
          <w:szCs w:val="30"/>
          <w:highlight w:val="none"/>
        </w:rPr>
      </w:pPr>
      <w:r>
        <w:rPr>
          <w:rFonts w:hint="eastAsia" w:ascii="宋体" w:hAnsi="宋体"/>
          <w:b/>
          <w:color w:val="auto"/>
          <w:sz w:val="30"/>
          <w:szCs w:val="30"/>
          <w:highlight w:val="none"/>
        </w:rPr>
        <w:t>项目编号：</w:t>
      </w:r>
    </w:p>
    <w:p w14:paraId="2E64C051">
      <w:pPr>
        <w:adjustRightInd w:val="0"/>
        <w:spacing w:after="60" w:line="360" w:lineRule="atLeast"/>
        <w:ind w:left="63" w:leftChars="30" w:right="63" w:rightChars="30"/>
        <w:jc w:val="center"/>
        <w:textAlignment w:val="baseline"/>
        <w:rPr>
          <w:rFonts w:ascii="宋体" w:hAnsi="宋体"/>
          <w:color w:val="auto"/>
          <w:sz w:val="22"/>
          <w:szCs w:val="22"/>
          <w:highlight w:val="none"/>
        </w:rPr>
      </w:pPr>
    </w:p>
    <w:p w14:paraId="7519758C">
      <w:pPr>
        <w:widowControl/>
        <w:spacing w:beforeAutospacing="1" w:afterAutospacing="1" w:line="360" w:lineRule="auto"/>
        <w:jc w:val="center"/>
        <w:rPr>
          <w:rFonts w:ascii="宋体" w:hAnsi="宋体"/>
          <w:b/>
          <w:color w:val="auto"/>
          <w:sz w:val="30"/>
          <w:szCs w:val="30"/>
          <w:highlight w:val="none"/>
        </w:rPr>
      </w:pPr>
    </w:p>
    <w:p w14:paraId="37097CE1">
      <w:pPr>
        <w:widowControl/>
        <w:spacing w:beforeAutospacing="1" w:afterAutospacing="1" w:line="360" w:lineRule="auto"/>
        <w:jc w:val="center"/>
        <w:rPr>
          <w:rFonts w:ascii="宋体" w:hAnsi="宋体"/>
          <w:b/>
          <w:color w:val="auto"/>
          <w:sz w:val="30"/>
          <w:szCs w:val="30"/>
          <w:highlight w:val="none"/>
        </w:rPr>
      </w:pPr>
    </w:p>
    <w:p w14:paraId="31BDBC10">
      <w:pPr>
        <w:rPr>
          <w:rFonts w:ascii="宋体" w:hAnsi="宋体"/>
          <w:b/>
          <w:color w:val="auto"/>
          <w:sz w:val="30"/>
          <w:szCs w:val="30"/>
          <w:highlight w:val="none"/>
        </w:rPr>
      </w:pPr>
    </w:p>
    <w:p w14:paraId="7C433BF8">
      <w:pPr>
        <w:widowControl/>
        <w:spacing w:beforeAutospacing="1" w:afterAutospacing="1" w:line="360" w:lineRule="auto"/>
        <w:ind w:firstLine="1205" w:firstLineChars="400"/>
        <w:rPr>
          <w:rFonts w:ascii="宋体" w:hAnsi="宋体"/>
          <w:b/>
          <w:color w:val="auto"/>
          <w:sz w:val="30"/>
          <w:szCs w:val="30"/>
          <w:highlight w:val="none"/>
          <w:u w:val="single"/>
        </w:rPr>
      </w:pPr>
      <w:r>
        <w:rPr>
          <w:rFonts w:hint="eastAsia" w:ascii="宋体" w:hAnsi="宋体"/>
          <w:b/>
          <w:color w:val="auto"/>
          <w:sz w:val="30"/>
          <w:szCs w:val="30"/>
          <w:highlight w:val="none"/>
        </w:rPr>
        <w:t>发包人：</w:t>
      </w:r>
      <w:r>
        <w:rPr>
          <w:rFonts w:hint="eastAsia" w:ascii="宋体" w:hAnsi="宋体"/>
          <w:b/>
          <w:color w:val="auto"/>
          <w:sz w:val="30"/>
          <w:szCs w:val="30"/>
          <w:highlight w:val="none"/>
          <w:u w:val="single"/>
          <w:lang w:val="en-US" w:eastAsia="zh-CN"/>
        </w:rPr>
        <w:t xml:space="preserve">        </w:t>
      </w:r>
      <w:r>
        <w:rPr>
          <w:rFonts w:hint="eastAsia" w:ascii="宋体" w:hAnsi="宋体"/>
          <w:b/>
          <w:color w:val="auto"/>
          <w:sz w:val="30"/>
          <w:szCs w:val="30"/>
          <w:highlight w:val="none"/>
          <w:u w:val="single"/>
        </w:rPr>
        <w:t xml:space="preserve">          </w:t>
      </w:r>
    </w:p>
    <w:p w14:paraId="5E906F63">
      <w:pPr>
        <w:widowControl/>
        <w:spacing w:beforeAutospacing="1" w:afterAutospacing="1" w:line="360" w:lineRule="auto"/>
        <w:ind w:firstLine="1205" w:firstLineChars="400"/>
        <w:rPr>
          <w:rFonts w:ascii="宋体" w:hAnsi="宋体"/>
          <w:color w:val="auto"/>
          <w:szCs w:val="22"/>
          <w:highlight w:val="none"/>
          <w:u w:val="single"/>
        </w:rPr>
        <w:sectPr>
          <w:pgSz w:w="11906" w:h="16838"/>
          <w:pgMar w:top="1134" w:right="1134" w:bottom="1134" w:left="1134" w:header="851" w:footer="992" w:gutter="0"/>
          <w:pgNumType w:fmt="decimal"/>
          <w:cols w:space="720" w:num="1"/>
          <w:docGrid w:type="lines" w:linePitch="312" w:charSpace="0"/>
        </w:sectPr>
      </w:pPr>
      <w:r>
        <w:rPr>
          <w:rFonts w:hint="eastAsia" w:ascii="宋体" w:hAnsi="宋体"/>
          <w:b/>
          <w:color w:val="auto"/>
          <w:sz w:val="30"/>
          <w:szCs w:val="30"/>
          <w:highlight w:val="none"/>
        </w:rPr>
        <w:t>承包人：</w:t>
      </w:r>
      <w:r>
        <w:rPr>
          <w:rFonts w:hint="eastAsia" w:ascii="宋体" w:hAnsi="宋体"/>
          <w:b/>
          <w:color w:val="auto"/>
          <w:sz w:val="30"/>
          <w:szCs w:val="30"/>
          <w:highlight w:val="none"/>
          <w:u w:val="single"/>
          <w:lang w:val="en-US" w:eastAsia="zh-CN"/>
        </w:rPr>
        <w:t xml:space="preserve">        </w:t>
      </w:r>
      <w:r>
        <w:rPr>
          <w:rFonts w:hint="eastAsia" w:ascii="宋体" w:hAnsi="宋体"/>
          <w:b/>
          <w:color w:val="auto"/>
          <w:sz w:val="30"/>
          <w:szCs w:val="30"/>
          <w:highlight w:val="none"/>
          <w:u w:val="single"/>
        </w:rPr>
        <w:t xml:space="preserve">          </w:t>
      </w:r>
    </w:p>
    <w:bookmarkEnd w:id="166"/>
    <w:bookmarkEnd w:id="167"/>
    <w:bookmarkEnd w:id="168"/>
    <w:bookmarkEnd w:id="169"/>
    <w:bookmarkEnd w:id="170"/>
    <w:bookmarkEnd w:id="171"/>
    <w:bookmarkEnd w:id="172"/>
    <w:bookmarkEnd w:id="173"/>
    <w:bookmarkEnd w:id="174"/>
    <w:p w14:paraId="667C5989">
      <w:pPr>
        <w:spacing w:after="200" w:line="0" w:lineRule="atLeast"/>
        <w:jc w:val="center"/>
        <w:rPr>
          <w:rFonts w:ascii="宋体" w:hAnsi="宋体"/>
          <w:color w:val="auto"/>
          <w:sz w:val="32"/>
          <w:highlight w:val="none"/>
        </w:rPr>
      </w:pPr>
      <w:bookmarkStart w:id="175" w:name="EBf5d8882b67eb450294403d6d9eac2034"/>
      <w:r>
        <w:rPr>
          <w:rFonts w:hint="eastAsia" w:ascii="宋体" w:hAnsi="宋体"/>
          <w:b/>
          <w:bCs/>
          <w:color w:val="auto"/>
          <w:sz w:val="44"/>
          <w:szCs w:val="44"/>
          <w:highlight w:val="none"/>
        </w:rPr>
        <w:t>目</w:t>
      </w:r>
      <w:r>
        <w:rPr>
          <w:rFonts w:hint="eastAsia" w:ascii="宋体" w:hAnsi="宋体"/>
          <w:b/>
          <w:bCs/>
          <w:color w:val="auto"/>
          <w:sz w:val="44"/>
          <w:szCs w:val="44"/>
          <w:highlight w:val="none"/>
        </w:rPr>
        <w:tab/>
      </w:r>
      <w:r>
        <w:rPr>
          <w:rFonts w:hint="eastAsia" w:ascii="宋体" w:hAnsi="宋体"/>
          <w:b/>
          <w:bCs/>
          <w:color w:val="auto"/>
          <w:sz w:val="44"/>
          <w:szCs w:val="44"/>
          <w:highlight w:val="none"/>
        </w:rPr>
        <w:t>录</w:t>
      </w:r>
    </w:p>
    <w:p w14:paraId="1075E1FF">
      <w:pPr>
        <w:spacing w:line="360" w:lineRule="auto"/>
        <w:ind w:firstLine="640" w:firstLineChars="200"/>
        <w:outlineLvl w:val="9"/>
        <w:rPr>
          <w:rFonts w:hint="eastAsia" w:ascii="宋体" w:hAnsi="宋体" w:eastAsia="宋体"/>
          <w:color w:val="auto"/>
          <w:sz w:val="32"/>
          <w:highlight w:val="none"/>
          <w:lang w:val="en-US" w:eastAsia="zh-CN"/>
        </w:rPr>
      </w:pPr>
      <w:r>
        <w:rPr>
          <w:rFonts w:hint="eastAsia" w:ascii="宋体" w:hAnsi="宋体"/>
          <w:color w:val="auto"/>
          <w:sz w:val="32"/>
          <w:highlight w:val="none"/>
        </w:rPr>
        <w:t>第一部分、合同协议书…………………………</w:t>
      </w:r>
      <w:r>
        <w:rPr>
          <w:rFonts w:ascii="宋体" w:hAnsi="宋体"/>
          <w:color w:val="auto"/>
          <w:sz w:val="32"/>
          <w:highlight w:val="none"/>
        </w:rPr>
        <w:t>……</w:t>
      </w:r>
      <w:r>
        <w:rPr>
          <w:rFonts w:hint="eastAsia" w:ascii="宋体" w:hAnsi="宋体"/>
          <w:color w:val="auto"/>
          <w:sz w:val="32"/>
          <w:highlight w:val="none"/>
        </w:rPr>
        <w:t>……………</w:t>
      </w:r>
    </w:p>
    <w:p w14:paraId="760FD3E9">
      <w:pPr>
        <w:spacing w:line="360" w:lineRule="auto"/>
        <w:ind w:firstLine="640" w:firstLineChars="200"/>
        <w:outlineLvl w:val="9"/>
        <w:rPr>
          <w:rFonts w:hint="eastAsia" w:ascii="宋体" w:hAnsi="宋体" w:eastAsia="宋体"/>
          <w:color w:val="auto"/>
          <w:sz w:val="32"/>
          <w:highlight w:val="none"/>
          <w:lang w:val="en-US" w:eastAsia="zh-CN"/>
        </w:rPr>
      </w:pPr>
      <w:r>
        <w:rPr>
          <w:rFonts w:hint="eastAsia" w:ascii="宋体" w:hAnsi="宋体"/>
          <w:color w:val="auto"/>
          <w:sz w:val="32"/>
          <w:highlight w:val="none"/>
        </w:rPr>
        <w:t>第二部分、</w:t>
      </w:r>
      <w:r>
        <w:rPr>
          <w:rFonts w:hint="eastAsia" w:ascii="宋体" w:hAnsi="宋体"/>
          <w:color w:val="auto"/>
          <w:sz w:val="32"/>
          <w:highlight w:val="none"/>
          <w:lang w:val="en-US" w:eastAsia="zh-CN"/>
        </w:rPr>
        <w:t>成交</w:t>
      </w:r>
      <w:r>
        <w:rPr>
          <w:rFonts w:hint="eastAsia" w:ascii="宋体" w:hAnsi="宋体"/>
          <w:color w:val="auto"/>
          <w:sz w:val="32"/>
          <w:highlight w:val="none"/>
        </w:rPr>
        <w:t>通知书……………………………</w:t>
      </w:r>
      <w:r>
        <w:rPr>
          <w:rFonts w:ascii="宋体" w:hAnsi="宋体"/>
          <w:color w:val="auto"/>
          <w:sz w:val="32"/>
          <w:highlight w:val="none"/>
        </w:rPr>
        <w:t>……</w:t>
      </w:r>
      <w:r>
        <w:rPr>
          <w:rFonts w:hint="eastAsia" w:ascii="宋体" w:hAnsi="宋体"/>
          <w:color w:val="auto"/>
          <w:sz w:val="32"/>
          <w:highlight w:val="none"/>
        </w:rPr>
        <w:t>…………</w:t>
      </w:r>
    </w:p>
    <w:p w14:paraId="466625F4">
      <w:pPr>
        <w:spacing w:line="360" w:lineRule="auto"/>
        <w:ind w:firstLine="640" w:firstLineChars="200"/>
        <w:outlineLvl w:val="9"/>
        <w:rPr>
          <w:rFonts w:hint="eastAsia" w:ascii="宋体" w:hAnsi="宋体" w:eastAsia="宋体"/>
          <w:color w:val="auto"/>
          <w:sz w:val="32"/>
          <w:highlight w:val="none"/>
          <w:lang w:val="en-US" w:eastAsia="zh-CN"/>
        </w:rPr>
      </w:pPr>
      <w:r>
        <w:rPr>
          <w:rFonts w:hint="eastAsia" w:ascii="宋体" w:hAnsi="宋体"/>
          <w:color w:val="auto"/>
          <w:sz w:val="32"/>
          <w:highlight w:val="none"/>
        </w:rPr>
        <w:t>第三部分、</w:t>
      </w:r>
      <w:r>
        <w:rPr>
          <w:rFonts w:ascii="宋体" w:hAnsi="宋体"/>
          <w:color w:val="auto"/>
          <w:sz w:val="32"/>
          <w:highlight w:val="none"/>
        </w:rPr>
        <w:t>通用合同条款</w:t>
      </w:r>
      <w:r>
        <w:rPr>
          <w:rFonts w:hint="eastAsia" w:ascii="宋体" w:hAnsi="宋体"/>
          <w:color w:val="auto"/>
          <w:sz w:val="32"/>
          <w:highlight w:val="none"/>
        </w:rPr>
        <w:t>……………</w:t>
      </w:r>
      <w:r>
        <w:rPr>
          <w:rFonts w:ascii="宋体" w:hAnsi="宋体"/>
          <w:color w:val="auto"/>
          <w:sz w:val="32"/>
          <w:highlight w:val="none"/>
        </w:rPr>
        <w:t>……</w:t>
      </w:r>
      <w:r>
        <w:rPr>
          <w:rFonts w:hint="eastAsia" w:ascii="宋体" w:hAnsi="宋体"/>
          <w:color w:val="auto"/>
          <w:sz w:val="32"/>
          <w:highlight w:val="none"/>
        </w:rPr>
        <w:t>…</w:t>
      </w:r>
      <w:r>
        <w:rPr>
          <w:rFonts w:ascii="宋体" w:hAnsi="宋体"/>
          <w:color w:val="auto"/>
          <w:sz w:val="32"/>
          <w:highlight w:val="none"/>
        </w:rPr>
        <w:t>………</w:t>
      </w:r>
      <w:r>
        <w:rPr>
          <w:rFonts w:hint="eastAsia" w:ascii="宋体" w:hAnsi="宋体"/>
          <w:color w:val="auto"/>
          <w:sz w:val="32"/>
          <w:highlight w:val="none"/>
        </w:rPr>
        <w:t>……………</w:t>
      </w:r>
    </w:p>
    <w:p w14:paraId="722F20A8">
      <w:pPr>
        <w:spacing w:line="360" w:lineRule="auto"/>
        <w:ind w:firstLine="640" w:firstLineChars="200"/>
        <w:outlineLvl w:val="9"/>
        <w:rPr>
          <w:rFonts w:hint="eastAsia" w:ascii="宋体" w:hAnsi="宋体" w:eastAsia="宋体"/>
          <w:color w:val="auto"/>
          <w:sz w:val="32"/>
          <w:highlight w:val="none"/>
          <w:lang w:val="en-US" w:eastAsia="zh-CN"/>
        </w:rPr>
      </w:pPr>
      <w:r>
        <w:rPr>
          <w:rFonts w:hint="eastAsia" w:ascii="宋体" w:hAnsi="宋体"/>
          <w:color w:val="auto"/>
          <w:sz w:val="32"/>
          <w:highlight w:val="none"/>
        </w:rPr>
        <w:t>第四部分</w:t>
      </w:r>
      <w:r>
        <w:rPr>
          <w:rFonts w:ascii="宋体" w:hAnsi="宋体"/>
          <w:color w:val="auto"/>
          <w:sz w:val="32"/>
          <w:highlight w:val="none"/>
        </w:rPr>
        <w:t>、专用合同条款……………………</w:t>
      </w:r>
      <w:r>
        <w:rPr>
          <w:rFonts w:hint="eastAsia" w:ascii="宋体" w:hAnsi="宋体"/>
          <w:color w:val="auto"/>
          <w:sz w:val="32"/>
          <w:highlight w:val="none"/>
        </w:rPr>
        <w:t>…</w:t>
      </w:r>
      <w:r>
        <w:rPr>
          <w:rFonts w:ascii="宋体" w:hAnsi="宋体"/>
          <w:color w:val="auto"/>
          <w:sz w:val="32"/>
          <w:highlight w:val="none"/>
        </w:rPr>
        <w:t>…………………</w:t>
      </w:r>
    </w:p>
    <w:p w14:paraId="4276D17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8F5F883">
      <w:pPr>
        <w:pStyle w:val="2"/>
        <w:numPr>
          <w:ilvl w:val="0"/>
          <w:numId w:val="0"/>
        </w:numPr>
        <w:ind w:leftChars="0"/>
        <w:jc w:val="center"/>
        <w:rPr>
          <w:rFonts w:ascii="宋体" w:hAnsi="宋体" w:eastAsia="宋体" w:cs="宋体"/>
          <w:color w:val="auto"/>
          <w:highlight w:val="none"/>
        </w:rPr>
      </w:pPr>
      <w:r>
        <w:rPr>
          <w:rFonts w:hint="eastAsia" w:ascii="宋体" w:hAnsi="宋体" w:eastAsia="宋体" w:cs="宋体"/>
          <w:color w:val="auto"/>
          <w:highlight w:val="none"/>
        </w:rPr>
        <w:t>第一部分合同协议书</w:t>
      </w:r>
    </w:p>
    <w:p w14:paraId="434358AC">
      <w:pPr>
        <w:rPr>
          <w:rFonts w:ascii="宋体" w:hAnsi="宋体" w:cs="宋体"/>
          <w:color w:val="auto"/>
          <w:highlight w:val="none"/>
        </w:rPr>
      </w:pPr>
    </w:p>
    <w:p w14:paraId="25D19D03">
      <w:pPr>
        <w:pStyle w:val="31"/>
        <w:spacing w:line="360" w:lineRule="auto"/>
        <w:rPr>
          <w:rFonts w:hint="default" w:eastAsia="宋体"/>
          <w:color w:val="auto"/>
          <w:szCs w:val="21"/>
          <w:highlight w:val="none"/>
          <w:u w:val="single"/>
          <w:lang w:val="en-US" w:eastAsia="zh-CN"/>
        </w:rPr>
      </w:pPr>
      <w:r>
        <w:rPr>
          <w:rFonts w:hint="eastAsia" w:hAnsi="宋体"/>
          <w:color w:val="auto"/>
          <w:szCs w:val="21"/>
          <w:highlight w:val="none"/>
        </w:rPr>
        <w:t>发包人（全称）：</w:t>
      </w:r>
      <w:r>
        <w:rPr>
          <w:rFonts w:hint="eastAsia" w:hAnsi="宋体" w:cs="Times New Roman"/>
          <w:color w:val="auto"/>
          <w:szCs w:val="21"/>
          <w:highlight w:val="none"/>
          <w:u w:val="single"/>
          <w:lang w:val="en-US" w:eastAsia="zh-CN"/>
        </w:rPr>
        <w:t xml:space="preserve">                                      </w:t>
      </w:r>
    </w:p>
    <w:p w14:paraId="1E9EA7EF">
      <w:pPr>
        <w:pStyle w:val="31"/>
        <w:spacing w:line="360" w:lineRule="auto"/>
        <w:rPr>
          <w:color w:val="auto"/>
          <w:szCs w:val="21"/>
          <w:highlight w:val="none"/>
          <w:u w:val="single"/>
        </w:rPr>
      </w:pPr>
      <w:r>
        <w:rPr>
          <w:rFonts w:hint="eastAsia" w:hAnsi="宋体"/>
          <w:color w:val="auto"/>
          <w:szCs w:val="21"/>
          <w:highlight w:val="none"/>
        </w:rPr>
        <w:t>承包人（全称）：</w:t>
      </w:r>
      <w:r>
        <w:rPr>
          <w:rFonts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Ansi="宋体"/>
          <w:color w:val="auto"/>
          <w:szCs w:val="21"/>
          <w:highlight w:val="none"/>
          <w:u w:val="single"/>
        </w:rPr>
        <w:t xml:space="preserve">    </w:t>
      </w:r>
    </w:p>
    <w:p w14:paraId="3BA755EF">
      <w:pPr>
        <w:pStyle w:val="31"/>
        <w:spacing w:line="360" w:lineRule="auto"/>
        <w:ind w:firstLine="420" w:firstLineChars="200"/>
        <w:rPr>
          <w:rFonts w:hAnsi="宋体"/>
          <w:color w:val="auto"/>
          <w:szCs w:val="21"/>
          <w:highlight w:val="none"/>
        </w:rPr>
      </w:pPr>
      <w:r>
        <w:rPr>
          <w:rFonts w:hint="eastAsia" w:hAnsi="宋体"/>
          <w:color w:val="auto"/>
          <w:szCs w:val="21"/>
          <w:highlight w:val="none"/>
        </w:rPr>
        <w:t>根据《中华人民共和国民法典》、《中华人民共和国建筑法》及有关法律规定，遵循平等、自愿、公平和诚实信用的原则，双方就</w:t>
      </w:r>
      <w:r>
        <w:rPr>
          <w:rFonts w:hint="eastAsia" w:hAnsi="宋体"/>
          <w:color w:val="auto"/>
          <w:szCs w:val="21"/>
          <w:highlight w:val="none"/>
          <w:u w:val="single"/>
          <w:lang w:val="en-US" w:eastAsia="zh-CN"/>
        </w:rPr>
        <w:t xml:space="preserve">           </w:t>
      </w:r>
      <w:r>
        <w:rPr>
          <w:rFonts w:hint="eastAsia" w:hAnsi="宋体"/>
          <w:color w:val="auto"/>
          <w:szCs w:val="21"/>
          <w:highlight w:val="none"/>
        </w:rPr>
        <w:t>工程施工及有关事项协商一致，共同达成如下协议：</w:t>
      </w:r>
      <w:bookmarkStart w:id="176" w:name="_Toc351203481"/>
    </w:p>
    <w:p w14:paraId="756A6F05">
      <w:pPr>
        <w:pStyle w:val="31"/>
        <w:spacing w:line="360" w:lineRule="auto"/>
        <w:ind w:firstLine="422" w:firstLineChars="200"/>
        <w:outlineLvl w:val="0"/>
        <w:rPr>
          <w:b/>
          <w:bCs/>
          <w:color w:val="auto"/>
          <w:szCs w:val="21"/>
          <w:highlight w:val="none"/>
        </w:rPr>
      </w:pPr>
      <w:r>
        <w:rPr>
          <w:rFonts w:hint="eastAsia" w:hAnsi="宋体"/>
          <w:b/>
          <w:bCs/>
          <w:color w:val="auto"/>
          <w:szCs w:val="21"/>
          <w:highlight w:val="none"/>
        </w:rPr>
        <w:t>一、工程概况</w:t>
      </w:r>
      <w:bookmarkEnd w:id="176"/>
    </w:p>
    <w:p w14:paraId="166AC34A">
      <w:pPr>
        <w:pStyle w:val="31"/>
        <w:spacing w:line="360" w:lineRule="auto"/>
        <w:ind w:firstLine="411" w:firstLineChars="196"/>
        <w:rPr>
          <w:color w:val="auto"/>
          <w:szCs w:val="21"/>
          <w:highlight w:val="none"/>
          <w:u w:val="single"/>
        </w:rPr>
      </w:pPr>
      <w:r>
        <w:rPr>
          <w:bCs/>
          <w:color w:val="auto"/>
          <w:szCs w:val="21"/>
          <w:highlight w:val="none"/>
        </w:rPr>
        <w:t xml:space="preserve">1. </w:t>
      </w:r>
      <w:r>
        <w:rPr>
          <w:rFonts w:hint="eastAsia" w:hAnsi="宋体"/>
          <w:bCs/>
          <w:color w:val="auto"/>
          <w:szCs w:val="21"/>
          <w:highlight w:val="none"/>
        </w:rPr>
        <w:t>工程名称</w:t>
      </w:r>
      <w:r>
        <w:rPr>
          <w:rFonts w:hint="eastAsia" w:hAnsi="宋体"/>
          <w:color w:val="auto"/>
          <w:szCs w:val="21"/>
          <w:highlight w:val="none"/>
        </w:rPr>
        <w:t>：</w:t>
      </w:r>
      <w:r>
        <w:rPr>
          <w:rFonts w:hAnsi="宋体"/>
          <w:color w:val="auto"/>
          <w:szCs w:val="21"/>
          <w:highlight w:val="none"/>
          <w:u w:val="single"/>
        </w:rPr>
        <w:t></w:t>
      </w:r>
      <w:r>
        <w:rPr>
          <w:rFonts w:hint="eastAsia"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color w:val="auto"/>
          <w:szCs w:val="21"/>
          <w:highlight w:val="none"/>
        </w:rPr>
        <w:t>。</w:t>
      </w:r>
    </w:p>
    <w:p w14:paraId="7EF02713">
      <w:pPr>
        <w:pStyle w:val="31"/>
        <w:spacing w:line="360" w:lineRule="auto"/>
        <w:ind w:firstLine="411" w:firstLineChars="196"/>
        <w:rPr>
          <w:bCs/>
          <w:color w:val="auto"/>
          <w:szCs w:val="21"/>
          <w:highlight w:val="none"/>
        </w:rPr>
      </w:pPr>
      <w:r>
        <w:rPr>
          <w:bCs/>
          <w:color w:val="auto"/>
          <w:szCs w:val="21"/>
          <w:highlight w:val="none"/>
        </w:rPr>
        <w:t xml:space="preserve">2. </w:t>
      </w:r>
      <w:r>
        <w:rPr>
          <w:rFonts w:hint="eastAsia" w:hAnsi="宋体"/>
          <w:bCs/>
          <w:color w:val="auto"/>
          <w:szCs w:val="21"/>
          <w:highlight w:val="none"/>
        </w:rPr>
        <w:t>工程地点：</w:t>
      </w:r>
      <w:r>
        <w:rPr>
          <w:rFonts w:hAnsi="宋体"/>
          <w:color w:val="auto"/>
          <w:szCs w:val="21"/>
          <w:highlight w:val="none"/>
          <w:u w:val="single"/>
        </w:rPr>
        <w:t></w:t>
      </w:r>
      <w:r>
        <w:rPr>
          <w:rFonts w:hint="eastAsia"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color w:val="auto"/>
          <w:szCs w:val="21"/>
          <w:highlight w:val="none"/>
        </w:rPr>
        <w:t>。</w:t>
      </w:r>
    </w:p>
    <w:p w14:paraId="56226BF8">
      <w:pPr>
        <w:pStyle w:val="31"/>
        <w:spacing w:line="360" w:lineRule="auto"/>
        <w:ind w:firstLine="411" w:firstLineChars="196"/>
        <w:rPr>
          <w:bCs/>
          <w:color w:val="auto"/>
          <w:szCs w:val="21"/>
          <w:highlight w:val="none"/>
        </w:rPr>
      </w:pPr>
      <w:r>
        <w:rPr>
          <w:bCs/>
          <w:color w:val="auto"/>
          <w:szCs w:val="21"/>
          <w:highlight w:val="none"/>
        </w:rPr>
        <w:t xml:space="preserve">3. </w:t>
      </w:r>
      <w:r>
        <w:rPr>
          <w:rFonts w:hint="eastAsia" w:hAnsi="宋体"/>
          <w:bCs/>
          <w:color w:val="auto"/>
          <w:szCs w:val="21"/>
          <w:highlight w:val="none"/>
        </w:rPr>
        <w:t>工程立项批准文号：</w:t>
      </w:r>
      <w:r>
        <w:rPr>
          <w:rFonts w:hAnsi="宋体"/>
          <w:color w:val="auto"/>
          <w:szCs w:val="21"/>
          <w:highlight w:val="none"/>
          <w:u w:val="single"/>
        </w:rPr>
        <w:t></w:t>
      </w:r>
      <w:r>
        <w:rPr>
          <w:rFonts w:hint="eastAsia"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bCs/>
          <w:color w:val="auto"/>
          <w:szCs w:val="21"/>
          <w:highlight w:val="none"/>
        </w:rPr>
        <w:t>。</w:t>
      </w:r>
    </w:p>
    <w:p w14:paraId="0144BCDB">
      <w:pPr>
        <w:pStyle w:val="31"/>
        <w:spacing w:line="360" w:lineRule="auto"/>
        <w:ind w:firstLine="411" w:firstLineChars="196"/>
        <w:rPr>
          <w:bCs/>
          <w:color w:val="auto"/>
          <w:szCs w:val="21"/>
          <w:highlight w:val="none"/>
        </w:rPr>
      </w:pPr>
      <w:r>
        <w:rPr>
          <w:bCs/>
          <w:color w:val="auto"/>
          <w:szCs w:val="21"/>
          <w:highlight w:val="none"/>
        </w:rPr>
        <w:t xml:space="preserve">4. </w:t>
      </w:r>
      <w:r>
        <w:rPr>
          <w:rFonts w:hint="eastAsia" w:hAnsi="宋体"/>
          <w:bCs/>
          <w:color w:val="auto"/>
          <w:szCs w:val="21"/>
          <w:highlight w:val="none"/>
        </w:rPr>
        <w:t>资金来源：</w:t>
      </w:r>
      <w:r>
        <w:rPr>
          <w:rFonts w:hAnsi="宋体"/>
          <w:color w:val="auto"/>
          <w:szCs w:val="21"/>
          <w:highlight w:val="none"/>
          <w:u w:val="single"/>
        </w:rPr>
        <w:t></w:t>
      </w:r>
      <w:r>
        <w:rPr>
          <w:rFonts w:hint="eastAsia"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bCs/>
          <w:color w:val="auto"/>
          <w:szCs w:val="21"/>
          <w:highlight w:val="none"/>
        </w:rPr>
        <w:t>。</w:t>
      </w:r>
    </w:p>
    <w:p w14:paraId="4EB2BAA3">
      <w:pPr>
        <w:pStyle w:val="31"/>
        <w:spacing w:line="360" w:lineRule="auto"/>
        <w:ind w:firstLine="411" w:firstLineChars="196"/>
        <w:rPr>
          <w:bCs/>
          <w:color w:val="auto"/>
          <w:szCs w:val="21"/>
          <w:highlight w:val="none"/>
        </w:rPr>
      </w:pPr>
      <w:r>
        <w:rPr>
          <w:bCs/>
          <w:color w:val="auto"/>
          <w:szCs w:val="21"/>
          <w:highlight w:val="none"/>
        </w:rPr>
        <w:t xml:space="preserve">5. </w:t>
      </w:r>
      <w:r>
        <w:rPr>
          <w:rFonts w:hint="eastAsia" w:hAnsi="宋体"/>
          <w:bCs/>
          <w:color w:val="auto"/>
          <w:szCs w:val="21"/>
          <w:highlight w:val="none"/>
        </w:rPr>
        <w:t>工程内容：</w:t>
      </w:r>
      <w:r>
        <w:rPr>
          <w:rFonts w:hAnsi="宋体"/>
          <w:color w:val="auto"/>
          <w:szCs w:val="21"/>
          <w:highlight w:val="none"/>
          <w:u w:val="single"/>
        </w:rPr>
        <w:t></w:t>
      </w:r>
      <w:r>
        <w:rPr>
          <w:rFonts w:hint="eastAsia"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bCs/>
          <w:color w:val="auto"/>
          <w:szCs w:val="21"/>
          <w:highlight w:val="none"/>
        </w:rPr>
        <w:t>。</w:t>
      </w:r>
    </w:p>
    <w:p w14:paraId="56303808">
      <w:pPr>
        <w:pStyle w:val="31"/>
        <w:spacing w:line="360" w:lineRule="auto"/>
        <w:ind w:firstLine="411" w:firstLineChars="196"/>
        <w:rPr>
          <w:bCs/>
          <w:color w:val="auto"/>
          <w:szCs w:val="21"/>
          <w:highlight w:val="none"/>
        </w:rPr>
      </w:pPr>
      <w:r>
        <w:rPr>
          <w:rFonts w:hint="eastAsia" w:hAnsi="宋体"/>
          <w:color w:val="auto"/>
          <w:szCs w:val="21"/>
          <w:highlight w:val="none"/>
        </w:rPr>
        <w:t>群体工程应附《承包人承揽工程项目一览表》（附件</w:t>
      </w:r>
      <w:r>
        <w:rPr>
          <w:color w:val="auto"/>
          <w:szCs w:val="21"/>
          <w:highlight w:val="none"/>
        </w:rPr>
        <w:t>1</w:t>
      </w:r>
      <w:r>
        <w:rPr>
          <w:rFonts w:hint="eastAsia" w:hAnsi="宋体"/>
          <w:color w:val="auto"/>
          <w:szCs w:val="21"/>
          <w:highlight w:val="none"/>
        </w:rPr>
        <w:t>）。</w:t>
      </w:r>
    </w:p>
    <w:p w14:paraId="371EB7BC">
      <w:pPr>
        <w:pStyle w:val="31"/>
        <w:spacing w:line="360" w:lineRule="auto"/>
        <w:ind w:firstLine="411" w:firstLineChars="196"/>
        <w:rPr>
          <w:rFonts w:hAnsi="宋体"/>
          <w:color w:val="auto"/>
          <w:szCs w:val="21"/>
          <w:highlight w:val="none"/>
        </w:rPr>
      </w:pPr>
      <w:r>
        <w:rPr>
          <w:bCs/>
          <w:color w:val="auto"/>
          <w:szCs w:val="21"/>
          <w:highlight w:val="none"/>
        </w:rPr>
        <w:t xml:space="preserve">6. </w:t>
      </w:r>
      <w:r>
        <w:rPr>
          <w:rFonts w:hint="eastAsia" w:hAnsi="宋体"/>
          <w:bCs/>
          <w:color w:val="auto"/>
          <w:szCs w:val="21"/>
          <w:highlight w:val="none"/>
        </w:rPr>
        <w:t>工程承包范围：</w:t>
      </w:r>
      <w:r>
        <w:rPr>
          <w:rFonts w:hint="eastAsia"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color w:val="auto"/>
          <w:szCs w:val="21"/>
          <w:highlight w:val="none"/>
        </w:rPr>
        <w:t>。</w:t>
      </w:r>
    </w:p>
    <w:p w14:paraId="0E89ABC2">
      <w:pPr>
        <w:pStyle w:val="31"/>
        <w:spacing w:line="360" w:lineRule="auto"/>
        <w:ind w:firstLine="407" w:firstLineChars="193"/>
        <w:outlineLvl w:val="0"/>
        <w:rPr>
          <w:b/>
          <w:bCs/>
          <w:color w:val="auto"/>
          <w:szCs w:val="21"/>
          <w:highlight w:val="none"/>
        </w:rPr>
      </w:pPr>
      <w:bookmarkStart w:id="177" w:name="_Toc351203482"/>
      <w:r>
        <w:rPr>
          <w:rFonts w:hint="eastAsia" w:hAnsi="宋体"/>
          <w:b/>
          <w:bCs/>
          <w:color w:val="auto"/>
          <w:szCs w:val="21"/>
          <w:highlight w:val="none"/>
        </w:rPr>
        <w:t>二、合同工期</w:t>
      </w:r>
      <w:bookmarkEnd w:id="177"/>
    </w:p>
    <w:p w14:paraId="0497F2E4">
      <w:pPr>
        <w:pStyle w:val="31"/>
        <w:spacing w:line="360" w:lineRule="auto"/>
        <w:ind w:firstLine="459"/>
        <w:rPr>
          <w:color w:val="auto"/>
          <w:szCs w:val="21"/>
          <w:highlight w:val="none"/>
        </w:rPr>
      </w:pPr>
      <w:r>
        <w:rPr>
          <w:rFonts w:hint="eastAsia" w:hAnsi="宋体"/>
          <w:color w:val="auto"/>
          <w:szCs w:val="21"/>
          <w:highlight w:val="none"/>
        </w:rPr>
        <w:t>计划开工日期：</w:t>
      </w:r>
      <w:r>
        <w:rPr>
          <w:rFonts w:hint="eastAsia" w:hAnsi="宋体"/>
          <w:color w:val="auto"/>
          <w:szCs w:val="21"/>
          <w:highlight w:val="none"/>
          <w:u w:val="single"/>
          <w:lang w:val="en-US" w:eastAsia="zh-CN"/>
        </w:rPr>
        <w:t xml:space="preserve">          </w:t>
      </w:r>
      <w:r>
        <w:rPr>
          <w:rFonts w:hint="eastAsia" w:hAnsi="宋体"/>
          <w:color w:val="auto"/>
          <w:szCs w:val="21"/>
          <w:highlight w:val="none"/>
        </w:rPr>
        <w:t>年</w:t>
      </w:r>
      <w:r>
        <w:rPr>
          <w:rFonts w:hAnsi="宋体"/>
          <w:color w:val="auto"/>
          <w:szCs w:val="21"/>
          <w:highlight w:val="none"/>
          <w:u w:val="single"/>
        </w:rPr>
        <w:t></w:t>
      </w:r>
      <w:r>
        <w:rPr>
          <w:rFonts w:hint="eastAsia" w:hAnsi="宋体"/>
          <w:color w:val="auto"/>
          <w:szCs w:val="21"/>
          <w:highlight w:val="none"/>
        </w:rPr>
        <w:t>月</w:t>
      </w:r>
      <w:r>
        <w:rPr>
          <w:rFonts w:hAnsi="宋体"/>
          <w:color w:val="auto"/>
          <w:szCs w:val="21"/>
          <w:highlight w:val="none"/>
          <w:u w:val="single"/>
        </w:rPr>
        <w:t></w:t>
      </w:r>
      <w:r>
        <w:rPr>
          <w:rFonts w:hint="eastAsia" w:hAnsi="宋体"/>
          <w:color w:val="auto"/>
          <w:szCs w:val="21"/>
          <w:highlight w:val="none"/>
        </w:rPr>
        <w:t>日。（具体以发包人书面通知为准）</w:t>
      </w:r>
    </w:p>
    <w:p w14:paraId="3AA43A90">
      <w:pPr>
        <w:pStyle w:val="31"/>
        <w:spacing w:line="360" w:lineRule="auto"/>
        <w:ind w:firstLine="459"/>
        <w:rPr>
          <w:color w:val="auto"/>
          <w:szCs w:val="21"/>
          <w:highlight w:val="none"/>
        </w:rPr>
      </w:pPr>
      <w:r>
        <w:rPr>
          <w:rFonts w:hint="eastAsia" w:hAnsi="宋体"/>
          <w:color w:val="auto"/>
          <w:szCs w:val="21"/>
          <w:highlight w:val="none"/>
        </w:rPr>
        <w:t>计划竣工日期：</w:t>
      </w:r>
      <w:r>
        <w:rPr>
          <w:rFonts w:hAnsi="宋体"/>
          <w:color w:val="auto"/>
          <w:szCs w:val="21"/>
          <w:highlight w:val="none"/>
          <w:u w:val="single"/>
        </w:rPr>
        <w:t></w:t>
      </w:r>
      <w:r>
        <w:rPr>
          <w:rFonts w:hint="eastAsia" w:hAnsi="宋体"/>
          <w:color w:val="auto"/>
          <w:szCs w:val="21"/>
          <w:highlight w:val="none"/>
        </w:rPr>
        <w:t>年</w:t>
      </w:r>
      <w:r>
        <w:rPr>
          <w:rFonts w:hAnsi="宋体"/>
          <w:color w:val="auto"/>
          <w:szCs w:val="21"/>
          <w:highlight w:val="none"/>
          <w:u w:val="single"/>
        </w:rPr>
        <w:t></w:t>
      </w:r>
      <w:r>
        <w:rPr>
          <w:rFonts w:hint="eastAsia" w:hAnsi="宋体"/>
          <w:color w:val="auto"/>
          <w:szCs w:val="21"/>
          <w:highlight w:val="none"/>
        </w:rPr>
        <w:t>月</w:t>
      </w:r>
      <w:r>
        <w:rPr>
          <w:rFonts w:hAnsi="宋体"/>
          <w:color w:val="auto"/>
          <w:szCs w:val="21"/>
          <w:highlight w:val="none"/>
          <w:u w:val="single"/>
        </w:rPr>
        <w:t></w:t>
      </w:r>
      <w:r>
        <w:rPr>
          <w:rFonts w:hint="eastAsia" w:hAnsi="宋体"/>
          <w:color w:val="auto"/>
          <w:szCs w:val="21"/>
          <w:highlight w:val="none"/>
        </w:rPr>
        <w:t>日。</w:t>
      </w:r>
    </w:p>
    <w:p w14:paraId="165616E5">
      <w:pPr>
        <w:pStyle w:val="31"/>
        <w:spacing w:line="360" w:lineRule="auto"/>
        <w:ind w:firstLine="459"/>
        <w:rPr>
          <w:rFonts w:hAnsi="宋体"/>
          <w:color w:val="auto"/>
          <w:szCs w:val="21"/>
          <w:highlight w:val="none"/>
        </w:rPr>
      </w:pPr>
      <w:r>
        <w:rPr>
          <w:rFonts w:hint="eastAsia" w:hAnsi="宋体"/>
          <w:color w:val="auto"/>
          <w:szCs w:val="21"/>
          <w:highlight w:val="none"/>
        </w:rPr>
        <w:t>工期总日历天数：</w:t>
      </w:r>
      <w:r>
        <w:rPr>
          <w:rFonts w:hAnsi="宋体"/>
          <w:color w:val="auto"/>
          <w:szCs w:val="21"/>
          <w:highlight w:val="none"/>
          <w:u w:val="single"/>
        </w:rPr>
        <w:t></w:t>
      </w:r>
      <w:r>
        <w:rPr>
          <w:rFonts w:hint="eastAsia"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color w:val="auto"/>
          <w:szCs w:val="21"/>
          <w:highlight w:val="none"/>
        </w:rPr>
        <w:t>天。工期总日历天数与根据前述计划开竣工日期计算的工期天数不一致的，以工期总日历天数为准。</w:t>
      </w:r>
    </w:p>
    <w:p w14:paraId="1DB1A175">
      <w:pPr>
        <w:pStyle w:val="31"/>
        <w:spacing w:line="360" w:lineRule="auto"/>
        <w:ind w:firstLine="459"/>
        <w:outlineLvl w:val="0"/>
        <w:rPr>
          <w:b/>
          <w:bCs/>
          <w:color w:val="auto"/>
          <w:szCs w:val="21"/>
          <w:highlight w:val="none"/>
        </w:rPr>
      </w:pPr>
      <w:bookmarkStart w:id="178" w:name="_Toc351203483"/>
      <w:r>
        <w:rPr>
          <w:rFonts w:hint="eastAsia" w:hAnsi="宋体"/>
          <w:b/>
          <w:bCs/>
          <w:color w:val="auto"/>
          <w:szCs w:val="21"/>
          <w:highlight w:val="none"/>
        </w:rPr>
        <w:t>三、质量标准</w:t>
      </w:r>
      <w:bookmarkEnd w:id="178"/>
    </w:p>
    <w:p w14:paraId="3F173B9A">
      <w:pPr>
        <w:pStyle w:val="31"/>
        <w:spacing w:line="360" w:lineRule="auto"/>
        <w:ind w:firstLine="459"/>
        <w:rPr>
          <w:rFonts w:hAnsi="宋体"/>
          <w:color w:val="auto"/>
          <w:szCs w:val="21"/>
          <w:highlight w:val="none"/>
        </w:rPr>
      </w:pPr>
      <w:r>
        <w:rPr>
          <w:rFonts w:hint="eastAsia" w:hAnsi="宋体"/>
          <w:color w:val="auto"/>
          <w:szCs w:val="21"/>
          <w:highlight w:val="none"/>
        </w:rPr>
        <w:t>工程质量符合</w:t>
      </w:r>
      <w:r>
        <w:rPr>
          <w:rFonts w:hAnsi="宋体"/>
          <w:color w:val="auto"/>
          <w:szCs w:val="21"/>
          <w:highlight w:val="none"/>
          <w:u w:val="single"/>
        </w:rPr>
        <w:t></w:t>
      </w:r>
      <w:r>
        <w:rPr>
          <w:rFonts w:hint="eastAsia"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color w:val="auto"/>
          <w:szCs w:val="21"/>
          <w:highlight w:val="none"/>
        </w:rPr>
        <w:t>标准。</w:t>
      </w:r>
    </w:p>
    <w:p w14:paraId="000A6C08">
      <w:pPr>
        <w:pStyle w:val="31"/>
        <w:spacing w:line="360" w:lineRule="auto"/>
        <w:ind w:firstLine="459"/>
        <w:outlineLvl w:val="0"/>
        <w:rPr>
          <w:rFonts w:hAnsi="宋体"/>
          <w:b/>
          <w:bCs/>
          <w:color w:val="auto"/>
          <w:szCs w:val="21"/>
          <w:highlight w:val="none"/>
        </w:rPr>
      </w:pPr>
      <w:bookmarkStart w:id="179" w:name="_Toc351203484"/>
      <w:r>
        <w:rPr>
          <w:rFonts w:hint="eastAsia" w:hAnsi="宋体"/>
          <w:b/>
          <w:bCs/>
          <w:color w:val="auto"/>
          <w:szCs w:val="21"/>
          <w:highlight w:val="none"/>
        </w:rPr>
        <w:t>四、签约合同价与合同价格形式</w:t>
      </w:r>
      <w:bookmarkEnd w:id="179"/>
    </w:p>
    <w:p w14:paraId="1318C731">
      <w:pPr>
        <w:pStyle w:val="31"/>
        <w:spacing w:line="360" w:lineRule="auto"/>
        <w:ind w:firstLine="459"/>
        <w:rPr>
          <w:color w:val="auto"/>
          <w:szCs w:val="21"/>
          <w:highlight w:val="none"/>
        </w:rPr>
      </w:pPr>
      <w:r>
        <w:rPr>
          <w:color w:val="auto"/>
          <w:szCs w:val="21"/>
          <w:highlight w:val="none"/>
        </w:rPr>
        <w:t xml:space="preserve">1. </w:t>
      </w:r>
      <w:r>
        <w:rPr>
          <w:rFonts w:hint="eastAsia" w:hAnsi="宋体"/>
          <w:color w:val="auto"/>
          <w:szCs w:val="21"/>
          <w:highlight w:val="none"/>
        </w:rPr>
        <w:t>签约合同价</w:t>
      </w:r>
      <w:r>
        <w:rPr>
          <w:rFonts w:hint="eastAsia" w:ascii="宋体" w:hAnsi="宋体" w:eastAsia="宋体"/>
          <w:color w:val="auto"/>
          <w:szCs w:val="21"/>
          <w:highlight w:val="none"/>
        </w:rPr>
        <w:t>（含税）</w:t>
      </w:r>
      <w:r>
        <w:rPr>
          <w:rFonts w:hint="eastAsia" w:hAnsi="宋体"/>
          <w:color w:val="auto"/>
          <w:szCs w:val="21"/>
          <w:highlight w:val="none"/>
        </w:rPr>
        <w:t>为：</w:t>
      </w:r>
    </w:p>
    <w:p w14:paraId="19303AC1">
      <w:pPr>
        <w:pStyle w:val="31"/>
        <w:spacing w:line="360" w:lineRule="auto"/>
        <w:ind w:firstLine="525" w:firstLineChars="250"/>
        <w:rPr>
          <w:rFonts w:hAnsi="宋体"/>
          <w:color w:val="auto"/>
          <w:szCs w:val="21"/>
          <w:highlight w:val="none"/>
        </w:rPr>
      </w:pPr>
      <w:r>
        <w:rPr>
          <w:rFonts w:hint="eastAsia" w:hAnsi="宋体"/>
          <w:color w:val="auto"/>
          <w:szCs w:val="21"/>
          <w:highlight w:val="none"/>
        </w:rPr>
        <w:t>人民币（大写）</w:t>
      </w:r>
      <w:r>
        <w:rPr>
          <w:rFonts w:hint="eastAsia" w:hAnsi="宋体"/>
          <w:color w:val="auto"/>
          <w:szCs w:val="21"/>
          <w:highlight w:val="none"/>
          <w:u w:val="single"/>
          <w:lang w:val="en-US" w:eastAsia="zh-CN"/>
        </w:rPr>
        <w:t xml:space="preserve">      </w:t>
      </w:r>
      <w:r>
        <w:rPr>
          <w:rFonts w:hint="eastAsia"/>
          <w:color w:val="auto"/>
          <w:szCs w:val="21"/>
          <w:highlight w:val="none"/>
        </w:rPr>
        <w:t>（</w:t>
      </w:r>
      <w:r>
        <w:rPr>
          <w:color w:val="auto"/>
          <w:szCs w:val="21"/>
          <w:highlight w:val="none"/>
        </w:rPr>
        <w:t>¥</w:t>
      </w:r>
      <w:r>
        <w:rPr>
          <w:rFonts w:hint="eastAsia" w:hAnsi="宋体"/>
          <w:color w:val="auto"/>
          <w:szCs w:val="21"/>
          <w:highlight w:val="none"/>
          <w:u w:val="single"/>
          <w:lang w:val="en-US" w:eastAsia="zh-CN"/>
        </w:rPr>
        <w:t xml:space="preserve">     </w:t>
      </w:r>
      <w:r>
        <w:rPr>
          <w:rFonts w:hint="eastAsia" w:hAnsi="宋体"/>
          <w:color w:val="auto"/>
          <w:szCs w:val="21"/>
          <w:highlight w:val="none"/>
        </w:rPr>
        <w:t>元</w:t>
      </w:r>
      <w:r>
        <w:rPr>
          <w:rFonts w:hint="eastAsia"/>
          <w:color w:val="auto"/>
          <w:szCs w:val="21"/>
          <w:highlight w:val="none"/>
        </w:rPr>
        <w:t>）</w:t>
      </w:r>
      <w:r>
        <w:rPr>
          <w:rFonts w:hint="eastAsia" w:hAnsi="宋体"/>
          <w:color w:val="auto"/>
          <w:szCs w:val="21"/>
          <w:highlight w:val="none"/>
        </w:rPr>
        <w:t>；</w:t>
      </w:r>
    </w:p>
    <w:p w14:paraId="283AFC04">
      <w:pPr>
        <w:pStyle w:val="31"/>
        <w:spacing w:line="360" w:lineRule="auto"/>
        <w:ind w:firstLine="525" w:firstLineChars="250"/>
        <w:rPr>
          <w:rFonts w:hAnsi="宋体"/>
          <w:color w:val="auto"/>
          <w:szCs w:val="21"/>
          <w:highlight w:val="none"/>
        </w:rPr>
      </w:pPr>
      <w:r>
        <w:rPr>
          <w:rFonts w:hint="eastAsia" w:hAnsi="宋体"/>
          <w:color w:val="auto"/>
          <w:szCs w:val="21"/>
          <w:highlight w:val="none"/>
        </w:rPr>
        <w:t>其中：</w:t>
      </w:r>
    </w:p>
    <w:p w14:paraId="2C855416">
      <w:pPr>
        <w:pStyle w:val="31"/>
        <w:spacing w:line="360" w:lineRule="auto"/>
        <w:ind w:firstLine="420" w:firstLineChars="200"/>
        <w:rPr>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）安全文明施工费：</w:t>
      </w:r>
    </w:p>
    <w:p w14:paraId="0414818C">
      <w:pPr>
        <w:pStyle w:val="31"/>
        <w:spacing w:line="360" w:lineRule="auto"/>
        <w:ind w:left="420" w:leftChars="200" w:firstLine="525" w:firstLineChars="250"/>
        <w:rPr>
          <w:rFonts w:hAnsi="宋体"/>
          <w:color w:val="auto"/>
          <w:szCs w:val="21"/>
          <w:highlight w:val="none"/>
        </w:rPr>
      </w:pPr>
      <w:r>
        <w:rPr>
          <w:rFonts w:hint="eastAsia" w:hAnsi="宋体"/>
          <w:color w:val="auto"/>
          <w:szCs w:val="21"/>
          <w:highlight w:val="none"/>
        </w:rPr>
        <w:t>人民币（大写）</w:t>
      </w:r>
      <w:r>
        <w:rPr>
          <w:rFonts w:hint="eastAsia" w:hAnsi="宋体"/>
          <w:color w:val="auto"/>
          <w:szCs w:val="21"/>
          <w:highlight w:val="none"/>
          <w:u w:val="single"/>
          <w:lang w:val="en-US" w:eastAsia="zh-CN"/>
        </w:rPr>
        <w:t xml:space="preserve">      </w:t>
      </w:r>
      <w:r>
        <w:rPr>
          <w:rFonts w:hint="eastAsia"/>
          <w:color w:val="auto"/>
          <w:szCs w:val="21"/>
          <w:highlight w:val="none"/>
        </w:rPr>
        <w:t>（</w:t>
      </w:r>
      <w:r>
        <w:rPr>
          <w:color w:val="auto"/>
          <w:szCs w:val="21"/>
          <w:highlight w:val="none"/>
        </w:rPr>
        <w:t>¥</w:t>
      </w:r>
      <w:r>
        <w:rPr>
          <w:rFonts w:hint="eastAsia" w:hAnsi="宋体"/>
          <w:color w:val="auto"/>
          <w:szCs w:val="21"/>
          <w:highlight w:val="none"/>
          <w:u w:val="single"/>
          <w:lang w:val="en-US" w:eastAsia="zh-CN"/>
        </w:rPr>
        <w:t xml:space="preserve">      </w:t>
      </w:r>
      <w:r>
        <w:rPr>
          <w:rFonts w:hint="eastAsia" w:hAnsi="宋体"/>
          <w:color w:val="auto"/>
          <w:szCs w:val="21"/>
          <w:highlight w:val="none"/>
        </w:rPr>
        <w:t>元</w:t>
      </w:r>
      <w:r>
        <w:rPr>
          <w:rFonts w:hint="eastAsia"/>
          <w:color w:val="auto"/>
          <w:szCs w:val="21"/>
          <w:highlight w:val="none"/>
        </w:rPr>
        <w:t>）</w:t>
      </w:r>
      <w:r>
        <w:rPr>
          <w:rFonts w:hint="eastAsia" w:hAnsi="宋体"/>
          <w:color w:val="auto"/>
          <w:szCs w:val="21"/>
          <w:highlight w:val="none"/>
        </w:rPr>
        <w:t>；</w:t>
      </w:r>
    </w:p>
    <w:p w14:paraId="4C2DEFFA">
      <w:pPr>
        <w:pStyle w:val="31"/>
        <w:spacing w:line="360" w:lineRule="auto"/>
        <w:ind w:firstLine="420" w:firstLineChars="200"/>
        <w:rPr>
          <w:color w:val="auto"/>
          <w:szCs w:val="21"/>
          <w:highlight w:val="none"/>
        </w:rPr>
      </w:pPr>
      <w:r>
        <w:rPr>
          <w:rFonts w:hint="eastAsia" w:hAnsi="宋体"/>
          <w:color w:val="auto"/>
          <w:szCs w:val="21"/>
          <w:highlight w:val="none"/>
        </w:rPr>
        <w:t>（</w:t>
      </w:r>
      <w:r>
        <w:rPr>
          <w:color w:val="auto"/>
          <w:szCs w:val="21"/>
          <w:highlight w:val="none"/>
        </w:rPr>
        <w:t>2</w:t>
      </w:r>
      <w:r>
        <w:rPr>
          <w:rFonts w:hint="eastAsia" w:hAnsi="宋体"/>
          <w:color w:val="auto"/>
          <w:szCs w:val="21"/>
          <w:highlight w:val="none"/>
        </w:rPr>
        <w:t>）材料和工程设备暂估价金额：</w:t>
      </w:r>
    </w:p>
    <w:p w14:paraId="44F252B5">
      <w:pPr>
        <w:pStyle w:val="31"/>
        <w:spacing w:line="360" w:lineRule="auto"/>
        <w:ind w:firstLine="945" w:firstLineChars="450"/>
        <w:rPr>
          <w:color w:val="auto"/>
          <w:szCs w:val="21"/>
          <w:highlight w:val="none"/>
        </w:rPr>
      </w:pPr>
      <w:r>
        <w:rPr>
          <w:rFonts w:hint="eastAsia" w:hAnsi="宋体"/>
          <w:color w:val="auto"/>
          <w:szCs w:val="21"/>
          <w:highlight w:val="none"/>
        </w:rPr>
        <w:t>人民币（大写）</w:t>
      </w:r>
      <w:r>
        <w:rPr>
          <w:rFonts w:hint="eastAsia"/>
          <w:color w:val="auto"/>
          <w:szCs w:val="21"/>
          <w:highlight w:val="none"/>
          <w:u w:val="single"/>
        </w:rPr>
        <w:t xml:space="preserve"> /  </w:t>
      </w:r>
      <w:r>
        <w:rPr>
          <w:rFonts w:hint="eastAsia"/>
          <w:color w:val="auto"/>
          <w:szCs w:val="21"/>
          <w:highlight w:val="none"/>
        </w:rPr>
        <w:t>（</w:t>
      </w:r>
      <w:r>
        <w:rPr>
          <w:color w:val="auto"/>
          <w:szCs w:val="21"/>
          <w:highlight w:val="none"/>
        </w:rPr>
        <w:t>¥</w:t>
      </w:r>
      <w:r>
        <w:rPr>
          <w:rFonts w:hint="eastAsia"/>
          <w:color w:val="auto"/>
          <w:szCs w:val="21"/>
          <w:highlight w:val="none"/>
          <w:u w:val="single"/>
        </w:rPr>
        <w:t xml:space="preserve">  /   </w:t>
      </w:r>
      <w:r>
        <w:rPr>
          <w:rFonts w:hint="eastAsia" w:hAnsi="宋体"/>
          <w:color w:val="auto"/>
          <w:szCs w:val="21"/>
          <w:highlight w:val="none"/>
        </w:rPr>
        <w:t>元</w:t>
      </w:r>
      <w:r>
        <w:rPr>
          <w:rFonts w:hint="eastAsia"/>
          <w:color w:val="auto"/>
          <w:szCs w:val="21"/>
          <w:highlight w:val="none"/>
        </w:rPr>
        <w:t>）</w:t>
      </w:r>
      <w:r>
        <w:rPr>
          <w:rFonts w:hint="eastAsia" w:hAnsi="宋体"/>
          <w:color w:val="auto"/>
          <w:szCs w:val="21"/>
          <w:highlight w:val="none"/>
        </w:rPr>
        <w:t>；</w:t>
      </w:r>
    </w:p>
    <w:p w14:paraId="1E2572C6">
      <w:pPr>
        <w:pStyle w:val="31"/>
        <w:spacing w:line="360" w:lineRule="auto"/>
        <w:ind w:firstLine="420" w:firstLineChars="200"/>
        <w:rPr>
          <w:color w:val="auto"/>
          <w:szCs w:val="21"/>
          <w:highlight w:val="none"/>
        </w:rPr>
      </w:pPr>
      <w:r>
        <w:rPr>
          <w:rFonts w:hint="eastAsia" w:hAnsi="宋体"/>
          <w:color w:val="auto"/>
          <w:szCs w:val="21"/>
          <w:highlight w:val="none"/>
        </w:rPr>
        <w:t>（</w:t>
      </w:r>
      <w:r>
        <w:rPr>
          <w:color w:val="auto"/>
          <w:szCs w:val="21"/>
          <w:highlight w:val="none"/>
        </w:rPr>
        <w:t>3</w:t>
      </w:r>
      <w:r>
        <w:rPr>
          <w:rFonts w:hint="eastAsia" w:hAnsi="宋体"/>
          <w:color w:val="auto"/>
          <w:szCs w:val="21"/>
          <w:highlight w:val="none"/>
        </w:rPr>
        <w:t>）专业工程暂估价金额：</w:t>
      </w:r>
    </w:p>
    <w:p w14:paraId="7BD4BEF4">
      <w:pPr>
        <w:pStyle w:val="31"/>
        <w:spacing w:line="360" w:lineRule="auto"/>
        <w:ind w:firstLine="945" w:firstLineChars="450"/>
        <w:rPr>
          <w:color w:val="auto"/>
          <w:szCs w:val="21"/>
          <w:highlight w:val="none"/>
        </w:rPr>
      </w:pPr>
      <w:r>
        <w:rPr>
          <w:rFonts w:hint="eastAsia" w:hAnsi="宋体"/>
          <w:color w:val="auto"/>
          <w:szCs w:val="21"/>
          <w:highlight w:val="none"/>
        </w:rPr>
        <w:t>人民币（大写）</w:t>
      </w:r>
      <w:r>
        <w:rPr>
          <w:rFonts w:hint="eastAsia"/>
          <w:color w:val="auto"/>
          <w:szCs w:val="21"/>
          <w:highlight w:val="none"/>
          <w:u w:val="single"/>
        </w:rPr>
        <w:t xml:space="preserve">  /  </w:t>
      </w:r>
      <w:r>
        <w:rPr>
          <w:rFonts w:hint="eastAsia"/>
          <w:color w:val="auto"/>
          <w:szCs w:val="21"/>
          <w:highlight w:val="none"/>
        </w:rPr>
        <w:t>（</w:t>
      </w:r>
      <w:r>
        <w:rPr>
          <w:color w:val="auto"/>
          <w:szCs w:val="21"/>
          <w:highlight w:val="none"/>
        </w:rPr>
        <w:t>¥</w:t>
      </w:r>
      <w:r>
        <w:rPr>
          <w:rFonts w:hint="eastAsia"/>
          <w:color w:val="auto"/>
          <w:szCs w:val="21"/>
          <w:highlight w:val="none"/>
          <w:u w:val="single"/>
        </w:rPr>
        <w:t xml:space="preserve">  /   </w:t>
      </w:r>
      <w:r>
        <w:rPr>
          <w:rFonts w:hint="eastAsia" w:hAnsi="宋体"/>
          <w:color w:val="auto"/>
          <w:szCs w:val="21"/>
          <w:highlight w:val="none"/>
        </w:rPr>
        <w:t>元</w:t>
      </w:r>
      <w:r>
        <w:rPr>
          <w:rFonts w:hint="eastAsia"/>
          <w:color w:val="auto"/>
          <w:szCs w:val="21"/>
          <w:highlight w:val="none"/>
        </w:rPr>
        <w:t>）</w:t>
      </w:r>
      <w:r>
        <w:rPr>
          <w:rFonts w:hint="eastAsia" w:hAnsi="宋体"/>
          <w:color w:val="auto"/>
          <w:szCs w:val="21"/>
          <w:highlight w:val="none"/>
        </w:rPr>
        <w:t>；</w:t>
      </w:r>
    </w:p>
    <w:p w14:paraId="1EE57430">
      <w:pPr>
        <w:pStyle w:val="31"/>
        <w:spacing w:line="360" w:lineRule="auto"/>
        <w:ind w:firstLine="420" w:firstLineChars="200"/>
        <w:rPr>
          <w:color w:val="auto"/>
          <w:szCs w:val="21"/>
          <w:highlight w:val="none"/>
        </w:rPr>
      </w:pPr>
      <w:r>
        <w:rPr>
          <w:rFonts w:hint="eastAsia" w:hAnsi="宋体"/>
          <w:color w:val="auto"/>
          <w:szCs w:val="21"/>
          <w:highlight w:val="none"/>
        </w:rPr>
        <w:t>（</w:t>
      </w:r>
      <w:r>
        <w:rPr>
          <w:color w:val="auto"/>
          <w:szCs w:val="21"/>
          <w:highlight w:val="none"/>
        </w:rPr>
        <w:t>4</w:t>
      </w:r>
      <w:r>
        <w:rPr>
          <w:rFonts w:hint="eastAsia" w:hAnsi="宋体"/>
          <w:color w:val="auto"/>
          <w:szCs w:val="21"/>
          <w:highlight w:val="none"/>
        </w:rPr>
        <w:t>）暂列金额：</w:t>
      </w:r>
    </w:p>
    <w:p w14:paraId="282E6C1C">
      <w:pPr>
        <w:pStyle w:val="31"/>
        <w:spacing w:line="360" w:lineRule="auto"/>
        <w:ind w:firstLine="945" w:firstLineChars="450"/>
        <w:rPr>
          <w:rFonts w:hAnsi="宋体"/>
          <w:color w:val="auto"/>
          <w:szCs w:val="21"/>
          <w:highlight w:val="none"/>
        </w:rPr>
      </w:pPr>
      <w:r>
        <w:rPr>
          <w:rFonts w:hint="eastAsia" w:hAnsi="宋体"/>
          <w:color w:val="auto"/>
          <w:szCs w:val="21"/>
          <w:highlight w:val="none"/>
        </w:rPr>
        <w:t>人民币（大写）</w:t>
      </w:r>
      <w:r>
        <w:rPr>
          <w:rFonts w:hint="eastAsia"/>
          <w:color w:val="auto"/>
          <w:szCs w:val="21"/>
          <w:highlight w:val="none"/>
          <w:u w:val="single"/>
        </w:rPr>
        <w:t xml:space="preserve">  /   </w:t>
      </w:r>
      <w:r>
        <w:rPr>
          <w:rFonts w:hint="eastAsia"/>
          <w:color w:val="auto"/>
          <w:szCs w:val="21"/>
          <w:highlight w:val="none"/>
        </w:rPr>
        <w:t>（</w:t>
      </w:r>
      <w:r>
        <w:rPr>
          <w:color w:val="auto"/>
          <w:szCs w:val="21"/>
          <w:highlight w:val="none"/>
        </w:rPr>
        <w:t>¥</w:t>
      </w:r>
      <w:r>
        <w:rPr>
          <w:rFonts w:hint="eastAsia"/>
          <w:color w:val="auto"/>
          <w:szCs w:val="21"/>
          <w:highlight w:val="none"/>
          <w:u w:val="single"/>
        </w:rPr>
        <w:t xml:space="preserve">   /   </w:t>
      </w:r>
      <w:r>
        <w:rPr>
          <w:rFonts w:hint="eastAsia" w:hAnsi="宋体"/>
          <w:color w:val="auto"/>
          <w:szCs w:val="21"/>
          <w:highlight w:val="none"/>
        </w:rPr>
        <w:t>元</w:t>
      </w:r>
      <w:r>
        <w:rPr>
          <w:rFonts w:hint="eastAsia"/>
          <w:color w:val="auto"/>
          <w:szCs w:val="21"/>
          <w:highlight w:val="none"/>
        </w:rPr>
        <w:t>）</w:t>
      </w:r>
      <w:r>
        <w:rPr>
          <w:rFonts w:hint="eastAsia" w:hAnsi="宋体"/>
          <w:color w:val="auto"/>
          <w:szCs w:val="21"/>
          <w:highlight w:val="none"/>
        </w:rPr>
        <w:t>。</w:t>
      </w:r>
    </w:p>
    <w:p w14:paraId="319B14CC">
      <w:pPr>
        <w:pStyle w:val="31"/>
        <w:spacing w:line="360" w:lineRule="auto"/>
        <w:ind w:firstLine="359" w:firstLineChars="171"/>
        <w:rPr>
          <w:color w:val="auto"/>
          <w:szCs w:val="21"/>
          <w:highlight w:val="none"/>
        </w:rPr>
      </w:pPr>
      <w:r>
        <w:rPr>
          <w:rFonts w:hint="eastAsia" w:hAnsi="宋体"/>
          <w:color w:val="auto"/>
          <w:szCs w:val="21"/>
          <w:highlight w:val="none"/>
        </w:rPr>
        <w:t>（</w:t>
      </w:r>
      <w:r>
        <w:rPr>
          <w:color w:val="auto"/>
          <w:szCs w:val="21"/>
          <w:highlight w:val="none"/>
        </w:rPr>
        <w:t>5</w:t>
      </w:r>
      <w:r>
        <w:rPr>
          <w:rFonts w:hint="eastAsia" w:hAnsi="宋体"/>
          <w:color w:val="auto"/>
          <w:szCs w:val="21"/>
          <w:highlight w:val="none"/>
        </w:rPr>
        <w:t>）增值税额：</w:t>
      </w:r>
    </w:p>
    <w:p w14:paraId="07A57951">
      <w:pPr>
        <w:pStyle w:val="31"/>
        <w:spacing w:line="360" w:lineRule="auto"/>
        <w:ind w:firstLine="945" w:firstLineChars="450"/>
        <w:rPr>
          <w:rFonts w:hAnsi="宋体"/>
          <w:color w:val="auto"/>
          <w:szCs w:val="21"/>
          <w:highlight w:val="none"/>
        </w:rPr>
      </w:pPr>
      <w:r>
        <w:rPr>
          <w:rFonts w:hint="eastAsia" w:hAnsi="宋体"/>
          <w:color w:val="auto"/>
          <w:szCs w:val="21"/>
          <w:highlight w:val="none"/>
        </w:rPr>
        <w:t>人民币（大写）</w:t>
      </w:r>
      <w:r>
        <w:rPr>
          <w:rFonts w:hint="eastAsia"/>
          <w:color w:val="auto"/>
          <w:szCs w:val="21"/>
          <w:highlight w:val="none"/>
          <w:u w:val="single"/>
        </w:rPr>
        <w:t xml:space="preserve">/ </w:t>
      </w:r>
      <w:r>
        <w:rPr>
          <w:rFonts w:hint="eastAsia"/>
          <w:color w:val="auto"/>
          <w:szCs w:val="21"/>
          <w:highlight w:val="none"/>
        </w:rPr>
        <w:t>（</w:t>
      </w:r>
      <w:r>
        <w:rPr>
          <w:color w:val="auto"/>
          <w:szCs w:val="21"/>
          <w:highlight w:val="none"/>
        </w:rPr>
        <w:t>¥</w:t>
      </w:r>
      <w:r>
        <w:rPr>
          <w:rFonts w:hint="eastAsia"/>
          <w:color w:val="auto"/>
          <w:szCs w:val="21"/>
          <w:highlight w:val="none"/>
          <w:u w:val="single"/>
        </w:rPr>
        <w:t xml:space="preserve">  /  </w:t>
      </w:r>
      <w:r>
        <w:rPr>
          <w:rFonts w:hint="eastAsia" w:hAnsi="宋体"/>
          <w:color w:val="auto"/>
          <w:szCs w:val="21"/>
          <w:highlight w:val="none"/>
        </w:rPr>
        <w:t>元</w:t>
      </w:r>
      <w:r>
        <w:rPr>
          <w:rFonts w:hint="eastAsia"/>
          <w:color w:val="auto"/>
          <w:szCs w:val="21"/>
          <w:highlight w:val="none"/>
        </w:rPr>
        <w:t>）</w:t>
      </w:r>
      <w:r>
        <w:rPr>
          <w:rFonts w:hint="eastAsia" w:hAnsi="宋体"/>
          <w:color w:val="auto"/>
          <w:szCs w:val="21"/>
          <w:highlight w:val="none"/>
        </w:rPr>
        <w:t>。</w:t>
      </w:r>
    </w:p>
    <w:p w14:paraId="38223CA8">
      <w:pPr>
        <w:pStyle w:val="31"/>
        <w:spacing w:line="360" w:lineRule="auto"/>
        <w:ind w:firstLine="987" w:firstLineChars="470"/>
        <w:rPr>
          <w:rFonts w:hAnsi="宋体"/>
          <w:color w:val="auto"/>
          <w:szCs w:val="21"/>
          <w:highlight w:val="none"/>
        </w:rPr>
      </w:pPr>
      <w:r>
        <w:rPr>
          <w:rFonts w:hint="eastAsia" w:hAnsi="宋体"/>
          <w:color w:val="auto"/>
          <w:szCs w:val="21"/>
          <w:highlight w:val="none"/>
        </w:rPr>
        <w:t>增值税率：</w:t>
      </w:r>
      <w:r>
        <w:rPr>
          <w:rFonts w:hint="eastAsia" w:hAnsi="宋体"/>
          <w:color w:val="auto"/>
          <w:szCs w:val="21"/>
          <w:highlight w:val="none"/>
          <w:u w:val="single"/>
        </w:rPr>
        <w:t>　　</w:t>
      </w:r>
      <w:r>
        <w:rPr>
          <w:rFonts w:hint="eastAsia"/>
          <w:color w:val="auto"/>
          <w:szCs w:val="21"/>
          <w:highlight w:val="none"/>
          <w:u w:val="single"/>
        </w:rPr>
        <w:t>/</w:t>
      </w:r>
      <w:r>
        <w:rPr>
          <w:rFonts w:hint="eastAsia" w:hAnsi="宋体"/>
          <w:color w:val="auto"/>
          <w:szCs w:val="21"/>
          <w:highlight w:val="none"/>
          <w:u w:val="single"/>
        </w:rPr>
        <w:t>　　　</w:t>
      </w:r>
    </w:p>
    <w:p w14:paraId="1774D9F0">
      <w:pPr>
        <w:pStyle w:val="31"/>
        <w:spacing w:line="360" w:lineRule="auto"/>
        <w:ind w:firstLine="420" w:firstLineChars="200"/>
        <w:rPr>
          <w:rFonts w:hAnsi="宋体"/>
          <w:color w:val="auto"/>
          <w:szCs w:val="21"/>
          <w:highlight w:val="none"/>
        </w:rPr>
      </w:pPr>
      <w:r>
        <w:rPr>
          <w:color w:val="auto"/>
          <w:szCs w:val="21"/>
          <w:highlight w:val="none"/>
        </w:rPr>
        <w:t xml:space="preserve">2. </w:t>
      </w:r>
      <w:r>
        <w:rPr>
          <w:rFonts w:hint="eastAsia" w:hAnsi="宋体"/>
          <w:color w:val="auto"/>
          <w:szCs w:val="21"/>
          <w:highlight w:val="none"/>
        </w:rPr>
        <w:t>合同价格形式：</w:t>
      </w:r>
      <w:r>
        <w:rPr>
          <w:rFonts w:hAnsi="宋体"/>
          <w:color w:val="auto"/>
          <w:szCs w:val="21"/>
          <w:highlight w:val="none"/>
          <w:u w:val="single"/>
        </w:rPr>
        <w:t></w:t>
      </w:r>
      <w:r>
        <w:rPr>
          <w:rFonts w:hint="eastAsia" w:hAnsi="宋体"/>
          <w:color w:val="auto"/>
          <w:szCs w:val="21"/>
          <w:highlight w:val="none"/>
          <w:u w:val="single"/>
        </w:rPr>
        <w:t>固定综合单价</w:t>
      </w:r>
      <w:r>
        <w:rPr>
          <w:rFonts w:hint="eastAsia" w:hAnsi="宋体"/>
          <w:color w:val="auto"/>
          <w:szCs w:val="21"/>
          <w:highlight w:val="none"/>
        </w:rPr>
        <w:t>。</w:t>
      </w:r>
    </w:p>
    <w:p w14:paraId="03C5AF5F">
      <w:pPr>
        <w:pStyle w:val="31"/>
        <w:spacing w:line="360" w:lineRule="auto"/>
        <w:ind w:firstLine="422" w:firstLineChars="200"/>
        <w:outlineLvl w:val="0"/>
        <w:rPr>
          <w:b/>
          <w:bCs/>
          <w:color w:val="auto"/>
          <w:szCs w:val="21"/>
          <w:highlight w:val="none"/>
        </w:rPr>
      </w:pPr>
      <w:bookmarkStart w:id="180" w:name="_Toc351203485"/>
      <w:r>
        <w:rPr>
          <w:rFonts w:hint="eastAsia" w:hAnsi="宋体"/>
          <w:b/>
          <w:bCs/>
          <w:color w:val="auto"/>
          <w:szCs w:val="21"/>
          <w:highlight w:val="none"/>
        </w:rPr>
        <w:t>五、</w:t>
      </w:r>
      <w:bookmarkEnd w:id="180"/>
      <w:r>
        <w:rPr>
          <w:rFonts w:hint="eastAsia" w:hAnsi="宋体"/>
          <w:b/>
          <w:bCs/>
          <w:color w:val="auto"/>
          <w:szCs w:val="21"/>
          <w:highlight w:val="none"/>
        </w:rPr>
        <w:t>项目经理</w:t>
      </w:r>
    </w:p>
    <w:p w14:paraId="594DC737">
      <w:pPr>
        <w:pStyle w:val="31"/>
        <w:spacing w:line="360" w:lineRule="auto"/>
        <w:ind w:firstLine="420" w:firstLineChars="200"/>
        <w:rPr>
          <w:rFonts w:hAnsi="宋体"/>
          <w:color w:val="auto"/>
          <w:szCs w:val="21"/>
          <w:highlight w:val="none"/>
        </w:rPr>
      </w:pPr>
      <w:r>
        <w:rPr>
          <w:rFonts w:hint="eastAsia" w:hAnsi="宋体"/>
          <w:color w:val="auto"/>
          <w:szCs w:val="21"/>
          <w:highlight w:val="none"/>
        </w:rPr>
        <w:t>承包人项目经理：</w:t>
      </w:r>
      <w:r>
        <w:rPr>
          <w:rFonts w:hAnsi="宋体"/>
          <w:color w:val="auto"/>
          <w:szCs w:val="21"/>
          <w:highlight w:val="none"/>
          <w:u w:val="single"/>
        </w:rPr>
        <w:t></w:t>
      </w:r>
      <w:r>
        <w:rPr>
          <w:rFonts w:hint="eastAsia"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color w:val="auto"/>
          <w:szCs w:val="21"/>
          <w:highlight w:val="none"/>
        </w:rPr>
        <w:t>。</w:t>
      </w:r>
    </w:p>
    <w:p w14:paraId="0E19A323">
      <w:pPr>
        <w:pStyle w:val="31"/>
        <w:spacing w:line="360" w:lineRule="auto"/>
        <w:ind w:firstLine="422" w:firstLineChars="200"/>
        <w:outlineLvl w:val="0"/>
        <w:rPr>
          <w:b/>
          <w:bCs/>
          <w:color w:val="auto"/>
          <w:szCs w:val="21"/>
          <w:highlight w:val="none"/>
        </w:rPr>
      </w:pPr>
      <w:bookmarkStart w:id="181" w:name="_Toc351203486"/>
      <w:r>
        <w:rPr>
          <w:rFonts w:hint="eastAsia" w:hAnsi="宋体"/>
          <w:b/>
          <w:bCs/>
          <w:color w:val="auto"/>
          <w:szCs w:val="21"/>
          <w:highlight w:val="none"/>
        </w:rPr>
        <w:t>六、合同文件构成</w:t>
      </w:r>
      <w:bookmarkEnd w:id="181"/>
    </w:p>
    <w:p w14:paraId="46151FC6">
      <w:pPr>
        <w:pStyle w:val="31"/>
        <w:spacing w:line="360" w:lineRule="auto"/>
        <w:ind w:firstLine="420" w:firstLineChars="200"/>
        <w:rPr>
          <w:bCs/>
          <w:color w:val="auto"/>
          <w:szCs w:val="21"/>
          <w:highlight w:val="none"/>
        </w:rPr>
      </w:pPr>
      <w:r>
        <w:rPr>
          <w:rFonts w:hint="eastAsia" w:hAnsi="宋体"/>
          <w:bCs/>
          <w:color w:val="auto"/>
          <w:szCs w:val="21"/>
          <w:highlight w:val="none"/>
        </w:rPr>
        <w:t>本协议书与下列文件一起构成合同文件：</w:t>
      </w:r>
    </w:p>
    <w:p w14:paraId="36A75330">
      <w:pPr>
        <w:pStyle w:val="31"/>
        <w:numPr>
          <w:ilvl w:val="0"/>
          <w:numId w:val="11"/>
        </w:numPr>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lang w:val="en-US" w:eastAsia="zh-CN"/>
        </w:rPr>
        <w:t>成交</w:t>
      </w:r>
      <w:r>
        <w:rPr>
          <w:rFonts w:hint="eastAsia" w:hAnsi="宋体"/>
          <w:color w:val="auto"/>
          <w:szCs w:val="21"/>
          <w:highlight w:val="none"/>
        </w:rPr>
        <w:t>通知书；</w:t>
      </w:r>
    </w:p>
    <w:p w14:paraId="62FDD14E">
      <w:pPr>
        <w:pStyle w:val="31"/>
        <w:numPr>
          <w:ilvl w:val="0"/>
          <w:numId w:val="11"/>
        </w:numPr>
        <w:autoSpaceDE w:val="0"/>
        <w:autoSpaceDN w:val="0"/>
        <w:adjustRightInd w:val="0"/>
        <w:spacing w:line="360" w:lineRule="auto"/>
        <w:ind w:firstLine="420" w:firstLineChars="200"/>
        <w:jc w:val="left"/>
        <w:rPr>
          <w:rFonts w:hAnsi="宋体"/>
          <w:color w:val="auto"/>
          <w:szCs w:val="21"/>
          <w:highlight w:val="none"/>
        </w:rPr>
      </w:pPr>
      <w:r>
        <w:rPr>
          <w:rFonts w:hint="eastAsia" w:hAnsi="宋体"/>
          <w:color w:val="auto"/>
          <w:szCs w:val="21"/>
          <w:highlight w:val="none"/>
        </w:rPr>
        <w:t>通用合同条款；</w:t>
      </w:r>
    </w:p>
    <w:p w14:paraId="31739477">
      <w:pPr>
        <w:pStyle w:val="31"/>
        <w:numPr>
          <w:ilvl w:val="0"/>
          <w:numId w:val="11"/>
        </w:numPr>
        <w:autoSpaceDE w:val="0"/>
        <w:autoSpaceDN w:val="0"/>
        <w:adjustRightInd w:val="0"/>
        <w:spacing w:line="360" w:lineRule="auto"/>
        <w:ind w:firstLine="420" w:firstLineChars="200"/>
        <w:jc w:val="left"/>
        <w:rPr>
          <w:rFonts w:hAnsi="宋体"/>
          <w:color w:val="auto"/>
          <w:szCs w:val="21"/>
          <w:highlight w:val="none"/>
        </w:rPr>
      </w:pPr>
      <w:r>
        <w:rPr>
          <w:rFonts w:hint="eastAsia" w:hAnsi="宋体"/>
          <w:color w:val="auto"/>
          <w:szCs w:val="21"/>
          <w:highlight w:val="none"/>
        </w:rPr>
        <w:t>专用合同条款及其附件；</w:t>
      </w:r>
    </w:p>
    <w:p w14:paraId="750CFCB4">
      <w:pPr>
        <w:pStyle w:val="31"/>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（4）</w:t>
      </w:r>
      <w:r>
        <w:rPr>
          <w:rFonts w:hint="eastAsia" w:hAnsi="宋体"/>
          <w:color w:val="auto"/>
          <w:szCs w:val="21"/>
          <w:highlight w:val="none"/>
          <w:lang w:eastAsia="zh-CN"/>
        </w:rPr>
        <w:t>响应函</w:t>
      </w:r>
      <w:r>
        <w:rPr>
          <w:rFonts w:hint="eastAsia" w:hAnsi="宋体"/>
          <w:color w:val="auto"/>
          <w:szCs w:val="21"/>
          <w:highlight w:val="none"/>
        </w:rPr>
        <w:t>及其附录（如有）；</w:t>
      </w:r>
    </w:p>
    <w:p w14:paraId="57C1875A">
      <w:pPr>
        <w:pStyle w:val="31"/>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（5）</w:t>
      </w:r>
      <w:r>
        <w:rPr>
          <w:rFonts w:hint="eastAsia" w:ascii="宋体" w:hAnsi="宋体" w:eastAsia="宋体"/>
          <w:color w:val="auto"/>
          <w:szCs w:val="21"/>
          <w:highlight w:val="none"/>
        </w:rPr>
        <w:t>技术标准和要求；</w:t>
      </w:r>
    </w:p>
    <w:p w14:paraId="1ED51AE2">
      <w:pPr>
        <w:pStyle w:val="31"/>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6</w:t>
      </w:r>
      <w:r>
        <w:rPr>
          <w:rFonts w:hint="eastAsia" w:hAnsi="宋体"/>
          <w:color w:val="auto"/>
          <w:szCs w:val="21"/>
          <w:highlight w:val="none"/>
        </w:rPr>
        <w:t>）</w:t>
      </w:r>
      <w:r>
        <w:rPr>
          <w:rFonts w:hint="eastAsia" w:ascii="宋体" w:hAnsi="宋体" w:eastAsia="宋体"/>
          <w:color w:val="auto"/>
          <w:szCs w:val="21"/>
          <w:highlight w:val="none"/>
        </w:rPr>
        <w:t>已标价工程量清单或预算书</w:t>
      </w:r>
      <w:r>
        <w:rPr>
          <w:rFonts w:hint="eastAsia"/>
          <w:color w:val="auto"/>
          <w:szCs w:val="21"/>
          <w:highlight w:val="none"/>
        </w:rPr>
        <w:t>；</w:t>
      </w:r>
    </w:p>
    <w:p w14:paraId="174D3733">
      <w:pPr>
        <w:pStyle w:val="31"/>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7</w:t>
      </w:r>
      <w:r>
        <w:rPr>
          <w:rFonts w:hint="eastAsia" w:hAnsi="宋体"/>
          <w:color w:val="auto"/>
          <w:szCs w:val="21"/>
          <w:highlight w:val="none"/>
        </w:rPr>
        <w:t>）</w:t>
      </w:r>
      <w:r>
        <w:rPr>
          <w:rFonts w:hint="eastAsia" w:ascii="宋体" w:hAnsi="宋体" w:eastAsia="宋体"/>
          <w:color w:val="auto"/>
          <w:szCs w:val="21"/>
          <w:highlight w:val="none"/>
        </w:rPr>
        <w:t>图纸</w:t>
      </w:r>
      <w:r>
        <w:rPr>
          <w:rFonts w:hint="eastAsia"/>
          <w:color w:val="auto"/>
          <w:szCs w:val="21"/>
          <w:highlight w:val="none"/>
        </w:rPr>
        <w:t>；</w:t>
      </w:r>
    </w:p>
    <w:p w14:paraId="0051BE35">
      <w:pPr>
        <w:pStyle w:val="31"/>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8</w:t>
      </w:r>
      <w:r>
        <w:rPr>
          <w:rFonts w:hint="eastAsia" w:hAnsi="宋体"/>
          <w:color w:val="auto"/>
          <w:szCs w:val="21"/>
          <w:highlight w:val="none"/>
        </w:rPr>
        <w:t>）其他合同文件：</w:t>
      </w:r>
    </w:p>
    <w:p w14:paraId="0DC10EF2">
      <w:pPr>
        <w:pStyle w:val="31"/>
        <w:autoSpaceDE w:val="0"/>
        <w:autoSpaceDN w:val="0"/>
        <w:adjustRightInd w:val="0"/>
        <w:spacing w:line="360" w:lineRule="auto"/>
        <w:ind w:firstLine="420" w:firstLineChars="200"/>
        <w:jc w:val="left"/>
        <w:rPr>
          <w:rFonts w:hAnsi="宋体"/>
          <w:color w:val="auto"/>
          <w:szCs w:val="21"/>
          <w:highlight w:val="none"/>
        </w:rPr>
      </w:pPr>
      <w:r>
        <w:rPr>
          <w:rFonts w:hint="eastAsia" w:hAnsi="宋体"/>
          <w:color w:val="auto"/>
          <w:szCs w:val="21"/>
          <w:highlight w:val="none"/>
        </w:rPr>
        <w:t>招标文件及附件（含所有补充通知）；</w:t>
      </w:r>
    </w:p>
    <w:p w14:paraId="347C7ED0">
      <w:pPr>
        <w:pStyle w:val="31"/>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在合同订立及履行过程中形成的与合同有关的文件均构成合同文件组成部分。</w:t>
      </w:r>
    </w:p>
    <w:p w14:paraId="1B04D789">
      <w:pPr>
        <w:pStyle w:val="31"/>
        <w:autoSpaceDE w:val="0"/>
        <w:autoSpaceDN w:val="0"/>
        <w:adjustRightInd w:val="0"/>
        <w:spacing w:line="360" w:lineRule="auto"/>
        <w:ind w:firstLine="420" w:firstLineChars="200"/>
        <w:jc w:val="left"/>
        <w:rPr>
          <w:rFonts w:hAnsi="宋体"/>
          <w:color w:val="auto"/>
          <w:szCs w:val="21"/>
          <w:highlight w:val="none"/>
        </w:rPr>
      </w:pPr>
      <w:r>
        <w:rPr>
          <w:rFonts w:hint="eastAsia" w:hAnsi="宋体"/>
          <w:color w:val="auto"/>
          <w:szCs w:val="21"/>
          <w:highlight w:val="none"/>
        </w:rPr>
        <w:t>上述各项合同文件包括合同当事人就该项合同文件所作出的补充和修改，属于同一类内容的文件，</w:t>
      </w:r>
      <w:r>
        <w:rPr>
          <w:rFonts w:hint="eastAsia" w:hAnsi="宋体" w:cs="宋体"/>
          <w:color w:val="auto"/>
          <w:kern w:val="0"/>
          <w:highlight w:val="none"/>
        </w:rPr>
        <w:t>应以最新签署的为</w:t>
      </w:r>
      <w:r>
        <w:rPr>
          <w:rFonts w:hint="eastAsia" w:hAnsi="宋体"/>
          <w:color w:val="auto"/>
          <w:szCs w:val="21"/>
          <w:highlight w:val="none"/>
        </w:rPr>
        <w:t>准（违反招标文件实质性内容的约定除外）。专用合同条款及其附件须经合同当事人签字或盖章。</w:t>
      </w:r>
    </w:p>
    <w:p w14:paraId="47BF690B">
      <w:pPr>
        <w:pStyle w:val="31"/>
        <w:autoSpaceDE w:val="0"/>
        <w:autoSpaceDN w:val="0"/>
        <w:adjustRightInd w:val="0"/>
        <w:spacing w:line="360" w:lineRule="auto"/>
        <w:ind w:firstLine="422" w:firstLineChars="200"/>
        <w:jc w:val="left"/>
        <w:outlineLvl w:val="0"/>
        <w:rPr>
          <w:b/>
          <w:bCs/>
          <w:color w:val="auto"/>
          <w:szCs w:val="21"/>
          <w:highlight w:val="none"/>
        </w:rPr>
      </w:pPr>
      <w:bookmarkStart w:id="182" w:name="_Toc351203487"/>
      <w:r>
        <w:rPr>
          <w:rFonts w:hint="eastAsia" w:hAnsi="宋体"/>
          <w:b/>
          <w:bCs/>
          <w:color w:val="auto"/>
          <w:szCs w:val="21"/>
          <w:highlight w:val="none"/>
        </w:rPr>
        <w:t>七、承诺</w:t>
      </w:r>
      <w:bookmarkEnd w:id="182"/>
    </w:p>
    <w:p w14:paraId="76759507">
      <w:pPr>
        <w:pStyle w:val="31"/>
        <w:spacing w:line="360" w:lineRule="auto"/>
        <w:ind w:firstLine="420" w:firstLineChars="200"/>
        <w:rPr>
          <w:bCs/>
          <w:color w:val="auto"/>
          <w:szCs w:val="21"/>
          <w:highlight w:val="none"/>
        </w:rPr>
      </w:pPr>
      <w:r>
        <w:rPr>
          <w:bCs/>
          <w:color w:val="auto"/>
          <w:szCs w:val="21"/>
          <w:highlight w:val="none"/>
        </w:rPr>
        <w:t xml:space="preserve">1. </w:t>
      </w:r>
      <w:r>
        <w:rPr>
          <w:rFonts w:hint="eastAsia" w:hAnsi="宋体"/>
          <w:bCs/>
          <w:color w:val="auto"/>
          <w:szCs w:val="21"/>
          <w:highlight w:val="none"/>
        </w:rPr>
        <w:t>发包人承诺按照法律规定履行项目审批手续、筹集工程建设资金并按照合同约定的期限和方式支付合同价款。</w:t>
      </w:r>
    </w:p>
    <w:p w14:paraId="36E94CF1">
      <w:pPr>
        <w:pStyle w:val="31"/>
        <w:spacing w:line="360" w:lineRule="auto"/>
        <w:ind w:firstLine="420" w:firstLineChars="200"/>
        <w:rPr>
          <w:bCs/>
          <w:color w:val="auto"/>
          <w:szCs w:val="21"/>
          <w:highlight w:val="none"/>
        </w:rPr>
      </w:pPr>
      <w:r>
        <w:rPr>
          <w:bCs/>
          <w:color w:val="auto"/>
          <w:szCs w:val="21"/>
          <w:highlight w:val="none"/>
        </w:rPr>
        <w:t xml:space="preserve">2. </w:t>
      </w:r>
      <w:r>
        <w:rPr>
          <w:rFonts w:hint="eastAsia" w:hAnsi="宋体"/>
          <w:bCs/>
          <w:color w:val="auto"/>
          <w:szCs w:val="21"/>
          <w:highlight w:val="none"/>
        </w:rPr>
        <w:t>承包人承诺按照法律规定及合同约定组织完成工程施工，确保工程质量和安全，不进行转包及违法分包，并在缺陷责任期及保修期内承担相应的工程维修责任。</w:t>
      </w:r>
    </w:p>
    <w:p w14:paraId="43499DC3">
      <w:pPr>
        <w:pStyle w:val="31"/>
        <w:spacing w:line="360" w:lineRule="auto"/>
        <w:ind w:firstLine="420" w:firstLineChars="200"/>
        <w:rPr>
          <w:rFonts w:hAnsi="宋体"/>
          <w:bCs/>
          <w:color w:val="auto"/>
          <w:szCs w:val="21"/>
          <w:highlight w:val="none"/>
        </w:rPr>
      </w:pPr>
      <w:r>
        <w:rPr>
          <w:bCs/>
          <w:color w:val="auto"/>
          <w:szCs w:val="21"/>
          <w:highlight w:val="none"/>
        </w:rPr>
        <w:t xml:space="preserve">3. </w:t>
      </w:r>
      <w:r>
        <w:rPr>
          <w:rFonts w:hint="eastAsia" w:hAnsi="宋体"/>
          <w:bCs/>
          <w:color w:val="auto"/>
          <w:szCs w:val="21"/>
          <w:highlight w:val="none"/>
        </w:rPr>
        <w:t>发包人和承包人通过招投标形式签订合同的，双方理解并承诺不再就同一工程另行签订与合同实质性内容相背离的协议。</w:t>
      </w:r>
      <w:bookmarkStart w:id="183" w:name="_Toc351203488"/>
    </w:p>
    <w:p w14:paraId="1CDF57CB">
      <w:pPr>
        <w:pStyle w:val="31"/>
        <w:spacing w:line="360" w:lineRule="auto"/>
        <w:ind w:firstLine="422" w:firstLineChars="200"/>
        <w:outlineLvl w:val="0"/>
        <w:rPr>
          <w:b/>
          <w:bCs/>
          <w:color w:val="auto"/>
          <w:szCs w:val="21"/>
          <w:highlight w:val="none"/>
        </w:rPr>
      </w:pPr>
      <w:r>
        <w:rPr>
          <w:rFonts w:hint="eastAsia" w:hAnsi="宋体"/>
          <w:b/>
          <w:bCs/>
          <w:color w:val="auto"/>
          <w:szCs w:val="21"/>
          <w:highlight w:val="none"/>
        </w:rPr>
        <w:t>八、词语含义</w:t>
      </w:r>
      <w:bookmarkEnd w:id="183"/>
    </w:p>
    <w:p w14:paraId="38D7CC33">
      <w:pPr>
        <w:pStyle w:val="31"/>
        <w:spacing w:line="360" w:lineRule="auto"/>
        <w:ind w:firstLine="420" w:firstLineChars="200"/>
        <w:rPr>
          <w:rFonts w:hAnsi="宋体"/>
          <w:bCs/>
          <w:color w:val="auto"/>
          <w:szCs w:val="21"/>
          <w:highlight w:val="none"/>
        </w:rPr>
      </w:pPr>
      <w:r>
        <w:rPr>
          <w:rFonts w:hint="eastAsia" w:hAnsi="宋体"/>
          <w:bCs/>
          <w:color w:val="auto"/>
          <w:szCs w:val="21"/>
          <w:highlight w:val="none"/>
        </w:rPr>
        <w:t>本协议书中词语含义与第二部分通用合同条款中赋予的含义相同。</w:t>
      </w:r>
    </w:p>
    <w:p w14:paraId="68269A30">
      <w:pPr>
        <w:pStyle w:val="31"/>
        <w:spacing w:line="360" w:lineRule="auto"/>
        <w:ind w:firstLine="422" w:firstLineChars="200"/>
        <w:outlineLvl w:val="0"/>
        <w:rPr>
          <w:b/>
          <w:bCs/>
          <w:color w:val="auto"/>
          <w:szCs w:val="21"/>
          <w:highlight w:val="none"/>
        </w:rPr>
      </w:pPr>
      <w:bookmarkStart w:id="184" w:name="_Toc351203489"/>
      <w:r>
        <w:rPr>
          <w:rFonts w:hint="eastAsia" w:hAnsi="宋体"/>
          <w:b/>
          <w:bCs/>
          <w:color w:val="auto"/>
          <w:szCs w:val="21"/>
          <w:highlight w:val="none"/>
        </w:rPr>
        <w:t>九、签订时间</w:t>
      </w:r>
      <w:bookmarkEnd w:id="184"/>
    </w:p>
    <w:p w14:paraId="3AE8A29F">
      <w:pPr>
        <w:pStyle w:val="31"/>
        <w:spacing w:line="360" w:lineRule="auto"/>
        <w:ind w:firstLine="420" w:firstLineChars="200"/>
        <w:rPr>
          <w:rFonts w:hAnsi="宋体"/>
          <w:bCs/>
          <w:color w:val="auto"/>
          <w:szCs w:val="21"/>
          <w:highlight w:val="none"/>
        </w:rPr>
      </w:pPr>
      <w:r>
        <w:rPr>
          <w:rFonts w:hint="eastAsia" w:hAnsi="宋体"/>
          <w:bCs/>
          <w:color w:val="auto"/>
          <w:szCs w:val="21"/>
          <w:highlight w:val="none"/>
        </w:rPr>
        <w:t>本合同于</w:t>
      </w:r>
      <w:r>
        <w:rPr>
          <w:rFonts w:hint="eastAsia" w:hAnsi="宋体"/>
          <w:color w:val="auto"/>
          <w:szCs w:val="21"/>
          <w:highlight w:val="none"/>
          <w:u w:val="single"/>
          <w:lang w:val="en-US" w:eastAsia="zh-CN"/>
        </w:rPr>
        <w:t xml:space="preserve">      </w:t>
      </w:r>
      <w:r>
        <w:rPr>
          <w:rFonts w:hint="eastAsia" w:hAnsi="宋体"/>
          <w:bCs/>
          <w:color w:val="auto"/>
          <w:szCs w:val="21"/>
          <w:highlight w:val="none"/>
        </w:rPr>
        <w:t>年</w:t>
      </w:r>
      <w:r>
        <w:rPr>
          <w:rFonts w:hint="eastAsia" w:hAnsi="宋体"/>
          <w:bCs/>
          <w:color w:val="auto"/>
          <w:szCs w:val="21"/>
          <w:highlight w:val="none"/>
          <w:lang w:val="en-US" w:eastAsia="zh-CN"/>
        </w:rPr>
        <w:t xml:space="preserve">   </w:t>
      </w:r>
      <w:r>
        <w:rPr>
          <w:rFonts w:hint="eastAsia" w:hAnsi="宋体"/>
          <w:bCs/>
          <w:color w:val="auto"/>
          <w:szCs w:val="21"/>
          <w:highlight w:val="none"/>
        </w:rPr>
        <w:t>月  日签订。</w:t>
      </w:r>
    </w:p>
    <w:p w14:paraId="4A4026BE">
      <w:pPr>
        <w:pStyle w:val="31"/>
        <w:spacing w:line="360" w:lineRule="auto"/>
        <w:ind w:firstLine="422" w:firstLineChars="200"/>
        <w:outlineLvl w:val="0"/>
        <w:rPr>
          <w:b/>
          <w:bCs/>
          <w:color w:val="auto"/>
          <w:szCs w:val="21"/>
          <w:highlight w:val="none"/>
        </w:rPr>
      </w:pPr>
      <w:bookmarkStart w:id="185" w:name="_Toc351203490"/>
      <w:r>
        <w:rPr>
          <w:rFonts w:hint="eastAsia" w:hAnsi="宋体"/>
          <w:b/>
          <w:bCs/>
          <w:color w:val="auto"/>
          <w:szCs w:val="21"/>
          <w:highlight w:val="none"/>
        </w:rPr>
        <w:t>十、签订地点</w:t>
      </w:r>
      <w:bookmarkEnd w:id="185"/>
    </w:p>
    <w:p w14:paraId="5A0730C1">
      <w:pPr>
        <w:pStyle w:val="31"/>
        <w:spacing w:line="360" w:lineRule="auto"/>
        <w:ind w:firstLine="420" w:firstLineChars="200"/>
        <w:rPr>
          <w:rFonts w:hAnsi="宋体"/>
          <w:bCs/>
          <w:color w:val="auto"/>
          <w:szCs w:val="21"/>
          <w:highlight w:val="none"/>
        </w:rPr>
      </w:pPr>
      <w:r>
        <w:rPr>
          <w:rFonts w:hint="eastAsia" w:hAnsi="宋体"/>
          <w:bCs/>
          <w:color w:val="auto"/>
          <w:szCs w:val="21"/>
          <w:highlight w:val="none"/>
        </w:rPr>
        <w:t>本合同在</w:t>
      </w:r>
      <w:r>
        <w:rPr>
          <w:rFonts w:hint="eastAsia"/>
          <w:bCs/>
          <w:color w:val="auto"/>
          <w:szCs w:val="21"/>
          <w:highlight w:val="none"/>
          <w:u w:val="single"/>
        </w:rPr>
        <w:t>南宁市</w:t>
      </w:r>
      <w:r>
        <w:rPr>
          <w:rFonts w:hint="eastAsia" w:hAnsi="宋体"/>
          <w:bCs/>
          <w:color w:val="auto"/>
          <w:szCs w:val="21"/>
          <w:highlight w:val="none"/>
        </w:rPr>
        <w:t>签订。</w:t>
      </w:r>
    </w:p>
    <w:p w14:paraId="7AFFED7A">
      <w:pPr>
        <w:pStyle w:val="31"/>
        <w:spacing w:line="360" w:lineRule="auto"/>
        <w:ind w:firstLine="422" w:firstLineChars="200"/>
        <w:outlineLvl w:val="0"/>
        <w:rPr>
          <w:b/>
          <w:bCs/>
          <w:color w:val="auto"/>
          <w:szCs w:val="21"/>
          <w:highlight w:val="none"/>
        </w:rPr>
      </w:pPr>
      <w:bookmarkStart w:id="186" w:name="_Toc351203491"/>
      <w:r>
        <w:rPr>
          <w:rFonts w:hint="eastAsia" w:hAnsi="宋体"/>
          <w:b/>
          <w:bCs/>
          <w:color w:val="auto"/>
          <w:szCs w:val="21"/>
          <w:highlight w:val="none"/>
        </w:rPr>
        <w:t>十一、补充协议</w:t>
      </w:r>
      <w:bookmarkEnd w:id="186"/>
    </w:p>
    <w:p w14:paraId="79FF7C7B">
      <w:pPr>
        <w:pStyle w:val="31"/>
        <w:spacing w:line="360" w:lineRule="auto"/>
        <w:ind w:firstLine="420" w:firstLineChars="200"/>
        <w:rPr>
          <w:rFonts w:hAnsi="宋体"/>
          <w:bCs/>
          <w:color w:val="auto"/>
          <w:szCs w:val="21"/>
          <w:highlight w:val="none"/>
        </w:rPr>
      </w:pPr>
      <w:r>
        <w:rPr>
          <w:rFonts w:hint="eastAsia" w:hAnsi="宋体"/>
          <w:bCs/>
          <w:color w:val="auto"/>
          <w:szCs w:val="21"/>
          <w:highlight w:val="none"/>
        </w:rPr>
        <w:t>合同未尽事宜，合同当事人另行签订补充协议，补充协议是合同的组成部分。</w:t>
      </w:r>
    </w:p>
    <w:p w14:paraId="7F18913B">
      <w:pPr>
        <w:pStyle w:val="31"/>
        <w:spacing w:line="360" w:lineRule="auto"/>
        <w:ind w:firstLine="422" w:firstLineChars="200"/>
        <w:outlineLvl w:val="0"/>
        <w:rPr>
          <w:b/>
          <w:bCs/>
          <w:color w:val="auto"/>
          <w:szCs w:val="21"/>
          <w:highlight w:val="none"/>
        </w:rPr>
      </w:pPr>
      <w:bookmarkStart w:id="187" w:name="_Toc351203492"/>
      <w:r>
        <w:rPr>
          <w:rFonts w:hint="eastAsia" w:hAnsi="宋体"/>
          <w:b/>
          <w:bCs/>
          <w:color w:val="auto"/>
          <w:szCs w:val="21"/>
          <w:highlight w:val="none"/>
        </w:rPr>
        <w:t>十二、合同生效</w:t>
      </w:r>
      <w:bookmarkEnd w:id="187"/>
    </w:p>
    <w:p w14:paraId="4985CB39">
      <w:pPr>
        <w:pStyle w:val="31"/>
        <w:spacing w:line="360" w:lineRule="auto"/>
        <w:ind w:firstLine="420" w:firstLineChars="200"/>
        <w:rPr>
          <w:rFonts w:hAnsi="宋体"/>
          <w:bCs/>
          <w:color w:val="auto"/>
          <w:szCs w:val="21"/>
          <w:highlight w:val="none"/>
        </w:rPr>
      </w:pPr>
      <w:r>
        <w:rPr>
          <w:rFonts w:hint="eastAsia" w:hAnsi="宋体"/>
          <w:bCs/>
          <w:color w:val="auto"/>
          <w:szCs w:val="21"/>
          <w:highlight w:val="none"/>
        </w:rPr>
        <w:t>本合同自</w:t>
      </w:r>
      <w:r>
        <w:rPr>
          <w:rFonts w:hint="eastAsia" w:ascii="Calibri" w:hAnsi="宋体"/>
          <w:color w:val="auto"/>
          <w:szCs w:val="21"/>
          <w:highlight w:val="none"/>
          <w:u w:val="single"/>
        </w:rPr>
        <w:t xml:space="preserve">发包人、承包人签字盖章后  </w:t>
      </w:r>
      <w:r>
        <w:rPr>
          <w:rFonts w:hint="eastAsia" w:hAnsi="宋体"/>
          <w:bCs/>
          <w:color w:val="auto"/>
          <w:szCs w:val="21"/>
          <w:highlight w:val="none"/>
        </w:rPr>
        <w:t>生效。</w:t>
      </w:r>
    </w:p>
    <w:p w14:paraId="418A69A4">
      <w:pPr>
        <w:pStyle w:val="31"/>
        <w:spacing w:line="360" w:lineRule="auto"/>
        <w:ind w:firstLine="422" w:firstLineChars="200"/>
        <w:outlineLvl w:val="0"/>
        <w:rPr>
          <w:b/>
          <w:bCs/>
          <w:color w:val="auto"/>
          <w:szCs w:val="21"/>
          <w:highlight w:val="none"/>
        </w:rPr>
      </w:pPr>
      <w:bookmarkStart w:id="188" w:name="_Toc351203493"/>
      <w:r>
        <w:rPr>
          <w:rFonts w:hint="eastAsia" w:hAnsi="宋体"/>
          <w:b/>
          <w:bCs/>
          <w:color w:val="auto"/>
          <w:szCs w:val="21"/>
          <w:highlight w:val="none"/>
        </w:rPr>
        <w:t>十三、合同份数</w:t>
      </w:r>
      <w:bookmarkEnd w:id="188"/>
    </w:p>
    <w:p w14:paraId="3C57E655">
      <w:pPr>
        <w:pStyle w:val="32"/>
        <w:spacing w:line="360" w:lineRule="auto"/>
        <w:ind w:firstLine="480" w:firstLineChars="200"/>
        <w:rPr>
          <w:rFonts w:hAnsi="宋体"/>
          <w:color w:val="auto"/>
          <w:kern w:val="2"/>
          <w:sz w:val="21"/>
          <w:szCs w:val="21"/>
          <w:highlight w:val="none"/>
        </w:rPr>
      </w:pPr>
      <w:r>
        <w:rPr>
          <w:rFonts w:hint="eastAsia" w:hAnsi="宋体"/>
          <w:color w:val="auto"/>
          <w:kern w:val="2"/>
          <w:sz w:val="24"/>
          <w:szCs w:val="22"/>
          <w:highlight w:val="none"/>
        </w:rPr>
        <w:t>本合同正本一式</w:t>
      </w:r>
      <w:r>
        <w:rPr>
          <w:rFonts w:hint="eastAsia" w:hAnsi="宋体"/>
          <w:color w:val="auto"/>
          <w:kern w:val="2"/>
          <w:sz w:val="24"/>
          <w:szCs w:val="22"/>
          <w:highlight w:val="none"/>
          <w:u w:val="single"/>
          <w:lang w:val="en-US" w:eastAsia="zh-CN"/>
        </w:rPr>
        <w:t xml:space="preserve">   </w:t>
      </w:r>
      <w:r>
        <w:rPr>
          <w:rFonts w:hint="eastAsia" w:hAnsi="宋体"/>
          <w:color w:val="auto"/>
          <w:kern w:val="2"/>
          <w:sz w:val="24"/>
          <w:szCs w:val="22"/>
          <w:highlight w:val="none"/>
        </w:rPr>
        <w:t>份、副本一式</w:t>
      </w:r>
      <w:r>
        <w:rPr>
          <w:rFonts w:hint="eastAsia" w:hAnsi="宋体"/>
          <w:color w:val="auto"/>
          <w:kern w:val="2"/>
          <w:sz w:val="24"/>
          <w:szCs w:val="22"/>
          <w:highlight w:val="none"/>
          <w:u w:val="single"/>
          <w:lang w:val="en-US" w:eastAsia="zh-CN"/>
        </w:rPr>
        <w:t xml:space="preserve">  </w:t>
      </w:r>
      <w:r>
        <w:rPr>
          <w:rFonts w:hint="eastAsia" w:hAnsi="宋体"/>
          <w:color w:val="auto"/>
          <w:kern w:val="2"/>
          <w:sz w:val="24"/>
          <w:szCs w:val="22"/>
          <w:highlight w:val="none"/>
          <w:u w:val="single"/>
        </w:rPr>
        <w:t xml:space="preserve"> </w:t>
      </w:r>
      <w:r>
        <w:rPr>
          <w:rFonts w:hint="eastAsia" w:hAnsi="宋体"/>
          <w:color w:val="auto"/>
          <w:kern w:val="2"/>
          <w:sz w:val="24"/>
          <w:szCs w:val="22"/>
          <w:highlight w:val="none"/>
        </w:rPr>
        <w:t>份，均具有同等法律效力，发包人执正本</w:t>
      </w:r>
      <w:r>
        <w:rPr>
          <w:rFonts w:hint="eastAsia" w:hAnsi="宋体"/>
          <w:color w:val="auto"/>
          <w:kern w:val="2"/>
          <w:sz w:val="24"/>
          <w:szCs w:val="22"/>
          <w:highlight w:val="none"/>
          <w:u w:val="single"/>
          <w:lang w:val="en-US" w:eastAsia="zh-CN"/>
        </w:rPr>
        <w:t xml:space="preserve">  </w:t>
      </w:r>
      <w:r>
        <w:rPr>
          <w:rFonts w:hint="eastAsia" w:hAnsi="宋体"/>
          <w:color w:val="auto"/>
          <w:kern w:val="2"/>
          <w:sz w:val="24"/>
          <w:szCs w:val="22"/>
          <w:highlight w:val="none"/>
        </w:rPr>
        <w:t>份、副本</w:t>
      </w:r>
      <w:r>
        <w:rPr>
          <w:rFonts w:hint="eastAsia" w:ascii="宋体" w:hAnsi="宋体"/>
          <w:color w:val="auto"/>
          <w:sz w:val="24"/>
          <w:highlight w:val="none"/>
          <w:u w:val="single"/>
          <w:lang w:val="en-US" w:eastAsia="zh-CN"/>
        </w:rPr>
        <w:t xml:space="preserve">  </w:t>
      </w:r>
      <w:r>
        <w:rPr>
          <w:rFonts w:hint="eastAsia" w:hAnsi="宋体"/>
          <w:color w:val="auto"/>
          <w:kern w:val="2"/>
          <w:sz w:val="24"/>
          <w:szCs w:val="22"/>
          <w:highlight w:val="none"/>
        </w:rPr>
        <w:t>份，承包人执正本</w:t>
      </w:r>
      <w:r>
        <w:rPr>
          <w:rFonts w:hint="eastAsia" w:hAnsi="宋体"/>
          <w:color w:val="auto"/>
          <w:kern w:val="2"/>
          <w:sz w:val="24"/>
          <w:szCs w:val="22"/>
          <w:highlight w:val="none"/>
          <w:u w:val="single"/>
        </w:rPr>
        <w:t xml:space="preserve"> </w:t>
      </w:r>
      <w:r>
        <w:rPr>
          <w:rFonts w:hint="eastAsia" w:hAnsi="宋体"/>
          <w:color w:val="auto"/>
          <w:kern w:val="2"/>
          <w:sz w:val="24"/>
          <w:szCs w:val="22"/>
          <w:highlight w:val="none"/>
          <w:u w:val="single"/>
          <w:lang w:val="en-US" w:eastAsia="zh-CN"/>
        </w:rPr>
        <w:t xml:space="preserve">  </w:t>
      </w:r>
      <w:r>
        <w:rPr>
          <w:rFonts w:hint="eastAsia" w:hAnsi="宋体"/>
          <w:color w:val="auto"/>
          <w:kern w:val="2"/>
          <w:sz w:val="24"/>
          <w:szCs w:val="22"/>
          <w:highlight w:val="none"/>
        </w:rPr>
        <w:t>份、副本</w:t>
      </w:r>
      <w:r>
        <w:rPr>
          <w:rFonts w:hint="eastAsia" w:hAnsi="宋体"/>
          <w:color w:val="auto"/>
          <w:kern w:val="2"/>
          <w:sz w:val="24"/>
          <w:szCs w:val="22"/>
          <w:highlight w:val="none"/>
          <w:u w:val="single"/>
          <w:lang w:val="en-US" w:eastAsia="zh-CN"/>
        </w:rPr>
        <w:t xml:space="preserve">   </w:t>
      </w:r>
      <w:r>
        <w:rPr>
          <w:rFonts w:hint="eastAsia" w:hAnsi="宋体"/>
          <w:color w:val="auto"/>
          <w:kern w:val="2"/>
          <w:sz w:val="24"/>
          <w:szCs w:val="22"/>
          <w:highlight w:val="none"/>
        </w:rPr>
        <w:t>份。</w:t>
      </w:r>
    </w:p>
    <w:p w14:paraId="22FF935D">
      <w:pPr>
        <w:spacing w:line="360" w:lineRule="auto"/>
        <w:rPr>
          <w:rFonts w:ascii="宋体" w:hAnsi="宋体"/>
          <w:color w:val="auto"/>
          <w:szCs w:val="21"/>
          <w:highlight w:val="none"/>
        </w:rPr>
      </w:pPr>
    </w:p>
    <w:p w14:paraId="048A7777">
      <w:pPr>
        <w:spacing w:line="360" w:lineRule="auto"/>
        <w:rPr>
          <w:rFonts w:ascii="宋体" w:hAnsi="宋体"/>
          <w:color w:val="auto"/>
          <w:szCs w:val="21"/>
          <w:highlight w:val="none"/>
        </w:rPr>
      </w:pPr>
      <w:r>
        <w:rPr>
          <w:rFonts w:hint="eastAsia" w:ascii="宋体" w:hAnsi="宋体"/>
          <w:color w:val="auto"/>
          <w:szCs w:val="21"/>
          <w:highlight w:val="none"/>
        </w:rPr>
        <w:t xml:space="preserve">发包人（建设单位）：（公章）                    承包人：（公章）    </w:t>
      </w:r>
    </w:p>
    <w:p w14:paraId="1AF8C445">
      <w:pPr>
        <w:autoSpaceDE w:val="0"/>
        <w:autoSpaceDN w:val="0"/>
        <w:adjustRightInd w:val="0"/>
        <w:spacing w:line="360" w:lineRule="exact"/>
        <w:rPr>
          <w:rFonts w:ascii="宋体" w:hAnsi="宋体"/>
          <w:color w:val="auto"/>
          <w:szCs w:val="21"/>
          <w:highlight w:val="none"/>
          <w:u w:val="single"/>
        </w:rPr>
      </w:pPr>
    </w:p>
    <w:p w14:paraId="2E3156D4">
      <w:pPr>
        <w:spacing w:line="360" w:lineRule="auto"/>
        <w:rPr>
          <w:rFonts w:ascii="宋体" w:hAnsi="宋体"/>
          <w:color w:val="auto"/>
          <w:szCs w:val="21"/>
          <w:highlight w:val="none"/>
        </w:rPr>
      </w:pPr>
      <w:r>
        <w:rPr>
          <w:rFonts w:hint="eastAsia" w:ascii="宋体" w:hAnsi="宋体"/>
          <w:color w:val="auto"/>
          <w:szCs w:val="21"/>
          <w:highlight w:val="none"/>
        </w:rPr>
        <w:t>法定代表人或其委托代理人：                       法定代表人或其委托代理人：</w:t>
      </w:r>
    </w:p>
    <w:p w14:paraId="51B58F39">
      <w:pPr>
        <w:spacing w:line="360" w:lineRule="auto"/>
        <w:rPr>
          <w:rFonts w:ascii="宋体" w:hAnsi="宋体"/>
          <w:color w:val="auto"/>
          <w:szCs w:val="21"/>
          <w:highlight w:val="none"/>
        </w:rPr>
      </w:pPr>
      <w:r>
        <w:rPr>
          <w:rFonts w:hint="eastAsia" w:ascii="宋体" w:hAnsi="宋体"/>
          <w:color w:val="auto"/>
          <w:szCs w:val="21"/>
          <w:highlight w:val="none"/>
        </w:rPr>
        <w:t>（签字）                                        （签字）</w:t>
      </w:r>
    </w:p>
    <w:p w14:paraId="60CC558E">
      <w:pPr>
        <w:spacing w:line="360" w:lineRule="auto"/>
        <w:rPr>
          <w:rFonts w:ascii="宋体" w:hAnsi="宋体"/>
          <w:color w:val="auto"/>
          <w:szCs w:val="21"/>
          <w:highlight w:val="none"/>
          <w:u w:val="single"/>
        </w:rPr>
      </w:pPr>
    </w:p>
    <w:p w14:paraId="2ADC9A61">
      <w:pPr>
        <w:spacing w:line="360" w:lineRule="auto"/>
        <w:rPr>
          <w:rFonts w:ascii="宋体" w:hAnsi="宋体"/>
          <w:color w:val="auto"/>
          <w:szCs w:val="21"/>
          <w:highlight w:val="none"/>
          <w:u w:val="single"/>
        </w:rPr>
      </w:pPr>
      <w:r>
        <w:rPr>
          <w:rFonts w:hint="eastAsia" w:ascii="宋体" w:hAnsi="宋体"/>
          <w:color w:val="auto"/>
          <w:szCs w:val="21"/>
          <w:highlight w:val="none"/>
        </w:rPr>
        <w:t xml:space="preserve">社会信用代码：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社会信用代码：</w:t>
      </w:r>
    </w:p>
    <w:p w14:paraId="42AE8D97">
      <w:pPr>
        <w:spacing w:line="360" w:lineRule="auto"/>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地址：</w:t>
      </w:r>
    </w:p>
    <w:p w14:paraId="5F4B4158">
      <w:pPr>
        <w:spacing w:line="360" w:lineRule="auto"/>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邮政编码：</w:t>
      </w:r>
    </w:p>
    <w:p w14:paraId="76D73727">
      <w:pPr>
        <w:spacing w:line="360" w:lineRule="auto"/>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电话：</w:t>
      </w:r>
    </w:p>
    <w:p w14:paraId="289F59C2">
      <w:pPr>
        <w:spacing w:line="360" w:lineRule="auto"/>
        <w:rPr>
          <w:rFonts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传真：</w:t>
      </w:r>
    </w:p>
    <w:p w14:paraId="5B333C72">
      <w:pPr>
        <w:spacing w:line="360" w:lineRule="auto"/>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电子信箱：</w:t>
      </w:r>
    </w:p>
    <w:p w14:paraId="79124F3E">
      <w:pPr>
        <w:spacing w:line="360" w:lineRule="auto"/>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开户银行：</w:t>
      </w:r>
    </w:p>
    <w:p w14:paraId="19DD589E">
      <w:pPr>
        <w:spacing w:line="360" w:lineRule="auto"/>
        <w:rPr>
          <w:rFonts w:ascii="宋体" w:hAnsi="宋体"/>
          <w:color w:val="auto"/>
          <w:szCs w:val="21"/>
          <w:highlight w:val="none"/>
          <w:u w:val="single"/>
        </w:rPr>
      </w:pPr>
      <w:r>
        <w:rPr>
          <w:rFonts w:hint="eastAsia" w:ascii="宋体" w:hAnsi="宋体"/>
          <w:color w:val="auto"/>
          <w:szCs w:val="21"/>
          <w:highlight w:val="none"/>
        </w:rPr>
        <w:t>开户账号：</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开户账号：</w:t>
      </w:r>
    </w:p>
    <w:bookmarkEnd w:id="175"/>
    <w:p w14:paraId="79847AE2">
      <w:pPr>
        <w:rPr>
          <w:rFonts w:ascii="宋体" w:hAnsi="宋体" w:cs="宋体"/>
          <w:color w:val="auto"/>
          <w:sz w:val="20"/>
          <w:szCs w:val="22"/>
          <w:highlight w:val="none"/>
        </w:rPr>
      </w:pPr>
    </w:p>
    <w:p w14:paraId="769943B9">
      <w:pPr>
        <w:rPr>
          <w:rFonts w:ascii="宋体" w:hAnsi="宋体"/>
          <w:color w:val="auto"/>
          <w:highlight w:val="none"/>
        </w:rPr>
      </w:pPr>
    </w:p>
    <w:p w14:paraId="10545FAF">
      <w:pPr>
        <w:rPr>
          <w:rFonts w:ascii="宋体" w:hAnsi="宋体"/>
          <w:color w:val="auto"/>
          <w:highlight w:val="none"/>
        </w:rPr>
      </w:pPr>
    </w:p>
    <w:p w14:paraId="23AB7CA9">
      <w:pPr>
        <w:rPr>
          <w:rFonts w:ascii="宋体" w:hAnsi="宋体"/>
          <w:color w:val="auto"/>
          <w:highlight w:val="none"/>
        </w:rPr>
      </w:pPr>
    </w:p>
    <w:p w14:paraId="42C8D949">
      <w:pPr>
        <w:rPr>
          <w:rFonts w:ascii="宋体" w:hAnsi="宋体"/>
          <w:color w:val="auto"/>
          <w:highlight w:val="none"/>
        </w:rPr>
        <w:sectPr>
          <w:footerReference r:id="rId9" w:type="default"/>
          <w:pgSz w:w="11906" w:h="16838"/>
          <w:pgMar w:top="1134" w:right="1134" w:bottom="1134" w:left="1134" w:header="851" w:footer="992" w:gutter="0"/>
          <w:pgNumType w:fmt="decimal"/>
          <w:cols w:space="720" w:num="1"/>
          <w:docGrid w:type="lines" w:linePitch="312" w:charSpace="0"/>
        </w:sectPr>
      </w:pPr>
    </w:p>
    <w:p w14:paraId="65924744">
      <w:pPr>
        <w:keepNext/>
        <w:keepLines/>
        <w:spacing w:line="360" w:lineRule="auto"/>
        <w:jc w:val="center"/>
        <w:outlineLvl w:val="0"/>
        <w:rPr>
          <w:rFonts w:ascii="宋体" w:hAnsi="宋体" w:cs="宋体"/>
          <w:b/>
          <w:bCs/>
          <w:color w:val="auto"/>
          <w:kern w:val="44"/>
          <w:sz w:val="44"/>
          <w:szCs w:val="44"/>
          <w:highlight w:val="none"/>
          <w:lang w:val="zh-CN"/>
        </w:rPr>
        <w:sectPr>
          <w:pgSz w:w="11906" w:h="16838"/>
          <w:pgMar w:top="1134" w:right="1134" w:bottom="1134" w:left="1134" w:header="851" w:footer="992" w:gutter="0"/>
          <w:pgNumType w:fmt="decimal"/>
          <w:cols w:space="720" w:num="1"/>
          <w:docGrid w:type="lines" w:linePitch="312" w:charSpace="0"/>
        </w:sectPr>
      </w:pPr>
      <w:bookmarkStart w:id="189" w:name="_Toc106794740"/>
      <w:r>
        <w:rPr>
          <w:rFonts w:hint="eastAsia" w:ascii="宋体" w:hAnsi="宋体" w:cs="宋体"/>
          <w:b/>
          <w:bCs/>
          <w:color w:val="auto"/>
          <w:kern w:val="44"/>
          <w:sz w:val="44"/>
          <w:szCs w:val="44"/>
          <w:highlight w:val="none"/>
          <w:lang w:val="zh-CN"/>
        </w:rPr>
        <w:t>第二部分</w:t>
      </w:r>
      <w:r>
        <w:rPr>
          <w:rFonts w:hint="eastAsia" w:ascii="宋体" w:hAnsi="宋体" w:cs="宋体"/>
          <w:b/>
          <w:bCs/>
          <w:color w:val="auto"/>
          <w:kern w:val="44"/>
          <w:sz w:val="44"/>
          <w:szCs w:val="44"/>
          <w:highlight w:val="none"/>
          <w:lang w:val="en-US" w:eastAsia="zh-CN"/>
        </w:rPr>
        <w:t xml:space="preserve"> 成交</w:t>
      </w:r>
      <w:r>
        <w:rPr>
          <w:rFonts w:hint="eastAsia" w:ascii="宋体" w:hAnsi="宋体" w:cs="宋体"/>
          <w:b/>
          <w:bCs/>
          <w:color w:val="auto"/>
          <w:kern w:val="44"/>
          <w:sz w:val="44"/>
          <w:szCs w:val="44"/>
          <w:highlight w:val="none"/>
          <w:lang w:val="zh-CN"/>
        </w:rPr>
        <w:t>通知书</w:t>
      </w:r>
      <w:bookmarkEnd w:id="189"/>
    </w:p>
    <w:p w14:paraId="175AE09F">
      <w:pPr>
        <w:widowControl/>
        <w:jc w:val="left"/>
        <w:rPr>
          <w:rFonts w:ascii="宋体" w:hAnsi="宋体" w:cs="宋体"/>
          <w:color w:val="auto"/>
          <w:szCs w:val="22"/>
          <w:highlight w:val="none"/>
          <w:u w:val="single"/>
        </w:rPr>
      </w:pPr>
    </w:p>
    <w:p w14:paraId="64FE390D">
      <w:pPr>
        <w:keepNext/>
        <w:keepLines/>
        <w:spacing w:line="360" w:lineRule="auto"/>
        <w:jc w:val="center"/>
        <w:outlineLvl w:val="0"/>
        <w:rPr>
          <w:rFonts w:ascii="宋体" w:hAnsi="宋体" w:cs="宋体"/>
          <w:b/>
          <w:bCs/>
          <w:color w:val="auto"/>
          <w:kern w:val="0"/>
          <w:sz w:val="44"/>
          <w:szCs w:val="44"/>
          <w:highlight w:val="none"/>
          <w:lang w:val="zh-CN"/>
        </w:rPr>
      </w:pPr>
      <w:bookmarkStart w:id="190" w:name="_Toc256000100"/>
      <w:bookmarkStart w:id="191" w:name="_Toc389065256"/>
      <w:bookmarkStart w:id="192" w:name="_Toc106794741"/>
      <w:bookmarkStart w:id="193" w:name="_Toc407135192"/>
      <w:bookmarkStart w:id="194" w:name="_Toc23781183"/>
      <w:bookmarkStart w:id="195" w:name="_Toc373227691"/>
      <w:bookmarkStart w:id="196" w:name="_Toc373478338"/>
      <w:bookmarkStart w:id="197" w:name="_Toc351203632"/>
      <w:r>
        <w:rPr>
          <w:rFonts w:hint="eastAsia" w:ascii="宋体" w:hAnsi="宋体" w:cs="宋体"/>
          <w:b/>
          <w:bCs/>
          <w:color w:val="auto"/>
          <w:kern w:val="44"/>
          <w:sz w:val="44"/>
          <w:szCs w:val="44"/>
          <w:highlight w:val="none"/>
          <w:lang w:val="zh-CN"/>
        </w:rPr>
        <w:t>第三部分通用合同条款</w:t>
      </w:r>
      <w:bookmarkEnd w:id="190"/>
      <w:bookmarkEnd w:id="191"/>
      <w:bookmarkEnd w:id="192"/>
      <w:bookmarkEnd w:id="193"/>
      <w:bookmarkEnd w:id="194"/>
    </w:p>
    <w:p w14:paraId="2835E01E">
      <w:pPr>
        <w:spacing w:line="360" w:lineRule="auto"/>
        <w:ind w:firstLine="422" w:firstLineChars="200"/>
        <w:rPr>
          <w:color w:val="auto"/>
          <w:highlight w:val="none"/>
          <w:lang w:val="zh-CN"/>
        </w:rPr>
      </w:pPr>
      <w:r>
        <w:rPr>
          <w:rFonts w:hint="eastAsia" w:ascii="宋体" w:hAnsi="宋体" w:cs="宋体"/>
          <w:b/>
          <w:bCs/>
          <w:color w:val="auto"/>
          <w:kern w:val="0"/>
          <w:szCs w:val="22"/>
          <w:highlight w:val="none"/>
        </w:rPr>
        <w:t>采用《建设工程施工合同（示范文本）》（</w:t>
      </w:r>
      <w:r>
        <w:rPr>
          <w:rFonts w:ascii="宋体" w:hAnsi="宋体" w:cs="宋体"/>
          <w:b/>
          <w:bCs/>
          <w:color w:val="auto"/>
          <w:kern w:val="0"/>
          <w:szCs w:val="22"/>
          <w:highlight w:val="none"/>
        </w:rPr>
        <w:t>GF—201</w:t>
      </w:r>
      <w:r>
        <w:rPr>
          <w:rFonts w:hint="eastAsia" w:ascii="宋体" w:hAnsi="宋体" w:cs="宋体"/>
          <w:b/>
          <w:bCs/>
          <w:color w:val="auto"/>
          <w:kern w:val="0"/>
          <w:szCs w:val="22"/>
          <w:highlight w:val="none"/>
        </w:rPr>
        <w:t>7</w:t>
      </w:r>
      <w:r>
        <w:rPr>
          <w:rFonts w:ascii="宋体" w:hAnsi="宋体" w:cs="宋体"/>
          <w:b/>
          <w:bCs/>
          <w:color w:val="auto"/>
          <w:kern w:val="0"/>
          <w:szCs w:val="22"/>
          <w:highlight w:val="none"/>
        </w:rPr>
        <w:t>—0201</w:t>
      </w:r>
      <w:r>
        <w:rPr>
          <w:rFonts w:hint="eastAsia" w:ascii="宋体" w:hAnsi="宋体" w:cs="宋体"/>
          <w:b/>
          <w:bCs/>
          <w:color w:val="auto"/>
          <w:kern w:val="0"/>
          <w:szCs w:val="22"/>
          <w:highlight w:val="none"/>
        </w:rPr>
        <w:t>）。</w:t>
      </w:r>
      <w:bookmarkStart w:id="198" w:name="_Toc23781184"/>
      <w:bookmarkStart w:id="199" w:name="_Toc389065257"/>
      <w:bookmarkStart w:id="200" w:name="_Toc407135193"/>
      <w:bookmarkStart w:id="201" w:name="_Toc256000101"/>
    </w:p>
    <w:p w14:paraId="57971032">
      <w:pPr>
        <w:rPr>
          <w:rFonts w:ascii="宋体" w:hAnsi="宋体"/>
          <w:color w:val="auto"/>
          <w:szCs w:val="22"/>
          <w:highlight w:val="none"/>
        </w:rPr>
      </w:pPr>
    </w:p>
    <w:p w14:paraId="5895DB33">
      <w:pPr>
        <w:spacing w:line="360" w:lineRule="auto"/>
        <w:jc w:val="center"/>
        <w:outlineLvl w:val="0"/>
        <w:rPr>
          <w:rFonts w:ascii="宋体" w:hAnsi="宋体" w:cs="宋体"/>
          <w:b/>
          <w:bCs/>
          <w:color w:val="auto"/>
          <w:kern w:val="44"/>
          <w:sz w:val="36"/>
          <w:szCs w:val="36"/>
          <w:highlight w:val="none"/>
          <w:lang w:val="zh-CN"/>
        </w:rPr>
      </w:pPr>
      <w:bookmarkStart w:id="202" w:name="_Toc106794742"/>
      <w:r>
        <w:rPr>
          <w:rFonts w:hint="eastAsia" w:ascii="宋体" w:hAnsi="宋体" w:cs="宋体"/>
          <w:b/>
          <w:bCs/>
          <w:color w:val="auto"/>
          <w:kern w:val="44"/>
          <w:sz w:val="36"/>
          <w:szCs w:val="36"/>
          <w:highlight w:val="none"/>
          <w:lang w:val="zh-CN"/>
        </w:rPr>
        <w:t>第四部分专用合同条款</w:t>
      </w:r>
      <w:bookmarkEnd w:id="195"/>
      <w:bookmarkEnd w:id="196"/>
      <w:bookmarkEnd w:id="197"/>
      <w:bookmarkEnd w:id="198"/>
      <w:bookmarkEnd w:id="199"/>
      <w:bookmarkEnd w:id="200"/>
      <w:bookmarkEnd w:id="201"/>
      <w:bookmarkEnd w:id="202"/>
    </w:p>
    <w:p w14:paraId="0FF36BC9">
      <w:pPr>
        <w:spacing w:line="360" w:lineRule="auto"/>
        <w:jc w:val="center"/>
        <w:rPr>
          <w:rFonts w:ascii="宋体" w:hAnsi="宋体" w:cs="宋体"/>
          <w:b/>
          <w:bCs/>
          <w:color w:val="auto"/>
          <w:kern w:val="0"/>
          <w:szCs w:val="22"/>
          <w:highlight w:val="none"/>
        </w:rPr>
      </w:pPr>
      <w:r>
        <w:rPr>
          <w:rFonts w:hint="eastAsia" w:ascii="宋体" w:hAnsi="宋体" w:cs="宋体"/>
          <w:b/>
          <w:bCs/>
          <w:color w:val="auto"/>
          <w:kern w:val="0"/>
          <w:szCs w:val="22"/>
          <w:highlight w:val="none"/>
        </w:rPr>
        <w:t>（注：专用合同条款每一条均应填写完整！）</w:t>
      </w:r>
    </w:p>
    <w:p w14:paraId="78C6DAC2">
      <w:pPr>
        <w:pStyle w:val="23"/>
        <w:rPr>
          <w:color w:val="auto"/>
          <w:highlight w:val="none"/>
        </w:rPr>
      </w:pPr>
      <w:bookmarkStart w:id="203" w:name="_Toc373227692"/>
      <w:bookmarkStart w:id="204" w:name="_Toc373478339"/>
      <w:bookmarkStart w:id="205" w:name="_Toc389065258"/>
      <w:bookmarkStart w:id="206" w:name="_Toc351203633"/>
      <w:bookmarkStart w:id="207" w:name="_Toc467599553"/>
      <w:bookmarkStart w:id="208" w:name="_Toc351203652"/>
      <w:r>
        <w:rPr>
          <w:color w:val="auto"/>
          <w:highlight w:val="none"/>
        </w:rPr>
        <w:t>1</w:t>
      </w:r>
      <w:bookmarkStart w:id="209" w:name="_Toc297048342"/>
      <w:bookmarkStart w:id="210" w:name="_Toc297120456"/>
      <w:bookmarkStart w:id="211" w:name="_Toc296503156"/>
      <w:bookmarkStart w:id="212" w:name="_Toc296890984"/>
      <w:bookmarkStart w:id="213" w:name="_Toc296944495"/>
      <w:bookmarkStart w:id="214" w:name="_Toc292559866"/>
      <w:bookmarkStart w:id="215" w:name="_Toc296891196"/>
      <w:bookmarkStart w:id="216" w:name="_Toc296346657"/>
      <w:bookmarkStart w:id="217" w:name="_Toc292559361"/>
      <w:bookmarkStart w:id="218" w:name="_Toc296347155"/>
      <w:r>
        <w:rPr>
          <w:color w:val="auto"/>
          <w:highlight w:val="none"/>
        </w:rPr>
        <w:t xml:space="preserve">. </w:t>
      </w:r>
      <w:r>
        <w:rPr>
          <w:rFonts w:hint="eastAsia" w:hAnsi="宋体"/>
          <w:color w:val="auto"/>
          <w:highlight w:val="none"/>
        </w:rPr>
        <w:t>一般约定</w:t>
      </w:r>
      <w:bookmarkEnd w:id="203"/>
      <w:bookmarkEnd w:id="204"/>
      <w:bookmarkEnd w:id="205"/>
      <w:bookmarkEnd w:id="206"/>
      <w:bookmarkEnd w:id="207"/>
    </w:p>
    <w:bookmarkEnd w:id="209"/>
    <w:bookmarkEnd w:id="210"/>
    <w:bookmarkEnd w:id="211"/>
    <w:bookmarkEnd w:id="212"/>
    <w:bookmarkEnd w:id="213"/>
    <w:bookmarkEnd w:id="214"/>
    <w:bookmarkEnd w:id="215"/>
    <w:bookmarkEnd w:id="216"/>
    <w:bookmarkEnd w:id="217"/>
    <w:bookmarkEnd w:id="218"/>
    <w:p w14:paraId="339EF909">
      <w:pPr>
        <w:pStyle w:val="33"/>
        <w:rPr>
          <w:rFonts w:ascii="Calibri" w:hAnsi="Calibri"/>
          <w:color w:val="auto"/>
          <w:highlight w:val="none"/>
        </w:rPr>
      </w:pPr>
      <w:bookmarkStart w:id="219" w:name="_Toc389065259"/>
      <w:bookmarkStart w:id="220" w:name="_Toc467599554"/>
      <w:bookmarkStart w:id="221" w:name="_Toc373227693"/>
      <w:bookmarkStart w:id="222" w:name="_Toc373478340"/>
      <w:r>
        <w:rPr>
          <w:rFonts w:ascii="Calibri" w:hAnsi="Calibri"/>
          <w:color w:val="auto"/>
          <w:highlight w:val="none"/>
        </w:rPr>
        <w:t xml:space="preserve">1.1 </w:t>
      </w:r>
      <w:r>
        <w:rPr>
          <w:rFonts w:hint="eastAsia" w:ascii="Calibri" w:hAnsi="宋体"/>
          <w:color w:val="auto"/>
          <w:highlight w:val="none"/>
        </w:rPr>
        <w:t>词语定义</w:t>
      </w:r>
      <w:bookmarkEnd w:id="219"/>
      <w:bookmarkEnd w:id="220"/>
      <w:bookmarkEnd w:id="221"/>
      <w:bookmarkEnd w:id="222"/>
    </w:p>
    <w:p w14:paraId="10CFBF4E">
      <w:pPr>
        <w:pStyle w:val="35"/>
        <w:spacing w:line="360" w:lineRule="auto"/>
        <w:ind w:firstLine="420" w:firstLineChars="200"/>
        <w:rPr>
          <w:color w:val="auto"/>
          <w:kern w:val="0"/>
          <w:szCs w:val="21"/>
          <w:highlight w:val="none"/>
        </w:rPr>
      </w:pPr>
      <w:r>
        <w:rPr>
          <w:color w:val="auto"/>
          <w:kern w:val="0"/>
          <w:szCs w:val="21"/>
          <w:highlight w:val="none"/>
        </w:rPr>
        <w:t xml:space="preserve">1.1.1 </w:t>
      </w:r>
      <w:r>
        <w:rPr>
          <w:rFonts w:hint="eastAsia" w:hAnsi="宋体"/>
          <w:color w:val="auto"/>
          <w:kern w:val="0"/>
          <w:szCs w:val="21"/>
          <w:highlight w:val="none"/>
        </w:rPr>
        <w:t>合同</w:t>
      </w:r>
    </w:p>
    <w:p w14:paraId="329CE3BA">
      <w:pPr>
        <w:pStyle w:val="35"/>
        <w:spacing w:line="360" w:lineRule="auto"/>
        <w:ind w:firstLine="420" w:firstLineChars="200"/>
        <w:rPr>
          <w:rFonts w:hAnsi="宋体"/>
          <w:color w:val="auto"/>
          <w:kern w:val="0"/>
          <w:szCs w:val="21"/>
          <w:highlight w:val="none"/>
        </w:rPr>
      </w:pPr>
      <w:r>
        <w:rPr>
          <w:color w:val="auto"/>
          <w:kern w:val="0"/>
          <w:szCs w:val="21"/>
          <w:highlight w:val="none"/>
        </w:rPr>
        <w:t xml:space="preserve">1.1.1.10 </w:t>
      </w:r>
      <w:r>
        <w:rPr>
          <w:rFonts w:hint="eastAsia" w:hAnsi="宋体"/>
          <w:color w:val="auto"/>
          <w:kern w:val="0"/>
          <w:szCs w:val="21"/>
          <w:highlight w:val="none"/>
        </w:rPr>
        <w:t>其他合同文件包括：</w:t>
      </w:r>
      <w:r>
        <w:rPr>
          <w:rFonts w:hAnsi="宋体"/>
          <w:color w:val="auto"/>
          <w:kern w:val="0"/>
          <w:szCs w:val="21"/>
          <w:highlight w:val="none"/>
        </w:rPr>
        <w:t>(1)</w:t>
      </w:r>
      <w:r>
        <w:rPr>
          <w:rFonts w:hint="eastAsia" w:hAnsi="宋体"/>
          <w:color w:val="auto"/>
          <w:kern w:val="0"/>
          <w:szCs w:val="21"/>
          <w:highlight w:val="none"/>
        </w:rPr>
        <w:t>合同协议书；</w:t>
      </w:r>
      <w:r>
        <w:rPr>
          <w:rFonts w:hAnsi="宋体"/>
          <w:color w:val="auto"/>
          <w:kern w:val="0"/>
          <w:szCs w:val="21"/>
          <w:highlight w:val="none"/>
        </w:rPr>
        <w:t>(2)</w:t>
      </w:r>
      <w:r>
        <w:rPr>
          <w:rFonts w:hint="eastAsia" w:hAnsi="宋体"/>
          <w:color w:val="auto"/>
          <w:kern w:val="0"/>
          <w:szCs w:val="21"/>
          <w:highlight w:val="none"/>
          <w:lang w:eastAsia="zh-CN"/>
        </w:rPr>
        <w:t>成交通知书</w:t>
      </w:r>
      <w:r>
        <w:rPr>
          <w:rFonts w:hint="eastAsia" w:hAnsi="宋体"/>
          <w:color w:val="auto"/>
          <w:kern w:val="0"/>
          <w:szCs w:val="21"/>
          <w:highlight w:val="none"/>
        </w:rPr>
        <w:t>；</w:t>
      </w:r>
      <w:r>
        <w:rPr>
          <w:rFonts w:hAnsi="宋体"/>
          <w:color w:val="auto"/>
          <w:kern w:val="0"/>
          <w:szCs w:val="21"/>
          <w:highlight w:val="none"/>
        </w:rPr>
        <w:t>(3)</w:t>
      </w:r>
      <w:r>
        <w:rPr>
          <w:rFonts w:hint="eastAsia" w:hAnsi="宋体"/>
          <w:color w:val="auto"/>
          <w:kern w:val="0"/>
          <w:szCs w:val="21"/>
          <w:highlight w:val="none"/>
          <w:lang w:eastAsia="zh-CN"/>
        </w:rPr>
        <w:t>响应函</w:t>
      </w:r>
      <w:r>
        <w:rPr>
          <w:rFonts w:hint="eastAsia" w:hAnsi="宋体"/>
          <w:color w:val="auto"/>
          <w:kern w:val="0"/>
          <w:szCs w:val="21"/>
          <w:highlight w:val="none"/>
        </w:rPr>
        <w:t>及</w:t>
      </w:r>
      <w:r>
        <w:rPr>
          <w:rFonts w:hint="eastAsia" w:hAnsi="宋体"/>
          <w:color w:val="auto"/>
          <w:kern w:val="0"/>
          <w:szCs w:val="21"/>
          <w:highlight w:val="none"/>
          <w:lang w:eastAsia="zh-CN"/>
        </w:rPr>
        <w:t>响应函</w:t>
      </w:r>
      <w:r>
        <w:rPr>
          <w:rFonts w:hint="eastAsia" w:hAnsi="宋体"/>
          <w:color w:val="auto"/>
          <w:kern w:val="0"/>
          <w:szCs w:val="21"/>
          <w:highlight w:val="none"/>
        </w:rPr>
        <w:t>附录；</w:t>
      </w:r>
      <w:r>
        <w:rPr>
          <w:rFonts w:hAnsi="宋体"/>
          <w:color w:val="auto"/>
          <w:kern w:val="0"/>
          <w:szCs w:val="21"/>
          <w:highlight w:val="none"/>
        </w:rPr>
        <w:t>(4)</w:t>
      </w:r>
      <w:r>
        <w:rPr>
          <w:rFonts w:hint="eastAsia" w:hAnsi="宋体"/>
          <w:color w:val="auto"/>
          <w:kern w:val="0"/>
          <w:szCs w:val="21"/>
          <w:highlight w:val="none"/>
        </w:rPr>
        <w:t>专用合同条款；</w:t>
      </w:r>
      <w:r>
        <w:rPr>
          <w:rFonts w:hAnsi="宋体"/>
          <w:color w:val="auto"/>
          <w:kern w:val="0"/>
          <w:szCs w:val="21"/>
          <w:highlight w:val="none"/>
        </w:rPr>
        <w:t>(5)</w:t>
      </w:r>
      <w:r>
        <w:rPr>
          <w:rFonts w:hint="eastAsia" w:hAnsi="宋体"/>
          <w:color w:val="auto"/>
          <w:kern w:val="0"/>
          <w:szCs w:val="21"/>
          <w:highlight w:val="none"/>
        </w:rPr>
        <w:t>通用合同条款；</w:t>
      </w:r>
      <w:r>
        <w:rPr>
          <w:rFonts w:hAnsi="宋体"/>
          <w:color w:val="auto"/>
          <w:kern w:val="0"/>
          <w:szCs w:val="21"/>
          <w:highlight w:val="none"/>
        </w:rPr>
        <w:t>(6)</w:t>
      </w:r>
      <w:r>
        <w:rPr>
          <w:rFonts w:hint="eastAsia" w:hAnsi="宋体"/>
          <w:color w:val="auto"/>
          <w:kern w:val="0"/>
          <w:szCs w:val="21"/>
          <w:highlight w:val="none"/>
        </w:rPr>
        <w:t>标准、规范及有关技术文件；</w:t>
      </w:r>
      <w:r>
        <w:rPr>
          <w:rFonts w:hAnsi="宋体"/>
          <w:color w:val="auto"/>
          <w:kern w:val="0"/>
          <w:szCs w:val="21"/>
          <w:highlight w:val="none"/>
        </w:rPr>
        <w:t>(7)</w:t>
      </w:r>
      <w:r>
        <w:rPr>
          <w:rFonts w:hint="eastAsia" w:hAnsi="宋体"/>
          <w:color w:val="auto"/>
          <w:kern w:val="0"/>
          <w:szCs w:val="21"/>
          <w:highlight w:val="none"/>
        </w:rPr>
        <w:t>图纸；</w:t>
      </w:r>
      <w:r>
        <w:rPr>
          <w:rFonts w:hAnsi="宋体"/>
          <w:color w:val="auto"/>
          <w:kern w:val="0"/>
          <w:szCs w:val="21"/>
          <w:highlight w:val="none"/>
        </w:rPr>
        <w:t>(8)</w:t>
      </w:r>
      <w:r>
        <w:rPr>
          <w:rFonts w:hint="eastAsia" w:hAnsi="宋体"/>
          <w:color w:val="auto"/>
          <w:kern w:val="0"/>
          <w:szCs w:val="21"/>
          <w:highlight w:val="none"/>
        </w:rPr>
        <w:t>工程量清单；</w:t>
      </w:r>
      <w:r>
        <w:rPr>
          <w:rFonts w:hAnsi="宋体"/>
          <w:color w:val="auto"/>
          <w:kern w:val="0"/>
          <w:szCs w:val="21"/>
          <w:highlight w:val="none"/>
        </w:rPr>
        <w:t>(9)</w:t>
      </w:r>
      <w:r>
        <w:rPr>
          <w:rFonts w:hint="eastAsia" w:hAnsi="宋体"/>
          <w:color w:val="auto"/>
          <w:kern w:val="0"/>
          <w:szCs w:val="21"/>
          <w:highlight w:val="none"/>
        </w:rPr>
        <w:t>招标文件（含补充通知和答疑）（</w:t>
      </w:r>
      <w:r>
        <w:rPr>
          <w:rFonts w:hAnsi="宋体"/>
          <w:color w:val="auto"/>
          <w:kern w:val="0"/>
          <w:szCs w:val="21"/>
          <w:highlight w:val="none"/>
        </w:rPr>
        <w:t>10</w:t>
      </w:r>
      <w:r>
        <w:rPr>
          <w:rFonts w:hint="eastAsia" w:hAnsi="宋体"/>
          <w:color w:val="auto"/>
          <w:kern w:val="0"/>
          <w:szCs w:val="21"/>
          <w:highlight w:val="none"/>
        </w:rPr>
        <w:t>）廉政责任书；</w:t>
      </w:r>
      <w:r>
        <w:rPr>
          <w:rFonts w:hAnsi="宋体"/>
          <w:color w:val="auto"/>
          <w:kern w:val="0"/>
          <w:szCs w:val="21"/>
          <w:highlight w:val="none"/>
        </w:rPr>
        <w:t>(11)</w:t>
      </w:r>
      <w:r>
        <w:rPr>
          <w:rFonts w:hint="eastAsia" w:hAnsi="宋体"/>
          <w:color w:val="auto"/>
          <w:kern w:val="0"/>
          <w:szCs w:val="21"/>
          <w:highlight w:val="none"/>
        </w:rPr>
        <w:t>履约保证金缴纳证明；</w:t>
      </w:r>
      <w:r>
        <w:rPr>
          <w:rFonts w:hAnsi="宋体"/>
          <w:color w:val="auto"/>
          <w:kern w:val="0"/>
          <w:szCs w:val="21"/>
          <w:highlight w:val="none"/>
        </w:rPr>
        <w:t>(12)</w:t>
      </w:r>
      <w:r>
        <w:rPr>
          <w:rFonts w:hint="eastAsia" w:hAnsi="宋体"/>
          <w:color w:val="auto"/>
          <w:kern w:val="0"/>
          <w:szCs w:val="21"/>
          <w:highlight w:val="none"/>
        </w:rPr>
        <w:t>农民工工资保障金缴纳证明；</w:t>
      </w:r>
      <w:r>
        <w:rPr>
          <w:rFonts w:hAnsi="宋体"/>
          <w:color w:val="auto"/>
          <w:kern w:val="0"/>
          <w:szCs w:val="21"/>
          <w:highlight w:val="none"/>
        </w:rPr>
        <w:t>(13)</w:t>
      </w:r>
      <w:r>
        <w:rPr>
          <w:rFonts w:hint="eastAsia" w:hAnsi="宋体"/>
          <w:color w:val="auto"/>
          <w:kern w:val="0"/>
          <w:szCs w:val="21"/>
          <w:highlight w:val="none"/>
        </w:rPr>
        <w:t>其他合同文件。</w:t>
      </w:r>
    </w:p>
    <w:p w14:paraId="26284EEF">
      <w:pPr>
        <w:pStyle w:val="35"/>
        <w:spacing w:line="360" w:lineRule="auto"/>
        <w:ind w:firstLine="420" w:firstLineChars="200"/>
        <w:rPr>
          <w:color w:val="auto"/>
          <w:szCs w:val="21"/>
          <w:highlight w:val="none"/>
        </w:rPr>
      </w:pPr>
      <w:r>
        <w:rPr>
          <w:color w:val="auto"/>
          <w:szCs w:val="21"/>
          <w:highlight w:val="none"/>
        </w:rPr>
        <w:t xml:space="preserve">1.1.2 </w:t>
      </w:r>
      <w:r>
        <w:rPr>
          <w:rFonts w:hint="eastAsia" w:hAnsi="宋体"/>
          <w:color w:val="auto"/>
          <w:szCs w:val="21"/>
          <w:highlight w:val="none"/>
        </w:rPr>
        <w:t>合同当事人及其他相关方</w:t>
      </w:r>
    </w:p>
    <w:p w14:paraId="7AF725AF">
      <w:pPr>
        <w:pStyle w:val="35"/>
        <w:spacing w:line="360" w:lineRule="auto"/>
        <w:ind w:firstLine="420" w:firstLineChars="200"/>
        <w:outlineLvl w:val="0"/>
        <w:rPr>
          <w:color w:val="auto"/>
          <w:szCs w:val="21"/>
          <w:highlight w:val="none"/>
        </w:rPr>
      </w:pPr>
      <w:r>
        <w:rPr>
          <w:color w:val="auto"/>
          <w:szCs w:val="21"/>
          <w:highlight w:val="none"/>
        </w:rPr>
        <w:t xml:space="preserve">1.1.2.4 </w:t>
      </w:r>
      <w:r>
        <w:rPr>
          <w:rFonts w:hint="eastAsia" w:hAnsi="宋体"/>
          <w:color w:val="auto"/>
          <w:szCs w:val="21"/>
          <w:highlight w:val="none"/>
        </w:rPr>
        <w:t>监理人：</w:t>
      </w:r>
    </w:p>
    <w:p w14:paraId="28472B60">
      <w:pPr>
        <w:pStyle w:val="35"/>
        <w:spacing w:line="360" w:lineRule="auto"/>
        <w:ind w:firstLine="420" w:firstLineChars="200"/>
        <w:rPr>
          <w:color w:val="auto"/>
          <w:szCs w:val="21"/>
          <w:highlight w:val="none"/>
        </w:rPr>
      </w:pPr>
      <w:r>
        <w:rPr>
          <w:rFonts w:hint="eastAsia" w:hAnsi="宋体"/>
          <w:color w:val="auto"/>
          <w:szCs w:val="21"/>
          <w:highlight w:val="none"/>
        </w:rPr>
        <w:t>名称：</w:t>
      </w:r>
      <w:r>
        <w:rPr>
          <w:rFonts w:hAnsi="宋体"/>
          <w:color w:val="auto"/>
          <w:szCs w:val="21"/>
          <w:highlight w:val="none"/>
          <w:u w:val="single"/>
        </w:rPr>
        <w:t></w:t>
      </w:r>
      <w:r>
        <w:rPr>
          <w:rFonts w:ascii="Times New Roman" w:hAnsi="宋体"/>
          <w:color w:val="auto"/>
          <w:szCs w:val="21"/>
          <w:highlight w:val="none"/>
          <w:u w:val="single"/>
        </w:rPr>
        <w:t></w:t>
      </w:r>
      <w:r>
        <w:rPr>
          <w:rFonts w:hAnsi="宋体"/>
          <w:color w:val="auto"/>
          <w:szCs w:val="21"/>
          <w:highlight w:val="none"/>
          <w:u w:val="single"/>
        </w:rPr>
        <w:t></w:t>
      </w:r>
      <w:r>
        <w:rPr>
          <w:rFonts w:hint="eastAsia" w:hAnsi="宋体"/>
          <w:color w:val="auto"/>
          <w:szCs w:val="21"/>
          <w:highlight w:val="none"/>
        </w:rPr>
        <w:t>；</w:t>
      </w:r>
    </w:p>
    <w:p w14:paraId="2BDE129A">
      <w:pPr>
        <w:pStyle w:val="35"/>
        <w:spacing w:line="360" w:lineRule="auto"/>
        <w:ind w:firstLine="420" w:firstLineChars="200"/>
        <w:rPr>
          <w:color w:val="auto"/>
          <w:szCs w:val="21"/>
          <w:highlight w:val="none"/>
        </w:rPr>
      </w:pPr>
      <w:r>
        <w:rPr>
          <w:rFonts w:hint="eastAsia" w:hAnsi="宋体"/>
          <w:color w:val="auto"/>
          <w:szCs w:val="21"/>
          <w:highlight w:val="none"/>
        </w:rPr>
        <w:t>资质类别和等级：</w:t>
      </w:r>
      <w:r>
        <w:rPr>
          <w:rFonts w:hAnsi="宋体"/>
          <w:color w:val="auto"/>
          <w:szCs w:val="21"/>
          <w:highlight w:val="none"/>
          <w:u w:val="single"/>
        </w:rPr>
        <w:t></w:t>
      </w:r>
      <w:r>
        <w:rPr>
          <w:rFonts w:hint="eastAsia" w:hAnsi="宋体"/>
          <w:color w:val="auto"/>
          <w:szCs w:val="21"/>
          <w:highlight w:val="none"/>
        </w:rPr>
        <w:t>；</w:t>
      </w:r>
    </w:p>
    <w:p w14:paraId="3E66F086">
      <w:pPr>
        <w:pStyle w:val="35"/>
        <w:spacing w:line="360" w:lineRule="auto"/>
        <w:ind w:firstLine="420" w:firstLineChars="200"/>
        <w:rPr>
          <w:color w:val="auto"/>
          <w:szCs w:val="21"/>
          <w:highlight w:val="none"/>
        </w:rPr>
      </w:pPr>
      <w:r>
        <w:rPr>
          <w:rFonts w:hint="eastAsia" w:hAnsi="宋体"/>
          <w:color w:val="auto"/>
          <w:szCs w:val="21"/>
          <w:highlight w:val="none"/>
        </w:rPr>
        <w:t>联系电话：</w:t>
      </w:r>
      <w:r>
        <w:rPr>
          <w:rFonts w:hAnsi="宋体"/>
          <w:color w:val="auto"/>
          <w:szCs w:val="21"/>
          <w:highlight w:val="none"/>
          <w:u w:val="single"/>
        </w:rPr>
        <w:t></w:t>
      </w:r>
      <w:r>
        <w:rPr>
          <w:rFonts w:hint="eastAsia"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color w:val="auto"/>
          <w:szCs w:val="21"/>
          <w:highlight w:val="none"/>
        </w:rPr>
        <w:t>；</w:t>
      </w:r>
    </w:p>
    <w:p w14:paraId="1FAE8F0F">
      <w:pPr>
        <w:pStyle w:val="35"/>
        <w:spacing w:line="360" w:lineRule="auto"/>
        <w:ind w:firstLine="420" w:firstLineChars="200"/>
        <w:rPr>
          <w:color w:val="auto"/>
          <w:szCs w:val="21"/>
          <w:highlight w:val="none"/>
        </w:rPr>
      </w:pPr>
      <w:r>
        <w:rPr>
          <w:rFonts w:hint="eastAsia" w:hAnsi="宋体"/>
          <w:color w:val="auto"/>
          <w:szCs w:val="21"/>
          <w:highlight w:val="none"/>
        </w:rPr>
        <w:t>电子信箱：</w:t>
      </w:r>
      <w:r>
        <w:rPr>
          <w:rFonts w:hAnsi="宋体"/>
          <w:color w:val="auto"/>
          <w:szCs w:val="21"/>
          <w:highlight w:val="none"/>
          <w:u w:val="single"/>
        </w:rPr>
        <w:t></w:t>
      </w:r>
      <w:r>
        <w:rPr>
          <w:rFonts w:hint="eastAsia"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color w:val="auto"/>
          <w:szCs w:val="21"/>
          <w:highlight w:val="none"/>
        </w:rPr>
        <w:t>；</w:t>
      </w:r>
    </w:p>
    <w:p w14:paraId="3B482D4F">
      <w:pPr>
        <w:pStyle w:val="35"/>
        <w:spacing w:line="360" w:lineRule="auto"/>
        <w:ind w:firstLine="420" w:firstLineChars="200"/>
        <w:rPr>
          <w:color w:val="auto"/>
          <w:szCs w:val="21"/>
          <w:highlight w:val="none"/>
        </w:rPr>
      </w:pPr>
      <w:r>
        <w:rPr>
          <w:rFonts w:hint="eastAsia" w:hAnsi="宋体"/>
          <w:color w:val="auto"/>
          <w:szCs w:val="21"/>
          <w:highlight w:val="none"/>
        </w:rPr>
        <w:t>通信地址：</w:t>
      </w:r>
      <w:r>
        <w:rPr>
          <w:rFonts w:hAnsi="宋体"/>
          <w:color w:val="auto"/>
          <w:szCs w:val="21"/>
          <w:highlight w:val="none"/>
          <w:u w:val="single"/>
        </w:rPr>
        <w:t></w:t>
      </w:r>
      <w:r>
        <w:rPr>
          <w:rFonts w:ascii="Times New Roman" w:hAnsi="宋体"/>
          <w:color w:val="auto"/>
          <w:szCs w:val="21"/>
          <w:highlight w:val="none"/>
          <w:u w:val="single"/>
        </w:rPr>
        <w:t></w:t>
      </w:r>
      <w:r>
        <w:rPr>
          <w:rFonts w:hAnsi="宋体"/>
          <w:color w:val="auto"/>
          <w:szCs w:val="21"/>
          <w:highlight w:val="none"/>
          <w:u w:val="single"/>
        </w:rPr>
        <w:t></w:t>
      </w:r>
      <w:r>
        <w:rPr>
          <w:rFonts w:hint="eastAsia" w:hAnsi="宋体"/>
          <w:color w:val="auto"/>
          <w:szCs w:val="21"/>
          <w:highlight w:val="none"/>
        </w:rPr>
        <w:t>。</w:t>
      </w:r>
    </w:p>
    <w:p w14:paraId="45BE72E5">
      <w:pPr>
        <w:pStyle w:val="35"/>
        <w:spacing w:line="360" w:lineRule="auto"/>
        <w:ind w:firstLine="420" w:firstLineChars="200"/>
        <w:outlineLvl w:val="0"/>
        <w:rPr>
          <w:color w:val="auto"/>
          <w:szCs w:val="21"/>
          <w:highlight w:val="none"/>
        </w:rPr>
      </w:pPr>
      <w:r>
        <w:rPr>
          <w:color w:val="auto"/>
          <w:szCs w:val="21"/>
          <w:highlight w:val="none"/>
        </w:rPr>
        <w:t xml:space="preserve">1.1.2.5 </w:t>
      </w:r>
      <w:r>
        <w:rPr>
          <w:rFonts w:hint="eastAsia" w:hAnsi="宋体"/>
          <w:color w:val="auto"/>
          <w:szCs w:val="21"/>
          <w:highlight w:val="none"/>
        </w:rPr>
        <w:t>设计人：</w:t>
      </w:r>
    </w:p>
    <w:p w14:paraId="7F1A5CF0">
      <w:pPr>
        <w:pStyle w:val="25"/>
        <w:spacing w:line="360" w:lineRule="auto"/>
        <w:ind w:firstLine="420" w:firstLineChars="200"/>
        <w:rPr>
          <w:rFonts w:ascii="宋体" w:hAnsi="宋体"/>
          <w:color w:val="auto"/>
          <w:szCs w:val="21"/>
          <w:highlight w:val="none"/>
        </w:rPr>
      </w:pPr>
      <w:r>
        <w:rPr>
          <w:rFonts w:ascii="宋体" w:hAnsi="宋体"/>
          <w:color w:val="auto"/>
          <w:szCs w:val="21"/>
          <w:highlight w:val="none"/>
        </w:rPr>
        <w:t>名    称</w:t>
      </w:r>
      <w:r>
        <w:rPr>
          <w:rFonts w:hint="eastAsia" w:ascii="宋体" w:hAnsi="宋体"/>
          <w:color w:val="auto"/>
          <w:szCs w:val="21"/>
          <w:highlight w:val="none"/>
        </w:rPr>
        <w:t>：</w:t>
      </w:r>
      <w:r>
        <w:rPr>
          <w:rFonts w:hint="eastAsia" w:hAnsi="宋体"/>
          <w:color w:val="auto"/>
          <w:szCs w:val="21"/>
          <w:highlight w:val="none"/>
          <w:u w:val="single"/>
          <w:lang w:val="en-US" w:eastAsia="zh-CN"/>
        </w:rPr>
        <w:t xml:space="preserve">   </w:t>
      </w:r>
      <w:r>
        <w:rPr>
          <w:rFonts w:ascii="宋体" w:hAnsi="宋体"/>
          <w:color w:val="auto"/>
          <w:szCs w:val="21"/>
          <w:highlight w:val="none"/>
        </w:rPr>
        <w:t>；</w:t>
      </w:r>
    </w:p>
    <w:p w14:paraId="619EB323">
      <w:pPr>
        <w:pStyle w:val="25"/>
        <w:spacing w:line="360" w:lineRule="auto"/>
        <w:ind w:firstLine="420" w:firstLineChars="200"/>
        <w:rPr>
          <w:rFonts w:ascii="宋体" w:hAnsi="宋体"/>
          <w:color w:val="auto"/>
          <w:szCs w:val="21"/>
          <w:highlight w:val="none"/>
        </w:rPr>
      </w:pPr>
      <w:r>
        <w:rPr>
          <w:rFonts w:ascii="宋体" w:hAnsi="宋体"/>
          <w:color w:val="auto"/>
          <w:szCs w:val="21"/>
          <w:highlight w:val="none"/>
        </w:rPr>
        <w:t>资质类别和等级：</w:t>
      </w:r>
      <w:r>
        <w:rPr>
          <w:rFonts w:hint="eastAsia" w:hAnsi="宋体"/>
          <w:color w:val="auto"/>
          <w:szCs w:val="21"/>
          <w:highlight w:val="none"/>
          <w:u w:val="single"/>
          <w:lang w:val="en-US" w:eastAsia="zh-CN"/>
        </w:rPr>
        <w:t xml:space="preserve">      </w:t>
      </w:r>
      <w:r>
        <w:rPr>
          <w:rFonts w:ascii="宋体" w:hAnsi="宋体"/>
          <w:color w:val="auto"/>
          <w:szCs w:val="21"/>
          <w:highlight w:val="none"/>
        </w:rPr>
        <w:t>；</w:t>
      </w:r>
    </w:p>
    <w:p w14:paraId="53CA7366">
      <w:pPr>
        <w:pStyle w:val="25"/>
        <w:spacing w:line="360" w:lineRule="auto"/>
        <w:ind w:firstLine="420" w:firstLineChars="200"/>
        <w:rPr>
          <w:rFonts w:ascii="宋体" w:hAnsi="宋体"/>
          <w:color w:val="auto"/>
          <w:szCs w:val="21"/>
          <w:highlight w:val="none"/>
        </w:rPr>
      </w:pPr>
      <w:r>
        <w:rPr>
          <w:rFonts w:ascii="宋体" w:hAnsi="宋体"/>
          <w:color w:val="auto"/>
          <w:szCs w:val="21"/>
          <w:highlight w:val="none"/>
        </w:rPr>
        <w:t>联系电话：</w:t>
      </w:r>
      <w:r>
        <w:rPr>
          <w:rFonts w:hint="eastAsia" w:hAnsi="宋体"/>
          <w:color w:val="auto"/>
          <w:szCs w:val="21"/>
          <w:highlight w:val="none"/>
          <w:u w:val="single"/>
          <w:lang w:val="en-US" w:eastAsia="zh-CN"/>
        </w:rPr>
        <w:t xml:space="preserve">    </w:t>
      </w:r>
      <w:r>
        <w:rPr>
          <w:rFonts w:ascii="宋体" w:hAnsi="宋体"/>
          <w:color w:val="auto"/>
          <w:szCs w:val="21"/>
          <w:highlight w:val="none"/>
        </w:rPr>
        <w:t>；</w:t>
      </w:r>
    </w:p>
    <w:p w14:paraId="10C78C9B">
      <w:pPr>
        <w:pStyle w:val="25"/>
        <w:spacing w:line="360" w:lineRule="auto"/>
        <w:ind w:firstLine="420" w:firstLineChars="200"/>
        <w:rPr>
          <w:rFonts w:ascii="宋体" w:hAnsi="宋体"/>
          <w:color w:val="auto"/>
          <w:szCs w:val="21"/>
          <w:highlight w:val="none"/>
        </w:rPr>
      </w:pPr>
      <w:r>
        <w:rPr>
          <w:rFonts w:ascii="宋体" w:hAnsi="宋体"/>
          <w:color w:val="auto"/>
          <w:szCs w:val="21"/>
          <w:highlight w:val="none"/>
        </w:rPr>
        <w:t>电子信箱：</w:t>
      </w:r>
      <w:r>
        <w:rPr>
          <w:rFonts w:hint="eastAsia" w:hAnsi="宋体"/>
          <w:color w:val="auto"/>
          <w:szCs w:val="21"/>
          <w:highlight w:val="none"/>
          <w:u w:val="single"/>
          <w:lang w:val="en-US" w:eastAsia="zh-CN"/>
        </w:rPr>
        <w:t xml:space="preserve">         </w:t>
      </w:r>
      <w:r>
        <w:rPr>
          <w:rFonts w:ascii="宋体" w:hAnsi="宋体"/>
          <w:color w:val="auto"/>
          <w:szCs w:val="21"/>
          <w:highlight w:val="none"/>
        </w:rPr>
        <w:t>；</w:t>
      </w:r>
    </w:p>
    <w:p w14:paraId="3F0F3336">
      <w:pPr>
        <w:pStyle w:val="25"/>
        <w:spacing w:line="360" w:lineRule="auto"/>
        <w:ind w:firstLine="420" w:firstLineChars="200"/>
        <w:rPr>
          <w:rFonts w:ascii="宋体" w:hAnsi="宋体"/>
          <w:color w:val="auto"/>
          <w:szCs w:val="21"/>
          <w:highlight w:val="none"/>
        </w:rPr>
      </w:pPr>
      <w:r>
        <w:rPr>
          <w:rFonts w:ascii="宋体" w:hAnsi="宋体"/>
          <w:color w:val="auto"/>
          <w:szCs w:val="21"/>
          <w:highlight w:val="none"/>
        </w:rPr>
        <w:t>通信地址：</w:t>
      </w:r>
      <w:r>
        <w:rPr>
          <w:rFonts w:hint="eastAsia" w:hAnsi="宋体"/>
          <w:color w:val="auto"/>
          <w:szCs w:val="21"/>
          <w:highlight w:val="none"/>
          <w:u w:val="single"/>
          <w:lang w:val="en-US" w:eastAsia="zh-CN"/>
        </w:rPr>
        <w:t xml:space="preserve">         </w:t>
      </w:r>
      <w:r>
        <w:rPr>
          <w:rFonts w:ascii="宋体" w:hAnsi="宋体"/>
          <w:color w:val="auto"/>
          <w:szCs w:val="21"/>
          <w:highlight w:val="none"/>
        </w:rPr>
        <w:t>。</w:t>
      </w:r>
    </w:p>
    <w:p w14:paraId="188E87AA">
      <w:pPr>
        <w:pStyle w:val="35"/>
        <w:spacing w:line="360" w:lineRule="auto"/>
        <w:ind w:firstLine="420" w:firstLineChars="200"/>
        <w:rPr>
          <w:color w:val="auto"/>
          <w:szCs w:val="21"/>
          <w:highlight w:val="none"/>
        </w:rPr>
      </w:pPr>
      <w:r>
        <w:rPr>
          <w:color w:val="auto"/>
          <w:szCs w:val="21"/>
          <w:highlight w:val="none"/>
        </w:rPr>
        <w:t xml:space="preserve">1.1.3 </w:t>
      </w:r>
      <w:r>
        <w:rPr>
          <w:rFonts w:hint="eastAsia" w:hAnsi="宋体"/>
          <w:color w:val="auto"/>
          <w:szCs w:val="21"/>
          <w:highlight w:val="none"/>
        </w:rPr>
        <w:t>工程和设备</w:t>
      </w:r>
    </w:p>
    <w:p w14:paraId="11674DBD">
      <w:pPr>
        <w:pStyle w:val="35"/>
        <w:spacing w:line="360" w:lineRule="auto"/>
        <w:ind w:firstLine="420" w:firstLineChars="200"/>
        <w:outlineLvl w:val="0"/>
        <w:rPr>
          <w:rFonts w:hAnsi="宋体"/>
          <w:color w:val="auto"/>
          <w:szCs w:val="21"/>
          <w:highlight w:val="none"/>
        </w:rPr>
      </w:pPr>
      <w:r>
        <w:rPr>
          <w:color w:val="auto"/>
          <w:szCs w:val="21"/>
          <w:highlight w:val="none"/>
        </w:rPr>
        <w:t xml:space="preserve">1.1.3.7 </w:t>
      </w:r>
      <w:r>
        <w:rPr>
          <w:rFonts w:hint="eastAsia" w:hAnsi="宋体"/>
          <w:color w:val="auto"/>
          <w:szCs w:val="21"/>
          <w:highlight w:val="none"/>
        </w:rPr>
        <w:t>作为施工现场组成部分的其他场所包括：符合通用条款规定的发包方提供的施工场地。</w:t>
      </w:r>
    </w:p>
    <w:p w14:paraId="0D733DFA">
      <w:pPr>
        <w:pStyle w:val="35"/>
        <w:spacing w:line="360" w:lineRule="auto"/>
        <w:ind w:firstLine="420" w:firstLineChars="200"/>
        <w:outlineLvl w:val="0"/>
        <w:rPr>
          <w:rFonts w:hAnsi="宋体"/>
          <w:color w:val="auto"/>
          <w:szCs w:val="21"/>
          <w:highlight w:val="none"/>
        </w:rPr>
      </w:pPr>
      <w:r>
        <w:rPr>
          <w:rFonts w:hAnsi="宋体"/>
          <w:color w:val="auto"/>
          <w:szCs w:val="21"/>
          <w:highlight w:val="none"/>
        </w:rPr>
        <w:t xml:space="preserve">1.1.3.9 </w:t>
      </w:r>
      <w:r>
        <w:rPr>
          <w:rFonts w:hint="eastAsia" w:hAnsi="宋体"/>
          <w:color w:val="auto"/>
          <w:szCs w:val="21"/>
          <w:highlight w:val="none"/>
        </w:rPr>
        <w:t>永久占地包括：招标文件和施工图包含的全部工程内容。</w:t>
      </w:r>
    </w:p>
    <w:p w14:paraId="671F65A5">
      <w:pPr>
        <w:pStyle w:val="35"/>
        <w:spacing w:line="360" w:lineRule="auto"/>
        <w:ind w:firstLine="420" w:firstLineChars="200"/>
        <w:outlineLvl w:val="0"/>
        <w:rPr>
          <w:color w:val="auto"/>
          <w:szCs w:val="21"/>
          <w:highlight w:val="none"/>
        </w:rPr>
      </w:pPr>
      <w:r>
        <w:rPr>
          <w:rFonts w:hAnsi="宋体"/>
          <w:color w:val="auto"/>
          <w:szCs w:val="21"/>
          <w:highlight w:val="none"/>
        </w:rPr>
        <w:t xml:space="preserve">1.1.3.10 </w:t>
      </w:r>
      <w:r>
        <w:rPr>
          <w:rFonts w:hint="eastAsia" w:hAnsi="宋体"/>
          <w:color w:val="auto"/>
          <w:szCs w:val="21"/>
          <w:highlight w:val="none"/>
        </w:rPr>
        <w:t>临时占地包括：招标文件和施工图包含的全部工程内容。</w:t>
      </w:r>
    </w:p>
    <w:p w14:paraId="33F614AD">
      <w:pPr>
        <w:pStyle w:val="35"/>
        <w:spacing w:line="360" w:lineRule="auto"/>
        <w:rPr>
          <w:color w:val="auto"/>
          <w:szCs w:val="21"/>
          <w:highlight w:val="none"/>
        </w:rPr>
      </w:pPr>
      <w:bookmarkStart w:id="223" w:name="_Toc373478341"/>
      <w:bookmarkStart w:id="224" w:name="_Toc467599555"/>
      <w:bookmarkStart w:id="225" w:name="_Toc373227694"/>
      <w:bookmarkStart w:id="226" w:name="_Toc389065260"/>
      <w:r>
        <w:rPr>
          <w:b/>
          <w:bCs/>
          <w:color w:val="auto"/>
          <w:szCs w:val="21"/>
          <w:highlight w:val="none"/>
        </w:rPr>
        <w:t xml:space="preserve">1.3 </w:t>
      </w:r>
      <w:r>
        <w:rPr>
          <w:rFonts w:hint="eastAsia"/>
          <w:b/>
          <w:bCs/>
          <w:color w:val="auto"/>
          <w:szCs w:val="21"/>
          <w:highlight w:val="none"/>
        </w:rPr>
        <w:t>法律</w:t>
      </w:r>
      <w:bookmarkEnd w:id="223"/>
      <w:bookmarkEnd w:id="224"/>
      <w:bookmarkEnd w:id="225"/>
      <w:bookmarkEnd w:id="226"/>
    </w:p>
    <w:p w14:paraId="09A71E7E">
      <w:pPr>
        <w:pStyle w:val="35"/>
        <w:spacing w:line="360" w:lineRule="auto"/>
        <w:ind w:firstLine="420" w:firstLineChars="200"/>
        <w:rPr>
          <w:color w:val="auto"/>
          <w:szCs w:val="21"/>
          <w:highlight w:val="none"/>
        </w:rPr>
      </w:pPr>
      <w:r>
        <w:rPr>
          <w:rFonts w:hint="eastAsia"/>
          <w:color w:val="auto"/>
          <w:szCs w:val="21"/>
          <w:highlight w:val="none"/>
        </w:rPr>
        <w:t>适用于合同的其他规范性文件：</w:t>
      </w:r>
      <w:r>
        <w:rPr>
          <w:rFonts w:hint="eastAsia"/>
          <w:color w:val="auto"/>
          <w:szCs w:val="21"/>
          <w:highlight w:val="none"/>
          <w:u w:val="single"/>
        </w:rPr>
        <w:t>按通用条款1.3条执行</w:t>
      </w:r>
      <w:r>
        <w:rPr>
          <w:rFonts w:hint="eastAsia"/>
          <w:color w:val="auto"/>
          <w:szCs w:val="21"/>
          <w:highlight w:val="none"/>
        </w:rPr>
        <w:t>。</w:t>
      </w:r>
      <w:bookmarkStart w:id="227" w:name="_Toc389065261"/>
      <w:bookmarkStart w:id="228" w:name="_Toc373478342"/>
      <w:bookmarkStart w:id="229" w:name="_Toc467599556"/>
      <w:bookmarkStart w:id="230" w:name="_Toc373227695"/>
    </w:p>
    <w:p w14:paraId="197AB71D">
      <w:pPr>
        <w:pStyle w:val="35"/>
        <w:spacing w:line="360" w:lineRule="auto"/>
        <w:rPr>
          <w:color w:val="auto"/>
          <w:szCs w:val="21"/>
          <w:highlight w:val="none"/>
        </w:rPr>
      </w:pPr>
      <w:r>
        <w:rPr>
          <w:b/>
          <w:bCs/>
          <w:color w:val="auto"/>
          <w:szCs w:val="21"/>
          <w:highlight w:val="none"/>
        </w:rPr>
        <w:t xml:space="preserve">1.4 </w:t>
      </w:r>
      <w:r>
        <w:rPr>
          <w:rFonts w:hint="eastAsia"/>
          <w:b/>
          <w:bCs/>
          <w:color w:val="auto"/>
          <w:szCs w:val="21"/>
          <w:highlight w:val="none"/>
        </w:rPr>
        <w:t>标准和规范</w:t>
      </w:r>
      <w:bookmarkEnd w:id="227"/>
      <w:bookmarkEnd w:id="228"/>
      <w:bookmarkEnd w:id="229"/>
      <w:bookmarkEnd w:id="230"/>
    </w:p>
    <w:p w14:paraId="45B430D1">
      <w:pPr>
        <w:pStyle w:val="35"/>
        <w:spacing w:line="360" w:lineRule="auto"/>
        <w:ind w:firstLine="420" w:firstLineChars="200"/>
        <w:rPr>
          <w:color w:val="auto"/>
          <w:szCs w:val="21"/>
          <w:highlight w:val="none"/>
        </w:rPr>
      </w:pPr>
      <w:r>
        <w:rPr>
          <w:color w:val="auto"/>
          <w:szCs w:val="21"/>
          <w:highlight w:val="none"/>
        </w:rPr>
        <w:t xml:space="preserve">1.4.1 </w:t>
      </w:r>
      <w:r>
        <w:rPr>
          <w:rFonts w:hint="eastAsia" w:hAnsi="宋体"/>
          <w:color w:val="auto"/>
          <w:szCs w:val="21"/>
          <w:highlight w:val="none"/>
        </w:rPr>
        <w:t>适用于工程的标准规范包括：</w:t>
      </w:r>
      <w:r>
        <w:rPr>
          <w:rFonts w:hint="eastAsia" w:ascii="新宋体" w:hAnsi="新宋体" w:eastAsia="新宋体" w:cs="新宋体"/>
          <w:color w:val="auto"/>
          <w:spacing w:val="2"/>
          <w:szCs w:val="21"/>
          <w:highlight w:val="none"/>
          <w:u w:val="single"/>
        </w:rPr>
        <w:t>按通用条款1.4.1条执行</w:t>
      </w:r>
      <w:r>
        <w:rPr>
          <w:rFonts w:hint="eastAsia" w:ascii="新宋体" w:hAnsi="新宋体" w:eastAsia="新宋体" w:cs="新宋体"/>
          <w:color w:val="auto"/>
          <w:spacing w:val="2"/>
          <w:szCs w:val="21"/>
          <w:highlight w:val="none"/>
        </w:rPr>
        <w:t>。</w:t>
      </w:r>
    </w:p>
    <w:p w14:paraId="0D80DA30">
      <w:pPr>
        <w:pStyle w:val="35"/>
        <w:spacing w:line="360" w:lineRule="auto"/>
        <w:ind w:firstLine="420" w:firstLineChars="200"/>
        <w:rPr>
          <w:color w:val="auto"/>
          <w:kern w:val="0"/>
          <w:szCs w:val="21"/>
          <w:highlight w:val="none"/>
        </w:rPr>
      </w:pPr>
      <w:r>
        <w:rPr>
          <w:color w:val="auto"/>
          <w:kern w:val="0"/>
          <w:szCs w:val="21"/>
          <w:highlight w:val="none"/>
        </w:rPr>
        <w:t xml:space="preserve">1.4.2 </w:t>
      </w:r>
      <w:r>
        <w:rPr>
          <w:rFonts w:hint="eastAsia" w:hAnsi="宋体"/>
          <w:color w:val="auto"/>
          <w:kern w:val="0"/>
          <w:szCs w:val="21"/>
          <w:highlight w:val="none"/>
        </w:rPr>
        <w:t>发包人提供国外标准、规范的名称：</w:t>
      </w:r>
      <w:r>
        <w:rPr>
          <w:rFonts w:hint="eastAsia" w:hAnsi="宋体"/>
          <w:color w:val="auto"/>
          <w:szCs w:val="21"/>
          <w:highlight w:val="none"/>
          <w:u w:val="single"/>
        </w:rPr>
        <w:t>无</w:t>
      </w:r>
      <w:r>
        <w:rPr>
          <w:rFonts w:hint="eastAsia" w:hAnsi="宋体"/>
          <w:color w:val="auto"/>
          <w:szCs w:val="21"/>
          <w:highlight w:val="none"/>
        </w:rPr>
        <w:t>；</w:t>
      </w:r>
    </w:p>
    <w:p w14:paraId="57F6C588">
      <w:pPr>
        <w:pStyle w:val="34"/>
        <w:adjustRightInd w:val="0"/>
        <w:spacing w:line="360" w:lineRule="auto"/>
        <w:ind w:firstLine="428" w:firstLineChars="200"/>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发包人提供国外标准、规范的份数：</w:t>
      </w:r>
      <w:r>
        <w:rPr>
          <w:rFonts w:hint="eastAsia" w:ascii="新宋体" w:hAnsi="新宋体" w:eastAsia="新宋体" w:cs="新宋体"/>
          <w:color w:val="auto"/>
          <w:spacing w:val="2"/>
          <w:szCs w:val="21"/>
          <w:highlight w:val="none"/>
          <w:u w:val="single"/>
        </w:rPr>
        <w:t>无</w:t>
      </w:r>
      <w:r>
        <w:rPr>
          <w:rFonts w:hint="eastAsia" w:ascii="新宋体" w:hAnsi="新宋体" w:eastAsia="新宋体" w:cs="新宋体"/>
          <w:color w:val="auto"/>
          <w:spacing w:val="2"/>
          <w:szCs w:val="21"/>
          <w:highlight w:val="none"/>
        </w:rPr>
        <w:t xml:space="preserve">； </w:t>
      </w:r>
    </w:p>
    <w:p w14:paraId="2C3BFECA">
      <w:pPr>
        <w:pStyle w:val="34"/>
        <w:adjustRightInd w:val="0"/>
        <w:spacing w:line="360" w:lineRule="auto"/>
        <w:ind w:left="424" w:leftChars="202"/>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发包人提供国外标准、规范的名称：</w:t>
      </w:r>
      <w:r>
        <w:rPr>
          <w:rFonts w:hint="eastAsia" w:ascii="新宋体" w:hAnsi="新宋体" w:eastAsia="新宋体" w:cs="新宋体"/>
          <w:color w:val="auto"/>
          <w:spacing w:val="2"/>
          <w:szCs w:val="21"/>
          <w:highlight w:val="none"/>
          <w:u w:val="single"/>
        </w:rPr>
        <w:t>无</w:t>
      </w:r>
      <w:r>
        <w:rPr>
          <w:rFonts w:hint="eastAsia" w:ascii="新宋体" w:hAnsi="新宋体" w:eastAsia="新宋体" w:cs="新宋体"/>
          <w:color w:val="auto"/>
          <w:spacing w:val="2"/>
          <w:szCs w:val="21"/>
          <w:highlight w:val="none"/>
        </w:rPr>
        <w:t>。</w:t>
      </w:r>
    </w:p>
    <w:p w14:paraId="3AE8A17A">
      <w:pPr>
        <w:pStyle w:val="35"/>
        <w:spacing w:line="360" w:lineRule="auto"/>
        <w:ind w:firstLine="428" w:firstLineChars="200"/>
        <w:rPr>
          <w:color w:val="auto"/>
          <w:szCs w:val="21"/>
          <w:highlight w:val="none"/>
        </w:rPr>
      </w:pPr>
      <w:r>
        <w:rPr>
          <w:rFonts w:hint="eastAsia" w:ascii="新宋体" w:hAnsi="新宋体" w:eastAsia="新宋体" w:cs="新宋体"/>
          <w:color w:val="auto"/>
          <w:spacing w:val="2"/>
          <w:szCs w:val="21"/>
          <w:highlight w:val="none"/>
        </w:rPr>
        <w:t>1.4.3 发包人对工程的技术标准和功能要求的特殊要求：</w:t>
      </w:r>
      <w:r>
        <w:rPr>
          <w:rFonts w:hint="eastAsia" w:ascii="新宋体" w:hAnsi="新宋体" w:eastAsia="新宋体" w:cs="新宋体"/>
          <w:color w:val="auto"/>
          <w:spacing w:val="2"/>
          <w:szCs w:val="21"/>
          <w:highlight w:val="none"/>
          <w:u w:val="single"/>
        </w:rPr>
        <w:t>无</w:t>
      </w:r>
      <w:r>
        <w:rPr>
          <w:rFonts w:hint="eastAsia" w:ascii="新宋体" w:hAnsi="新宋体" w:eastAsia="新宋体" w:cs="新宋体"/>
          <w:color w:val="auto"/>
          <w:spacing w:val="2"/>
          <w:szCs w:val="21"/>
          <w:highlight w:val="none"/>
        </w:rPr>
        <w:t>。</w:t>
      </w:r>
    </w:p>
    <w:p w14:paraId="5A9595C9">
      <w:pPr>
        <w:pStyle w:val="33"/>
        <w:rPr>
          <w:rFonts w:ascii="Calibri" w:hAnsi="Calibri"/>
          <w:color w:val="auto"/>
          <w:highlight w:val="none"/>
        </w:rPr>
      </w:pPr>
      <w:bookmarkStart w:id="231" w:name="_Toc389065262"/>
      <w:bookmarkStart w:id="232" w:name="_Toc373478343"/>
      <w:bookmarkStart w:id="233" w:name="_Toc467599557"/>
      <w:bookmarkStart w:id="234" w:name="_Toc373227696"/>
      <w:r>
        <w:rPr>
          <w:rFonts w:ascii="Calibri" w:hAnsi="Calibri"/>
          <w:color w:val="auto"/>
          <w:highlight w:val="none"/>
        </w:rPr>
        <w:t xml:space="preserve">1.5 </w:t>
      </w:r>
      <w:r>
        <w:rPr>
          <w:rFonts w:hint="eastAsia" w:ascii="Calibri" w:hAnsi="Calibri"/>
          <w:color w:val="auto"/>
          <w:highlight w:val="none"/>
        </w:rPr>
        <w:t>合同文件的优先顺序</w:t>
      </w:r>
      <w:bookmarkEnd w:id="231"/>
      <w:bookmarkEnd w:id="232"/>
      <w:bookmarkEnd w:id="233"/>
      <w:bookmarkEnd w:id="234"/>
    </w:p>
    <w:p w14:paraId="5D8F4289">
      <w:pPr>
        <w:pStyle w:val="35"/>
        <w:spacing w:line="360" w:lineRule="auto"/>
        <w:ind w:firstLine="420" w:firstLineChars="200"/>
        <w:rPr>
          <w:rFonts w:hAnsi="宋体"/>
          <w:color w:val="auto"/>
          <w:szCs w:val="21"/>
          <w:highlight w:val="none"/>
        </w:rPr>
      </w:pPr>
      <w:r>
        <w:rPr>
          <w:rFonts w:hint="eastAsia" w:hAnsi="宋体"/>
          <w:color w:val="auto"/>
          <w:szCs w:val="21"/>
          <w:highlight w:val="none"/>
        </w:rPr>
        <w:t>合同文件组成及优先顺序为：</w:t>
      </w:r>
    </w:p>
    <w:p w14:paraId="149627C2">
      <w:pPr>
        <w:pStyle w:val="35"/>
        <w:spacing w:line="360" w:lineRule="auto"/>
        <w:ind w:firstLine="420" w:firstLineChars="200"/>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1</w:t>
      </w:r>
      <w:r>
        <w:rPr>
          <w:rFonts w:hint="eastAsia" w:hAnsi="宋体"/>
          <w:color w:val="auto"/>
          <w:kern w:val="0"/>
          <w:szCs w:val="21"/>
          <w:highlight w:val="none"/>
        </w:rPr>
        <w:t>）合同协议书；</w:t>
      </w:r>
    </w:p>
    <w:p w14:paraId="145B52FF">
      <w:pPr>
        <w:pStyle w:val="35"/>
        <w:spacing w:line="360" w:lineRule="auto"/>
        <w:ind w:firstLine="420" w:firstLineChars="200"/>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2</w:t>
      </w:r>
      <w:r>
        <w:rPr>
          <w:rFonts w:hint="eastAsia" w:hAnsi="宋体"/>
          <w:color w:val="auto"/>
          <w:kern w:val="0"/>
          <w:szCs w:val="21"/>
          <w:highlight w:val="none"/>
        </w:rPr>
        <w:t>）</w:t>
      </w:r>
      <w:r>
        <w:rPr>
          <w:rFonts w:hint="eastAsia" w:hAnsi="宋体"/>
          <w:color w:val="auto"/>
          <w:kern w:val="0"/>
          <w:szCs w:val="21"/>
          <w:highlight w:val="none"/>
          <w:lang w:val="en-US" w:eastAsia="zh-CN"/>
        </w:rPr>
        <w:t>成交</w:t>
      </w:r>
      <w:r>
        <w:rPr>
          <w:rFonts w:hint="eastAsia" w:hAnsi="宋体"/>
          <w:color w:val="auto"/>
          <w:kern w:val="0"/>
          <w:szCs w:val="21"/>
          <w:highlight w:val="none"/>
        </w:rPr>
        <w:t>通知书；</w:t>
      </w:r>
    </w:p>
    <w:p w14:paraId="69B8113F">
      <w:pPr>
        <w:pStyle w:val="35"/>
        <w:spacing w:line="360" w:lineRule="auto"/>
        <w:ind w:firstLine="420" w:firstLineChars="200"/>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3</w:t>
      </w:r>
      <w:r>
        <w:rPr>
          <w:rFonts w:hint="eastAsia" w:hAnsi="宋体"/>
          <w:color w:val="auto"/>
          <w:kern w:val="0"/>
          <w:szCs w:val="21"/>
          <w:highlight w:val="none"/>
        </w:rPr>
        <w:t>）</w:t>
      </w:r>
      <w:r>
        <w:rPr>
          <w:rFonts w:hint="eastAsia" w:hAnsi="宋体"/>
          <w:color w:val="auto"/>
          <w:kern w:val="0"/>
          <w:szCs w:val="21"/>
          <w:highlight w:val="none"/>
          <w:lang w:eastAsia="zh-CN"/>
        </w:rPr>
        <w:t>响应函</w:t>
      </w:r>
      <w:r>
        <w:rPr>
          <w:rFonts w:hint="eastAsia" w:hAnsi="宋体"/>
          <w:color w:val="auto"/>
          <w:kern w:val="0"/>
          <w:szCs w:val="21"/>
          <w:highlight w:val="none"/>
        </w:rPr>
        <w:t>及其附录（如有）；</w:t>
      </w:r>
    </w:p>
    <w:p w14:paraId="45EC7A99">
      <w:pPr>
        <w:pStyle w:val="35"/>
        <w:spacing w:line="360" w:lineRule="auto"/>
        <w:ind w:firstLine="420" w:firstLineChars="200"/>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4</w:t>
      </w:r>
      <w:r>
        <w:rPr>
          <w:rFonts w:hint="eastAsia" w:hAnsi="宋体"/>
          <w:color w:val="auto"/>
          <w:kern w:val="0"/>
          <w:szCs w:val="21"/>
          <w:highlight w:val="none"/>
        </w:rPr>
        <w:t>）专用合同条款及其附件；</w:t>
      </w:r>
    </w:p>
    <w:p w14:paraId="0C00BB9C">
      <w:pPr>
        <w:pStyle w:val="35"/>
        <w:spacing w:line="360" w:lineRule="auto"/>
        <w:ind w:firstLine="420" w:firstLineChars="200"/>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5</w:t>
      </w:r>
      <w:r>
        <w:rPr>
          <w:rFonts w:hint="eastAsia" w:hAnsi="宋体"/>
          <w:color w:val="auto"/>
          <w:kern w:val="0"/>
          <w:szCs w:val="21"/>
          <w:highlight w:val="none"/>
        </w:rPr>
        <w:t>）通用合同条款；</w:t>
      </w:r>
    </w:p>
    <w:p w14:paraId="71665C20">
      <w:pPr>
        <w:pStyle w:val="35"/>
        <w:spacing w:line="360" w:lineRule="auto"/>
        <w:ind w:firstLine="420" w:firstLineChars="200"/>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6</w:t>
      </w:r>
      <w:r>
        <w:rPr>
          <w:rFonts w:hint="eastAsia" w:hAnsi="宋体"/>
          <w:color w:val="auto"/>
          <w:kern w:val="0"/>
          <w:szCs w:val="21"/>
          <w:highlight w:val="none"/>
        </w:rPr>
        <w:t>）</w:t>
      </w:r>
      <w:r>
        <w:rPr>
          <w:rFonts w:hint="eastAsia" w:ascii="新宋体" w:hAnsi="新宋体" w:eastAsia="新宋体" w:cs="新宋体"/>
          <w:color w:val="auto"/>
          <w:spacing w:val="2"/>
          <w:szCs w:val="21"/>
          <w:highlight w:val="none"/>
        </w:rPr>
        <w:t>标准、规范及有关技术文件；</w:t>
      </w:r>
    </w:p>
    <w:p w14:paraId="2C8B11F2">
      <w:pPr>
        <w:pStyle w:val="35"/>
        <w:spacing w:line="360" w:lineRule="auto"/>
        <w:ind w:firstLine="420" w:firstLineChars="200"/>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7</w:t>
      </w:r>
      <w:r>
        <w:rPr>
          <w:rFonts w:hint="eastAsia" w:hAnsi="宋体"/>
          <w:color w:val="auto"/>
          <w:kern w:val="0"/>
          <w:szCs w:val="21"/>
          <w:highlight w:val="none"/>
        </w:rPr>
        <w:t>）</w:t>
      </w:r>
      <w:r>
        <w:rPr>
          <w:rFonts w:hint="eastAsia" w:ascii="新宋体" w:hAnsi="新宋体" w:eastAsia="新宋体" w:cs="新宋体"/>
          <w:color w:val="auto"/>
          <w:spacing w:val="2"/>
          <w:szCs w:val="21"/>
          <w:highlight w:val="none"/>
        </w:rPr>
        <w:t>图纸；</w:t>
      </w:r>
    </w:p>
    <w:p w14:paraId="49D430AA">
      <w:pPr>
        <w:pStyle w:val="35"/>
        <w:spacing w:line="360" w:lineRule="auto"/>
        <w:ind w:firstLine="420" w:firstLineChars="200"/>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8</w:t>
      </w:r>
      <w:r>
        <w:rPr>
          <w:rFonts w:hint="eastAsia" w:hAnsi="宋体"/>
          <w:color w:val="auto"/>
          <w:kern w:val="0"/>
          <w:szCs w:val="21"/>
          <w:highlight w:val="none"/>
        </w:rPr>
        <w:t>）</w:t>
      </w:r>
      <w:r>
        <w:rPr>
          <w:rFonts w:hint="eastAsia" w:ascii="新宋体" w:hAnsi="新宋体" w:eastAsia="新宋体" w:cs="新宋体"/>
          <w:color w:val="auto"/>
          <w:spacing w:val="2"/>
          <w:szCs w:val="21"/>
          <w:highlight w:val="none"/>
        </w:rPr>
        <w:t>已标价工程量清单或预算书；</w:t>
      </w:r>
    </w:p>
    <w:p w14:paraId="5B23132C">
      <w:pPr>
        <w:pStyle w:val="35"/>
        <w:spacing w:line="360" w:lineRule="auto"/>
        <w:ind w:firstLine="420" w:firstLineChars="200"/>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9</w:t>
      </w:r>
      <w:r>
        <w:rPr>
          <w:rFonts w:hint="eastAsia" w:hAnsi="宋体"/>
          <w:color w:val="auto"/>
          <w:kern w:val="0"/>
          <w:szCs w:val="21"/>
          <w:highlight w:val="none"/>
        </w:rPr>
        <w:t>）</w:t>
      </w:r>
      <w:r>
        <w:rPr>
          <w:rFonts w:hint="eastAsia" w:ascii="新宋体" w:hAnsi="新宋体" w:eastAsia="新宋体" w:cs="新宋体"/>
          <w:color w:val="auto"/>
          <w:spacing w:val="2"/>
          <w:szCs w:val="21"/>
          <w:highlight w:val="none"/>
          <w:lang w:val="en-US" w:eastAsia="zh-CN"/>
        </w:rPr>
        <w:t>采购</w:t>
      </w:r>
      <w:r>
        <w:rPr>
          <w:rFonts w:hint="eastAsia" w:ascii="新宋体" w:hAnsi="新宋体" w:eastAsia="新宋体" w:cs="新宋体"/>
          <w:color w:val="auto"/>
          <w:spacing w:val="2"/>
          <w:szCs w:val="21"/>
          <w:highlight w:val="none"/>
        </w:rPr>
        <w:t>文件（含补充通知和答疑）；</w:t>
      </w:r>
    </w:p>
    <w:p w14:paraId="56C1E84C">
      <w:pPr>
        <w:pStyle w:val="35"/>
        <w:spacing w:line="360" w:lineRule="auto"/>
        <w:ind w:firstLine="420" w:firstLineChars="200"/>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10</w:t>
      </w:r>
      <w:r>
        <w:rPr>
          <w:rFonts w:hint="eastAsia" w:hAnsi="宋体"/>
          <w:color w:val="auto"/>
          <w:kern w:val="0"/>
          <w:szCs w:val="21"/>
          <w:highlight w:val="none"/>
        </w:rPr>
        <w:t>）</w:t>
      </w:r>
      <w:r>
        <w:rPr>
          <w:rFonts w:hint="eastAsia" w:ascii="新宋体" w:hAnsi="新宋体" w:eastAsia="新宋体" w:cs="新宋体"/>
          <w:color w:val="auto"/>
          <w:spacing w:val="2"/>
          <w:szCs w:val="21"/>
          <w:highlight w:val="none"/>
        </w:rPr>
        <w:t>廉政责任书；</w:t>
      </w:r>
    </w:p>
    <w:p w14:paraId="50D9D4A3">
      <w:pPr>
        <w:pStyle w:val="35"/>
        <w:spacing w:line="360" w:lineRule="auto"/>
        <w:ind w:firstLine="420" w:firstLineChars="200"/>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11</w:t>
      </w:r>
      <w:r>
        <w:rPr>
          <w:rFonts w:hint="eastAsia" w:hAnsi="宋体"/>
          <w:color w:val="auto"/>
          <w:kern w:val="0"/>
          <w:szCs w:val="21"/>
          <w:highlight w:val="none"/>
        </w:rPr>
        <w:t>）</w:t>
      </w:r>
      <w:r>
        <w:rPr>
          <w:rFonts w:hint="eastAsia" w:ascii="新宋体" w:hAnsi="新宋体" w:eastAsia="新宋体" w:cs="新宋体"/>
          <w:color w:val="auto"/>
          <w:spacing w:val="2"/>
          <w:szCs w:val="21"/>
          <w:highlight w:val="none"/>
        </w:rPr>
        <w:t>履约保证金缴纳证明；</w:t>
      </w:r>
    </w:p>
    <w:p w14:paraId="20F42CCB">
      <w:pPr>
        <w:pStyle w:val="35"/>
        <w:spacing w:line="360" w:lineRule="auto"/>
        <w:ind w:firstLine="420" w:firstLineChars="200"/>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12</w:t>
      </w:r>
      <w:r>
        <w:rPr>
          <w:rFonts w:hint="eastAsia" w:hAnsi="宋体"/>
          <w:color w:val="auto"/>
          <w:kern w:val="0"/>
          <w:szCs w:val="21"/>
          <w:highlight w:val="none"/>
        </w:rPr>
        <w:t>）</w:t>
      </w:r>
      <w:r>
        <w:rPr>
          <w:rFonts w:hint="eastAsia" w:ascii="新宋体" w:hAnsi="新宋体" w:eastAsia="新宋体" w:cs="新宋体"/>
          <w:color w:val="auto"/>
          <w:spacing w:val="2"/>
          <w:szCs w:val="21"/>
          <w:highlight w:val="none"/>
        </w:rPr>
        <w:t>农民工工资保障金缴纳证明；</w:t>
      </w:r>
    </w:p>
    <w:p w14:paraId="4407928D">
      <w:pPr>
        <w:pStyle w:val="35"/>
        <w:spacing w:line="360" w:lineRule="auto"/>
        <w:ind w:firstLine="420" w:firstLineChars="200"/>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13</w:t>
      </w:r>
      <w:r>
        <w:rPr>
          <w:rFonts w:hint="eastAsia" w:hAnsi="宋体"/>
          <w:color w:val="auto"/>
          <w:kern w:val="0"/>
          <w:szCs w:val="21"/>
          <w:highlight w:val="none"/>
        </w:rPr>
        <w:t>）</w:t>
      </w:r>
      <w:r>
        <w:rPr>
          <w:rFonts w:hint="eastAsia" w:ascii="新宋体" w:hAnsi="新宋体" w:eastAsia="新宋体" w:cs="新宋体"/>
          <w:color w:val="auto"/>
          <w:spacing w:val="2"/>
          <w:szCs w:val="21"/>
          <w:highlight w:val="none"/>
        </w:rPr>
        <w:t>其他合同文件。</w:t>
      </w:r>
    </w:p>
    <w:p w14:paraId="081C42E6">
      <w:pPr>
        <w:pStyle w:val="35"/>
        <w:spacing w:line="360" w:lineRule="auto"/>
        <w:ind w:firstLine="420" w:firstLineChars="200"/>
        <w:rPr>
          <w:rFonts w:hAnsi="宋体"/>
          <w:color w:val="auto"/>
          <w:kern w:val="0"/>
          <w:szCs w:val="21"/>
          <w:highlight w:val="none"/>
        </w:rPr>
      </w:pPr>
      <w:r>
        <w:rPr>
          <w:rFonts w:hint="eastAsia" w:hAnsi="宋体"/>
          <w:color w:val="auto"/>
          <w:kern w:val="0"/>
          <w:szCs w:val="21"/>
          <w:highlight w:val="none"/>
        </w:rPr>
        <w:t>图纸与技术标准和要求之间有矛盾或者不一致的，以其中要求较严格的标准为准。</w:t>
      </w:r>
    </w:p>
    <w:p w14:paraId="29F58038">
      <w:pPr>
        <w:pStyle w:val="35"/>
        <w:spacing w:line="360" w:lineRule="auto"/>
        <w:ind w:firstLine="420" w:firstLineChars="200"/>
        <w:rPr>
          <w:color w:val="auto"/>
          <w:szCs w:val="21"/>
          <w:highlight w:val="none"/>
        </w:rPr>
      </w:pPr>
      <w:r>
        <w:rPr>
          <w:rFonts w:hint="eastAsia" w:hAnsi="宋体"/>
          <w:color w:val="auto"/>
          <w:kern w:val="0"/>
          <w:szCs w:val="21"/>
          <w:highlight w:val="none"/>
        </w:rPr>
        <w:t>合同双方在合同履行过程中签订的补充协议亦构成合同文件的组成部分，其解释顺序视其内容与其他合同文件的相互关系而定。</w:t>
      </w:r>
    </w:p>
    <w:p w14:paraId="77E483A3">
      <w:pPr>
        <w:pStyle w:val="33"/>
        <w:rPr>
          <w:rFonts w:ascii="Calibri" w:hAnsi="Calibri"/>
          <w:color w:val="auto"/>
          <w:highlight w:val="none"/>
        </w:rPr>
      </w:pPr>
      <w:bookmarkStart w:id="235" w:name="_Toc373478344"/>
      <w:bookmarkStart w:id="236" w:name="_Toc373227697"/>
      <w:bookmarkStart w:id="237" w:name="_Toc389065263"/>
      <w:bookmarkStart w:id="238" w:name="_Toc467599558"/>
      <w:r>
        <w:rPr>
          <w:rFonts w:ascii="Calibri" w:hAnsi="Calibri"/>
          <w:color w:val="auto"/>
          <w:highlight w:val="none"/>
        </w:rPr>
        <w:t xml:space="preserve">1.6 </w:t>
      </w:r>
      <w:r>
        <w:rPr>
          <w:rFonts w:hint="eastAsia" w:ascii="Calibri" w:hAnsi="Calibri"/>
          <w:color w:val="auto"/>
          <w:highlight w:val="none"/>
        </w:rPr>
        <w:t>图纸和承包人文件</w:t>
      </w:r>
      <w:bookmarkEnd w:id="235"/>
      <w:bookmarkEnd w:id="236"/>
      <w:bookmarkEnd w:id="237"/>
      <w:bookmarkEnd w:id="238"/>
      <w:r>
        <w:rPr>
          <w:rFonts w:ascii="Calibri" w:hAnsi="Calibri"/>
          <w:color w:val="auto"/>
          <w:highlight w:val="none"/>
        </w:rPr>
        <w:tab/>
      </w:r>
    </w:p>
    <w:p w14:paraId="68034EEC">
      <w:pPr>
        <w:pStyle w:val="35"/>
        <w:spacing w:line="360" w:lineRule="auto"/>
        <w:ind w:firstLine="420" w:firstLineChars="200"/>
        <w:rPr>
          <w:color w:val="auto"/>
          <w:szCs w:val="21"/>
          <w:highlight w:val="none"/>
        </w:rPr>
      </w:pPr>
      <w:r>
        <w:rPr>
          <w:color w:val="auto"/>
          <w:szCs w:val="21"/>
          <w:highlight w:val="none"/>
        </w:rPr>
        <w:t xml:space="preserve">1.6.1 </w:t>
      </w:r>
      <w:r>
        <w:rPr>
          <w:rFonts w:hint="eastAsia" w:hAnsi="宋体"/>
          <w:color w:val="auto"/>
          <w:szCs w:val="21"/>
          <w:highlight w:val="none"/>
        </w:rPr>
        <w:t>图纸的提供</w:t>
      </w:r>
    </w:p>
    <w:p w14:paraId="62B4EBBB">
      <w:pPr>
        <w:pStyle w:val="34"/>
        <w:adjustRightInd w:val="0"/>
        <w:snapToGrid w:val="0"/>
        <w:spacing w:line="440" w:lineRule="exact"/>
        <w:ind w:left="-315" w:leftChars="-150" w:firstLine="753" w:firstLineChars="352"/>
        <w:textAlignment w:val="baseline"/>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发包人向承包人提供图纸的期限：</w:t>
      </w:r>
      <w:r>
        <w:rPr>
          <w:rFonts w:hint="eastAsia" w:ascii="新宋体" w:hAnsi="新宋体" w:eastAsia="新宋体" w:cs="新宋体"/>
          <w:color w:val="auto"/>
          <w:spacing w:val="2"/>
          <w:szCs w:val="21"/>
          <w:highlight w:val="none"/>
          <w:u w:val="single"/>
        </w:rPr>
        <w:t>图纸会审前2天</w:t>
      </w:r>
      <w:r>
        <w:rPr>
          <w:rFonts w:hint="eastAsia" w:ascii="新宋体" w:hAnsi="新宋体" w:eastAsia="新宋体" w:cs="新宋体"/>
          <w:color w:val="auto"/>
          <w:spacing w:val="2"/>
          <w:szCs w:val="21"/>
          <w:highlight w:val="none"/>
        </w:rPr>
        <w:t xml:space="preserve">； </w:t>
      </w:r>
    </w:p>
    <w:p w14:paraId="4C8B5095">
      <w:pPr>
        <w:pStyle w:val="34"/>
        <w:adjustRightInd w:val="0"/>
        <w:snapToGrid w:val="0"/>
        <w:spacing w:line="440" w:lineRule="exact"/>
        <w:ind w:left="420" w:leftChars="200"/>
        <w:textAlignment w:val="baseline"/>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发包人向承包人提供图纸的数量：</w:t>
      </w:r>
      <w:r>
        <w:rPr>
          <w:rFonts w:hint="eastAsia" w:ascii="新宋体" w:hAnsi="新宋体" w:eastAsia="新宋体" w:cs="新宋体"/>
          <w:color w:val="auto"/>
          <w:spacing w:val="2"/>
          <w:szCs w:val="21"/>
          <w:highlight w:val="none"/>
          <w:u w:val="single"/>
        </w:rPr>
        <w:t>一式贰套</w:t>
      </w:r>
      <w:r>
        <w:rPr>
          <w:rFonts w:hint="eastAsia" w:ascii="新宋体" w:hAnsi="新宋体" w:eastAsia="新宋体" w:cs="新宋体"/>
          <w:color w:val="auto"/>
          <w:spacing w:val="2"/>
          <w:szCs w:val="21"/>
          <w:highlight w:val="none"/>
        </w:rPr>
        <w:t>，承包人需要增加图纸套数的，发包人应代为复制，复制费用由承包人承担；</w:t>
      </w:r>
    </w:p>
    <w:p w14:paraId="6B166649">
      <w:pPr>
        <w:pStyle w:val="34"/>
        <w:adjustRightInd w:val="0"/>
        <w:snapToGrid w:val="0"/>
        <w:spacing w:line="440" w:lineRule="exact"/>
        <w:ind w:left="-315" w:leftChars="-150" w:firstLine="753" w:firstLineChars="352"/>
        <w:textAlignment w:val="baseline"/>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发包人向承包人提供图纸的内容：</w:t>
      </w:r>
      <w:r>
        <w:rPr>
          <w:rFonts w:hint="eastAsia" w:ascii="新宋体" w:hAnsi="新宋体" w:eastAsia="新宋体" w:cs="新宋体"/>
          <w:color w:val="auto"/>
          <w:spacing w:val="2"/>
          <w:szCs w:val="21"/>
          <w:highlight w:val="none"/>
          <w:u w:val="single"/>
        </w:rPr>
        <w:t>施工图</w:t>
      </w:r>
      <w:r>
        <w:rPr>
          <w:rFonts w:hint="eastAsia" w:ascii="新宋体" w:hAnsi="新宋体" w:eastAsia="新宋体" w:cs="新宋体"/>
          <w:color w:val="auto"/>
          <w:spacing w:val="2"/>
          <w:szCs w:val="21"/>
          <w:highlight w:val="none"/>
        </w:rPr>
        <w:t>。</w:t>
      </w:r>
    </w:p>
    <w:p w14:paraId="0651CAB5">
      <w:pPr>
        <w:pStyle w:val="34"/>
        <w:adjustRightInd w:val="0"/>
        <w:snapToGrid w:val="0"/>
        <w:spacing w:line="440" w:lineRule="exact"/>
        <w:ind w:left="-315" w:leftChars="-150" w:firstLine="747" w:firstLineChars="356"/>
        <w:contextualSpacing/>
        <w:textAlignment w:val="baseline"/>
        <w:rPr>
          <w:rFonts w:ascii="新宋体" w:hAnsi="新宋体" w:eastAsia="新宋体" w:cs="新宋体"/>
          <w:color w:val="auto"/>
          <w:spacing w:val="2"/>
          <w:szCs w:val="21"/>
          <w:highlight w:val="none"/>
        </w:rPr>
      </w:pPr>
      <w:r>
        <w:rPr>
          <w:rFonts w:ascii="Times New Roman" w:hAnsi="Times New Roman"/>
          <w:color w:val="auto"/>
          <w:highlight w:val="none"/>
        </w:rPr>
        <mc:AlternateContent>
          <mc:Choice Requires="wpg">
            <w:drawing>
              <wp:anchor distT="0" distB="0" distL="114300" distR="114300" simplePos="0" relativeHeight="251664384" behindDoc="1" locked="0" layoutInCell="1" allowOverlap="1">
                <wp:simplePos x="0" y="0"/>
                <wp:positionH relativeFrom="page">
                  <wp:posOffset>2594610</wp:posOffset>
                </wp:positionH>
                <wp:positionV relativeFrom="paragraph">
                  <wp:posOffset>292735</wp:posOffset>
                </wp:positionV>
                <wp:extent cx="266700" cy="234950"/>
                <wp:effectExtent l="0" t="0" r="2594610" b="737870"/>
                <wp:wrapNone/>
                <wp:docPr id="7" name="组合 7"/>
                <wp:cNvGraphicFramePr/>
                <a:graphic xmlns:a="http://schemas.openxmlformats.org/drawingml/2006/main">
                  <a:graphicData uri="http://schemas.microsoft.com/office/word/2010/wordprocessingGroup">
                    <wpg:wgp>
                      <wpg:cNvGrpSpPr/>
                      <wpg:grpSpPr>
                        <a:xfrm>
                          <a:off x="0" y="0"/>
                          <a:ext cx="266700" cy="234950"/>
                          <a:chOff x="0" y="0"/>
                          <a:chExt cx="0" cy="203"/>
                        </a:xfrm>
                      </wpg:grpSpPr>
                      <wps:wsp>
                        <wps:cNvPr id="6" name="任意多边形 6"/>
                        <wps:cNvSpPr/>
                        <wps:spPr>
                          <a:xfrm>
                            <a:off x="4086" y="462"/>
                            <a:ext cx="420" cy="370"/>
                          </a:xfrm>
                          <a:custGeom>
                            <a:avLst/>
                            <a:gdLst/>
                            <a:ahLst/>
                            <a:cxnLst>
                              <a:cxn ang="0">
                                <a:pos x="0" y="0"/>
                              </a:cxn>
                              <a:cxn ang="0">
                                <a:pos x="420" y="0"/>
                              </a:cxn>
                              <a:cxn ang="0">
                                <a:pos x="420" y="370"/>
                              </a:cxn>
                              <a:cxn ang="0">
                                <a:pos x="0" y="370"/>
                              </a:cxn>
                              <a:cxn ang="0">
                                <a:pos x="0" y="0"/>
                              </a:cxn>
                            </a:cxnLst>
                            <a:pathLst>
                              <a:path w="420" h="370">
                                <a:moveTo>
                                  <a:pt x="0" y="0"/>
                                </a:moveTo>
                                <a:lnTo>
                                  <a:pt x="420" y="0"/>
                                </a:lnTo>
                                <a:lnTo>
                                  <a:pt x="420" y="370"/>
                                </a:lnTo>
                                <a:lnTo>
                                  <a:pt x="0" y="370"/>
                                </a:lnTo>
                                <a:lnTo>
                                  <a:pt x="0" y="0"/>
                                </a:lnTo>
                              </a:path>
                            </a:pathLst>
                          </a:custGeom>
                          <a:solidFill>
                            <a:srgbClr val="FFFFFF"/>
                          </a:solidFill>
                          <a:ln>
                            <a:noFill/>
                          </a:ln>
                        </wps:spPr>
                        <wps:bodyPr upright="1"/>
                      </wps:wsp>
                    </wpg:wgp>
                  </a:graphicData>
                </a:graphic>
              </wp:anchor>
            </w:drawing>
          </mc:Choice>
          <mc:Fallback>
            <w:pict>
              <v:group id="_x0000_s1026" o:spid="_x0000_s1026" o:spt="203" style="position:absolute;left:0pt;margin-left:204.3pt;margin-top:23.05pt;height:18.5pt;width:21pt;mso-position-horizontal-relative:page;z-index:-251652096;mso-width-relative:page;mso-height-relative:page;" coordsize="0,203" o:gfxdata="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HwhLu/ZAAAACQEAAA8AAAAAAAAAAQAgAAAAIgAAAGRycy9kb3ducmV2LnhtbFBLAQIUABQAAAAI&#10;AIdO4kDMPM4GlwIAAH8GAAAOAAAAAAAAAAEAIAAAACgBAABkcnMvZTJvRG9jLnhtbFBLBQYAAAAA&#10;BgAGAFkBAAAxBgAAAAA=&#10;">
                <o:lock v:ext="edit" aspectratio="f"/>
                <v:shape id="_x0000_s1026" o:spid="_x0000_s1026" o:spt="100" style="position:absolute;left:4086;top:462;height:370;width:420;" fillcolor="#FFFFFF" filled="t" stroked="f" coordsize="420,370" o:gfxdata="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JaMcvQAA&#10;ANoAAAAPAAAAAAAAAAEAIAAAACIAAABkcnMvZG93bnJldi54bWxQSwECFAAUAAAACACHTuJAMy8F&#10;njsAAAA5AAAAEAAAAAAAAAABACAAAAAMAQAAZHJzL3NoYXBleG1sLnhtbFBLBQYAAAAABgAGAFsB&#10;AAC2AwAAAAA=&#10;" path="m0,0l420,0,420,370,0,370,0,0e">
                  <v:path o:connectlocs="0,0;420,0;420,370;0,370;0,0" o:connectangles="0,0,0,0,0"/>
                  <v:fill on="t" focussize="0,0"/>
                  <v:stroke on="f"/>
                  <v:imagedata o:title=""/>
                  <o:lock v:ext="edit" aspectratio="f"/>
                </v:shape>
              </v:group>
            </w:pict>
          </mc:Fallback>
        </mc:AlternateContent>
      </w:r>
      <w:r>
        <w:rPr>
          <w:rFonts w:hint="eastAsia" w:ascii="新宋体" w:hAnsi="新宋体" w:eastAsia="新宋体" w:cs="新宋体"/>
          <w:color w:val="auto"/>
          <w:spacing w:val="2"/>
          <w:szCs w:val="21"/>
          <w:highlight w:val="none"/>
        </w:rPr>
        <w:t xml:space="preserve">1.6.2  承包人文件 </w:t>
      </w:r>
    </w:p>
    <w:p w14:paraId="78670CA8">
      <w:pPr>
        <w:pStyle w:val="34"/>
        <w:adjustRightInd w:val="0"/>
        <w:snapToGrid w:val="0"/>
        <w:spacing w:line="440" w:lineRule="exact"/>
        <w:ind w:firstLine="428" w:firstLineChars="200"/>
        <w:textAlignment w:val="baseline"/>
        <w:rPr>
          <w:rFonts w:ascii="新宋体" w:hAnsi="新宋体" w:eastAsia="新宋体" w:cs="新宋体"/>
          <w:color w:val="auto"/>
          <w:szCs w:val="21"/>
          <w:highlight w:val="none"/>
          <w:u w:val="single"/>
        </w:rPr>
      </w:pPr>
      <w:r>
        <w:rPr>
          <w:rFonts w:hint="eastAsia" w:ascii="新宋体" w:hAnsi="新宋体" w:eastAsia="新宋体" w:cs="新宋体"/>
          <w:color w:val="auto"/>
          <w:spacing w:val="2"/>
          <w:szCs w:val="21"/>
          <w:highlight w:val="none"/>
        </w:rPr>
        <w:t>需要由承包人提供的文件，包括：</w:t>
      </w:r>
      <w:r>
        <w:rPr>
          <w:rFonts w:hint="eastAsia" w:ascii="新宋体" w:hAnsi="新宋体" w:eastAsia="新宋体" w:cs="新宋体"/>
          <w:color w:val="auto"/>
          <w:szCs w:val="21"/>
          <w:highlight w:val="none"/>
          <w:u w:val="single"/>
        </w:rPr>
        <w:t>部分工程的大样图、加工图等，均不是合同计量与支付的依据文件</w:t>
      </w:r>
    </w:p>
    <w:p w14:paraId="7C9C5AF9">
      <w:pPr>
        <w:pStyle w:val="34"/>
        <w:adjustRightInd w:val="0"/>
        <w:snapToGrid w:val="0"/>
        <w:spacing w:line="440" w:lineRule="exact"/>
        <w:ind w:firstLine="428" w:firstLineChars="200"/>
        <w:textAlignment w:val="baseline"/>
        <w:rPr>
          <w:rFonts w:ascii="新宋体" w:hAnsi="新宋体" w:eastAsia="新宋体" w:cs="新宋体"/>
          <w:color w:val="auto"/>
          <w:szCs w:val="21"/>
          <w:highlight w:val="none"/>
          <w:u w:val="single"/>
        </w:rPr>
      </w:pPr>
      <w:r>
        <w:rPr>
          <w:rFonts w:hint="eastAsia" w:ascii="新宋体" w:hAnsi="新宋体" w:eastAsia="新宋体" w:cs="新宋体"/>
          <w:color w:val="auto"/>
          <w:spacing w:val="2"/>
          <w:szCs w:val="21"/>
          <w:highlight w:val="none"/>
        </w:rPr>
        <w:t>承包人提供的文件的期限为：</w:t>
      </w:r>
      <w:r>
        <w:rPr>
          <w:rFonts w:hint="eastAsia" w:ascii="新宋体" w:hAnsi="新宋体" w:eastAsia="新宋体" w:cs="新宋体"/>
          <w:color w:val="auto"/>
          <w:szCs w:val="21"/>
          <w:highlight w:val="none"/>
          <w:u w:val="single"/>
        </w:rPr>
        <w:t>确定需要提供文件内容的7个工作日内</w:t>
      </w:r>
      <w:r>
        <w:rPr>
          <w:rFonts w:hint="eastAsia" w:ascii="新宋体" w:hAnsi="新宋体" w:eastAsia="新宋体" w:cs="新宋体"/>
          <w:color w:val="auto"/>
          <w:szCs w:val="21"/>
          <w:highlight w:val="none"/>
        </w:rPr>
        <w:t>；</w:t>
      </w:r>
    </w:p>
    <w:p w14:paraId="484BC348">
      <w:pPr>
        <w:pStyle w:val="34"/>
        <w:adjustRightInd w:val="0"/>
        <w:snapToGrid w:val="0"/>
        <w:spacing w:line="440" w:lineRule="exact"/>
        <w:ind w:firstLine="428" w:firstLineChars="200"/>
        <w:textAlignment w:val="baseline"/>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承包人提供的文件的数量为：</w:t>
      </w:r>
      <w:r>
        <w:rPr>
          <w:rFonts w:hint="eastAsia" w:ascii="新宋体" w:hAnsi="新宋体" w:eastAsia="新宋体" w:cs="新宋体"/>
          <w:color w:val="auto"/>
          <w:spacing w:val="2"/>
          <w:szCs w:val="21"/>
          <w:highlight w:val="none"/>
          <w:u w:val="single"/>
        </w:rPr>
        <w:t xml:space="preserve"> 双方另行确定 </w:t>
      </w:r>
      <w:r>
        <w:rPr>
          <w:rFonts w:hint="eastAsia" w:ascii="新宋体" w:hAnsi="新宋体" w:eastAsia="新宋体" w:cs="新宋体"/>
          <w:color w:val="auto"/>
          <w:spacing w:val="2"/>
          <w:szCs w:val="21"/>
          <w:highlight w:val="none"/>
        </w:rPr>
        <w:t>；</w:t>
      </w:r>
    </w:p>
    <w:p w14:paraId="47B4BC03">
      <w:pPr>
        <w:pStyle w:val="34"/>
        <w:adjustRightInd w:val="0"/>
        <w:snapToGrid w:val="0"/>
        <w:spacing w:line="440" w:lineRule="exact"/>
        <w:ind w:left="-315" w:leftChars="-150" w:firstLine="753" w:firstLineChars="352"/>
        <w:textAlignment w:val="baseline"/>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承包人提供的文件的形式为：</w:t>
      </w:r>
      <w:r>
        <w:rPr>
          <w:rFonts w:hint="eastAsia" w:ascii="新宋体" w:hAnsi="新宋体" w:eastAsia="新宋体" w:cs="新宋体"/>
          <w:color w:val="auto"/>
          <w:spacing w:val="2"/>
          <w:szCs w:val="21"/>
          <w:highlight w:val="none"/>
          <w:u w:val="single"/>
        </w:rPr>
        <w:t>纸质版</w:t>
      </w:r>
      <w:r>
        <w:rPr>
          <w:rFonts w:hint="eastAsia" w:ascii="新宋体" w:hAnsi="新宋体" w:eastAsia="新宋体" w:cs="新宋体"/>
          <w:color w:val="auto"/>
          <w:spacing w:val="2"/>
          <w:szCs w:val="21"/>
          <w:highlight w:val="none"/>
        </w:rPr>
        <w:t xml:space="preserve">； </w:t>
      </w:r>
    </w:p>
    <w:p w14:paraId="2094D9BB">
      <w:pPr>
        <w:pStyle w:val="34"/>
        <w:adjustRightInd w:val="0"/>
        <w:snapToGrid w:val="0"/>
        <w:spacing w:line="440" w:lineRule="exact"/>
        <w:ind w:left="-315" w:leftChars="-150" w:firstLine="753" w:firstLineChars="352"/>
        <w:textAlignment w:val="baseline"/>
        <w:rPr>
          <w:rFonts w:ascii="新宋体" w:hAnsi="新宋体" w:eastAsia="新宋体" w:cs="新宋体"/>
          <w:color w:val="auto"/>
          <w:spacing w:val="2"/>
          <w:szCs w:val="21"/>
          <w:highlight w:val="none"/>
          <w:u w:val="single"/>
        </w:rPr>
      </w:pPr>
      <w:r>
        <w:rPr>
          <w:rFonts w:hint="eastAsia" w:ascii="新宋体" w:hAnsi="新宋体" w:eastAsia="新宋体" w:cs="新宋体"/>
          <w:color w:val="auto"/>
          <w:spacing w:val="2"/>
          <w:szCs w:val="21"/>
          <w:highlight w:val="none"/>
        </w:rPr>
        <w:t>发包人审批承包人文件的期限：</w:t>
      </w:r>
      <w:r>
        <w:rPr>
          <w:rFonts w:hint="eastAsia" w:ascii="新宋体" w:hAnsi="新宋体" w:eastAsia="新宋体" w:cs="新宋体"/>
          <w:color w:val="auto"/>
          <w:spacing w:val="2"/>
          <w:szCs w:val="21"/>
          <w:highlight w:val="none"/>
          <w:u w:val="single"/>
        </w:rPr>
        <w:t>双方另行确定</w:t>
      </w:r>
      <w:r>
        <w:rPr>
          <w:rFonts w:hint="eastAsia" w:ascii="新宋体" w:hAnsi="新宋体" w:eastAsia="新宋体" w:cs="新宋体"/>
          <w:color w:val="auto"/>
          <w:spacing w:val="2"/>
          <w:szCs w:val="21"/>
          <w:highlight w:val="none"/>
        </w:rPr>
        <w:t>。</w:t>
      </w:r>
    </w:p>
    <w:p w14:paraId="5FF8BAFF">
      <w:pPr>
        <w:pStyle w:val="34"/>
        <w:adjustRightInd w:val="0"/>
        <w:snapToGrid w:val="0"/>
        <w:spacing w:line="440" w:lineRule="exact"/>
        <w:ind w:left="-315" w:leftChars="-150" w:firstLine="753" w:firstLineChars="352"/>
        <w:textAlignment w:val="baseline"/>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 xml:space="preserve">1.6.3  现场图纸准备 </w:t>
      </w:r>
    </w:p>
    <w:p w14:paraId="1C4162F4">
      <w:pPr>
        <w:pStyle w:val="34"/>
        <w:adjustRightInd w:val="0"/>
        <w:snapToGrid w:val="0"/>
        <w:spacing w:line="440" w:lineRule="exact"/>
        <w:ind w:left="-315" w:leftChars="-150" w:firstLine="753" w:firstLineChars="352"/>
        <w:textAlignment w:val="baseline"/>
        <w:rPr>
          <w:color w:val="auto"/>
          <w:szCs w:val="21"/>
          <w:highlight w:val="none"/>
        </w:rPr>
      </w:pPr>
      <w:r>
        <w:rPr>
          <w:rFonts w:hint="eastAsia" w:ascii="新宋体" w:hAnsi="新宋体" w:eastAsia="新宋体" w:cs="新宋体"/>
          <w:color w:val="auto"/>
          <w:spacing w:val="2"/>
          <w:szCs w:val="21"/>
          <w:highlight w:val="none"/>
        </w:rPr>
        <w:t>关于现场图纸准备的约定：</w:t>
      </w:r>
      <w:r>
        <w:rPr>
          <w:rFonts w:hint="eastAsia" w:ascii="新宋体" w:hAnsi="新宋体" w:eastAsia="新宋体" w:cs="新宋体"/>
          <w:color w:val="auto"/>
          <w:spacing w:val="2"/>
          <w:szCs w:val="21"/>
          <w:highlight w:val="none"/>
          <w:u w:val="single"/>
        </w:rPr>
        <w:t>按通用条款 1.6.5 条执行</w:t>
      </w:r>
      <w:r>
        <w:rPr>
          <w:rFonts w:hint="eastAsia" w:ascii="新宋体" w:hAnsi="新宋体" w:eastAsia="新宋体" w:cs="新宋体"/>
          <w:color w:val="auto"/>
          <w:spacing w:val="2"/>
          <w:szCs w:val="21"/>
          <w:highlight w:val="none"/>
        </w:rPr>
        <w:t>。</w:t>
      </w:r>
    </w:p>
    <w:p w14:paraId="263FE1CC">
      <w:pPr>
        <w:pStyle w:val="33"/>
        <w:rPr>
          <w:rFonts w:ascii="Calibri" w:hAnsi="Calibri"/>
          <w:color w:val="auto"/>
          <w:highlight w:val="none"/>
        </w:rPr>
      </w:pPr>
      <w:bookmarkStart w:id="239" w:name="_Toc467599559"/>
      <w:bookmarkStart w:id="240" w:name="_Toc373227698"/>
      <w:bookmarkStart w:id="241" w:name="_Toc373478345"/>
      <w:bookmarkStart w:id="242" w:name="_Toc389065264"/>
      <w:r>
        <w:rPr>
          <w:rFonts w:ascii="Calibri" w:hAnsi="Calibri"/>
          <w:color w:val="auto"/>
          <w:highlight w:val="none"/>
        </w:rPr>
        <w:t xml:space="preserve">1.7 </w:t>
      </w:r>
      <w:r>
        <w:rPr>
          <w:rFonts w:hint="eastAsia" w:ascii="Calibri" w:hAnsi="宋体"/>
          <w:color w:val="auto"/>
          <w:highlight w:val="none"/>
        </w:rPr>
        <w:t>联络</w:t>
      </w:r>
      <w:bookmarkEnd w:id="239"/>
      <w:bookmarkEnd w:id="240"/>
      <w:bookmarkEnd w:id="241"/>
      <w:bookmarkEnd w:id="242"/>
    </w:p>
    <w:p w14:paraId="682A003A">
      <w:pPr>
        <w:pStyle w:val="35"/>
        <w:spacing w:line="360" w:lineRule="auto"/>
        <w:ind w:firstLine="420" w:firstLineChars="200"/>
        <w:rPr>
          <w:color w:val="auto"/>
          <w:kern w:val="0"/>
          <w:szCs w:val="21"/>
          <w:highlight w:val="none"/>
        </w:rPr>
      </w:pPr>
      <w:r>
        <w:rPr>
          <w:color w:val="auto"/>
          <w:kern w:val="0"/>
          <w:szCs w:val="21"/>
          <w:highlight w:val="none"/>
        </w:rPr>
        <w:t>1.7.1</w:t>
      </w:r>
      <w:r>
        <w:rPr>
          <w:rFonts w:hint="eastAsia" w:hAnsi="宋体"/>
          <w:color w:val="auto"/>
          <w:kern w:val="0"/>
          <w:szCs w:val="21"/>
          <w:highlight w:val="none"/>
        </w:rPr>
        <w:t>发包人和承包人应当在</w:t>
      </w:r>
      <w:r>
        <w:rPr>
          <w:rFonts w:hAnsi="宋体"/>
          <w:color w:val="auto"/>
          <w:szCs w:val="21"/>
          <w:highlight w:val="none"/>
          <w:u w:val="single"/>
        </w:rPr>
        <w:t></w:t>
      </w:r>
      <w:r>
        <w:rPr>
          <w:color w:val="auto"/>
          <w:szCs w:val="21"/>
          <w:highlight w:val="none"/>
          <w:u w:val="single"/>
        </w:rPr>
        <w:t xml:space="preserve">1  </w:t>
      </w:r>
      <w:r>
        <w:rPr>
          <w:rFonts w:hint="eastAsia" w:hAnsi="宋体"/>
          <w:color w:val="auto"/>
          <w:kern w:val="0"/>
          <w:szCs w:val="21"/>
          <w:highlight w:val="none"/>
        </w:rPr>
        <w:t>天内将与合同有关的通知、批准、证明、证书、指示、指令、要求、请求、同意、意见、确定和决定等书面函件送达对方当事人。</w:t>
      </w:r>
    </w:p>
    <w:p w14:paraId="7E74D667">
      <w:pPr>
        <w:pStyle w:val="35"/>
        <w:spacing w:line="360" w:lineRule="auto"/>
        <w:ind w:firstLine="420" w:firstLineChars="200"/>
        <w:rPr>
          <w:color w:val="auto"/>
          <w:kern w:val="0"/>
          <w:szCs w:val="21"/>
          <w:highlight w:val="none"/>
        </w:rPr>
      </w:pPr>
      <w:r>
        <w:rPr>
          <w:color w:val="auto"/>
          <w:kern w:val="0"/>
          <w:szCs w:val="21"/>
          <w:highlight w:val="none"/>
        </w:rPr>
        <w:t xml:space="preserve">1.7.2 </w:t>
      </w:r>
      <w:r>
        <w:rPr>
          <w:rFonts w:hint="eastAsia" w:hAnsi="宋体"/>
          <w:color w:val="auto"/>
          <w:kern w:val="0"/>
          <w:szCs w:val="21"/>
          <w:highlight w:val="none"/>
        </w:rPr>
        <w:t>发包人接收文件的地点：</w:t>
      </w:r>
      <w:r>
        <w:rPr>
          <w:rFonts w:hint="eastAsia" w:ascii="Times New Roman" w:hAnsi="宋体"/>
          <w:color w:val="auto"/>
          <w:szCs w:val="21"/>
          <w:highlight w:val="none"/>
          <w:u w:val="single"/>
          <w:lang w:val="en-US" w:eastAsia="zh-CN"/>
        </w:rPr>
        <w:t xml:space="preserve">       </w:t>
      </w:r>
      <w:r>
        <w:rPr>
          <w:rFonts w:hint="eastAsia" w:ascii="Times New Roman" w:hAnsi="宋体"/>
          <w:color w:val="auto"/>
          <w:szCs w:val="21"/>
          <w:highlight w:val="none"/>
          <w:u w:val="single"/>
        </w:rPr>
        <w:t xml:space="preserve">  </w:t>
      </w:r>
      <w:r>
        <w:rPr>
          <w:rFonts w:hint="eastAsia" w:hAnsi="宋体"/>
          <w:color w:val="auto"/>
          <w:kern w:val="0"/>
          <w:szCs w:val="21"/>
          <w:highlight w:val="none"/>
        </w:rPr>
        <w:t>；</w:t>
      </w:r>
    </w:p>
    <w:p w14:paraId="4363228D">
      <w:pPr>
        <w:pStyle w:val="35"/>
        <w:spacing w:line="360" w:lineRule="auto"/>
        <w:ind w:firstLine="420" w:firstLineChars="200"/>
        <w:rPr>
          <w:color w:val="auto"/>
          <w:kern w:val="0"/>
          <w:szCs w:val="21"/>
          <w:highlight w:val="none"/>
        </w:rPr>
      </w:pPr>
      <w:r>
        <w:rPr>
          <w:rFonts w:hint="eastAsia" w:hAnsi="宋体"/>
          <w:color w:val="auto"/>
          <w:kern w:val="0"/>
          <w:szCs w:val="21"/>
          <w:highlight w:val="none"/>
        </w:rPr>
        <w:t>发包人指定的接收人为：</w:t>
      </w:r>
      <w:r>
        <w:rPr>
          <w:rFonts w:hAnsi="宋体"/>
          <w:color w:val="auto"/>
          <w:szCs w:val="21"/>
          <w:highlight w:val="none"/>
          <w:u w:val="single"/>
        </w:rPr>
        <w:t></w:t>
      </w:r>
      <w:r>
        <w:rPr>
          <w:rFonts w:hint="eastAsia" w:ascii="Times New Roman" w:hAnsi="宋体"/>
          <w:color w:val="auto"/>
          <w:szCs w:val="21"/>
          <w:highlight w:val="none"/>
          <w:u w:val="single"/>
          <w:lang w:val="en-US" w:eastAsia="zh-CN"/>
        </w:rPr>
        <w:t xml:space="preserve">      </w:t>
      </w:r>
      <w:r>
        <w:rPr>
          <w:rFonts w:ascii="Times New Roman" w:hAnsi="宋体"/>
          <w:color w:val="auto"/>
          <w:szCs w:val="21"/>
          <w:highlight w:val="none"/>
          <w:u w:val="single"/>
        </w:rPr>
        <w:t></w:t>
      </w:r>
      <w:r>
        <w:rPr>
          <w:rFonts w:hAnsi="宋体"/>
          <w:color w:val="auto"/>
          <w:szCs w:val="21"/>
          <w:highlight w:val="none"/>
          <w:u w:val="single"/>
        </w:rPr>
        <w:t></w:t>
      </w:r>
      <w:r>
        <w:rPr>
          <w:rFonts w:hint="eastAsia" w:hAnsi="宋体"/>
          <w:color w:val="auto"/>
          <w:kern w:val="0"/>
          <w:szCs w:val="21"/>
          <w:highlight w:val="none"/>
        </w:rPr>
        <w:t>。</w:t>
      </w:r>
    </w:p>
    <w:p w14:paraId="71DB5012">
      <w:pPr>
        <w:pStyle w:val="35"/>
        <w:spacing w:line="360" w:lineRule="auto"/>
        <w:ind w:firstLine="420" w:firstLineChars="200"/>
        <w:rPr>
          <w:color w:val="auto"/>
          <w:kern w:val="0"/>
          <w:szCs w:val="21"/>
          <w:highlight w:val="none"/>
        </w:rPr>
      </w:pPr>
      <w:r>
        <w:rPr>
          <w:rFonts w:hint="eastAsia" w:hAnsi="宋体"/>
          <w:color w:val="auto"/>
          <w:kern w:val="0"/>
          <w:szCs w:val="21"/>
          <w:highlight w:val="none"/>
        </w:rPr>
        <w:t>承包人接收文件的地点：</w:t>
      </w:r>
      <w:r>
        <w:rPr>
          <w:rFonts w:hint="eastAsia" w:ascii="Times New Roman" w:hAnsi="宋体"/>
          <w:color w:val="auto"/>
          <w:szCs w:val="21"/>
          <w:highlight w:val="none"/>
          <w:u w:val="single"/>
          <w:lang w:val="en-US" w:eastAsia="zh-CN"/>
        </w:rPr>
        <w:t xml:space="preserve">      </w:t>
      </w:r>
      <w:r>
        <w:rPr>
          <w:rFonts w:ascii="Times New Roman" w:hAnsi="宋体"/>
          <w:color w:val="auto"/>
          <w:szCs w:val="21"/>
          <w:highlight w:val="none"/>
          <w:u w:val="single"/>
        </w:rPr>
        <w:t></w:t>
      </w:r>
      <w:r>
        <w:rPr>
          <w:rFonts w:hAnsi="宋体"/>
          <w:color w:val="auto"/>
          <w:szCs w:val="21"/>
          <w:highlight w:val="none"/>
          <w:u w:val="single"/>
        </w:rPr>
        <w:t></w:t>
      </w:r>
      <w:r>
        <w:rPr>
          <w:rFonts w:hint="eastAsia" w:hAnsi="宋体"/>
          <w:color w:val="auto"/>
          <w:kern w:val="0"/>
          <w:szCs w:val="21"/>
          <w:highlight w:val="none"/>
        </w:rPr>
        <w:t>；</w:t>
      </w:r>
    </w:p>
    <w:p w14:paraId="7AE0B0F1">
      <w:pPr>
        <w:pStyle w:val="35"/>
        <w:spacing w:line="360" w:lineRule="auto"/>
        <w:ind w:firstLine="420" w:firstLineChars="200"/>
        <w:rPr>
          <w:color w:val="auto"/>
          <w:kern w:val="0"/>
          <w:szCs w:val="21"/>
          <w:highlight w:val="none"/>
        </w:rPr>
      </w:pPr>
      <w:r>
        <w:rPr>
          <w:rFonts w:hint="eastAsia" w:hAnsi="宋体"/>
          <w:color w:val="auto"/>
          <w:kern w:val="0"/>
          <w:szCs w:val="21"/>
          <w:highlight w:val="none"/>
        </w:rPr>
        <w:t>承包人指定的接收人为：</w:t>
      </w:r>
      <w:r>
        <w:rPr>
          <w:rFonts w:hint="eastAsia"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color w:val="auto"/>
          <w:kern w:val="0"/>
          <w:szCs w:val="21"/>
          <w:highlight w:val="none"/>
        </w:rPr>
        <w:t>。</w:t>
      </w:r>
    </w:p>
    <w:p w14:paraId="514C67C6">
      <w:pPr>
        <w:pStyle w:val="35"/>
        <w:spacing w:line="360" w:lineRule="auto"/>
        <w:ind w:firstLine="420" w:firstLineChars="200"/>
        <w:rPr>
          <w:color w:val="auto"/>
          <w:kern w:val="0"/>
          <w:szCs w:val="21"/>
          <w:highlight w:val="none"/>
        </w:rPr>
      </w:pPr>
      <w:r>
        <w:rPr>
          <w:rFonts w:hint="eastAsia" w:hAnsi="宋体"/>
          <w:color w:val="auto"/>
          <w:kern w:val="0"/>
          <w:szCs w:val="21"/>
          <w:highlight w:val="none"/>
        </w:rPr>
        <w:t>监理人接收文件的地点：</w:t>
      </w:r>
      <w:r>
        <w:rPr>
          <w:rFonts w:hint="eastAsia" w:ascii="Times New Roman" w:hAnsi="宋体"/>
          <w:color w:val="auto"/>
          <w:szCs w:val="21"/>
          <w:highlight w:val="none"/>
          <w:u w:val="single"/>
          <w:lang w:val="en-US" w:eastAsia="zh-CN"/>
        </w:rPr>
        <w:t xml:space="preserve">       </w:t>
      </w:r>
      <w:r>
        <w:rPr>
          <w:rFonts w:ascii="Times New Roman" w:hAnsi="宋体"/>
          <w:color w:val="auto"/>
          <w:szCs w:val="21"/>
          <w:highlight w:val="none"/>
          <w:u w:val="single"/>
        </w:rPr>
        <w:t></w:t>
      </w:r>
      <w:r>
        <w:rPr>
          <w:rFonts w:hAnsi="宋体"/>
          <w:color w:val="auto"/>
          <w:szCs w:val="21"/>
          <w:highlight w:val="none"/>
          <w:u w:val="single"/>
        </w:rPr>
        <w:t></w:t>
      </w:r>
      <w:r>
        <w:rPr>
          <w:rFonts w:hint="eastAsia" w:hAnsi="宋体"/>
          <w:color w:val="auto"/>
          <w:kern w:val="0"/>
          <w:szCs w:val="21"/>
          <w:highlight w:val="none"/>
        </w:rPr>
        <w:t>；</w:t>
      </w:r>
    </w:p>
    <w:p w14:paraId="49223EB7">
      <w:pPr>
        <w:pStyle w:val="35"/>
        <w:spacing w:line="360" w:lineRule="auto"/>
        <w:ind w:firstLine="420" w:firstLineChars="200"/>
        <w:rPr>
          <w:color w:val="auto"/>
          <w:kern w:val="0"/>
          <w:szCs w:val="21"/>
          <w:highlight w:val="none"/>
        </w:rPr>
      </w:pPr>
      <w:r>
        <w:rPr>
          <w:rFonts w:hint="eastAsia" w:hAnsi="宋体"/>
          <w:color w:val="auto"/>
          <w:kern w:val="0"/>
          <w:szCs w:val="21"/>
          <w:highlight w:val="none"/>
        </w:rPr>
        <w:t>监理人指定的接收人为：</w:t>
      </w:r>
      <w:r>
        <w:rPr>
          <w:rFonts w:hAnsi="宋体"/>
          <w:color w:val="auto"/>
          <w:szCs w:val="21"/>
          <w:highlight w:val="none"/>
          <w:u w:val="single"/>
        </w:rPr>
        <w:t></w:t>
      </w:r>
      <w:r>
        <w:rPr>
          <w:rFonts w:ascii="Times New Roman" w:hAnsi="宋体"/>
          <w:color w:val="auto"/>
          <w:szCs w:val="21"/>
          <w:highlight w:val="none"/>
          <w:u w:val="single"/>
        </w:rPr>
        <w:t></w:t>
      </w:r>
      <w:r>
        <w:rPr>
          <w:rFonts w:hint="eastAsia" w:ascii="Times New Roman" w:hAnsi="宋体"/>
          <w:color w:val="auto"/>
          <w:szCs w:val="21"/>
          <w:highlight w:val="none"/>
          <w:u w:val="single"/>
          <w:lang w:val="en-US" w:eastAsia="zh-CN"/>
        </w:rPr>
        <w:t xml:space="preserve"> </w:t>
      </w:r>
      <w:r>
        <w:rPr>
          <w:rFonts w:ascii="Times New Roman" w:hAnsi="宋体"/>
          <w:color w:val="auto"/>
          <w:szCs w:val="21"/>
          <w:highlight w:val="none"/>
          <w:u w:val="single"/>
        </w:rPr>
        <w:t></w:t>
      </w:r>
      <w:r>
        <w:rPr>
          <w:rFonts w:hAnsi="宋体"/>
          <w:color w:val="auto"/>
          <w:szCs w:val="21"/>
          <w:highlight w:val="none"/>
          <w:u w:val="single"/>
        </w:rPr>
        <w:t></w:t>
      </w:r>
      <w:r>
        <w:rPr>
          <w:rFonts w:hint="eastAsia" w:hAnsi="宋体"/>
          <w:color w:val="auto"/>
          <w:kern w:val="0"/>
          <w:szCs w:val="21"/>
          <w:highlight w:val="none"/>
        </w:rPr>
        <w:t>。</w:t>
      </w:r>
    </w:p>
    <w:p w14:paraId="472B536C">
      <w:pPr>
        <w:pStyle w:val="33"/>
        <w:rPr>
          <w:rFonts w:ascii="Calibri" w:hAnsi="Calibri"/>
          <w:color w:val="auto"/>
          <w:highlight w:val="none"/>
        </w:rPr>
      </w:pPr>
      <w:bookmarkStart w:id="243" w:name="_Toc373478346"/>
      <w:bookmarkStart w:id="244" w:name="_Toc467599560"/>
      <w:bookmarkStart w:id="245" w:name="_Toc373227699"/>
      <w:bookmarkStart w:id="246" w:name="_Toc389065265"/>
      <w:r>
        <w:rPr>
          <w:rFonts w:ascii="Calibri" w:hAnsi="Calibri"/>
          <w:color w:val="auto"/>
          <w:highlight w:val="none"/>
        </w:rPr>
        <w:t xml:space="preserve">1.10 </w:t>
      </w:r>
      <w:r>
        <w:rPr>
          <w:rFonts w:hint="eastAsia" w:ascii="Calibri" w:hAnsi="宋体"/>
          <w:color w:val="auto"/>
          <w:highlight w:val="none"/>
        </w:rPr>
        <w:t>交通运输</w:t>
      </w:r>
      <w:bookmarkEnd w:id="243"/>
      <w:bookmarkEnd w:id="244"/>
      <w:bookmarkEnd w:id="245"/>
      <w:bookmarkEnd w:id="246"/>
    </w:p>
    <w:p w14:paraId="5DDE073C">
      <w:pPr>
        <w:pStyle w:val="35"/>
        <w:spacing w:line="360" w:lineRule="auto"/>
        <w:ind w:firstLine="420" w:firstLineChars="200"/>
        <w:rPr>
          <w:color w:val="auto"/>
          <w:szCs w:val="21"/>
          <w:highlight w:val="none"/>
        </w:rPr>
      </w:pPr>
      <w:r>
        <w:rPr>
          <w:color w:val="auto"/>
          <w:szCs w:val="21"/>
          <w:highlight w:val="none"/>
        </w:rPr>
        <w:t>1</w:t>
      </w:r>
      <w:bookmarkStart w:id="247" w:name="_Toc300934943"/>
      <w:bookmarkStart w:id="248" w:name="_Toc318581155"/>
      <w:bookmarkStart w:id="249" w:name="_Toc312677986"/>
      <w:bookmarkStart w:id="250" w:name="_Toc304295521"/>
      <w:bookmarkStart w:id="251" w:name="_Toc303539100"/>
      <w:r>
        <w:rPr>
          <w:color w:val="auto"/>
          <w:szCs w:val="21"/>
          <w:highlight w:val="none"/>
        </w:rPr>
        <w:t xml:space="preserve">.10.1 </w:t>
      </w:r>
      <w:r>
        <w:rPr>
          <w:rFonts w:hint="eastAsia" w:hAnsi="宋体"/>
          <w:color w:val="auto"/>
          <w:szCs w:val="21"/>
          <w:highlight w:val="none"/>
        </w:rPr>
        <w:t>出入现场的权利</w:t>
      </w:r>
    </w:p>
    <w:p w14:paraId="1E9BF3C0">
      <w:pPr>
        <w:pStyle w:val="35"/>
        <w:spacing w:line="360" w:lineRule="auto"/>
        <w:ind w:firstLine="428" w:firstLineChars="200"/>
        <w:rPr>
          <w:color w:val="auto"/>
          <w:szCs w:val="21"/>
          <w:highlight w:val="none"/>
          <w:u w:val="single"/>
        </w:rPr>
      </w:pPr>
      <w:r>
        <w:rPr>
          <w:rFonts w:hint="eastAsia" w:ascii="新宋体" w:hAnsi="新宋体" w:eastAsia="新宋体" w:cs="新宋体"/>
          <w:color w:val="auto"/>
          <w:spacing w:val="2"/>
          <w:szCs w:val="21"/>
          <w:highlight w:val="none"/>
        </w:rPr>
        <w:t>关于出入现场的权利的约定：</w:t>
      </w:r>
      <w:r>
        <w:rPr>
          <w:rFonts w:hint="eastAsia" w:ascii="新宋体" w:hAnsi="新宋体" w:eastAsia="新宋体" w:cs="新宋体"/>
          <w:color w:val="auto"/>
          <w:spacing w:val="2"/>
          <w:szCs w:val="21"/>
          <w:highlight w:val="none"/>
          <w:u w:val="single"/>
        </w:rPr>
        <w:t>承包人负责办理取得道路通行权、场外设施修建权，其相关费用由承包人承担；负责施工所需的场内临时道路和交通设施的修建、维护、养护和管理；相关费用由承包人承担，发包人和监理人有权无偿使用承包人修建的临时道路和交通设施，不需要交纳任何费用。</w:t>
      </w:r>
    </w:p>
    <w:bookmarkEnd w:id="247"/>
    <w:bookmarkEnd w:id="248"/>
    <w:bookmarkEnd w:id="249"/>
    <w:bookmarkEnd w:id="250"/>
    <w:bookmarkEnd w:id="251"/>
    <w:p w14:paraId="69B893B8">
      <w:pPr>
        <w:pStyle w:val="35"/>
        <w:spacing w:line="360" w:lineRule="auto"/>
        <w:ind w:firstLine="420" w:firstLineChars="200"/>
        <w:jc w:val="left"/>
        <w:rPr>
          <w:color w:val="auto"/>
          <w:szCs w:val="21"/>
          <w:highlight w:val="none"/>
        </w:rPr>
      </w:pPr>
      <w:r>
        <w:rPr>
          <w:color w:val="auto"/>
          <w:szCs w:val="21"/>
          <w:highlight w:val="none"/>
        </w:rPr>
        <w:t>1</w:t>
      </w:r>
      <w:bookmarkStart w:id="252" w:name="_Toc304295522"/>
      <w:bookmarkStart w:id="253" w:name="_Toc318581156"/>
      <w:bookmarkStart w:id="254" w:name="_Toc300934944"/>
      <w:bookmarkStart w:id="255" w:name="_Toc312677987"/>
      <w:bookmarkStart w:id="256" w:name="_Toc303539101"/>
      <w:r>
        <w:rPr>
          <w:color w:val="auto"/>
          <w:szCs w:val="21"/>
          <w:highlight w:val="none"/>
        </w:rPr>
        <w:t xml:space="preserve">.10.3 </w:t>
      </w:r>
      <w:r>
        <w:rPr>
          <w:rFonts w:hint="eastAsia" w:hAnsi="宋体"/>
          <w:color w:val="auto"/>
          <w:szCs w:val="21"/>
          <w:highlight w:val="none"/>
        </w:rPr>
        <w:t>场内交通</w:t>
      </w:r>
    </w:p>
    <w:p w14:paraId="6266AA65">
      <w:pPr>
        <w:pStyle w:val="35"/>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关于场外交通和场内交通的边界的约定：原则上以工程用地红线界定。</w:t>
      </w:r>
    </w:p>
    <w:p w14:paraId="6F67C9ED">
      <w:pPr>
        <w:pStyle w:val="35"/>
        <w:spacing w:line="360" w:lineRule="auto"/>
        <w:ind w:firstLine="420" w:firstLineChars="200"/>
        <w:jc w:val="left"/>
        <w:rPr>
          <w:color w:val="auto"/>
          <w:szCs w:val="21"/>
          <w:highlight w:val="none"/>
        </w:rPr>
      </w:pPr>
      <w:r>
        <w:rPr>
          <w:rFonts w:hint="eastAsia" w:hAnsi="宋体"/>
          <w:color w:val="auto"/>
          <w:kern w:val="0"/>
          <w:szCs w:val="21"/>
          <w:highlight w:val="none"/>
        </w:rPr>
        <w:t>关于发包人向承包人免费提供满足工程施工需要的场内道路和交通设施的约定：由承包人根据现场实际自行考虑，费用自理。</w:t>
      </w:r>
      <w:bookmarkEnd w:id="252"/>
      <w:bookmarkEnd w:id="253"/>
      <w:bookmarkEnd w:id="254"/>
      <w:bookmarkEnd w:id="255"/>
      <w:bookmarkEnd w:id="256"/>
      <w:bookmarkStart w:id="257" w:name="_Toc318581157"/>
    </w:p>
    <w:p w14:paraId="34322A65">
      <w:pPr>
        <w:pStyle w:val="35"/>
        <w:spacing w:line="360" w:lineRule="auto"/>
        <w:ind w:firstLine="420" w:firstLineChars="200"/>
        <w:jc w:val="left"/>
        <w:rPr>
          <w:color w:val="auto"/>
          <w:szCs w:val="21"/>
          <w:highlight w:val="none"/>
        </w:rPr>
      </w:pPr>
      <w:r>
        <w:rPr>
          <w:color w:val="auto"/>
          <w:szCs w:val="21"/>
          <w:highlight w:val="none"/>
        </w:rPr>
        <w:t xml:space="preserve">1.10.4 </w:t>
      </w:r>
      <w:r>
        <w:rPr>
          <w:rFonts w:hint="eastAsia" w:hAnsi="宋体"/>
          <w:color w:val="auto"/>
          <w:szCs w:val="21"/>
          <w:highlight w:val="none"/>
        </w:rPr>
        <w:t>超大件和超重件的运输</w:t>
      </w:r>
    </w:p>
    <w:p w14:paraId="2731E913">
      <w:pPr>
        <w:pStyle w:val="35"/>
        <w:spacing w:line="360" w:lineRule="auto"/>
        <w:ind w:firstLine="420" w:firstLineChars="200"/>
        <w:jc w:val="left"/>
        <w:rPr>
          <w:color w:val="auto"/>
          <w:szCs w:val="21"/>
          <w:highlight w:val="none"/>
          <w:u w:val="single"/>
        </w:rPr>
      </w:pPr>
      <w:r>
        <w:rPr>
          <w:rFonts w:hint="eastAsia" w:hAnsi="宋体"/>
          <w:color w:val="auto"/>
          <w:szCs w:val="21"/>
          <w:highlight w:val="none"/>
        </w:rPr>
        <w:t>运输超大件或超重件所需的道路和桥梁临时加固改造费用和其他有关费用由</w:t>
      </w:r>
      <w:r>
        <w:rPr>
          <w:rFonts w:hint="eastAsia"/>
          <w:color w:val="auto"/>
          <w:szCs w:val="21"/>
          <w:highlight w:val="none"/>
          <w:u w:val="single"/>
        </w:rPr>
        <w:t>承包人</w:t>
      </w:r>
      <w:r>
        <w:rPr>
          <w:rFonts w:hint="eastAsia" w:hAnsi="宋体"/>
          <w:color w:val="auto"/>
          <w:szCs w:val="21"/>
          <w:highlight w:val="none"/>
        </w:rPr>
        <w:t>承担。</w:t>
      </w:r>
    </w:p>
    <w:bookmarkEnd w:id="257"/>
    <w:p w14:paraId="69702A4B">
      <w:pPr>
        <w:pStyle w:val="33"/>
        <w:rPr>
          <w:rFonts w:ascii="Calibri" w:hAnsi="Calibri"/>
          <w:color w:val="auto"/>
          <w:highlight w:val="none"/>
        </w:rPr>
      </w:pPr>
      <w:bookmarkStart w:id="258" w:name="_Toc389065266"/>
      <w:bookmarkStart w:id="259" w:name="_Toc373478347"/>
      <w:bookmarkStart w:id="260" w:name="_Toc373227700"/>
      <w:bookmarkStart w:id="261" w:name="_Toc467599561"/>
      <w:r>
        <w:rPr>
          <w:rFonts w:ascii="Calibri" w:hAnsi="Calibri"/>
          <w:color w:val="auto"/>
          <w:highlight w:val="none"/>
        </w:rPr>
        <w:t xml:space="preserve">1.11 </w:t>
      </w:r>
      <w:r>
        <w:rPr>
          <w:rFonts w:hint="eastAsia" w:ascii="Calibri" w:hAnsi="宋体"/>
          <w:color w:val="auto"/>
          <w:highlight w:val="none"/>
        </w:rPr>
        <w:t>知识产权</w:t>
      </w:r>
      <w:bookmarkEnd w:id="258"/>
      <w:bookmarkEnd w:id="259"/>
      <w:bookmarkEnd w:id="260"/>
      <w:bookmarkEnd w:id="261"/>
    </w:p>
    <w:p w14:paraId="75DDBB91">
      <w:pPr>
        <w:pStyle w:val="35"/>
        <w:spacing w:line="360" w:lineRule="auto"/>
        <w:ind w:firstLine="420" w:firstLineChars="200"/>
        <w:rPr>
          <w:color w:val="auto"/>
          <w:szCs w:val="21"/>
          <w:highlight w:val="none"/>
        </w:rPr>
      </w:pPr>
      <w:r>
        <w:rPr>
          <w:color w:val="auto"/>
          <w:szCs w:val="21"/>
          <w:highlight w:val="none"/>
        </w:rPr>
        <w:t xml:space="preserve">1.11.1 </w:t>
      </w:r>
      <w:r>
        <w:rPr>
          <w:rFonts w:hint="eastAsia" w:hAnsi="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hAnsi="宋体"/>
          <w:color w:val="auto"/>
          <w:szCs w:val="21"/>
          <w:highlight w:val="none"/>
          <w:u w:val="single"/>
        </w:rPr>
        <w:t>属于发包人。</w:t>
      </w:r>
    </w:p>
    <w:p w14:paraId="16DFFA20">
      <w:pPr>
        <w:pStyle w:val="35"/>
        <w:spacing w:line="360" w:lineRule="auto"/>
        <w:ind w:firstLine="420" w:firstLineChars="200"/>
        <w:rPr>
          <w:color w:val="auto"/>
          <w:szCs w:val="21"/>
          <w:highlight w:val="none"/>
        </w:rPr>
      </w:pPr>
      <w:r>
        <w:rPr>
          <w:rFonts w:hint="eastAsia" w:hAnsi="宋体"/>
          <w:color w:val="auto"/>
          <w:szCs w:val="21"/>
          <w:highlight w:val="none"/>
        </w:rPr>
        <w:t>关于发包人提供的上述文件的使用限制的要求：</w:t>
      </w:r>
      <w:r>
        <w:rPr>
          <w:rFonts w:hint="eastAsia"/>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2F96AF7D">
      <w:pPr>
        <w:pStyle w:val="35"/>
        <w:spacing w:line="360" w:lineRule="auto"/>
        <w:ind w:firstLine="420" w:firstLineChars="200"/>
        <w:rPr>
          <w:color w:val="auto"/>
          <w:szCs w:val="21"/>
          <w:highlight w:val="none"/>
        </w:rPr>
      </w:pPr>
      <w:r>
        <w:rPr>
          <w:color w:val="auto"/>
          <w:szCs w:val="21"/>
          <w:highlight w:val="none"/>
        </w:rPr>
        <w:t xml:space="preserve">1.11.2 </w:t>
      </w:r>
      <w:r>
        <w:rPr>
          <w:rFonts w:hint="eastAsia" w:hAnsi="宋体"/>
          <w:color w:val="auto"/>
          <w:szCs w:val="21"/>
          <w:highlight w:val="none"/>
        </w:rPr>
        <w:t>关于承包人为实施工程所编制文件的著作权的归属：</w:t>
      </w:r>
      <w:r>
        <w:rPr>
          <w:rFonts w:hint="eastAsia"/>
          <w:color w:val="auto"/>
          <w:szCs w:val="21"/>
          <w:highlight w:val="none"/>
          <w:u w:val="single"/>
        </w:rPr>
        <w:t>属于发包人</w:t>
      </w:r>
      <w:r>
        <w:rPr>
          <w:rFonts w:hint="eastAsia" w:hAnsi="宋体"/>
          <w:color w:val="auto"/>
          <w:szCs w:val="21"/>
          <w:highlight w:val="none"/>
        </w:rPr>
        <w:t>。</w:t>
      </w:r>
    </w:p>
    <w:p w14:paraId="6E28754C">
      <w:pPr>
        <w:pStyle w:val="35"/>
        <w:spacing w:line="360" w:lineRule="auto"/>
        <w:ind w:firstLine="420" w:firstLineChars="200"/>
        <w:rPr>
          <w:color w:val="auto"/>
          <w:szCs w:val="21"/>
          <w:highlight w:val="none"/>
          <w:u w:val="single"/>
        </w:rPr>
      </w:pPr>
      <w:r>
        <w:rPr>
          <w:rFonts w:hint="eastAsia" w:hAnsi="宋体"/>
          <w:color w:val="auto"/>
          <w:szCs w:val="21"/>
          <w:highlight w:val="none"/>
        </w:rPr>
        <w:t>关于承包人提供的上述文件的使用限制的要求：</w:t>
      </w:r>
      <w:r>
        <w:rPr>
          <w:rFonts w:hint="eastAsia" w:hAnsi="宋体"/>
          <w:color w:val="auto"/>
          <w:szCs w:val="21"/>
          <w:highlight w:val="none"/>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B4385C3">
      <w:pPr>
        <w:pStyle w:val="35"/>
        <w:spacing w:line="360" w:lineRule="auto"/>
        <w:ind w:firstLine="420" w:firstLineChars="200"/>
        <w:rPr>
          <w:color w:val="auto"/>
          <w:kern w:val="0"/>
          <w:szCs w:val="21"/>
          <w:highlight w:val="none"/>
        </w:rPr>
      </w:pPr>
      <w:r>
        <w:rPr>
          <w:color w:val="auto"/>
          <w:szCs w:val="21"/>
          <w:highlight w:val="none"/>
        </w:rPr>
        <w:t xml:space="preserve">1.11.4 </w:t>
      </w:r>
      <w:r>
        <w:rPr>
          <w:rFonts w:hint="eastAsia" w:hAnsi="宋体"/>
          <w:color w:val="auto"/>
          <w:szCs w:val="21"/>
          <w:highlight w:val="none"/>
        </w:rPr>
        <w:t>承包人在施工过程中所采用的专利、专有技术、技术秘密的使用费的承担方式：</w:t>
      </w:r>
      <w:r>
        <w:rPr>
          <w:rFonts w:hint="eastAsia" w:hAnsi="宋体"/>
          <w:color w:val="auto"/>
          <w:szCs w:val="21"/>
          <w:highlight w:val="none"/>
          <w:u w:val="single"/>
        </w:rPr>
        <w:t>承包人在合同签订前和签订时已确定采用的专利、专有技术、技术秘密的使用费已包含在签约合同价中。</w:t>
      </w:r>
    </w:p>
    <w:p w14:paraId="48543E56">
      <w:pPr>
        <w:pStyle w:val="33"/>
        <w:rPr>
          <w:rFonts w:ascii="Calibri" w:hAnsi="Calibri"/>
          <w:color w:val="auto"/>
          <w:highlight w:val="none"/>
        </w:rPr>
      </w:pPr>
      <w:bookmarkStart w:id="262" w:name="_Toc373478348"/>
      <w:bookmarkStart w:id="263" w:name="_Toc389065267"/>
      <w:bookmarkStart w:id="264" w:name="_Toc467599562"/>
      <w:bookmarkStart w:id="265" w:name="_Toc373227701"/>
      <w:r>
        <w:rPr>
          <w:rFonts w:ascii="Calibri" w:hAnsi="Calibri"/>
          <w:color w:val="auto"/>
          <w:highlight w:val="none"/>
        </w:rPr>
        <w:t>1.13</w:t>
      </w:r>
      <w:r>
        <w:rPr>
          <w:rFonts w:hint="eastAsia" w:ascii="Calibri" w:hAnsi="Calibri"/>
          <w:color w:val="auto"/>
          <w:highlight w:val="none"/>
        </w:rPr>
        <w:t>工程量清单错误的修正</w:t>
      </w:r>
      <w:bookmarkEnd w:id="262"/>
      <w:bookmarkEnd w:id="263"/>
      <w:bookmarkEnd w:id="264"/>
      <w:bookmarkEnd w:id="265"/>
    </w:p>
    <w:p w14:paraId="12F71738">
      <w:pPr>
        <w:pStyle w:val="35"/>
        <w:spacing w:line="360" w:lineRule="auto"/>
        <w:ind w:firstLine="420" w:firstLineChars="200"/>
        <w:rPr>
          <w:color w:val="auto"/>
          <w:szCs w:val="21"/>
          <w:highlight w:val="none"/>
        </w:rPr>
      </w:pPr>
      <w:r>
        <w:rPr>
          <w:rFonts w:hint="eastAsia" w:hAnsi="宋体"/>
          <w:color w:val="auto"/>
          <w:szCs w:val="21"/>
          <w:highlight w:val="none"/>
        </w:rPr>
        <w:t>出现工程量清单工程量偏差时，是否调整合同价格：</w:t>
      </w:r>
      <w:r>
        <w:rPr>
          <w:rFonts w:hint="eastAsia" w:ascii="新宋体" w:hAnsi="新宋体" w:eastAsia="新宋体" w:cs="新宋体"/>
          <w:color w:val="auto"/>
          <w:spacing w:val="2"/>
          <w:szCs w:val="21"/>
          <w:highlight w:val="none"/>
          <w:u w:val="single"/>
        </w:rPr>
        <w:t>按通用条款1.13条执行</w:t>
      </w:r>
      <w:r>
        <w:rPr>
          <w:rFonts w:hint="eastAsia" w:hAnsi="宋体"/>
          <w:color w:val="auto"/>
          <w:kern w:val="0"/>
          <w:szCs w:val="21"/>
          <w:highlight w:val="none"/>
        </w:rPr>
        <w:t>。</w:t>
      </w:r>
    </w:p>
    <w:p w14:paraId="55881C4E">
      <w:pPr>
        <w:pStyle w:val="35"/>
        <w:spacing w:line="360" w:lineRule="auto"/>
        <w:ind w:firstLine="420" w:firstLineChars="200"/>
        <w:rPr>
          <w:color w:val="auto"/>
          <w:szCs w:val="21"/>
          <w:highlight w:val="none"/>
          <w:u w:val="single"/>
        </w:rPr>
      </w:pPr>
      <w:r>
        <w:rPr>
          <w:rFonts w:hint="eastAsia" w:hAnsi="宋体"/>
          <w:color w:val="auto"/>
          <w:szCs w:val="21"/>
          <w:highlight w:val="none"/>
        </w:rPr>
        <w:t>允许调整合同价格的工程量偏差范围及其调整办法：</w:t>
      </w:r>
      <w:r>
        <w:rPr>
          <w:rFonts w:hint="eastAsia" w:ascii="新宋体" w:hAnsi="新宋体" w:eastAsia="新宋体" w:cs="新宋体"/>
          <w:color w:val="auto"/>
          <w:spacing w:val="2"/>
          <w:szCs w:val="21"/>
          <w:highlight w:val="none"/>
          <w:u w:val="single"/>
        </w:rPr>
        <w:t>按通用条款1.13条执行</w:t>
      </w:r>
      <w:r>
        <w:rPr>
          <w:rFonts w:hint="eastAsia" w:hAnsi="宋体"/>
          <w:color w:val="auto"/>
          <w:kern w:val="0"/>
          <w:szCs w:val="21"/>
          <w:highlight w:val="none"/>
        </w:rPr>
        <w:t>。</w:t>
      </w:r>
    </w:p>
    <w:p w14:paraId="0CEA81A0">
      <w:pPr>
        <w:pStyle w:val="23"/>
        <w:rPr>
          <w:color w:val="auto"/>
          <w:highlight w:val="none"/>
        </w:rPr>
      </w:pPr>
      <w:bookmarkStart w:id="266" w:name="_Toc351203634"/>
      <w:bookmarkStart w:id="267" w:name="_Toc467599563"/>
      <w:bookmarkStart w:id="268" w:name="_Toc373478349"/>
      <w:bookmarkStart w:id="269" w:name="_Toc373227702"/>
      <w:bookmarkStart w:id="270" w:name="_Toc389065268"/>
      <w:r>
        <w:rPr>
          <w:color w:val="auto"/>
          <w:highlight w:val="none"/>
        </w:rPr>
        <w:t>2</w:t>
      </w:r>
      <w:bookmarkStart w:id="271" w:name="_Toc297048343"/>
      <w:bookmarkStart w:id="272" w:name="_Toc296347156"/>
      <w:bookmarkStart w:id="273" w:name="_Toc296503157"/>
      <w:bookmarkStart w:id="274" w:name="_Toc292559867"/>
      <w:bookmarkStart w:id="275" w:name="_Toc296891197"/>
      <w:bookmarkStart w:id="276" w:name="_Toc296346658"/>
      <w:bookmarkStart w:id="277" w:name="_Toc296890985"/>
      <w:bookmarkStart w:id="278" w:name="_Toc296944496"/>
      <w:bookmarkStart w:id="279" w:name="_Toc297120457"/>
      <w:bookmarkStart w:id="280" w:name="_Toc292559362"/>
      <w:r>
        <w:rPr>
          <w:color w:val="auto"/>
          <w:highlight w:val="none"/>
        </w:rPr>
        <w:t xml:space="preserve">. </w:t>
      </w:r>
      <w:r>
        <w:rPr>
          <w:rFonts w:hint="eastAsia" w:hAnsi="宋体"/>
          <w:color w:val="auto"/>
          <w:highlight w:val="none"/>
        </w:rPr>
        <w:t>发包人</w:t>
      </w:r>
      <w:bookmarkEnd w:id="266"/>
      <w:bookmarkEnd w:id="267"/>
      <w:bookmarkEnd w:id="268"/>
      <w:bookmarkEnd w:id="269"/>
      <w:bookmarkEnd w:id="270"/>
    </w:p>
    <w:bookmarkEnd w:id="271"/>
    <w:bookmarkEnd w:id="272"/>
    <w:bookmarkEnd w:id="273"/>
    <w:bookmarkEnd w:id="274"/>
    <w:bookmarkEnd w:id="275"/>
    <w:bookmarkEnd w:id="276"/>
    <w:bookmarkEnd w:id="277"/>
    <w:bookmarkEnd w:id="278"/>
    <w:bookmarkEnd w:id="279"/>
    <w:bookmarkEnd w:id="280"/>
    <w:p w14:paraId="7B119BE8">
      <w:pPr>
        <w:pStyle w:val="33"/>
        <w:rPr>
          <w:rFonts w:ascii="Calibri" w:hAnsi="Calibri"/>
          <w:color w:val="auto"/>
          <w:highlight w:val="none"/>
        </w:rPr>
      </w:pPr>
      <w:bookmarkStart w:id="281" w:name="_Toc389065269"/>
      <w:bookmarkStart w:id="282" w:name="_Toc467599564"/>
      <w:bookmarkStart w:id="283" w:name="_Toc373227703"/>
      <w:bookmarkStart w:id="284" w:name="_Toc373478350"/>
      <w:r>
        <w:rPr>
          <w:rFonts w:ascii="Calibri" w:hAnsi="Calibri"/>
          <w:color w:val="auto"/>
          <w:highlight w:val="none"/>
        </w:rPr>
        <w:t xml:space="preserve">2.2 </w:t>
      </w:r>
      <w:r>
        <w:rPr>
          <w:rFonts w:hint="eastAsia" w:ascii="Calibri" w:hAnsi="宋体"/>
          <w:color w:val="auto"/>
          <w:highlight w:val="none"/>
        </w:rPr>
        <w:t>发包人代表</w:t>
      </w:r>
      <w:bookmarkEnd w:id="281"/>
      <w:bookmarkEnd w:id="282"/>
      <w:bookmarkEnd w:id="283"/>
      <w:bookmarkEnd w:id="284"/>
    </w:p>
    <w:p w14:paraId="4C2D82DE">
      <w:pPr>
        <w:pStyle w:val="35"/>
        <w:spacing w:line="360" w:lineRule="auto"/>
        <w:ind w:firstLine="420" w:firstLineChars="200"/>
        <w:rPr>
          <w:rFonts w:hint="default" w:eastAsia="宋体"/>
          <w:color w:val="auto"/>
          <w:szCs w:val="21"/>
          <w:highlight w:val="none"/>
          <w:u w:val="single"/>
          <w:lang w:val="en-US" w:eastAsia="zh-CN"/>
        </w:rPr>
      </w:pPr>
      <w:r>
        <w:rPr>
          <w:rFonts w:hint="eastAsia" w:hAnsi="宋体"/>
          <w:color w:val="auto"/>
          <w:szCs w:val="21"/>
          <w:highlight w:val="none"/>
        </w:rPr>
        <w:t>发包人代表：</w:t>
      </w:r>
      <w:r>
        <w:rPr>
          <w:rFonts w:hint="eastAsia" w:hAnsi="宋体"/>
          <w:color w:val="auto"/>
          <w:szCs w:val="21"/>
          <w:highlight w:val="none"/>
          <w:u w:val="single"/>
          <w:lang w:val="en-US" w:eastAsia="zh-CN"/>
        </w:rPr>
        <w:t xml:space="preserve">      </w:t>
      </w:r>
    </w:p>
    <w:p w14:paraId="17C39E82">
      <w:pPr>
        <w:pStyle w:val="25"/>
        <w:spacing w:line="420" w:lineRule="exact"/>
        <w:ind w:firstLine="420" w:firstLineChars="200"/>
        <w:rPr>
          <w:rFonts w:ascii="宋体" w:hAnsi="宋体"/>
          <w:color w:val="auto"/>
          <w:szCs w:val="21"/>
          <w:highlight w:val="none"/>
        </w:rPr>
      </w:pPr>
      <w:r>
        <w:rPr>
          <w:rFonts w:ascii="宋体" w:hAnsi="宋体"/>
          <w:color w:val="auto"/>
          <w:szCs w:val="21"/>
          <w:highlight w:val="none"/>
        </w:rPr>
        <w:t>姓    名：</w:t>
      </w:r>
      <w:r>
        <w:rPr>
          <w:rFonts w:hint="eastAsia" w:hAnsi="宋体"/>
          <w:color w:val="auto"/>
          <w:szCs w:val="21"/>
          <w:highlight w:val="none"/>
          <w:u w:val="single"/>
          <w:lang w:val="en-US" w:eastAsia="zh-CN"/>
        </w:rPr>
        <w:t xml:space="preserve">        </w:t>
      </w:r>
      <w:r>
        <w:rPr>
          <w:rFonts w:ascii="宋体" w:hAnsi="宋体"/>
          <w:color w:val="auto"/>
          <w:szCs w:val="21"/>
          <w:highlight w:val="none"/>
        </w:rPr>
        <w:t>；</w:t>
      </w:r>
    </w:p>
    <w:p w14:paraId="392EB59F">
      <w:pPr>
        <w:pStyle w:val="25"/>
        <w:spacing w:line="420" w:lineRule="exact"/>
        <w:ind w:firstLine="420" w:firstLineChars="200"/>
        <w:rPr>
          <w:rFonts w:ascii="宋体" w:hAnsi="宋体" w:cs="宋体"/>
          <w:color w:val="auto"/>
          <w:kern w:val="0"/>
          <w:szCs w:val="21"/>
          <w:highlight w:val="none"/>
        </w:rPr>
      </w:pPr>
      <w:r>
        <w:rPr>
          <w:rFonts w:ascii="宋体" w:hAnsi="宋体"/>
          <w:color w:val="auto"/>
          <w:szCs w:val="21"/>
          <w:highlight w:val="none"/>
        </w:rPr>
        <w:t>身份证号：</w:t>
      </w:r>
      <w:r>
        <w:rPr>
          <w:rFonts w:hint="eastAsia" w:ascii="宋体" w:hAnsi="宋体"/>
          <w:color w:val="auto"/>
          <w:szCs w:val="21"/>
          <w:highlight w:val="none"/>
          <w:u w:val="single"/>
          <w:lang w:val="en-US" w:eastAsia="zh-CN"/>
        </w:rPr>
        <w:t xml:space="preserve">        </w:t>
      </w:r>
      <w:r>
        <w:rPr>
          <w:rFonts w:ascii="宋体" w:hAnsi="宋体"/>
          <w:color w:val="auto"/>
          <w:szCs w:val="21"/>
          <w:highlight w:val="none"/>
        </w:rPr>
        <w:t>；</w:t>
      </w:r>
    </w:p>
    <w:p w14:paraId="764F0B7F">
      <w:pPr>
        <w:pStyle w:val="25"/>
        <w:spacing w:line="420" w:lineRule="exact"/>
        <w:ind w:firstLine="420" w:firstLineChars="200"/>
        <w:rPr>
          <w:rFonts w:ascii="宋体" w:hAnsi="宋体"/>
          <w:color w:val="auto"/>
          <w:szCs w:val="21"/>
          <w:highlight w:val="none"/>
        </w:rPr>
      </w:pPr>
      <w:r>
        <w:rPr>
          <w:rFonts w:ascii="宋体" w:hAnsi="宋体"/>
          <w:color w:val="auto"/>
          <w:szCs w:val="21"/>
          <w:highlight w:val="none"/>
        </w:rPr>
        <w:t>职    务：</w:t>
      </w:r>
      <w:r>
        <w:rPr>
          <w:rFonts w:hint="eastAsia" w:hAnsi="宋体"/>
          <w:color w:val="auto"/>
          <w:szCs w:val="21"/>
          <w:highlight w:val="none"/>
          <w:u w:val="single"/>
          <w:lang w:val="en-US" w:eastAsia="zh-CN"/>
        </w:rPr>
        <w:t xml:space="preserve">        </w:t>
      </w:r>
      <w:r>
        <w:rPr>
          <w:rFonts w:ascii="宋体" w:hAnsi="宋体"/>
          <w:color w:val="auto"/>
          <w:szCs w:val="21"/>
          <w:highlight w:val="none"/>
        </w:rPr>
        <w:t>；</w:t>
      </w:r>
    </w:p>
    <w:p w14:paraId="326E9673">
      <w:pPr>
        <w:pStyle w:val="25"/>
        <w:spacing w:line="420" w:lineRule="exact"/>
        <w:ind w:firstLine="420" w:firstLineChars="200"/>
        <w:rPr>
          <w:rFonts w:ascii="宋体" w:hAnsi="宋体"/>
          <w:color w:val="auto"/>
          <w:szCs w:val="21"/>
          <w:highlight w:val="none"/>
        </w:rPr>
      </w:pPr>
      <w:r>
        <w:rPr>
          <w:rFonts w:ascii="宋体" w:hAnsi="宋体"/>
          <w:color w:val="auto"/>
          <w:szCs w:val="21"/>
          <w:highlight w:val="none"/>
        </w:rPr>
        <w:t>联系电话：</w:t>
      </w:r>
      <w:r>
        <w:rPr>
          <w:rFonts w:hint="eastAsia" w:hAnsi="宋体"/>
          <w:color w:val="auto"/>
          <w:szCs w:val="21"/>
          <w:highlight w:val="none"/>
          <w:u w:val="single"/>
          <w:lang w:val="en-US" w:eastAsia="zh-CN"/>
        </w:rPr>
        <w:t xml:space="preserve">        </w:t>
      </w:r>
      <w:r>
        <w:rPr>
          <w:rFonts w:ascii="宋体" w:hAnsi="宋体"/>
          <w:color w:val="auto"/>
          <w:szCs w:val="21"/>
          <w:highlight w:val="none"/>
        </w:rPr>
        <w:t>；</w:t>
      </w:r>
    </w:p>
    <w:p w14:paraId="47CD0554">
      <w:pPr>
        <w:pStyle w:val="25"/>
        <w:spacing w:line="420" w:lineRule="exact"/>
        <w:ind w:firstLine="420" w:firstLineChars="200"/>
        <w:rPr>
          <w:rFonts w:ascii="宋体" w:hAnsi="宋体"/>
          <w:color w:val="auto"/>
          <w:szCs w:val="21"/>
          <w:highlight w:val="none"/>
        </w:rPr>
      </w:pPr>
      <w:r>
        <w:rPr>
          <w:rFonts w:ascii="宋体" w:hAnsi="宋体"/>
          <w:color w:val="auto"/>
          <w:szCs w:val="21"/>
          <w:highlight w:val="none"/>
        </w:rPr>
        <w:t>电子信箱：</w:t>
      </w:r>
      <w:r>
        <w:rPr>
          <w:rFonts w:hint="eastAsia" w:ascii="宋体" w:hAnsi="宋体"/>
          <w:color w:val="auto"/>
          <w:szCs w:val="21"/>
          <w:highlight w:val="none"/>
          <w:u w:val="single"/>
          <w:lang w:val="en-US" w:eastAsia="zh-CN"/>
        </w:rPr>
        <w:t xml:space="preserve">        </w:t>
      </w:r>
      <w:r>
        <w:rPr>
          <w:rFonts w:ascii="宋体" w:hAnsi="宋体"/>
          <w:color w:val="auto"/>
          <w:szCs w:val="21"/>
          <w:highlight w:val="none"/>
        </w:rPr>
        <w:t>；</w:t>
      </w:r>
    </w:p>
    <w:p w14:paraId="2D206C3C">
      <w:pPr>
        <w:pStyle w:val="25"/>
        <w:spacing w:line="420" w:lineRule="exact"/>
        <w:ind w:firstLine="420" w:firstLineChars="200"/>
        <w:rPr>
          <w:rFonts w:ascii="宋体" w:hAnsi="宋体"/>
          <w:color w:val="auto"/>
          <w:szCs w:val="21"/>
          <w:highlight w:val="none"/>
        </w:rPr>
      </w:pPr>
      <w:r>
        <w:rPr>
          <w:rFonts w:ascii="宋体" w:hAnsi="宋体"/>
          <w:color w:val="auto"/>
          <w:szCs w:val="21"/>
          <w:highlight w:val="none"/>
        </w:rPr>
        <w:t>通信地址：</w:t>
      </w:r>
      <w:r>
        <w:rPr>
          <w:rFonts w:hint="eastAsia" w:hAnsi="宋体"/>
          <w:color w:val="auto"/>
          <w:szCs w:val="21"/>
          <w:highlight w:val="none"/>
          <w:u w:val="single"/>
          <w:lang w:val="en-US" w:eastAsia="zh-CN"/>
        </w:rPr>
        <w:t xml:space="preserve">        </w:t>
      </w:r>
      <w:r>
        <w:rPr>
          <w:rFonts w:ascii="宋体" w:hAnsi="宋体"/>
          <w:color w:val="auto"/>
          <w:szCs w:val="21"/>
          <w:highlight w:val="none"/>
        </w:rPr>
        <w:t>。</w:t>
      </w:r>
    </w:p>
    <w:p w14:paraId="17FB0EE9">
      <w:pPr>
        <w:pStyle w:val="35"/>
        <w:spacing w:line="360" w:lineRule="auto"/>
        <w:ind w:firstLine="420" w:firstLineChars="200"/>
        <w:rPr>
          <w:color w:val="auto"/>
          <w:szCs w:val="21"/>
          <w:highlight w:val="none"/>
          <w:u w:val="single"/>
        </w:rPr>
      </w:pPr>
      <w:r>
        <w:rPr>
          <w:rFonts w:hint="eastAsia" w:hAnsi="宋体"/>
          <w:color w:val="auto"/>
          <w:szCs w:val="21"/>
          <w:highlight w:val="none"/>
        </w:rPr>
        <w:t>发包人对发包人代表的授权范围如下：</w:t>
      </w:r>
      <w:r>
        <w:rPr>
          <w:rFonts w:hint="eastAsia" w:hAnsi="宋体"/>
          <w:color w:val="auto"/>
          <w:szCs w:val="21"/>
          <w:highlight w:val="none"/>
          <w:u w:val="single"/>
        </w:rPr>
        <w:t>督促指导监理工程师行使权，协调施工现场各方面的关系，协调工程质量，进度和安全文明施工中存在的问题，解决有关设计和技术签证，办理、签认现场经济技术签证，审核工程进度报表。</w:t>
      </w:r>
    </w:p>
    <w:p w14:paraId="16351434">
      <w:pPr>
        <w:pStyle w:val="33"/>
        <w:rPr>
          <w:rFonts w:ascii="Calibri" w:hAnsi="Calibri"/>
          <w:color w:val="auto"/>
          <w:highlight w:val="none"/>
        </w:rPr>
      </w:pPr>
      <w:bookmarkStart w:id="285" w:name="_Toc467599565"/>
      <w:bookmarkStart w:id="286" w:name="_Toc389065270"/>
      <w:bookmarkStart w:id="287" w:name="_Toc373227704"/>
      <w:bookmarkStart w:id="288" w:name="_Toc373478351"/>
      <w:r>
        <w:rPr>
          <w:rFonts w:ascii="Calibri" w:hAnsi="Calibri"/>
          <w:color w:val="auto"/>
          <w:highlight w:val="none"/>
        </w:rPr>
        <w:t xml:space="preserve">2.4 </w:t>
      </w:r>
      <w:r>
        <w:rPr>
          <w:rFonts w:hint="eastAsia" w:ascii="Calibri" w:hAnsi="Calibri"/>
          <w:color w:val="auto"/>
          <w:highlight w:val="none"/>
        </w:rPr>
        <w:t>施工现场、施工条件和基础资料的提供</w:t>
      </w:r>
      <w:bookmarkEnd w:id="285"/>
      <w:bookmarkEnd w:id="286"/>
      <w:bookmarkEnd w:id="287"/>
      <w:bookmarkEnd w:id="288"/>
    </w:p>
    <w:p w14:paraId="312F7B9B">
      <w:pPr>
        <w:pStyle w:val="35"/>
        <w:spacing w:line="360" w:lineRule="auto"/>
        <w:ind w:firstLine="420" w:firstLineChars="200"/>
        <w:rPr>
          <w:color w:val="auto"/>
          <w:szCs w:val="21"/>
          <w:highlight w:val="none"/>
        </w:rPr>
      </w:pPr>
      <w:r>
        <w:rPr>
          <w:color w:val="auto"/>
          <w:szCs w:val="21"/>
          <w:highlight w:val="none"/>
        </w:rPr>
        <w:t xml:space="preserve">2.4.1 </w:t>
      </w:r>
      <w:r>
        <w:rPr>
          <w:rFonts w:hint="eastAsia" w:hAnsi="宋体"/>
          <w:color w:val="auto"/>
          <w:szCs w:val="21"/>
          <w:highlight w:val="none"/>
        </w:rPr>
        <w:t>提供施工现场</w:t>
      </w:r>
    </w:p>
    <w:p w14:paraId="47B4844F">
      <w:pPr>
        <w:pStyle w:val="35"/>
        <w:spacing w:line="360" w:lineRule="auto"/>
        <w:ind w:firstLine="420" w:firstLineChars="200"/>
        <w:jc w:val="left"/>
        <w:rPr>
          <w:color w:val="auto"/>
          <w:szCs w:val="21"/>
          <w:highlight w:val="none"/>
        </w:rPr>
      </w:pPr>
      <w:r>
        <w:rPr>
          <w:rFonts w:hint="eastAsia" w:hAnsi="宋体"/>
          <w:color w:val="auto"/>
          <w:szCs w:val="21"/>
          <w:highlight w:val="none"/>
        </w:rPr>
        <w:t>关于发包人移交施工现场的期限要求施工场地应当在监理人发出的开工通知中载明的开工日期前</w:t>
      </w:r>
      <w:r>
        <w:rPr>
          <w:rFonts w:hAnsi="宋体"/>
          <w:color w:val="auto"/>
          <w:szCs w:val="21"/>
          <w:highlight w:val="none"/>
        </w:rPr>
        <w:t xml:space="preserve"> 3 </w:t>
      </w:r>
      <w:r>
        <w:rPr>
          <w:rFonts w:hint="eastAsia" w:hAnsi="宋体"/>
          <w:color w:val="auto"/>
          <w:szCs w:val="21"/>
          <w:highlight w:val="none"/>
        </w:rPr>
        <w:t>天具备施工条件并移交给承包人，具体施工条件按本合同约定。发包人最迟应当在移交施工场地的同时向承包人提供施工场地内地下管线和地下设施等有关资料，并保证资料的真实、准确和完整。</w:t>
      </w:r>
    </w:p>
    <w:p w14:paraId="301E2F17">
      <w:pPr>
        <w:pStyle w:val="35"/>
        <w:spacing w:line="360" w:lineRule="auto"/>
        <w:ind w:firstLine="420" w:firstLineChars="200"/>
        <w:rPr>
          <w:color w:val="auto"/>
          <w:szCs w:val="21"/>
          <w:highlight w:val="none"/>
        </w:rPr>
      </w:pPr>
      <w:r>
        <w:rPr>
          <w:color w:val="auto"/>
          <w:szCs w:val="21"/>
          <w:highlight w:val="none"/>
        </w:rPr>
        <w:t xml:space="preserve">2.4.2 </w:t>
      </w:r>
      <w:r>
        <w:rPr>
          <w:rFonts w:hint="eastAsia" w:hAnsi="宋体"/>
          <w:color w:val="auto"/>
          <w:szCs w:val="21"/>
          <w:highlight w:val="none"/>
        </w:rPr>
        <w:t>提供施工条件</w:t>
      </w:r>
    </w:p>
    <w:p w14:paraId="16226952">
      <w:pPr>
        <w:pStyle w:val="36"/>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将施工所需的水、电（含变压器的报装、施工等）、电讯线路接至施工场地的时间、地点和供应要求：由承包人在投标报价中自行考虑。若供电、供水部门的原因造成停电、停水，承包人必须自行解决施工用电、用水，费用自理</w:t>
      </w:r>
      <w:r>
        <w:rPr>
          <w:rFonts w:hint="eastAsia" w:ascii="宋体" w:hAnsi="宋体"/>
          <w:color w:val="auto"/>
          <w:szCs w:val="21"/>
          <w:highlight w:val="none"/>
        </w:rPr>
        <w:t>。</w:t>
      </w:r>
    </w:p>
    <w:p w14:paraId="67B4C500">
      <w:pPr>
        <w:pStyle w:val="35"/>
        <w:spacing w:line="360" w:lineRule="auto"/>
        <w:ind w:firstLine="420" w:firstLineChars="200"/>
        <w:rPr>
          <w:rFonts w:hAnsi="宋体"/>
          <w:color w:val="auto"/>
          <w:szCs w:val="21"/>
          <w:highlight w:val="none"/>
          <w:u w:val="single"/>
        </w:rPr>
      </w:pPr>
      <w:r>
        <w:rPr>
          <w:rFonts w:hAnsi="宋体"/>
          <w:color w:val="auto"/>
          <w:szCs w:val="21"/>
          <w:highlight w:val="none"/>
        </w:rPr>
        <w:t>*</w:t>
      </w:r>
      <w:r>
        <w:rPr>
          <w:rFonts w:hint="eastAsia" w:hAnsi="宋体"/>
          <w:color w:val="auto"/>
          <w:szCs w:val="21"/>
          <w:highlight w:val="none"/>
        </w:rPr>
        <w:t>土方作业时冲洗平台和密闭车辆的标准：</w:t>
      </w:r>
      <w:r>
        <w:rPr>
          <w:rFonts w:hint="eastAsia" w:ascii="宋体" w:hAnsi="宋体" w:eastAsia="宋体"/>
          <w:color w:val="auto"/>
          <w:szCs w:val="21"/>
          <w:highlight w:val="none"/>
          <w:u w:val="single"/>
        </w:rPr>
        <w:t>按南宁市相关规定执行</w:t>
      </w:r>
      <w:r>
        <w:rPr>
          <w:rFonts w:hint="eastAsia" w:hAnsi="宋体"/>
          <w:color w:val="auto"/>
          <w:szCs w:val="21"/>
          <w:highlight w:val="none"/>
          <w:u w:val="single"/>
        </w:rPr>
        <w:t>。</w:t>
      </w:r>
    </w:p>
    <w:p w14:paraId="5D5DD20C">
      <w:pPr>
        <w:pStyle w:val="35"/>
        <w:spacing w:line="360" w:lineRule="auto"/>
        <w:ind w:firstLine="420" w:firstLineChars="200"/>
        <w:rPr>
          <w:rFonts w:hAnsi="宋体"/>
          <w:color w:val="auto"/>
          <w:szCs w:val="21"/>
          <w:highlight w:val="none"/>
          <w:u w:val="single"/>
        </w:rPr>
      </w:pPr>
      <w:r>
        <w:rPr>
          <w:rFonts w:hAnsi="宋体"/>
          <w:color w:val="auto"/>
          <w:szCs w:val="21"/>
          <w:highlight w:val="none"/>
        </w:rPr>
        <w:t>*</w:t>
      </w:r>
      <w:r>
        <w:rPr>
          <w:rFonts w:hint="eastAsia" w:hAnsi="宋体"/>
          <w:color w:val="auto"/>
          <w:szCs w:val="21"/>
          <w:highlight w:val="none"/>
        </w:rPr>
        <w:t>消纳场的具体位置及其合理运距：</w:t>
      </w:r>
      <w:r>
        <w:rPr>
          <w:rFonts w:hint="eastAsia" w:ascii="宋体" w:hAnsi="宋体" w:eastAsia="宋体"/>
          <w:color w:val="auto"/>
          <w:szCs w:val="21"/>
          <w:highlight w:val="none"/>
          <w:u w:val="single"/>
        </w:rPr>
        <w:t>按南宁市相关规定执行</w:t>
      </w:r>
      <w:r>
        <w:rPr>
          <w:rFonts w:hint="eastAsia" w:hAnsi="宋体"/>
          <w:color w:val="auto"/>
          <w:szCs w:val="21"/>
          <w:highlight w:val="none"/>
          <w:u w:val="single"/>
        </w:rPr>
        <w:t>。</w:t>
      </w:r>
    </w:p>
    <w:p w14:paraId="4F63ACBA">
      <w:pPr>
        <w:pStyle w:val="35"/>
        <w:spacing w:line="360" w:lineRule="auto"/>
        <w:ind w:firstLine="420" w:firstLineChars="200"/>
        <w:rPr>
          <w:rFonts w:hAnsi="宋体"/>
          <w:color w:val="auto"/>
          <w:szCs w:val="21"/>
          <w:highlight w:val="none"/>
          <w:u w:val="single"/>
        </w:rPr>
      </w:pPr>
      <w:r>
        <w:rPr>
          <w:rFonts w:hAnsi="宋体"/>
          <w:color w:val="auto"/>
          <w:szCs w:val="21"/>
          <w:highlight w:val="none"/>
          <w:u w:val="single"/>
        </w:rPr>
        <w:t xml:space="preserve">2.4.3 </w:t>
      </w:r>
      <w:r>
        <w:rPr>
          <w:rFonts w:hint="eastAsia" w:hAnsi="宋体"/>
          <w:color w:val="auto"/>
          <w:szCs w:val="21"/>
          <w:highlight w:val="none"/>
          <w:u w:val="single"/>
        </w:rPr>
        <w:t>提供基础资料</w:t>
      </w:r>
    </w:p>
    <w:p w14:paraId="02126730">
      <w:pPr>
        <w:pStyle w:val="35"/>
        <w:spacing w:line="360" w:lineRule="auto"/>
        <w:ind w:firstLine="420" w:firstLineChars="200"/>
        <w:rPr>
          <w:rFonts w:hAnsi="宋体"/>
          <w:color w:val="auto"/>
          <w:szCs w:val="21"/>
          <w:highlight w:val="none"/>
          <w:u w:val="single"/>
        </w:rPr>
      </w:pPr>
      <w:r>
        <w:rPr>
          <w:rFonts w:hAnsi="宋体"/>
          <w:color w:val="auto"/>
          <w:szCs w:val="21"/>
          <w:highlight w:val="none"/>
          <w:u w:val="single"/>
        </w:rPr>
        <w:t xml:space="preserve">* </w:t>
      </w:r>
      <w:r>
        <w:rPr>
          <w:rFonts w:hint="eastAsia" w:hAnsi="宋体"/>
          <w:color w:val="auto"/>
          <w:szCs w:val="21"/>
          <w:highlight w:val="none"/>
          <w:u w:val="single"/>
        </w:rPr>
        <w:t>工程地质和地下管线资料的提供：由承包人现场勘测，费用自理。</w:t>
      </w:r>
    </w:p>
    <w:p w14:paraId="673B0C4C">
      <w:pPr>
        <w:pStyle w:val="35"/>
        <w:spacing w:line="360" w:lineRule="auto"/>
        <w:ind w:firstLine="420" w:firstLineChars="200"/>
        <w:rPr>
          <w:rFonts w:hAnsi="宋体"/>
          <w:color w:val="auto"/>
          <w:szCs w:val="21"/>
          <w:highlight w:val="none"/>
          <w:u w:val="single"/>
        </w:rPr>
      </w:pPr>
      <w:r>
        <w:rPr>
          <w:rFonts w:hint="eastAsia" w:hAnsi="宋体"/>
          <w:color w:val="auto"/>
          <w:szCs w:val="21"/>
          <w:highlight w:val="none"/>
          <w:u w:val="single"/>
        </w:rPr>
        <w:t>水准点与坐标控制点交验要求：于开工前</w:t>
      </w:r>
      <w:r>
        <w:rPr>
          <w:rFonts w:hAnsi="宋体"/>
          <w:color w:val="auto"/>
          <w:szCs w:val="21"/>
          <w:highlight w:val="none"/>
          <w:u w:val="single"/>
        </w:rPr>
        <w:t>3</w:t>
      </w:r>
      <w:r>
        <w:rPr>
          <w:rFonts w:hint="eastAsia" w:hAnsi="宋体"/>
          <w:color w:val="auto"/>
          <w:szCs w:val="21"/>
          <w:highlight w:val="none"/>
          <w:u w:val="single"/>
        </w:rPr>
        <w:t>天内现场交验，双方做好签认工作。</w:t>
      </w:r>
    </w:p>
    <w:p w14:paraId="5F535ED5">
      <w:pPr>
        <w:pStyle w:val="33"/>
        <w:rPr>
          <w:rFonts w:ascii="Calibri" w:hAnsi="Calibri"/>
          <w:color w:val="auto"/>
          <w:highlight w:val="none"/>
        </w:rPr>
      </w:pPr>
      <w:bookmarkStart w:id="289" w:name="_Toc373478352"/>
      <w:bookmarkStart w:id="290" w:name="_Toc373227705"/>
      <w:bookmarkStart w:id="291" w:name="_Toc467599566"/>
      <w:bookmarkStart w:id="292" w:name="_Toc389065271"/>
      <w:r>
        <w:rPr>
          <w:rFonts w:ascii="Calibri" w:hAnsi="Calibri"/>
          <w:color w:val="auto"/>
          <w:highlight w:val="none"/>
        </w:rPr>
        <w:t xml:space="preserve">2.5 </w:t>
      </w:r>
      <w:r>
        <w:rPr>
          <w:rFonts w:hint="eastAsia" w:ascii="Calibri" w:hAnsi="Calibri"/>
          <w:color w:val="auto"/>
          <w:highlight w:val="none"/>
        </w:rPr>
        <w:t>资金来源证明及支付担保</w:t>
      </w:r>
      <w:bookmarkEnd w:id="289"/>
      <w:bookmarkEnd w:id="290"/>
      <w:bookmarkEnd w:id="291"/>
      <w:bookmarkEnd w:id="292"/>
    </w:p>
    <w:p w14:paraId="4B3603BA">
      <w:pPr>
        <w:pStyle w:val="35"/>
        <w:spacing w:line="360" w:lineRule="auto"/>
        <w:ind w:firstLine="420" w:firstLineChars="200"/>
        <w:rPr>
          <w:color w:val="auto"/>
          <w:szCs w:val="21"/>
          <w:highlight w:val="none"/>
        </w:rPr>
      </w:pPr>
      <w:r>
        <w:rPr>
          <w:rFonts w:hint="eastAsia" w:hAnsi="宋体"/>
          <w:color w:val="auto"/>
          <w:szCs w:val="21"/>
          <w:highlight w:val="none"/>
        </w:rPr>
        <w:t>发包人提供资金来源证明的期限要求：</w:t>
      </w:r>
      <w:r>
        <w:rPr>
          <w:rFonts w:hint="eastAsia" w:hAnsi="宋体"/>
          <w:color w:val="auto"/>
          <w:szCs w:val="21"/>
          <w:highlight w:val="none"/>
          <w:u w:val="single"/>
        </w:rPr>
        <w:t></w:t>
      </w:r>
      <w:r>
        <w:rPr>
          <w:rFonts w:hint="eastAsia" w:hAnsi="宋体"/>
          <w:color w:val="auto"/>
          <w:szCs w:val="21"/>
          <w:highlight w:val="none"/>
          <w:u w:val="single"/>
          <w:lang w:val="en-US" w:eastAsia="zh-CN"/>
        </w:rPr>
        <w:t xml:space="preserve">无  </w:t>
      </w:r>
      <w:r>
        <w:rPr>
          <w:rFonts w:hint="eastAsia" w:hAnsi="宋体"/>
          <w:color w:val="auto"/>
          <w:szCs w:val="21"/>
          <w:highlight w:val="none"/>
        </w:rPr>
        <w:t>。</w:t>
      </w:r>
    </w:p>
    <w:p w14:paraId="3CD47F37">
      <w:pPr>
        <w:pStyle w:val="35"/>
        <w:spacing w:line="360" w:lineRule="auto"/>
        <w:ind w:firstLine="420" w:firstLineChars="200"/>
        <w:rPr>
          <w:color w:val="auto"/>
          <w:szCs w:val="21"/>
          <w:highlight w:val="none"/>
        </w:rPr>
      </w:pPr>
      <w:r>
        <w:rPr>
          <w:rFonts w:hint="eastAsia" w:hAnsi="宋体"/>
          <w:color w:val="auto"/>
          <w:szCs w:val="21"/>
          <w:highlight w:val="none"/>
        </w:rPr>
        <w:t>发包人是否提供支付担保：</w:t>
      </w:r>
      <w:r>
        <w:rPr>
          <w:rFonts w:hAnsi="宋体"/>
          <w:color w:val="auto"/>
          <w:szCs w:val="21"/>
          <w:highlight w:val="none"/>
          <w:u w:val="single"/>
        </w:rPr>
        <w:t></w:t>
      </w:r>
      <w:r>
        <w:rPr>
          <w:rFonts w:hint="eastAsia"/>
          <w:color w:val="auto"/>
          <w:szCs w:val="21"/>
          <w:highlight w:val="none"/>
          <w:u w:val="single"/>
        </w:rPr>
        <w:t>否</w:t>
      </w:r>
      <w:r>
        <w:rPr>
          <w:rFonts w:hAnsi="宋体"/>
          <w:color w:val="auto"/>
          <w:szCs w:val="21"/>
          <w:highlight w:val="none"/>
          <w:u w:val="single"/>
        </w:rPr>
        <w:t></w:t>
      </w:r>
      <w:r>
        <w:rPr>
          <w:rFonts w:hint="eastAsia" w:hAnsi="宋体"/>
          <w:color w:val="auto"/>
          <w:szCs w:val="21"/>
          <w:highlight w:val="none"/>
        </w:rPr>
        <w:t>。</w:t>
      </w:r>
    </w:p>
    <w:p w14:paraId="7F63D033">
      <w:pPr>
        <w:pStyle w:val="35"/>
        <w:spacing w:line="360" w:lineRule="auto"/>
        <w:ind w:firstLine="420" w:firstLineChars="200"/>
        <w:rPr>
          <w:rFonts w:hAnsi="宋体"/>
          <w:color w:val="auto"/>
          <w:szCs w:val="21"/>
          <w:highlight w:val="none"/>
        </w:rPr>
      </w:pPr>
      <w:r>
        <w:rPr>
          <w:rFonts w:hint="eastAsia" w:hAnsi="宋体"/>
          <w:color w:val="auto"/>
          <w:szCs w:val="21"/>
          <w:highlight w:val="none"/>
        </w:rPr>
        <w:t>发包人提供支付担保的形式：</w:t>
      </w:r>
      <w:r>
        <w:rPr>
          <w:rFonts w:hAnsi="宋体"/>
          <w:color w:val="auto"/>
          <w:szCs w:val="21"/>
          <w:highlight w:val="none"/>
          <w:u w:val="single"/>
        </w:rPr>
        <w:t></w:t>
      </w:r>
      <w:r>
        <w:rPr>
          <w:rFonts w:hint="eastAsia"/>
          <w:color w:val="auto"/>
          <w:szCs w:val="21"/>
          <w:highlight w:val="none"/>
          <w:u w:val="single"/>
        </w:rPr>
        <w:t>无</w:t>
      </w:r>
      <w:r>
        <w:rPr>
          <w:rFonts w:hAnsi="宋体"/>
          <w:color w:val="auto"/>
          <w:szCs w:val="21"/>
          <w:highlight w:val="none"/>
          <w:u w:val="single"/>
        </w:rPr>
        <w:t></w:t>
      </w:r>
      <w:r>
        <w:rPr>
          <w:rFonts w:hint="eastAsia" w:hAnsi="宋体"/>
          <w:color w:val="auto"/>
          <w:szCs w:val="21"/>
          <w:highlight w:val="none"/>
        </w:rPr>
        <w:t>。</w:t>
      </w:r>
    </w:p>
    <w:p w14:paraId="6C210005">
      <w:pPr>
        <w:pStyle w:val="35"/>
        <w:spacing w:line="360" w:lineRule="auto"/>
        <w:ind w:firstLine="420" w:firstLineChars="200"/>
        <w:rPr>
          <w:color w:val="auto"/>
          <w:szCs w:val="21"/>
          <w:highlight w:val="none"/>
          <w:u w:val="single"/>
        </w:rPr>
      </w:pPr>
      <w:r>
        <w:rPr>
          <w:rFonts w:hint="eastAsia" w:hAnsi="宋体"/>
          <w:color w:val="auto"/>
          <w:szCs w:val="21"/>
          <w:highlight w:val="none"/>
        </w:rPr>
        <w:t>发包人提供的支付担保格式见合同附件</w:t>
      </w:r>
      <w:r>
        <w:rPr>
          <w:rFonts w:hAnsi="宋体"/>
          <w:color w:val="auto"/>
          <w:szCs w:val="21"/>
          <w:highlight w:val="none"/>
        </w:rPr>
        <w:t>2</w:t>
      </w:r>
      <w:r>
        <w:rPr>
          <w:rFonts w:hint="eastAsia" w:hAnsi="宋体"/>
          <w:color w:val="auto"/>
          <w:szCs w:val="21"/>
          <w:highlight w:val="none"/>
        </w:rPr>
        <w:t>。</w:t>
      </w:r>
    </w:p>
    <w:p w14:paraId="5758B019">
      <w:pPr>
        <w:pStyle w:val="23"/>
        <w:rPr>
          <w:color w:val="auto"/>
          <w:highlight w:val="none"/>
        </w:rPr>
      </w:pPr>
      <w:bookmarkStart w:id="293" w:name="_Toc373227706"/>
      <w:bookmarkStart w:id="294" w:name="_Toc351203635"/>
      <w:bookmarkStart w:id="295" w:name="_Toc467599567"/>
      <w:bookmarkStart w:id="296" w:name="_Toc373478353"/>
      <w:bookmarkStart w:id="297" w:name="_Toc389065272"/>
      <w:r>
        <w:rPr>
          <w:color w:val="auto"/>
          <w:highlight w:val="none"/>
        </w:rPr>
        <w:t>3</w:t>
      </w:r>
      <w:bookmarkStart w:id="298" w:name="_Toc296891198"/>
      <w:bookmarkStart w:id="299" w:name="_Toc296503158"/>
      <w:bookmarkStart w:id="300" w:name="_Toc292559363"/>
      <w:bookmarkStart w:id="301" w:name="_Toc297048344"/>
      <w:bookmarkStart w:id="302" w:name="_Toc296346659"/>
      <w:bookmarkStart w:id="303" w:name="_Toc296890986"/>
      <w:bookmarkStart w:id="304" w:name="_Toc297120458"/>
      <w:bookmarkStart w:id="305" w:name="_Toc296347157"/>
      <w:bookmarkStart w:id="306" w:name="_Toc296944497"/>
      <w:bookmarkStart w:id="307" w:name="_Toc292559868"/>
      <w:r>
        <w:rPr>
          <w:color w:val="auto"/>
          <w:highlight w:val="none"/>
        </w:rPr>
        <w:t xml:space="preserve">. </w:t>
      </w:r>
      <w:r>
        <w:rPr>
          <w:rFonts w:hint="eastAsia" w:hAnsi="宋体"/>
          <w:color w:val="auto"/>
          <w:highlight w:val="none"/>
        </w:rPr>
        <w:t>承包人</w:t>
      </w:r>
      <w:bookmarkEnd w:id="293"/>
      <w:bookmarkEnd w:id="294"/>
      <w:bookmarkEnd w:id="295"/>
      <w:bookmarkEnd w:id="296"/>
      <w:bookmarkEnd w:id="297"/>
    </w:p>
    <w:bookmarkEnd w:id="298"/>
    <w:bookmarkEnd w:id="299"/>
    <w:bookmarkEnd w:id="300"/>
    <w:bookmarkEnd w:id="301"/>
    <w:bookmarkEnd w:id="302"/>
    <w:bookmarkEnd w:id="303"/>
    <w:bookmarkEnd w:id="304"/>
    <w:bookmarkEnd w:id="305"/>
    <w:bookmarkEnd w:id="306"/>
    <w:bookmarkEnd w:id="307"/>
    <w:p w14:paraId="3DD67596">
      <w:pPr>
        <w:pStyle w:val="33"/>
        <w:rPr>
          <w:rFonts w:ascii="Calibri" w:hAnsi="Calibri"/>
          <w:color w:val="auto"/>
          <w:highlight w:val="none"/>
        </w:rPr>
      </w:pPr>
      <w:bookmarkStart w:id="308" w:name="_Toc389065273"/>
      <w:bookmarkStart w:id="309" w:name="_Toc373478354"/>
      <w:bookmarkStart w:id="310" w:name="_Toc467599568"/>
      <w:bookmarkStart w:id="311" w:name="_Toc373227707"/>
      <w:r>
        <w:rPr>
          <w:rFonts w:ascii="Calibri" w:hAnsi="Calibri"/>
          <w:color w:val="auto"/>
          <w:highlight w:val="none"/>
        </w:rPr>
        <w:t xml:space="preserve">3.1 </w:t>
      </w:r>
      <w:r>
        <w:rPr>
          <w:rFonts w:hint="eastAsia" w:ascii="Calibri" w:hAnsi="Calibri"/>
          <w:color w:val="auto"/>
          <w:highlight w:val="none"/>
        </w:rPr>
        <w:t>承包人的一般义务</w:t>
      </w:r>
      <w:bookmarkEnd w:id="308"/>
      <w:bookmarkEnd w:id="309"/>
      <w:bookmarkEnd w:id="310"/>
      <w:bookmarkEnd w:id="311"/>
    </w:p>
    <w:p w14:paraId="649E28FB">
      <w:pPr>
        <w:pStyle w:val="35"/>
        <w:spacing w:line="360" w:lineRule="auto"/>
        <w:ind w:firstLine="420" w:firstLineChars="200"/>
        <w:jc w:val="left"/>
        <w:rPr>
          <w:rFonts w:hAnsi="宋体"/>
          <w:color w:val="auto"/>
          <w:szCs w:val="21"/>
          <w:highlight w:val="none"/>
        </w:rPr>
      </w:pPr>
      <w:r>
        <w:rPr>
          <w:rFonts w:hint="eastAsia" w:hAnsi="宋体"/>
          <w:color w:val="auto"/>
          <w:kern w:val="0"/>
          <w:szCs w:val="21"/>
          <w:highlight w:val="none"/>
        </w:rPr>
        <w:t>（</w:t>
      </w:r>
      <w:r>
        <w:rPr>
          <w:color w:val="auto"/>
          <w:kern w:val="0"/>
          <w:szCs w:val="21"/>
          <w:highlight w:val="none"/>
        </w:rPr>
        <w:t>9</w:t>
      </w:r>
      <w:r>
        <w:rPr>
          <w:rFonts w:hint="eastAsia" w:hAnsi="宋体"/>
          <w:color w:val="auto"/>
          <w:kern w:val="0"/>
          <w:szCs w:val="21"/>
          <w:highlight w:val="none"/>
        </w:rPr>
        <w:t>）</w:t>
      </w:r>
      <w:r>
        <w:rPr>
          <w:rFonts w:hint="eastAsia" w:hAnsi="宋体"/>
          <w:color w:val="auto"/>
          <w:szCs w:val="21"/>
          <w:highlight w:val="none"/>
        </w:rPr>
        <w:t>承包人提交的竣工资料的内容：</w:t>
      </w:r>
    </w:p>
    <w:p w14:paraId="159081D9">
      <w:pPr>
        <w:pStyle w:val="35"/>
        <w:spacing w:line="360" w:lineRule="auto"/>
        <w:ind w:firstLine="420" w:firstLineChars="200"/>
        <w:jc w:val="left"/>
        <w:rPr>
          <w:color w:val="auto"/>
          <w:szCs w:val="21"/>
          <w:highlight w:val="none"/>
          <w:u w:val="single"/>
        </w:rPr>
      </w:pPr>
      <w:r>
        <w:rPr>
          <w:rFonts w:hint="eastAsia"/>
          <w:color w:val="auto"/>
          <w:szCs w:val="21"/>
          <w:highlight w:val="none"/>
          <w:u w:val="single"/>
        </w:rPr>
        <w:t>根据建设行政主管部门和（或）城市建设档案管理机构的规定收集、整理、立卷、归档工程资料，并按规定时间向建设行政主管部门或者城市建设档案管理机构移交规定的工程档案</w:t>
      </w:r>
      <w:r>
        <w:rPr>
          <w:rFonts w:hint="eastAsia" w:hAnsi="宋体"/>
          <w:color w:val="auto"/>
          <w:szCs w:val="21"/>
          <w:highlight w:val="none"/>
        </w:rPr>
        <w:t>。</w:t>
      </w:r>
    </w:p>
    <w:p w14:paraId="2585AD2A">
      <w:pPr>
        <w:pStyle w:val="35"/>
        <w:spacing w:line="360" w:lineRule="auto"/>
        <w:ind w:firstLine="420" w:firstLineChars="200"/>
        <w:jc w:val="left"/>
        <w:rPr>
          <w:color w:val="auto"/>
          <w:szCs w:val="21"/>
          <w:highlight w:val="none"/>
        </w:rPr>
      </w:pPr>
      <w:r>
        <w:rPr>
          <w:rFonts w:hint="eastAsia" w:hAnsi="宋体"/>
          <w:color w:val="auto"/>
          <w:szCs w:val="21"/>
          <w:highlight w:val="none"/>
        </w:rPr>
        <w:t>承包人需要提交的竣工资料套数：</w:t>
      </w:r>
      <w:r>
        <w:rPr>
          <w:rFonts w:hint="eastAsia" w:ascii="新宋体" w:hAnsi="新宋体" w:eastAsia="新宋体" w:cs="新宋体"/>
          <w:color w:val="auto"/>
          <w:szCs w:val="21"/>
          <w:highlight w:val="none"/>
          <w:u w:val="single"/>
        </w:rPr>
        <w:t>按专用条款 13.2 约定</w:t>
      </w:r>
      <w:r>
        <w:rPr>
          <w:rFonts w:hint="eastAsia" w:hAnsi="宋体"/>
          <w:color w:val="auto"/>
          <w:szCs w:val="21"/>
          <w:highlight w:val="none"/>
        </w:rPr>
        <w:t>。</w:t>
      </w:r>
    </w:p>
    <w:p w14:paraId="4B7C9312">
      <w:pPr>
        <w:pStyle w:val="35"/>
        <w:spacing w:line="360" w:lineRule="auto"/>
        <w:ind w:left="424" w:leftChars="202"/>
        <w:jc w:val="left"/>
        <w:rPr>
          <w:rFonts w:eastAsia="新宋体"/>
          <w:color w:val="auto"/>
          <w:szCs w:val="21"/>
          <w:highlight w:val="none"/>
        </w:rPr>
      </w:pPr>
      <w:r>
        <w:rPr>
          <w:rFonts w:hint="eastAsia" w:hAnsi="宋体"/>
          <w:color w:val="auto"/>
          <w:szCs w:val="21"/>
          <w:highlight w:val="none"/>
        </w:rPr>
        <w:t>承包人提交的竣工资料的费用承担：</w:t>
      </w:r>
      <w:r>
        <w:rPr>
          <w:rFonts w:hint="eastAsia" w:ascii="新宋体" w:hAnsi="新宋体" w:eastAsia="新宋体" w:cs="新宋体"/>
          <w:color w:val="auto"/>
          <w:spacing w:val="2"/>
          <w:szCs w:val="21"/>
          <w:highlight w:val="none"/>
          <w:u w:val="single"/>
        </w:rPr>
        <w:t>承包人自行承担，</w:t>
      </w:r>
      <w:r>
        <w:rPr>
          <w:rFonts w:hint="eastAsia" w:ascii="宋体" w:hAnsi="宋体" w:eastAsia="宋体"/>
          <w:color w:val="auto"/>
          <w:szCs w:val="21"/>
          <w:highlight w:val="none"/>
          <w:u w:val="single"/>
        </w:rPr>
        <w:t>包括但不限于竣工资料编制、竣工档案整理综合服务、移交档案馆等相关费用</w:t>
      </w:r>
      <w:r>
        <w:rPr>
          <w:rFonts w:hint="eastAsia" w:ascii="宋体" w:hAnsi="宋体" w:eastAsia="宋体"/>
          <w:color w:val="auto"/>
          <w:szCs w:val="21"/>
          <w:highlight w:val="none"/>
        </w:rPr>
        <w:t>。</w:t>
      </w:r>
    </w:p>
    <w:p w14:paraId="2BA3EFD7">
      <w:pPr>
        <w:pStyle w:val="35"/>
        <w:spacing w:line="360" w:lineRule="auto"/>
        <w:ind w:left="424" w:leftChars="202"/>
        <w:jc w:val="left"/>
        <w:rPr>
          <w:color w:val="auto"/>
          <w:szCs w:val="21"/>
          <w:highlight w:val="none"/>
        </w:rPr>
      </w:pPr>
      <w:r>
        <w:rPr>
          <w:rFonts w:hint="eastAsia" w:hAnsi="宋体"/>
          <w:color w:val="auto"/>
          <w:szCs w:val="21"/>
          <w:highlight w:val="none"/>
        </w:rPr>
        <w:t>承包人提交的竣工资料移交时间：</w:t>
      </w:r>
      <w:r>
        <w:rPr>
          <w:rFonts w:hint="eastAsia" w:ascii="新宋体" w:hAnsi="新宋体" w:eastAsia="新宋体" w:cs="新宋体"/>
          <w:color w:val="auto"/>
          <w:szCs w:val="21"/>
          <w:highlight w:val="none"/>
          <w:u w:val="single"/>
        </w:rPr>
        <w:t>按专用条款 13.2 约定</w:t>
      </w:r>
      <w:r>
        <w:rPr>
          <w:rFonts w:hint="eastAsia" w:hAnsi="宋体"/>
          <w:color w:val="auto"/>
          <w:szCs w:val="21"/>
          <w:highlight w:val="none"/>
        </w:rPr>
        <w:t>。</w:t>
      </w:r>
    </w:p>
    <w:p w14:paraId="5135A5B9">
      <w:pPr>
        <w:pStyle w:val="35"/>
        <w:spacing w:line="360" w:lineRule="auto"/>
        <w:ind w:firstLine="420" w:firstLineChars="200"/>
        <w:jc w:val="left"/>
        <w:rPr>
          <w:color w:val="auto"/>
          <w:szCs w:val="21"/>
          <w:highlight w:val="none"/>
        </w:rPr>
      </w:pPr>
      <w:r>
        <w:rPr>
          <w:rFonts w:hint="eastAsia" w:hAnsi="宋体"/>
          <w:color w:val="auto"/>
          <w:szCs w:val="21"/>
          <w:highlight w:val="none"/>
        </w:rPr>
        <w:t>承包人提交的竣工资料形式要求：</w:t>
      </w:r>
      <w:r>
        <w:rPr>
          <w:rFonts w:hint="eastAsia" w:ascii="新宋体" w:hAnsi="新宋体" w:eastAsia="新宋体" w:cs="新宋体"/>
          <w:color w:val="auto"/>
          <w:spacing w:val="2"/>
          <w:szCs w:val="21"/>
          <w:highlight w:val="none"/>
          <w:u w:val="single"/>
        </w:rPr>
        <w:t>纸质及电子文档,纸质文档装订成册</w:t>
      </w:r>
      <w:r>
        <w:rPr>
          <w:rFonts w:hint="eastAsia" w:hAnsi="宋体"/>
          <w:color w:val="auto"/>
          <w:szCs w:val="21"/>
          <w:highlight w:val="none"/>
        </w:rPr>
        <w:t>。</w:t>
      </w:r>
    </w:p>
    <w:p w14:paraId="0D892984">
      <w:pPr>
        <w:pStyle w:val="35"/>
        <w:spacing w:line="360" w:lineRule="auto"/>
        <w:ind w:firstLine="420" w:firstLineChars="200"/>
        <w:rPr>
          <w:color w:val="auto"/>
          <w:kern w:val="0"/>
          <w:szCs w:val="21"/>
          <w:highlight w:val="none"/>
        </w:rPr>
      </w:pPr>
      <w:r>
        <w:rPr>
          <w:rFonts w:hint="eastAsia" w:hAnsi="宋体"/>
          <w:color w:val="auto"/>
          <w:kern w:val="0"/>
          <w:szCs w:val="21"/>
          <w:highlight w:val="none"/>
        </w:rPr>
        <w:t>（</w:t>
      </w:r>
      <w:r>
        <w:rPr>
          <w:color w:val="auto"/>
          <w:kern w:val="0"/>
          <w:szCs w:val="21"/>
          <w:highlight w:val="none"/>
        </w:rPr>
        <w:t>10</w:t>
      </w:r>
      <w:r>
        <w:rPr>
          <w:rFonts w:hint="eastAsia" w:hAnsi="宋体"/>
          <w:color w:val="auto"/>
          <w:kern w:val="0"/>
          <w:szCs w:val="21"/>
          <w:highlight w:val="none"/>
        </w:rPr>
        <w:t>）承包人应履行的其他义务：</w:t>
      </w:r>
    </w:p>
    <w:p w14:paraId="4FF2BE33">
      <w:pPr>
        <w:pStyle w:val="35"/>
        <w:spacing w:line="360" w:lineRule="auto"/>
        <w:ind w:firstLine="422" w:firstLineChars="200"/>
        <w:rPr>
          <w:rFonts w:ascii="宋体" w:hAnsi="宋体"/>
          <w:b/>
          <w:color w:val="auto"/>
          <w:kern w:val="0"/>
          <w:szCs w:val="21"/>
          <w:highlight w:val="none"/>
          <w:u w:val="single"/>
        </w:rPr>
      </w:pPr>
      <w:r>
        <w:rPr>
          <w:rFonts w:hint="eastAsia" w:ascii="宋体" w:hAnsi="宋体"/>
          <w:b/>
          <w:color w:val="auto"/>
          <w:kern w:val="0"/>
          <w:szCs w:val="21"/>
          <w:highlight w:val="none"/>
          <w:u w:val="single"/>
        </w:rPr>
        <w:t>①施工场地周围地下管线和邻近建筑物、构筑物（含文物保护建筑）、古树名木的保护要求及费用承担：承包人施工时应探明并负责保护且承包费用，施工时如损坏地下管线、邻近建筑物、构筑物，所发生费用由承包人承担。</w:t>
      </w:r>
    </w:p>
    <w:p w14:paraId="7FD3BFB4">
      <w:pPr>
        <w:pStyle w:val="35"/>
        <w:spacing w:line="360" w:lineRule="auto"/>
        <w:ind w:firstLine="422" w:firstLineChars="200"/>
        <w:rPr>
          <w:rFonts w:ascii="宋体" w:hAnsi="宋体"/>
          <w:b/>
          <w:color w:val="auto"/>
          <w:szCs w:val="21"/>
          <w:highlight w:val="none"/>
          <w:u w:val="single"/>
        </w:rPr>
      </w:pPr>
      <w:r>
        <w:rPr>
          <w:rFonts w:hint="eastAsia" w:ascii="宋体" w:hAnsi="宋体"/>
          <w:b/>
          <w:color w:val="auto"/>
          <w:kern w:val="0"/>
          <w:szCs w:val="21"/>
          <w:highlight w:val="none"/>
          <w:u w:val="single"/>
        </w:rPr>
        <w:t>②</w:t>
      </w:r>
      <w:r>
        <w:rPr>
          <w:rFonts w:hint="eastAsia" w:ascii="宋体" w:hAnsi="宋体"/>
          <w:b/>
          <w:color w:val="auto"/>
          <w:szCs w:val="21"/>
          <w:highlight w:val="none"/>
          <w:u w:val="single"/>
        </w:rPr>
        <w:t>取土场及弃土场由承包人自行解决，但不得违反相关管理规定，并承担相关费用。</w:t>
      </w:r>
    </w:p>
    <w:p w14:paraId="3B3FD0A5">
      <w:pPr>
        <w:pStyle w:val="35"/>
        <w:spacing w:line="360" w:lineRule="auto"/>
        <w:ind w:firstLine="422" w:firstLineChars="200"/>
        <w:rPr>
          <w:rFonts w:ascii="宋体" w:hAnsi="宋体" w:cs="仿宋"/>
          <w:b/>
          <w:color w:val="auto"/>
          <w:szCs w:val="21"/>
          <w:highlight w:val="none"/>
          <w:u w:val="single"/>
        </w:rPr>
      </w:pPr>
      <w:r>
        <w:rPr>
          <w:rFonts w:hint="eastAsia" w:ascii="宋体" w:hAnsi="宋体"/>
          <w:b/>
          <w:color w:val="auto"/>
          <w:szCs w:val="21"/>
          <w:highlight w:val="none"/>
          <w:u w:val="single"/>
        </w:rPr>
        <w:t>③</w:t>
      </w:r>
      <w:r>
        <w:rPr>
          <w:rFonts w:hint="eastAsia" w:ascii="宋体" w:hAnsi="宋体" w:cs="仿宋"/>
          <w:b/>
          <w:color w:val="auto"/>
          <w:szCs w:val="21"/>
          <w:highlight w:val="none"/>
          <w:u w:val="single"/>
        </w:rPr>
        <w:t>按照广西壮族自治区总工会、广西壮族自治区住房和城乡建设厅《关于进一步加强全区住房城乡建设系统组建工会和职工维权工作的意见》(桂工发[2013]29号)和南宁市城乡建委、市总工会、市财政局《关于印发〈关于在建设行业依法成立工会组织和拨缴工会经费（建会筹备金）的实施意见〉的通知》（南建[2011]9号）相关规定，承包人应在收到</w:t>
      </w:r>
      <w:r>
        <w:rPr>
          <w:rFonts w:hint="eastAsia" w:ascii="宋体" w:hAnsi="宋体" w:cs="仿宋"/>
          <w:b/>
          <w:color w:val="auto"/>
          <w:szCs w:val="21"/>
          <w:highlight w:val="none"/>
          <w:u w:val="single"/>
          <w:lang w:eastAsia="zh-CN"/>
        </w:rPr>
        <w:t>成交通知书</w:t>
      </w:r>
      <w:r>
        <w:rPr>
          <w:rFonts w:hint="eastAsia" w:ascii="宋体" w:hAnsi="宋体" w:cs="仿宋"/>
          <w:b/>
          <w:color w:val="auto"/>
          <w:szCs w:val="21"/>
          <w:highlight w:val="none"/>
          <w:u w:val="single"/>
        </w:rPr>
        <w:t>之日起10个工作日内，成立项目工会并拨缴工会经费（建会筹备金）。应缴工会经费额的参考标准：</w:t>
      </w:r>
    </w:p>
    <w:p w14:paraId="69B42445">
      <w:pPr>
        <w:pStyle w:val="35"/>
        <w:spacing w:line="360" w:lineRule="auto"/>
        <w:rPr>
          <w:rFonts w:ascii="宋体" w:hAnsi="宋体" w:cs="仿宋"/>
          <w:b/>
          <w:color w:val="auto"/>
          <w:szCs w:val="21"/>
          <w:highlight w:val="none"/>
          <w:u w:val="single"/>
        </w:rPr>
      </w:pPr>
      <w:r>
        <w:rPr>
          <w:rFonts w:hint="eastAsia" w:ascii="宋体" w:hAnsi="宋体" w:cs="仿宋"/>
          <w:b/>
          <w:color w:val="auto"/>
          <w:szCs w:val="21"/>
          <w:highlight w:val="none"/>
          <w:u w:val="single"/>
        </w:rPr>
        <w:t xml:space="preserve">    a.房建工程（含厂房和高层）的工会经费为工程项目中标价×10%×2%；</w:t>
      </w:r>
    </w:p>
    <w:p w14:paraId="52052216">
      <w:pPr>
        <w:pStyle w:val="35"/>
        <w:spacing w:line="360" w:lineRule="auto"/>
        <w:ind w:firstLine="420"/>
        <w:rPr>
          <w:rFonts w:ascii="宋体" w:hAnsi="宋体" w:cs="仿宋"/>
          <w:b/>
          <w:color w:val="auto"/>
          <w:szCs w:val="21"/>
          <w:highlight w:val="none"/>
          <w:u w:val="single"/>
        </w:rPr>
      </w:pPr>
      <w:r>
        <w:rPr>
          <w:rFonts w:hint="eastAsia" w:ascii="宋体" w:hAnsi="宋体" w:cs="仿宋"/>
          <w:b/>
          <w:color w:val="auto"/>
          <w:szCs w:val="21"/>
          <w:highlight w:val="none"/>
          <w:u w:val="single"/>
        </w:rPr>
        <w:t>b.学生公寓及教学综合楼的工会经费为工程项目中标价×6%×2%；</w:t>
      </w:r>
    </w:p>
    <w:p w14:paraId="7426D036">
      <w:pPr>
        <w:pStyle w:val="35"/>
        <w:spacing w:line="360" w:lineRule="auto"/>
        <w:ind w:firstLine="420"/>
        <w:rPr>
          <w:rFonts w:ascii="宋体" w:hAnsi="宋体" w:cs="仿宋"/>
          <w:b/>
          <w:color w:val="auto"/>
          <w:szCs w:val="21"/>
          <w:highlight w:val="none"/>
          <w:u w:val="single"/>
        </w:rPr>
      </w:pPr>
      <w:r>
        <w:rPr>
          <w:rFonts w:hint="eastAsia" w:ascii="宋体" w:hAnsi="宋体" w:cs="仿宋"/>
          <w:b/>
          <w:color w:val="auto"/>
          <w:szCs w:val="21"/>
          <w:highlight w:val="none"/>
          <w:u w:val="single"/>
        </w:rPr>
        <w:t>c.市政工程的工会经费为工程项目中标价×5%×2%；</w:t>
      </w:r>
    </w:p>
    <w:p w14:paraId="5B2158D7">
      <w:pPr>
        <w:pStyle w:val="35"/>
        <w:spacing w:line="360" w:lineRule="auto"/>
        <w:ind w:firstLine="420"/>
        <w:rPr>
          <w:rFonts w:ascii="宋体" w:hAnsi="宋体" w:cs="仿宋"/>
          <w:b/>
          <w:color w:val="auto"/>
          <w:szCs w:val="21"/>
          <w:highlight w:val="none"/>
          <w:u w:val="single"/>
        </w:rPr>
      </w:pPr>
      <w:r>
        <w:rPr>
          <w:rFonts w:hint="eastAsia" w:ascii="宋体" w:hAnsi="宋体" w:cs="仿宋"/>
          <w:b/>
          <w:color w:val="auto"/>
          <w:szCs w:val="21"/>
          <w:highlight w:val="none"/>
          <w:u w:val="single"/>
        </w:rPr>
        <w:t>d.装饰工程的工会经费为工程项目中标价×4%×2%。</w:t>
      </w:r>
    </w:p>
    <w:p w14:paraId="5207F15A">
      <w:pPr>
        <w:pStyle w:val="35"/>
        <w:spacing w:line="360" w:lineRule="auto"/>
        <w:ind w:firstLine="420"/>
        <w:rPr>
          <w:rFonts w:hAnsi="宋体"/>
          <w:color w:val="auto"/>
          <w:kern w:val="0"/>
          <w:szCs w:val="21"/>
          <w:highlight w:val="none"/>
          <w:u w:val="single"/>
        </w:rPr>
      </w:pPr>
      <w:r>
        <w:rPr>
          <w:rFonts w:hint="eastAsia" w:ascii="宋体" w:hAnsi="宋体" w:cs="仿宋"/>
          <w:b/>
          <w:color w:val="auto"/>
          <w:szCs w:val="21"/>
          <w:highlight w:val="none"/>
          <w:u w:val="single"/>
        </w:rPr>
        <w:t>承包人组建项目工会的同时，从审批办证大厅南宁建设窗口领取并填写《地方税（费）综合申报表》，带上施工合同原件及税务登记证副本（复印件），到工程项目所在主管地税部门办理工会经费缴费手续；区直企业可到区地税局办理工会经费缴费手续。（详情请咨询南宁市建设工会5521531、审批办证大厅南宁建设窗口3221206）</w:t>
      </w:r>
      <w:r>
        <w:rPr>
          <w:rFonts w:hint="eastAsia" w:hAnsi="宋体"/>
          <w:color w:val="auto"/>
          <w:kern w:val="0"/>
          <w:szCs w:val="21"/>
          <w:highlight w:val="none"/>
          <w:u w:val="single"/>
        </w:rPr>
        <w:t>。</w:t>
      </w:r>
    </w:p>
    <w:p w14:paraId="3F24B109">
      <w:pPr>
        <w:pStyle w:val="35"/>
        <w:spacing w:line="360" w:lineRule="auto"/>
        <w:ind w:firstLine="420"/>
        <w:rPr>
          <w:rFonts w:ascii="宋体" w:hAnsi="宋体" w:cs="仿宋"/>
          <w:b/>
          <w:color w:val="auto"/>
          <w:szCs w:val="21"/>
          <w:highlight w:val="none"/>
          <w:u w:val="single"/>
        </w:rPr>
      </w:pPr>
      <w:r>
        <w:rPr>
          <w:rFonts w:hint="eastAsia" w:ascii="宋体" w:hAnsi="宋体" w:cs="仿宋"/>
          <w:b/>
          <w:color w:val="auto"/>
          <w:szCs w:val="21"/>
          <w:highlight w:val="none"/>
          <w:u w:val="single"/>
        </w:rPr>
        <w:t>④承担施工安全保卫工作及非夜间施工照明的责任和要求：</w:t>
      </w:r>
      <w:r>
        <w:rPr>
          <w:rFonts w:hint="eastAsia" w:ascii="宋体" w:hAnsi="宋体"/>
          <w:bCs/>
          <w:color w:val="auto"/>
          <w:highlight w:val="none"/>
          <w:u w:val="single"/>
        </w:rPr>
        <w:t>承包人应采取一切合理的预防措施，防止人员伤亡、财产损失和交通事故，否则造成的一切损失费用由承包人承担</w:t>
      </w:r>
      <w:r>
        <w:rPr>
          <w:rFonts w:hint="eastAsia" w:ascii="宋体" w:hAnsi="宋体" w:cs="仿宋"/>
          <w:b/>
          <w:color w:val="auto"/>
          <w:szCs w:val="21"/>
          <w:highlight w:val="none"/>
          <w:u w:val="single"/>
        </w:rPr>
        <w:t>。</w:t>
      </w:r>
    </w:p>
    <w:p w14:paraId="2B62BA96">
      <w:pPr>
        <w:pStyle w:val="35"/>
        <w:spacing w:line="360" w:lineRule="auto"/>
        <w:ind w:firstLine="420"/>
        <w:rPr>
          <w:rFonts w:ascii="宋体" w:hAnsi="宋体" w:cs="仿宋"/>
          <w:b/>
          <w:color w:val="auto"/>
          <w:szCs w:val="21"/>
          <w:highlight w:val="none"/>
          <w:u w:val="single"/>
        </w:rPr>
      </w:pPr>
      <w:r>
        <w:rPr>
          <w:rFonts w:hint="eastAsia" w:ascii="宋体" w:hAnsi="宋体" w:cs="仿宋"/>
          <w:b/>
          <w:color w:val="auto"/>
          <w:szCs w:val="21"/>
          <w:highlight w:val="none"/>
          <w:u w:val="single"/>
        </w:rPr>
        <w:t>⑤向发包人提供的办公和生活房屋及设施的要求：</w:t>
      </w:r>
      <w:r>
        <w:rPr>
          <w:rFonts w:hint="eastAsia" w:ascii="宋体" w:hAnsi="宋体"/>
          <w:bCs/>
          <w:color w:val="auto"/>
          <w:highlight w:val="none"/>
          <w:u w:val="single"/>
        </w:rPr>
        <w:t>承包人应免费向发包人提供办公室和休息房各一间</w:t>
      </w:r>
      <w:r>
        <w:rPr>
          <w:rFonts w:hint="eastAsia" w:ascii="宋体" w:hAnsi="宋体"/>
          <w:bCs/>
          <w:color w:val="auto"/>
          <w:highlight w:val="none"/>
        </w:rPr>
        <w:t>，</w:t>
      </w:r>
      <w:r>
        <w:rPr>
          <w:rFonts w:hint="eastAsia" w:ascii="宋体" w:hAnsi="宋体"/>
          <w:bCs/>
          <w:color w:val="auto"/>
          <w:highlight w:val="none"/>
          <w:u w:val="single"/>
        </w:rPr>
        <w:t>每间约 13 平方米</w:t>
      </w:r>
      <w:r>
        <w:rPr>
          <w:rFonts w:hint="eastAsia" w:ascii="宋体" w:hAnsi="宋体" w:cs="仿宋"/>
          <w:b/>
          <w:color w:val="auto"/>
          <w:szCs w:val="21"/>
          <w:highlight w:val="none"/>
          <w:u w:val="single"/>
        </w:rPr>
        <w:t>。</w:t>
      </w:r>
    </w:p>
    <w:p w14:paraId="24F9D094">
      <w:pPr>
        <w:pStyle w:val="35"/>
        <w:spacing w:line="360" w:lineRule="auto"/>
        <w:ind w:firstLine="420"/>
        <w:rPr>
          <w:rFonts w:ascii="宋体" w:hAnsi="宋体" w:cs="仿宋"/>
          <w:b/>
          <w:color w:val="auto"/>
          <w:szCs w:val="21"/>
          <w:highlight w:val="none"/>
          <w:u w:val="single"/>
        </w:rPr>
      </w:pPr>
      <w:r>
        <w:rPr>
          <w:rFonts w:hint="eastAsia" w:ascii="宋体" w:hAnsi="宋体" w:cs="仿宋"/>
          <w:b/>
          <w:color w:val="auto"/>
          <w:szCs w:val="21"/>
          <w:highlight w:val="none"/>
          <w:u w:val="single"/>
        </w:rPr>
        <w:t>⑥需承包人办理的有关施工场地交通、环卫和施工噪音管理等手续：</w:t>
      </w:r>
      <w:r>
        <w:rPr>
          <w:rFonts w:hint="eastAsia" w:ascii="宋体" w:hAnsi="宋体"/>
          <w:bCs/>
          <w:color w:val="auto"/>
          <w:highlight w:val="none"/>
          <w:u w:val="single"/>
        </w:rPr>
        <w:t>因施工需要，经发包人批准，由承包人办理和负责费用</w:t>
      </w:r>
      <w:r>
        <w:rPr>
          <w:rFonts w:hint="eastAsia" w:ascii="宋体" w:hAnsi="宋体" w:cs="仿宋"/>
          <w:b/>
          <w:color w:val="auto"/>
          <w:szCs w:val="21"/>
          <w:highlight w:val="none"/>
          <w:u w:val="single"/>
        </w:rPr>
        <w:t>。</w:t>
      </w:r>
    </w:p>
    <w:p w14:paraId="2D7DCC5D">
      <w:pPr>
        <w:pStyle w:val="35"/>
        <w:spacing w:line="360" w:lineRule="auto"/>
        <w:ind w:firstLine="420"/>
        <w:rPr>
          <w:rFonts w:ascii="宋体" w:hAnsi="宋体" w:cs="仿宋"/>
          <w:b/>
          <w:color w:val="auto"/>
          <w:szCs w:val="21"/>
          <w:highlight w:val="none"/>
          <w:u w:val="single"/>
        </w:rPr>
      </w:pPr>
      <w:r>
        <w:rPr>
          <w:rFonts w:hint="eastAsia" w:ascii="宋体" w:hAnsi="宋体" w:cs="仿宋"/>
          <w:b/>
          <w:color w:val="auto"/>
          <w:szCs w:val="21"/>
          <w:highlight w:val="none"/>
          <w:u w:val="single"/>
        </w:rPr>
        <w:t>⑦施工场地清洁卫生的要求：</w:t>
      </w:r>
      <w:r>
        <w:rPr>
          <w:rFonts w:hint="eastAsia" w:ascii="宋体" w:hAnsi="宋体"/>
          <w:bCs/>
          <w:color w:val="auto"/>
          <w:highlight w:val="none"/>
          <w:u w:val="single"/>
        </w:rPr>
        <w:t>由于施工造成的环境污染，其责任和费用均由承包人承担</w:t>
      </w:r>
      <w:r>
        <w:rPr>
          <w:rFonts w:hint="eastAsia" w:ascii="宋体" w:hAnsi="宋体" w:cs="仿宋"/>
          <w:b/>
          <w:color w:val="auto"/>
          <w:szCs w:val="21"/>
          <w:highlight w:val="none"/>
          <w:u w:val="single"/>
        </w:rPr>
        <w:t>。</w:t>
      </w:r>
    </w:p>
    <w:p w14:paraId="2078AFEC">
      <w:pPr>
        <w:pStyle w:val="35"/>
        <w:spacing w:line="360" w:lineRule="auto"/>
        <w:ind w:firstLine="420"/>
        <w:rPr>
          <w:rFonts w:ascii="宋体" w:hAnsi="宋体" w:cs="仿宋"/>
          <w:b/>
          <w:color w:val="auto"/>
          <w:szCs w:val="21"/>
          <w:highlight w:val="none"/>
          <w:u w:val="single"/>
        </w:rPr>
      </w:pPr>
      <w:r>
        <w:rPr>
          <w:rFonts w:hint="eastAsia" w:ascii="宋体" w:hAnsi="宋体" w:cs="仿宋"/>
          <w:b/>
          <w:color w:val="auto"/>
          <w:szCs w:val="21"/>
          <w:highlight w:val="none"/>
          <w:u w:val="single"/>
        </w:rPr>
        <w:t>⑧双方约定承包人应做的其他工作：</w:t>
      </w:r>
    </w:p>
    <w:p w14:paraId="70FAEDF8">
      <w:pPr>
        <w:pStyle w:val="34"/>
        <w:adjustRightInd w:val="0"/>
        <w:snapToGrid w:val="0"/>
        <w:spacing w:line="44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rPr>
        <w:t>（1)配合发包人做好安全文明宣传、领导检查宣传等工作，相关费用由承包人承担。</w:t>
      </w:r>
    </w:p>
    <w:p w14:paraId="4A7C93C0">
      <w:pPr>
        <w:pStyle w:val="34"/>
        <w:adjustRightInd w:val="0"/>
        <w:snapToGrid w:val="0"/>
        <w:spacing w:line="44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rPr>
        <w:t>(2)承包人生活设施及施工场地，应自费配备消防设备，防止火灾发生。</w:t>
      </w:r>
    </w:p>
    <w:p w14:paraId="034FA500">
      <w:pPr>
        <w:pStyle w:val="34"/>
        <w:adjustRightInd w:val="0"/>
        <w:snapToGrid w:val="0"/>
        <w:spacing w:line="44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rPr>
        <w:t>(3)承包人的临时用地（含项目部驻地等）租用费（含拆迁补偿）、临时用地的环保、恢复、临时用地的青苗补偿及地面附着物拆除等费用均由承包人负责，以上费用在投标报价中综合考虑。</w:t>
      </w:r>
    </w:p>
    <w:p w14:paraId="27B1BBA0">
      <w:pPr>
        <w:pStyle w:val="34"/>
        <w:adjustRightInd w:val="0"/>
        <w:snapToGrid w:val="0"/>
        <w:spacing w:line="44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rPr>
        <w:t>(4) 经过城市道路的施工车辆，必须按交警、城管、运输等部门相关规定执行。由于施工车辆造成的道路、环境等污染，其责任和费用均由承包人承担。</w:t>
      </w:r>
    </w:p>
    <w:p w14:paraId="6EDFA8C1">
      <w:pPr>
        <w:pStyle w:val="34"/>
        <w:adjustRightInd w:val="0"/>
        <w:snapToGrid w:val="0"/>
        <w:spacing w:line="44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rPr>
        <w:t>(5）承包人负责合同实施期间其合同段内临时交通道路（含场内外连接公共交通道路）和交通设施的修建、维修、养护和交通管理工作，并承担一切费用。</w:t>
      </w:r>
    </w:p>
    <w:p w14:paraId="17EE1CA1">
      <w:pPr>
        <w:pStyle w:val="34"/>
        <w:adjustRightInd w:val="0"/>
        <w:snapToGrid w:val="0"/>
        <w:spacing w:line="44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rPr>
        <w:t>(6）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6BA0D59C">
      <w:pPr>
        <w:pStyle w:val="34"/>
        <w:adjustRightInd w:val="0"/>
        <w:snapToGrid w:val="0"/>
        <w:spacing w:line="44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rPr>
        <w:t>(7）设立专职项目书记，做好党务及宣传同时，协助发包人征地拆迁。</w:t>
      </w:r>
    </w:p>
    <w:p w14:paraId="5E926D6D">
      <w:pPr>
        <w:pStyle w:val="34"/>
        <w:adjustRightInd w:val="0"/>
        <w:snapToGrid w:val="0"/>
        <w:spacing w:line="44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rPr>
        <w:t>(8）甲方仅接受乙方书面授权的唯一代理人，办理相关支付手续。</w:t>
      </w:r>
    </w:p>
    <w:p w14:paraId="22E0BB42">
      <w:pPr>
        <w:pStyle w:val="34"/>
        <w:adjustRightInd w:val="0"/>
        <w:snapToGrid w:val="0"/>
        <w:spacing w:line="44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rPr>
        <w:t>(9）合同履行期间，乙方不按核批的进度计划组织施工，经监理书面通知整改而未满足要求，经甲方书面通知 3 日内仍未能有效整改的，甲方有权对无进度履约能力的部位或部分进行强制分割，组织其他满足行政法规规定的其它单位或组织负责赶工作业，但不免除乙方的合同责任。</w:t>
      </w:r>
    </w:p>
    <w:p w14:paraId="0E544664">
      <w:pPr>
        <w:pStyle w:val="34"/>
        <w:adjustRightInd w:val="0"/>
        <w:snapToGrid w:val="0"/>
        <w:spacing w:line="44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rPr>
        <w:t>(10）甲方对乙方无进度履约能力的部位和部分进行强制分割而形成的相关费用，须及时完善手续，列入乙方成本。甲方需及时组织监理，实施分割作业的队组负责人、乙方代表等对现场形成的费用等共同确认，但乙方人为或故意对此现场费用的缺席确认，并不能免除乙方责任。</w:t>
      </w:r>
    </w:p>
    <w:p w14:paraId="0E12300D">
      <w:pPr>
        <w:pStyle w:val="34"/>
        <w:adjustRightInd w:val="0"/>
        <w:snapToGrid w:val="0"/>
        <w:spacing w:line="440" w:lineRule="exact"/>
        <w:ind w:firstLine="420" w:firstLineChars="200"/>
        <w:textAlignment w:val="baseline"/>
        <w:rPr>
          <w:rFonts w:ascii="宋体" w:hAnsi="宋体"/>
          <w:color w:val="auto"/>
          <w:szCs w:val="21"/>
          <w:highlight w:val="none"/>
          <w:u w:val="single"/>
        </w:rPr>
      </w:pPr>
      <w:r>
        <w:rPr>
          <w:rFonts w:hint="eastAsia" w:ascii="宋体" w:hAnsi="宋体"/>
          <w:color w:val="auto"/>
          <w:szCs w:val="21"/>
          <w:highlight w:val="none"/>
        </w:rPr>
        <w:t>承包人对项目经理的授权范围如下：</w:t>
      </w:r>
      <w:r>
        <w:rPr>
          <w:rFonts w:hint="eastAsia" w:ascii="宋体" w:hAnsi="宋体"/>
          <w:color w:val="auto"/>
          <w:szCs w:val="21"/>
          <w:highlight w:val="none"/>
          <w:u w:val="single"/>
        </w:rPr>
        <w:t>全面履行</w:t>
      </w:r>
      <w:r>
        <w:rPr>
          <w:rFonts w:hint="eastAsia" w:ascii="宋体" w:hAnsi="宋体"/>
          <w:b/>
          <w:color w:val="auto"/>
          <w:szCs w:val="21"/>
          <w:highlight w:val="none"/>
          <w:u w:val="single"/>
          <w:shd w:val="clear" w:color="auto" w:fill="auto"/>
        </w:rPr>
        <w:t>（项目全称）</w:t>
      </w:r>
      <w:r>
        <w:rPr>
          <w:rFonts w:hint="eastAsia" w:ascii="宋体" w:hAnsi="宋体"/>
          <w:color w:val="auto"/>
          <w:szCs w:val="21"/>
          <w:highlight w:val="none"/>
          <w:u w:val="single"/>
        </w:rPr>
        <w:t>的项目承包管理</w:t>
      </w:r>
      <w:r>
        <w:rPr>
          <w:rFonts w:hint="eastAsia" w:ascii="宋体" w:hAnsi="宋体"/>
          <w:color w:val="auto"/>
          <w:szCs w:val="21"/>
          <w:highlight w:val="none"/>
        </w:rPr>
        <w:t>职责，为工程参与各方做好协调和服务，在资金、质量、安全、环境保护、文明施工等合约目标范围向业主直接负责。</w:t>
      </w:r>
    </w:p>
    <w:p w14:paraId="18B4E9F9">
      <w:pPr>
        <w:pStyle w:val="34"/>
        <w:adjustRightInd w:val="0"/>
        <w:snapToGrid w:val="0"/>
        <w:spacing w:line="440" w:lineRule="exact"/>
        <w:ind w:firstLine="420" w:firstLineChars="200"/>
        <w:textAlignment w:val="baseline"/>
        <w:rPr>
          <w:rFonts w:ascii="宋体" w:hAnsi="宋体"/>
          <w:color w:val="auto"/>
          <w:szCs w:val="21"/>
          <w:highlight w:val="none"/>
          <w:u w:val="single"/>
        </w:rPr>
      </w:pPr>
      <w:r>
        <w:rPr>
          <w:rFonts w:hint="eastAsia" w:ascii="宋体" w:hAnsi="宋体"/>
          <w:color w:val="auto"/>
          <w:szCs w:val="21"/>
          <w:highlight w:val="none"/>
        </w:rPr>
        <w:t xml:space="preserve"> 关于项目经理每月在施工现场的时间要求：</w:t>
      </w:r>
      <w:r>
        <w:rPr>
          <w:rFonts w:hint="eastAsia" w:ascii="宋体" w:hAnsi="宋体"/>
          <w:color w:val="auto"/>
          <w:szCs w:val="21"/>
          <w:highlight w:val="none"/>
          <w:u w:val="single"/>
        </w:rPr>
        <w:t>项目经理应常驻现场，每月在现场工作时间应不少于</w:t>
      </w:r>
      <w:r>
        <w:rPr>
          <w:rFonts w:hint="eastAsia" w:ascii="宋体" w:hAnsi="宋体"/>
          <w:color w:val="auto"/>
          <w:highlight w:val="none"/>
          <w:u w:val="single"/>
        </w:rPr>
        <w:t>22 日。</w:t>
      </w:r>
    </w:p>
    <w:p w14:paraId="4FBABF04">
      <w:pPr>
        <w:pStyle w:val="34"/>
        <w:adjustRightInd w:val="0"/>
        <w:snapToGrid w:val="0"/>
        <w:spacing w:line="440" w:lineRule="exact"/>
        <w:ind w:firstLine="420" w:firstLineChars="200"/>
        <w:textAlignment w:val="baseline"/>
        <w:rPr>
          <w:rFonts w:ascii="宋体" w:hAnsi="宋体"/>
          <w:color w:val="auto"/>
          <w:szCs w:val="21"/>
          <w:highlight w:val="none"/>
          <w:u w:val="single"/>
        </w:rPr>
      </w:pPr>
      <w:r>
        <w:rPr>
          <w:rFonts w:hint="eastAsia" w:ascii="宋体" w:hAnsi="宋体"/>
          <w:color w:val="auto"/>
          <w:szCs w:val="21"/>
          <w:highlight w:val="none"/>
        </w:rPr>
        <w:t>承包人未提交劳动合同，以及没有为项目经理缴纳社会保险证明的违约责任：</w:t>
      </w:r>
      <w:r>
        <w:rPr>
          <w:rFonts w:hint="eastAsia" w:ascii="宋体" w:hAnsi="宋体"/>
          <w:color w:val="auto"/>
          <w:szCs w:val="21"/>
          <w:highlight w:val="none"/>
          <w:u w:val="single"/>
        </w:rPr>
        <w:t>按南宁市劳动管理部门相关规定处理。</w:t>
      </w:r>
    </w:p>
    <w:p w14:paraId="5D15C815">
      <w:pPr>
        <w:pStyle w:val="35"/>
        <w:spacing w:line="360" w:lineRule="auto"/>
        <w:ind w:firstLine="420"/>
        <w:rPr>
          <w:rFonts w:ascii="宋体" w:hAnsi="宋体" w:cs="仿宋"/>
          <w:b/>
          <w:color w:val="auto"/>
          <w:szCs w:val="21"/>
          <w:highlight w:val="none"/>
          <w:u w:val="single"/>
        </w:rPr>
      </w:pPr>
    </w:p>
    <w:p w14:paraId="0E80156A">
      <w:pPr>
        <w:pStyle w:val="33"/>
        <w:rPr>
          <w:rFonts w:ascii="Calibri" w:hAnsi="Calibri"/>
          <w:color w:val="auto"/>
          <w:highlight w:val="none"/>
        </w:rPr>
      </w:pPr>
      <w:bookmarkStart w:id="312" w:name="_Toc389065274"/>
      <w:bookmarkStart w:id="313" w:name="_Toc467599569"/>
      <w:bookmarkStart w:id="314" w:name="_Toc373227708"/>
      <w:bookmarkStart w:id="315" w:name="_Toc373478355"/>
      <w:r>
        <w:rPr>
          <w:rFonts w:ascii="Calibri" w:hAnsi="Calibri"/>
          <w:color w:val="auto"/>
          <w:highlight w:val="none"/>
        </w:rPr>
        <w:t xml:space="preserve">3.2 </w:t>
      </w:r>
      <w:r>
        <w:rPr>
          <w:rFonts w:hint="eastAsia" w:ascii="Calibri" w:hAnsi="Calibri"/>
          <w:color w:val="auto"/>
          <w:highlight w:val="none"/>
        </w:rPr>
        <w:t>项目经理</w:t>
      </w:r>
      <w:bookmarkEnd w:id="312"/>
      <w:bookmarkEnd w:id="313"/>
      <w:bookmarkEnd w:id="314"/>
      <w:bookmarkEnd w:id="315"/>
    </w:p>
    <w:p w14:paraId="412A429B">
      <w:pPr>
        <w:pStyle w:val="35"/>
        <w:spacing w:line="360" w:lineRule="auto"/>
        <w:ind w:firstLine="420" w:firstLineChars="200"/>
        <w:rPr>
          <w:color w:val="auto"/>
          <w:szCs w:val="21"/>
          <w:highlight w:val="none"/>
        </w:rPr>
      </w:pPr>
      <w:r>
        <w:rPr>
          <w:color w:val="auto"/>
          <w:kern w:val="0"/>
          <w:szCs w:val="21"/>
          <w:highlight w:val="none"/>
        </w:rPr>
        <w:t xml:space="preserve">3.2.1 </w:t>
      </w:r>
      <w:r>
        <w:rPr>
          <w:rFonts w:hint="eastAsia" w:hAnsi="宋体"/>
          <w:color w:val="auto"/>
          <w:szCs w:val="21"/>
          <w:highlight w:val="none"/>
        </w:rPr>
        <w:t>项目经理：</w:t>
      </w:r>
    </w:p>
    <w:p w14:paraId="0E208F80">
      <w:pPr>
        <w:pStyle w:val="35"/>
        <w:spacing w:line="360" w:lineRule="auto"/>
        <w:ind w:firstLine="420" w:firstLineChars="200"/>
        <w:rPr>
          <w:color w:val="auto"/>
          <w:szCs w:val="21"/>
          <w:highlight w:val="none"/>
        </w:rPr>
      </w:pPr>
      <w:r>
        <w:rPr>
          <w:rFonts w:hint="eastAsia" w:hAnsi="宋体"/>
          <w:color w:val="auto"/>
          <w:szCs w:val="21"/>
          <w:highlight w:val="none"/>
        </w:rPr>
        <w:t>姓名：</w:t>
      </w:r>
      <w:r>
        <w:rPr>
          <w:rFonts w:hAnsi="宋体"/>
          <w:color w:val="auto"/>
          <w:szCs w:val="21"/>
          <w:highlight w:val="none"/>
          <w:u w:val="single"/>
        </w:rPr>
        <w:t></w:t>
      </w:r>
      <w:r>
        <w:rPr>
          <w:rFonts w:hint="eastAsia" w:hAnsi="宋体"/>
          <w:color w:val="auto"/>
          <w:szCs w:val="21"/>
          <w:highlight w:val="none"/>
        </w:rPr>
        <w:t>；</w:t>
      </w:r>
    </w:p>
    <w:p w14:paraId="229325B3">
      <w:pPr>
        <w:pStyle w:val="35"/>
        <w:spacing w:line="360" w:lineRule="auto"/>
        <w:ind w:firstLine="420" w:firstLineChars="200"/>
        <w:rPr>
          <w:color w:val="auto"/>
          <w:szCs w:val="21"/>
          <w:highlight w:val="none"/>
        </w:rPr>
      </w:pPr>
      <w:r>
        <w:rPr>
          <w:rFonts w:hint="eastAsia" w:hAnsi="宋体"/>
          <w:color w:val="auto"/>
          <w:szCs w:val="21"/>
          <w:highlight w:val="none"/>
        </w:rPr>
        <w:t>身份证号：</w:t>
      </w:r>
      <w:r>
        <w:rPr>
          <w:rFonts w:hAnsi="宋体"/>
          <w:color w:val="auto"/>
          <w:szCs w:val="21"/>
          <w:highlight w:val="none"/>
          <w:u w:val="single"/>
        </w:rPr>
        <w:t></w:t>
      </w:r>
      <w:r>
        <w:rPr>
          <w:rFonts w:ascii="Times New Roman" w:hAnsi="宋体"/>
          <w:color w:val="auto"/>
          <w:szCs w:val="21"/>
          <w:highlight w:val="none"/>
          <w:u w:val="single"/>
        </w:rPr>
        <w:t></w:t>
      </w:r>
      <w:r>
        <w:rPr>
          <w:rFonts w:hint="eastAsia" w:ascii="Times New Roman"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color w:val="auto"/>
          <w:szCs w:val="21"/>
          <w:highlight w:val="none"/>
        </w:rPr>
        <w:t>；</w:t>
      </w:r>
    </w:p>
    <w:p w14:paraId="5136577B">
      <w:pPr>
        <w:pStyle w:val="35"/>
        <w:spacing w:line="360" w:lineRule="auto"/>
        <w:ind w:firstLine="420" w:firstLineChars="200"/>
        <w:rPr>
          <w:color w:val="auto"/>
          <w:szCs w:val="21"/>
          <w:highlight w:val="none"/>
        </w:rPr>
      </w:pPr>
      <w:r>
        <w:rPr>
          <w:rFonts w:hint="eastAsia" w:hAnsi="宋体"/>
          <w:color w:val="auto"/>
          <w:szCs w:val="21"/>
          <w:highlight w:val="none"/>
        </w:rPr>
        <w:t>建造师执业资格等级：</w:t>
      </w:r>
      <w:r>
        <w:rPr>
          <w:rFonts w:hAnsi="宋体"/>
          <w:color w:val="auto"/>
          <w:szCs w:val="21"/>
          <w:highlight w:val="none"/>
          <w:u w:val="single"/>
        </w:rPr>
        <w:t></w:t>
      </w:r>
      <w:r>
        <w:rPr>
          <w:rFonts w:hint="eastAsia" w:hAnsi="宋体"/>
          <w:color w:val="auto"/>
          <w:szCs w:val="21"/>
          <w:highlight w:val="none"/>
        </w:rPr>
        <w:t>；</w:t>
      </w:r>
    </w:p>
    <w:p w14:paraId="280C34BD">
      <w:pPr>
        <w:pStyle w:val="35"/>
        <w:spacing w:line="360" w:lineRule="auto"/>
        <w:ind w:firstLine="420" w:firstLineChars="200"/>
        <w:rPr>
          <w:color w:val="auto"/>
          <w:szCs w:val="21"/>
          <w:highlight w:val="none"/>
        </w:rPr>
      </w:pPr>
      <w:r>
        <w:rPr>
          <w:rFonts w:hint="eastAsia" w:hAnsi="宋体"/>
          <w:color w:val="auto"/>
          <w:szCs w:val="21"/>
          <w:highlight w:val="none"/>
        </w:rPr>
        <w:t>建造师注册证书号：</w:t>
      </w:r>
      <w:r>
        <w:rPr>
          <w:rFonts w:hAnsi="宋体"/>
          <w:color w:val="auto"/>
          <w:szCs w:val="21"/>
          <w:highlight w:val="none"/>
          <w:u w:val="single"/>
        </w:rPr>
        <w:t></w:t>
      </w:r>
      <w:r>
        <w:rPr>
          <w:rFonts w:hint="eastAsia" w:hAnsi="宋体"/>
          <w:color w:val="auto"/>
          <w:szCs w:val="21"/>
          <w:highlight w:val="none"/>
        </w:rPr>
        <w:t>；</w:t>
      </w:r>
    </w:p>
    <w:p w14:paraId="086A1054">
      <w:pPr>
        <w:pStyle w:val="35"/>
        <w:spacing w:line="360" w:lineRule="auto"/>
        <w:ind w:firstLine="420" w:firstLineChars="200"/>
        <w:rPr>
          <w:color w:val="auto"/>
          <w:szCs w:val="21"/>
          <w:highlight w:val="none"/>
        </w:rPr>
      </w:pPr>
      <w:r>
        <w:rPr>
          <w:rFonts w:hint="eastAsia" w:hAnsi="宋体"/>
          <w:color w:val="auto"/>
          <w:szCs w:val="21"/>
          <w:highlight w:val="none"/>
        </w:rPr>
        <w:t>建造师执业印章号：</w:t>
      </w:r>
      <w:r>
        <w:rPr>
          <w:rFonts w:hAnsi="宋体"/>
          <w:color w:val="auto"/>
          <w:szCs w:val="21"/>
          <w:highlight w:val="none"/>
          <w:u w:val="single"/>
        </w:rPr>
        <w:t></w:t>
      </w:r>
      <w:r>
        <w:rPr>
          <w:rFonts w:hint="eastAsia" w:hAnsi="宋体"/>
          <w:color w:val="auto"/>
          <w:szCs w:val="21"/>
          <w:highlight w:val="none"/>
        </w:rPr>
        <w:t>；</w:t>
      </w:r>
    </w:p>
    <w:p w14:paraId="32D4D1F0">
      <w:pPr>
        <w:pStyle w:val="35"/>
        <w:spacing w:line="360" w:lineRule="auto"/>
        <w:ind w:firstLine="420" w:firstLineChars="200"/>
        <w:rPr>
          <w:rFonts w:hAnsi="宋体"/>
          <w:color w:val="auto"/>
          <w:szCs w:val="21"/>
          <w:highlight w:val="none"/>
        </w:rPr>
      </w:pPr>
      <w:r>
        <w:rPr>
          <w:rFonts w:hint="eastAsia" w:hAnsi="宋体"/>
          <w:color w:val="auto"/>
          <w:szCs w:val="21"/>
          <w:highlight w:val="none"/>
        </w:rPr>
        <w:t>安全生产考核合格证书号：</w:t>
      </w:r>
      <w:r>
        <w:rPr>
          <w:rFonts w:hAnsi="宋体"/>
          <w:color w:val="auto"/>
          <w:szCs w:val="21"/>
          <w:highlight w:val="none"/>
          <w:u w:val="single"/>
        </w:rPr>
        <w:t></w:t>
      </w:r>
      <w:r>
        <w:rPr>
          <w:rFonts w:hint="eastAsia" w:hAnsi="宋体"/>
          <w:color w:val="auto"/>
          <w:szCs w:val="21"/>
          <w:highlight w:val="none"/>
        </w:rPr>
        <w:t>；</w:t>
      </w:r>
    </w:p>
    <w:p w14:paraId="656C169A">
      <w:pPr>
        <w:pStyle w:val="35"/>
        <w:spacing w:line="360" w:lineRule="auto"/>
        <w:ind w:firstLine="420" w:firstLineChars="200"/>
        <w:rPr>
          <w:color w:val="auto"/>
          <w:szCs w:val="21"/>
          <w:highlight w:val="none"/>
        </w:rPr>
      </w:pPr>
      <w:r>
        <w:rPr>
          <w:rFonts w:hint="eastAsia" w:hAnsi="宋体"/>
          <w:color w:val="auto"/>
          <w:szCs w:val="21"/>
          <w:highlight w:val="none"/>
        </w:rPr>
        <w:t>广西建筑市场诚信卡卡号：</w:t>
      </w:r>
      <w:r>
        <w:rPr>
          <w:rFonts w:hint="eastAsia" w:ascii="Times New Roman" w:hAnsi="宋体"/>
          <w:color w:val="auto"/>
          <w:szCs w:val="21"/>
          <w:highlight w:val="none"/>
          <w:u w:val="single"/>
          <w:lang w:val="en-US" w:eastAsia="zh-CN"/>
        </w:rPr>
        <w:t xml:space="preserve">      </w:t>
      </w:r>
      <w:r>
        <w:rPr>
          <w:rFonts w:hint="eastAsia" w:hAnsi="宋体"/>
          <w:color w:val="auto"/>
          <w:szCs w:val="21"/>
          <w:highlight w:val="none"/>
        </w:rPr>
        <w:t>；</w:t>
      </w:r>
    </w:p>
    <w:p w14:paraId="0EB13FCD">
      <w:pPr>
        <w:pStyle w:val="35"/>
        <w:spacing w:line="360" w:lineRule="auto"/>
        <w:ind w:firstLine="420" w:firstLineChars="200"/>
        <w:rPr>
          <w:color w:val="auto"/>
          <w:szCs w:val="21"/>
          <w:highlight w:val="none"/>
        </w:rPr>
      </w:pPr>
      <w:r>
        <w:rPr>
          <w:rFonts w:hint="eastAsia" w:hAnsi="宋体"/>
          <w:color w:val="auto"/>
          <w:szCs w:val="21"/>
          <w:highlight w:val="none"/>
        </w:rPr>
        <w:t>联系电话：</w:t>
      </w:r>
      <w:r>
        <w:rPr>
          <w:rFonts w:hAnsi="宋体"/>
          <w:color w:val="auto"/>
          <w:szCs w:val="21"/>
          <w:highlight w:val="none"/>
          <w:u w:val="single"/>
        </w:rPr>
        <w:t></w:t>
      </w:r>
      <w:r>
        <w:rPr>
          <w:rFonts w:hint="eastAsia" w:hAnsi="宋体"/>
          <w:color w:val="auto"/>
          <w:szCs w:val="21"/>
          <w:highlight w:val="none"/>
        </w:rPr>
        <w:t>；</w:t>
      </w:r>
    </w:p>
    <w:p w14:paraId="6E5F680A">
      <w:pPr>
        <w:pStyle w:val="35"/>
        <w:spacing w:line="360" w:lineRule="auto"/>
        <w:ind w:firstLine="420" w:firstLineChars="200"/>
        <w:rPr>
          <w:color w:val="auto"/>
          <w:szCs w:val="21"/>
          <w:highlight w:val="none"/>
        </w:rPr>
      </w:pPr>
      <w:r>
        <w:rPr>
          <w:rFonts w:hint="eastAsia" w:hAnsi="宋体"/>
          <w:color w:val="auto"/>
          <w:szCs w:val="21"/>
          <w:highlight w:val="none"/>
        </w:rPr>
        <w:t>电子信箱：</w:t>
      </w:r>
      <w:r>
        <w:rPr>
          <w:rFonts w:hAnsi="宋体"/>
          <w:color w:val="auto"/>
          <w:szCs w:val="21"/>
          <w:highlight w:val="none"/>
          <w:u w:val="single"/>
        </w:rPr>
        <w:t></w:t>
      </w:r>
      <w:r>
        <w:rPr>
          <w:rFonts w:hint="eastAsia" w:hAnsi="宋体"/>
          <w:color w:val="auto"/>
          <w:szCs w:val="21"/>
          <w:highlight w:val="none"/>
        </w:rPr>
        <w:t>；</w:t>
      </w:r>
    </w:p>
    <w:p w14:paraId="2489A752">
      <w:pPr>
        <w:pStyle w:val="35"/>
        <w:spacing w:line="360" w:lineRule="auto"/>
        <w:ind w:firstLine="420" w:firstLineChars="200"/>
        <w:rPr>
          <w:color w:val="auto"/>
          <w:szCs w:val="21"/>
          <w:highlight w:val="none"/>
        </w:rPr>
      </w:pPr>
      <w:r>
        <w:rPr>
          <w:rFonts w:hint="eastAsia" w:hAnsi="宋体"/>
          <w:color w:val="auto"/>
          <w:szCs w:val="21"/>
          <w:highlight w:val="none"/>
        </w:rPr>
        <w:t>通信地址：</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r>
        <w:rPr>
          <w:rFonts w:hint="eastAsia" w:hAnsi="宋体"/>
          <w:color w:val="auto"/>
          <w:szCs w:val="21"/>
          <w:highlight w:val="none"/>
        </w:rPr>
        <w:t>；</w:t>
      </w:r>
    </w:p>
    <w:p w14:paraId="00F8CD9D">
      <w:pPr>
        <w:pStyle w:val="35"/>
        <w:spacing w:line="360" w:lineRule="auto"/>
        <w:ind w:firstLine="420" w:firstLineChars="200"/>
        <w:rPr>
          <w:color w:val="auto"/>
          <w:szCs w:val="21"/>
          <w:highlight w:val="none"/>
        </w:rPr>
      </w:pPr>
      <w:r>
        <w:rPr>
          <w:rFonts w:hint="eastAsia" w:hAnsi="宋体"/>
          <w:color w:val="auto"/>
          <w:szCs w:val="21"/>
          <w:highlight w:val="none"/>
        </w:rPr>
        <w:t>承包人对项目经理的授权范围如下：</w:t>
      </w:r>
      <w:r>
        <w:rPr>
          <w:rFonts w:hint="eastAsia" w:ascii="宋体" w:hAnsi="宋体"/>
          <w:color w:val="auto"/>
          <w:szCs w:val="21"/>
          <w:highlight w:val="none"/>
          <w:u w:val="single"/>
        </w:rPr>
        <w:t>执行通用条款</w:t>
      </w:r>
      <w:r>
        <w:rPr>
          <w:rFonts w:hint="eastAsia" w:ascii="新宋体" w:hAnsi="新宋体" w:eastAsia="新宋体" w:cs="新宋体"/>
          <w:color w:val="auto"/>
          <w:szCs w:val="21"/>
          <w:highlight w:val="none"/>
          <w:u w:val="single"/>
        </w:rPr>
        <w:t>。</w:t>
      </w:r>
      <w:r>
        <w:rPr>
          <w:rFonts w:hint="eastAsia" w:hAnsi="宋体"/>
          <w:color w:val="auto"/>
          <w:szCs w:val="21"/>
          <w:highlight w:val="none"/>
        </w:rPr>
        <w:t>。</w:t>
      </w:r>
    </w:p>
    <w:p w14:paraId="1F80C1D4">
      <w:pPr>
        <w:pStyle w:val="35"/>
        <w:spacing w:line="360" w:lineRule="auto"/>
        <w:ind w:firstLine="420" w:firstLineChars="200"/>
        <w:jc w:val="left"/>
        <w:rPr>
          <w:color w:val="auto"/>
          <w:kern w:val="0"/>
          <w:szCs w:val="21"/>
          <w:highlight w:val="none"/>
        </w:rPr>
      </w:pPr>
      <w:r>
        <w:rPr>
          <w:rFonts w:hint="eastAsia" w:hAnsi="宋体"/>
          <w:color w:val="auto"/>
          <w:kern w:val="0"/>
          <w:szCs w:val="21"/>
          <w:highlight w:val="none"/>
        </w:rPr>
        <w:t>关于项目经理每月在施工现场的时间要求：</w:t>
      </w:r>
      <w:r>
        <w:rPr>
          <w:rFonts w:hint="eastAsia" w:ascii="新宋体" w:hAnsi="新宋体" w:eastAsia="新宋体" w:cs="新宋体"/>
          <w:color w:val="auto"/>
          <w:szCs w:val="21"/>
          <w:highlight w:val="none"/>
          <w:u w:val="single"/>
        </w:rPr>
        <w:t>项目经理应常驻现场，每月在现场工作时间应不少于22日</w:t>
      </w:r>
      <w:r>
        <w:rPr>
          <w:rFonts w:hint="eastAsia" w:hAnsi="宋体"/>
          <w:color w:val="auto"/>
          <w:szCs w:val="21"/>
          <w:highlight w:val="none"/>
        </w:rPr>
        <w:t>。</w:t>
      </w:r>
    </w:p>
    <w:p w14:paraId="04A2B4D4">
      <w:pPr>
        <w:pStyle w:val="35"/>
        <w:spacing w:line="360" w:lineRule="auto"/>
        <w:rPr>
          <w:color w:val="auto"/>
          <w:kern w:val="0"/>
          <w:szCs w:val="21"/>
          <w:highlight w:val="none"/>
        </w:rPr>
      </w:pPr>
      <w:r>
        <w:rPr>
          <w:rFonts w:hint="eastAsia" w:hAnsi="宋体"/>
          <w:color w:val="auto"/>
          <w:kern w:val="0"/>
          <w:szCs w:val="21"/>
          <w:highlight w:val="none"/>
        </w:rPr>
        <w:t>承包人未提交劳动合同，以及没有为项目经理缴纳社会保险证明的违约责任：</w:t>
      </w:r>
      <w:r>
        <w:rPr>
          <w:rFonts w:hint="eastAsia" w:ascii="宋体" w:hAnsi="宋体"/>
          <w:color w:val="auto"/>
          <w:szCs w:val="21"/>
          <w:highlight w:val="none"/>
          <w:u w:val="single"/>
        </w:rPr>
        <w:t>/</w:t>
      </w:r>
      <w:r>
        <w:rPr>
          <w:rFonts w:hint="eastAsia" w:hAnsi="宋体"/>
          <w:color w:val="auto"/>
          <w:szCs w:val="21"/>
          <w:highlight w:val="none"/>
        </w:rPr>
        <w:t>。</w:t>
      </w:r>
    </w:p>
    <w:p w14:paraId="3BF7E6FF">
      <w:pPr>
        <w:pStyle w:val="35"/>
        <w:spacing w:line="360" w:lineRule="auto"/>
        <w:ind w:firstLine="420" w:firstLineChars="200"/>
        <w:rPr>
          <w:color w:val="auto"/>
          <w:szCs w:val="21"/>
          <w:highlight w:val="none"/>
          <w:u w:val="single"/>
        </w:rPr>
      </w:pPr>
      <w:r>
        <w:rPr>
          <w:rFonts w:hint="eastAsia" w:hAnsi="宋体"/>
          <w:color w:val="auto"/>
          <w:kern w:val="0"/>
          <w:szCs w:val="21"/>
          <w:highlight w:val="none"/>
        </w:rPr>
        <w:t>项目经理未经批准，擅自离开施工现场的违约责任：</w:t>
      </w:r>
      <w:r>
        <w:rPr>
          <w:rFonts w:hint="eastAsia" w:hAnsi="宋体"/>
          <w:color w:val="auto"/>
          <w:szCs w:val="21"/>
          <w:highlight w:val="none"/>
          <w:u w:val="single"/>
        </w:rPr>
        <w:t>项目经理每月在岗带班时间不得少于当月施工时间的</w:t>
      </w:r>
      <w:r>
        <w:rPr>
          <w:rFonts w:hAnsi="宋体"/>
          <w:color w:val="auto"/>
          <w:szCs w:val="21"/>
          <w:highlight w:val="none"/>
          <w:u w:val="single"/>
        </w:rPr>
        <w:t>80%</w:t>
      </w:r>
      <w:r>
        <w:rPr>
          <w:rFonts w:hint="eastAsia" w:hAnsi="宋体"/>
          <w:color w:val="auto"/>
          <w:szCs w:val="21"/>
          <w:highlight w:val="none"/>
          <w:u w:val="single"/>
        </w:rPr>
        <w:t>。未经发包人同意或正当理由，项目经理每月在岗带班时间少于当月施工时间</w:t>
      </w:r>
      <w:r>
        <w:rPr>
          <w:rFonts w:hAnsi="宋体"/>
          <w:color w:val="auto"/>
          <w:szCs w:val="21"/>
          <w:highlight w:val="none"/>
          <w:u w:val="single"/>
        </w:rPr>
        <w:t>80%</w:t>
      </w:r>
      <w:r>
        <w:rPr>
          <w:rFonts w:hint="eastAsia" w:hAnsi="宋体"/>
          <w:color w:val="auto"/>
          <w:szCs w:val="21"/>
          <w:highlight w:val="none"/>
          <w:u w:val="single"/>
        </w:rPr>
        <w:t>的，少在岗带班一天，发包人有权处违约金</w:t>
      </w:r>
      <w:r>
        <w:rPr>
          <w:rFonts w:hint="eastAsia" w:ascii="宋体" w:hAnsi="宋体"/>
          <w:b/>
          <w:color w:val="auto"/>
          <w:szCs w:val="21"/>
          <w:highlight w:val="none"/>
          <w:u w:val="single"/>
          <w:lang w:val="en-US" w:eastAsia="zh-CN"/>
        </w:rPr>
        <w:t>0.2万</w:t>
      </w:r>
      <w:r>
        <w:rPr>
          <w:rFonts w:hint="eastAsia" w:hAnsi="宋体"/>
          <w:color w:val="auto"/>
          <w:szCs w:val="21"/>
          <w:highlight w:val="none"/>
          <w:u w:val="single"/>
        </w:rPr>
        <w:t>元</w:t>
      </w:r>
      <w:r>
        <w:rPr>
          <w:color w:val="auto"/>
          <w:szCs w:val="21"/>
          <w:highlight w:val="none"/>
          <w:u w:val="single"/>
        </w:rPr>
        <w:t>/</w:t>
      </w:r>
      <w:r>
        <w:rPr>
          <w:rFonts w:hint="eastAsia"/>
          <w:color w:val="auto"/>
          <w:szCs w:val="21"/>
          <w:highlight w:val="none"/>
          <w:u w:val="single"/>
        </w:rPr>
        <w:t>日（</w:t>
      </w:r>
      <w:r>
        <w:rPr>
          <w:rFonts w:hint="eastAsia" w:hAnsi="宋体"/>
          <w:color w:val="auto"/>
          <w:szCs w:val="21"/>
          <w:highlight w:val="none"/>
          <w:u w:val="single"/>
        </w:rPr>
        <w:t>人民币</w:t>
      </w:r>
      <w:r>
        <w:rPr>
          <w:rFonts w:hint="eastAsia"/>
          <w:color w:val="auto"/>
          <w:szCs w:val="21"/>
          <w:highlight w:val="none"/>
          <w:u w:val="single"/>
        </w:rPr>
        <w:t>）</w:t>
      </w:r>
      <w:r>
        <w:rPr>
          <w:rFonts w:hint="eastAsia" w:hAnsi="宋体"/>
          <w:color w:val="auto"/>
          <w:szCs w:val="21"/>
          <w:highlight w:val="none"/>
        </w:rPr>
        <w:t>。</w:t>
      </w:r>
    </w:p>
    <w:p w14:paraId="1A3D387A">
      <w:pPr>
        <w:pStyle w:val="35"/>
        <w:spacing w:line="360" w:lineRule="auto"/>
        <w:ind w:firstLine="420" w:firstLineChars="200"/>
        <w:rPr>
          <w:rFonts w:hAnsi="宋体"/>
          <w:color w:val="auto"/>
          <w:szCs w:val="21"/>
          <w:highlight w:val="none"/>
        </w:rPr>
      </w:pPr>
      <w:r>
        <w:rPr>
          <w:color w:val="auto"/>
          <w:szCs w:val="21"/>
          <w:highlight w:val="none"/>
        </w:rPr>
        <w:t xml:space="preserve">3.2.3 </w:t>
      </w:r>
      <w:r>
        <w:rPr>
          <w:rFonts w:hint="eastAsia" w:hAnsi="宋体"/>
          <w:color w:val="auto"/>
          <w:szCs w:val="21"/>
          <w:highlight w:val="none"/>
        </w:rPr>
        <w:t>承包人擅自更换项目经理的违约责任：</w:t>
      </w:r>
      <w:r>
        <w:rPr>
          <w:rFonts w:hint="eastAsia" w:hAnsi="宋体"/>
          <w:color w:val="auto"/>
          <w:szCs w:val="21"/>
          <w:highlight w:val="none"/>
          <w:u w:val="single"/>
        </w:rPr>
        <w:t>承包人项目经理必须与承包人投标时所承诺的人员一致，并在（开工日期）</w:t>
      </w:r>
      <w:r>
        <w:rPr>
          <w:rFonts w:hint="eastAsia" w:ascii="宋体" w:hAnsi="宋体"/>
          <w:b/>
          <w:color w:val="auto"/>
          <w:szCs w:val="21"/>
          <w:highlight w:val="none"/>
          <w:u w:val="single"/>
        </w:rPr>
        <w:t>7天</w:t>
      </w:r>
      <w:r>
        <w:rPr>
          <w:rFonts w:hint="eastAsia" w:hAnsi="宋体"/>
          <w:color w:val="auto"/>
          <w:szCs w:val="21"/>
          <w:highlight w:val="none"/>
          <w:u w:val="single"/>
        </w:rPr>
        <w:t>前到任。在监理人向承包人颁发</w:t>
      </w:r>
      <w:r>
        <w:rPr>
          <w:rFonts w:hint="eastAsia" w:ascii="宋体" w:hAnsi="宋体"/>
          <w:b/>
          <w:color w:val="auto"/>
          <w:szCs w:val="21"/>
          <w:highlight w:val="none"/>
          <w:u w:val="single"/>
        </w:rPr>
        <w:t>竣工验收意见书</w:t>
      </w:r>
      <w:r>
        <w:rPr>
          <w:rFonts w:hint="eastAsia" w:hAnsi="宋体"/>
          <w:color w:val="auto"/>
          <w:szCs w:val="21"/>
          <w:highlight w:val="none"/>
          <w:u w:val="single"/>
        </w:rPr>
        <w:t>（竣工证明材料名称）前，项目经理不得同时兼任其他任何项目的项目经理</w:t>
      </w:r>
      <w:r>
        <w:rPr>
          <w:rFonts w:hint="eastAsia" w:hAnsi="宋体"/>
          <w:color w:val="auto"/>
          <w:kern w:val="0"/>
          <w:szCs w:val="21"/>
          <w:highlight w:val="none"/>
          <w:u w:val="single"/>
        </w:rPr>
        <w:t>（符合桂建管</w:t>
      </w:r>
      <w:r>
        <w:rPr>
          <w:rFonts w:hint="eastAsia" w:hAnsi="宋体"/>
          <w:color w:val="auto"/>
          <w:szCs w:val="21"/>
          <w:highlight w:val="none"/>
          <w:u w:val="single"/>
        </w:rPr>
        <w:t>﹝</w:t>
      </w:r>
      <w:r>
        <w:rPr>
          <w:color w:val="auto"/>
          <w:szCs w:val="21"/>
          <w:highlight w:val="none"/>
          <w:u w:val="single"/>
        </w:rPr>
        <w:t>2013</w:t>
      </w:r>
      <w:r>
        <w:rPr>
          <w:rFonts w:hint="eastAsia" w:hAnsi="宋体"/>
          <w:color w:val="auto"/>
          <w:szCs w:val="21"/>
          <w:highlight w:val="none"/>
          <w:u w:val="single"/>
        </w:rPr>
        <w:t>﹞</w:t>
      </w:r>
      <w:r>
        <w:rPr>
          <w:color w:val="auto"/>
          <w:kern w:val="0"/>
          <w:szCs w:val="21"/>
          <w:highlight w:val="none"/>
          <w:u w:val="single"/>
        </w:rPr>
        <w:t>17</w:t>
      </w:r>
      <w:r>
        <w:rPr>
          <w:rFonts w:hint="eastAsia" w:hAnsi="宋体"/>
          <w:color w:val="auto"/>
          <w:kern w:val="0"/>
          <w:szCs w:val="21"/>
          <w:highlight w:val="none"/>
          <w:u w:val="single"/>
        </w:rPr>
        <w:t>号和</w:t>
      </w:r>
      <w:r>
        <w:rPr>
          <w:rFonts w:hint="eastAsia" w:hAnsi="宋体"/>
          <w:color w:val="auto"/>
          <w:szCs w:val="21"/>
          <w:highlight w:val="none"/>
          <w:u w:val="single"/>
        </w:rPr>
        <w:t>桂建管﹝</w:t>
      </w:r>
      <w:r>
        <w:rPr>
          <w:color w:val="auto"/>
          <w:szCs w:val="21"/>
          <w:highlight w:val="none"/>
          <w:u w:val="single"/>
        </w:rPr>
        <w:t>2014</w:t>
      </w:r>
      <w:r>
        <w:rPr>
          <w:rFonts w:hint="eastAsia" w:hAnsi="宋体"/>
          <w:color w:val="auto"/>
          <w:szCs w:val="21"/>
          <w:highlight w:val="none"/>
          <w:u w:val="single"/>
        </w:rPr>
        <w:t>﹞</w:t>
      </w:r>
      <w:r>
        <w:rPr>
          <w:color w:val="auto"/>
          <w:szCs w:val="21"/>
          <w:highlight w:val="none"/>
          <w:u w:val="single"/>
        </w:rPr>
        <w:t>25</w:t>
      </w:r>
      <w:r>
        <w:rPr>
          <w:rFonts w:hint="eastAsia" w:hAnsi="宋体"/>
          <w:color w:val="auto"/>
          <w:szCs w:val="21"/>
          <w:highlight w:val="none"/>
          <w:u w:val="single"/>
        </w:rPr>
        <w:t>号</w:t>
      </w:r>
      <w:r>
        <w:rPr>
          <w:rFonts w:hint="eastAsia" w:hAnsi="宋体"/>
          <w:color w:val="auto"/>
          <w:kern w:val="0"/>
          <w:szCs w:val="21"/>
          <w:highlight w:val="none"/>
          <w:u w:val="single"/>
        </w:rPr>
        <w:t>文除外）</w:t>
      </w:r>
      <w:r>
        <w:rPr>
          <w:rFonts w:hint="eastAsia" w:hAnsi="宋体"/>
          <w:color w:val="auto"/>
          <w:szCs w:val="21"/>
          <w:highlight w:val="none"/>
          <w:u w:val="single"/>
        </w:rPr>
        <w:t>。未经发包人书面同意，承包人擅自更换项目经理的视为违约，违约金处</w:t>
      </w:r>
      <w:r>
        <w:rPr>
          <w:rFonts w:hint="eastAsia" w:ascii="宋体" w:hAnsi="宋体"/>
          <w:b/>
          <w:color w:val="auto"/>
          <w:szCs w:val="21"/>
          <w:highlight w:val="none"/>
          <w:u w:val="single"/>
          <w:lang w:val="en-US" w:eastAsia="zh-CN"/>
        </w:rPr>
        <w:t>1</w:t>
      </w:r>
      <w:r>
        <w:rPr>
          <w:rFonts w:hint="eastAsia" w:ascii="宋体" w:hAnsi="宋体"/>
          <w:b/>
          <w:color w:val="auto"/>
          <w:szCs w:val="21"/>
          <w:highlight w:val="none"/>
          <w:u w:val="single"/>
        </w:rPr>
        <w:t>.0万</w:t>
      </w:r>
      <w:r>
        <w:rPr>
          <w:rFonts w:hint="eastAsia" w:hAnsi="宋体"/>
          <w:color w:val="auto"/>
          <w:szCs w:val="21"/>
          <w:highlight w:val="none"/>
          <w:u w:val="single"/>
        </w:rPr>
        <w:t>元</w:t>
      </w:r>
      <w:r>
        <w:rPr>
          <w:color w:val="auto"/>
          <w:szCs w:val="21"/>
          <w:highlight w:val="none"/>
          <w:u w:val="single"/>
        </w:rPr>
        <w:t>/</w:t>
      </w:r>
      <w:r>
        <w:rPr>
          <w:rFonts w:hint="eastAsia" w:hAnsi="宋体"/>
          <w:color w:val="auto"/>
          <w:szCs w:val="21"/>
          <w:highlight w:val="none"/>
          <w:u w:val="single"/>
        </w:rPr>
        <w:t>人</w:t>
      </w:r>
      <w:r>
        <w:rPr>
          <w:color w:val="auto"/>
          <w:szCs w:val="21"/>
          <w:highlight w:val="none"/>
          <w:u w:val="single"/>
        </w:rPr>
        <w:t>•</w:t>
      </w:r>
      <w:r>
        <w:rPr>
          <w:rFonts w:hint="eastAsia" w:hAnsi="宋体"/>
          <w:color w:val="auto"/>
          <w:szCs w:val="21"/>
          <w:highlight w:val="none"/>
          <w:u w:val="single"/>
        </w:rPr>
        <w:t>次</w:t>
      </w:r>
      <w:r>
        <w:rPr>
          <w:rFonts w:hint="eastAsia"/>
          <w:color w:val="auto"/>
          <w:szCs w:val="21"/>
          <w:highlight w:val="none"/>
          <w:u w:val="single"/>
        </w:rPr>
        <w:t>（</w:t>
      </w:r>
      <w:r>
        <w:rPr>
          <w:rFonts w:hint="eastAsia" w:hAnsi="宋体"/>
          <w:color w:val="auto"/>
          <w:szCs w:val="21"/>
          <w:highlight w:val="none"/>
          <w:u w:val="single"/>
        </w:rPr>
        <w:t>人民币</w:t>
      </w:r>
      <w:r>
        <w:rPr>
          <w:rFonts w:hint="eastAsia"/>
          <w:color w:val="auto"/>
          <w:szCs w:val="21"/>
          <w:highlight w:val="none"/>
          <w:u w:val="single"/>
        </w:rPr>
        <w:t>）</w:t>
      </w:r>
      <w:r>
        <w:rPr>
          <w:rFonts w:hint="eastAsia" w:hAnsi="宋体"/>
          <w:color w:val="auto"/>
          <w:szCs w:val="21"/>
          <w:highlight w:val="none"/>
        </w:rPr>
        <w:t>。</w:t>
      </w:r>
    </w:p>
    <w:p w14:paraId="37480264">
      <w:pPr>
        <w:pStyle w:val="24"/>
        <w:rPr>
          <w:rFonts w:hAnsi="宋体"/>
          <w:color w:val="auto"/>
          <w:szCs w:val="21"/>
          <w:highlight w:val="none"/>
        </w:rPr>
      </w:pPr>
      <w:r>
        <w:rPr>
          <w:color w:val="auto"/>
          <w:szCs w:val="21"/>
          <w:highlight w:val="none"/>
        </w:rPr>
        <w:t xml:space="preserve">    3.2.4 </w:t>
      </w:r>
      <w:r>
        <w:rPr>
          <w:rFonts w:hint="eastAsia" w:hAnsi="宋体"/>
          <w:color w:val="auto"/>
          <w:szCs w:val="21"/>
          <w:highlight w:val="none"/>
        </w:rPr>
        <w:t>承包人无正当理由拒绝更换项目经理的违约责任：</w:t>
      </w:r>
      <w:r>
        <w:rPr>
          <w:rFonts w:hint="eastAsia" w:hAnsi="宋体"/>
          <w:color w:val="auto"/>
          <w:szCs w:val="21"/>
          <w:highlight w:val="none"/>
          <w:u w:val="single"/>
        </w:rPr>
        <w:t>因承包人项目经理不称职，发包人要求调换而未及时调换的，视为承包人违约，必须向发包人交纳</w:t>
      </w:r>
      <w:r>
        <w:rPr>
          <w:rFonts w:hint="eastAsia" w:ascii="宋体" w:hAnsi="宋体" w:eastAsia="宋体"/>
          <w:color w:val="auto"/>
          <w:szCs w:val="21"/>
          <w:highlight w:val="none"/>
          <w:u w:val="single"/>
        </w:rPr>
        <w:t>违约金</w:t>
      </w:r>
      <w:r>
        <w:rPr>
          <w:rFonts w:hint="eastAsia" w:ascii="宋体" w:hAnsi="宋体"/>
          <w:b/>
          <w:color w:val="auto"/>
          <w:szCs w:val="21"/>
          <w:highlight w:val="none"/>
          <w:u w:val="single"/>
          <w:lang w:val="en-US" w:eastAsia="zh-CN"/>
        </w:rPr>
        <w:t>1</w:t>
      </w:r>
      <w:r>
        <w:rPr>
          <w:rFonts w:hint="eastAsia" w:ascii="宋体" w:hAnsi="宋体"/>
          <w:b/>
          <w:color w:val="auto"/>
          <w:szCs w:val="21"/>
          <w:highlight w:val="none"/>
          <w:u w:val="single"/>
        </w:rPr>
        <w:t>.0万</w:t>
      </w:r>
      <w:r>
        <w:rPr>
          <w:rFonts w:hint="eastAsia" w:hAnsi="宋体"/>
          <w:color w:val="auto"/>
          <w:szCs w:val="21"/>
          <w:highlight w:val="none"/>
          <w:u w:val="single"/>
        </w:rPr>
        <w:t>元</w:t>
      </w:r>
      <w:r>
        <w:rPr>
          <w:color w:val="auto"/>
          <w:szCs w:val="21"/>
          <w:highlight w:val="none"/>
          <w:u w:val="single"/>
        </w:rPr>
        <w:t>/</w:t>
      </w:r>
      <w:r>
        <w:rPr>
          <w:rFonts w:hint="eastAsia" w:hAnsi="宋体"/>
          <w:color w:val="auto"/>
          <w:szCs w:val="21"/>
          <w:highlight w:val="none"/>
          <w:u w:val="single"/>
        </w:rPr>
        <w:t>人</w:t>
      </w:r>
      <w:r>
        <w:rPr>
          <w:color w:val="auto"/>
          <w:szCs w:val="21"/>
          <w:highlight w:val="none"/>
          <w:u w:val="single"/>
        </w:rPr>
        <w:t>•</w:t>
      </w:r>
      <w:r>
        <w:rPr>
          <w:rFonts w:hint="eastAsia" w:hAnsi="宋体"/>
          <w:color w:val="auto"/>
          <w:szCs w:val="21"/>
          <w:highlight w:val="none"/>
          <w:u w:val="single"/>
        </w:rPr>
        <w:t>次</w:t>
      </w:r>
      <w:r>
        <w:rPr>
          <w:rFonts w:hint="eastAsia"/>
          <w:color w:val="auto"/>
          <w:szCs w:val="21"/>
          <w:highlight w:val="none"/>
          <w:u w:val="single"/>
        </w:rPr>
        <w:t>（</w:t>
      </w:r>
      <w:r>
        <w:rPr>
          <w:rFonts w:hint="eastAsia" w:hAnsi="宋体"/>
          <w:color w:val="auto"/>
          <w:szCs w:val="21"/>
          <w:highlight w:val="none"/>
          <w:u w:val="single"/>
        </w:rPr>
        <w:t>人民币</w:t>
      </w:r>
      <w:r>
        <w:rPr>
          <w:rFonts w:hint="eastAsia"/>
          <w:color w:val="auto"/>
          <w:szCs w:val="21"/>
          <w:highlight w:val="none"/>
          <w:u w:val="single"/>
        </w:rPr>
        <w:t>）</w:t>
      </w:r>
      <w:r>
        <w:rPr>
          <w:rFonts w:hint="eastAsia" w:hAnsi="宋体"/>
          <w:color w:val="auto"/>
          <w:szCs w:val="21"/>
          <w:highlight w:val="none"/>
        </w:rPr>
        <w:t>。</w:t>
      </w:r>
    </w:p>
    <w:p w14:paraId="3BBE2FF0">
      <w:pPr>
        <w:pStyle w:val="33"/>
        <w:rPr>
          <w:color w:val="auto"/>
          <w:highlight w:val="none"/>
        </w:rPr>
      </w:pPr>
      <w:bookmarkStart w:id="316" w:name="_Toc373227709"/>
      <w:bookmarkStart w:id="317" w:name="_Toc467599570"/>
      <w:bookmarkStart w:id="318" w:name="_Toc373478356"/>
      <w:bookmarkStart w:id="319" w:name="_Toc389065275"/>
      <w:r>
        <w:rPr>
          <w:color w:val="auto"/>
          <w:highlight w:val="none"/>
        </w:rPr>
        <w:t xml:space="preserve">3.3 </w:t>
      </w:r>
      <w:r>
        <w:rPr>
          <w:rFonts w:hint="eastAsia" w:hAnsi="宋体"/>
          <w:color w:val="auto"/>
          <w:highlight w:val="none"/>
        </w:rPr>
        <w:t>承包人人员</w:t>
      </w:r>
      <w:bookmarkEnd w:id="316"/>
      <w:bookmarkEnd w:id="317"/>
      <w:bookmarkEnd w:id="318"/>
      <w:bookmarkEnd w:id="319"/>
    </w:p>
    <w:p w14:paraId="6CEE933D">
      <w:pPr>
        <w:pStyle w:val="35"/>
        <w:spacing w:line="360" w:lineRule="auto"/>
        <w:ind w:firstLine="420" w:firstLineChars="200"/>
        <w:rPr>
          <w:rFonts w:hAnsi="宋体"/>
          <w:color w:val="auto"/>
          <w:szCs w:val="21"/>
          <w:highlight w:val="none"/>
        </w:rPr>
      </w:pPr>
      <w:r>
        <w:rPr>
          <w:color w:val="auto"/>
          <w:szCs w:val="21"/>
          <w:highlight w:val="none"/>
        </w:rPr>
        <w:t xml:space="preserve">3.3.1 </w:t>
      </w:r>
      <w:r>
        <w:rPr>
          <w:rFonts w:hint="eastAsia" w:hAnsi="宋体"/>
          <w:color w:val="auto"/>
          <w:szCs w:val="21"/>
          <w:highlight w:val="none"/>
        </w:rPr>
        <w:t>承包人提交项目管理机构及施工现场管理人员安排报告的期限：</w:t>
      </w:r>
      <w:r>
        <w:rPr>
          <w:rFonts w:hint="eastAsia" w:ascii="宋体" w:hAnsi="宋体"/>
          <w:color w:val="auto"/>
          <w:szCs w:val="21"/>
          <w:highlight w:val="none"/>
          <w:u w:val="single"/>
        </w:rPr>
        <w:t>工程开工前7天内</w:t>
      </w:r>
      <w:r>
        <w:rPr>
          <w:rFonts w:hint="eastAsia" w:hAnsi="宋体"/>
          <w:color w:val="auto"/>
          <w:szCs w:val="21"/>
          <w:highlight w:val="none"/>
        </w:rPr>
        <w:t>。</w:t>
      </w:r>
    </w:p>
    <w:p w14:paraId="1B4AB021">
      <w:pPr>
        <w:pStyle w:val="35"/>
        <w:spacing w:line="360" w:lineRule="auto"/>
        <w:ind w:firstLine="420" w:firstLineChars="200"/>
        <w:rPr>
          <w:color w:val="auto"/>
          <w:szCs w:val="21"/>
          <w:highlight w:val="none"/>
        </w:rPr>
      </w:pPr>
      <w:r>
        <w:rPr>
          <w:color w:val="auto"/>
          <w:szCs w:val="21"/>
          <w:highlight w:val="none"/>
        </w:rPr>
        <w:t xml:space="preserve">3.3.3 </w:t>
      </w:r>
      <w:r>
        <w:rPr>
          <w:rFonts w:hint="eastAsia" w:hAnsi="宋体"/>
          <w:color w:val="auto"/>
          <w:szCs w:val="21"/>
          <w:highlight w:val="none"/>
        </w:rPr>
        <w:t>承包人无正当理由拒绝撤换主要施工管理人员的违约责任：</w:t>
      </w:r>
      <w:r>
        <w:rPr>
          <w:rFonts w:hint="eastAsia" w:hAnsi="宋体"/>
          <w:color w:val="auto"/>
          <w:szCs w:val="21"/>
          <w:highlight w:val="none"/>
          <w:u w:val="single"/>
        </w:rPr>
        <w:t>因承包人主要施工管理人员不称职，发包人要求调换而无正当理由拒绝撤换或未及时调换的，视为承包人违约，必须向发包人交纳</w:t>
      </w:r>
      <w:r>
        <w:rPr>
          <w:rFonts w:hint="eastAsia" w:ascii="宋体" w:hAnsi="宋体" w:eastAsia="宋体"/>
          <w:color w:val="auto"/>
          <w:szCs w:val="21"/>
          <w:highlight w:val="none"/>
          <w:u w:val="single"/>
        </w:rPr>
        <w:t>违约金</w:t>
      </w:r>
      <w:r>
        <w:rPr>
          <w:rFonts w:hint="eastAsia" w:hAnsi="宋体"/>
          <w:color w:val="auto"/>
          <w:szCs w:val="21"/>
          <w:highlight w:val="none"/>
          <w:u w:val="single"/>
        </w:rPr>
        <w:t>：技术负责人</w:t>
      </w:r>
      <w:r>
        <w:rPr>
          <w:rFonts w:hint="eastAsia" w:ascii="宋体" w:hAnsi="宋体"/>
          <w:b/>
          <w:color w:val="auto"/>
          <w:szCs w:val="21"/>
          <w:highlight w:val="none"/>
          <w:u w:val="single"/>
          <w:lang w:val="en-US" w:eastAsia="zh-CN"/>
        </w:rPr>
        <w:t>0</w:t>
      </w:r>
      <w:r>
        <w:rPr>
          <w:rFonts w:hint="eastAsia" w:ascii="宋体" w:hAnsi="宋体"/>
          <w:b/>
          <w:color w:val="auto"/>
          <w:szCs w:val="21"/>
          <w:highlight w:val="none"/>
          <w:u w:val="single"/>
        </w:rPr>
        <w:t>.5万</w:t>
      </w:r>
      <w:r>
        <w:rPr>
          <w:rFonts w:hint="eastAsia" w:hAnsi="宋体"/>
          <w:color w:val="auto"/>
          <w:szCs w:val="21"/>
          <w:highlight w:val="none"/>
          <w:u w:val="single"/>
        </w:rPr>
        <w:t>元</w:t>
      </w:r>
      <w:r>
        <w:rPr>
          <w:color w:val="auto"/>
          <w:szCs w:val="21"/>
          <w:highlight w:val="none"/>
          <w:u w:val="single"/>
        </w:rPr>
        <w:t>/</w:t>
      </w:r>
      <w:r>
        <w:rPr>
          <w:rFonts w:hint="eastAsia" w:hAnsi="宋体"/>
          <w:color w:val="auto"/>
          <w:szCs w:val="21"/>
          <w:highlight w:val="none"/>
          <w:u w:val="single"/>
        </w:rPr>
        <w:t>人</w:t>
      </w:r>
      <w:r>
        <w:rPr>
          <w:color w:val="auto"/>
          <w:szCs w:val="21"/>
          <w:highlight w:val="none"/>
          <w:u w:val="single"/>
        </w:rPr>
        <w:t>•</w:t>
      </w:r>
      <w:r>
        <w:rPr>
          <w:rFonts w:hint="eastAsia" w:hAnsi="宋体"/>
          <w:color w:val="auto"/>
          <w:szCs w:val="21"/>
          <w:highlight w:val="none"/>
          <w:u w:val="single"/>
        </w:rPr>
        <w:t>次</w:t>
      </w:r>
      <w:r>
        <w:rPr>
          <w:rFonts w:hint="eastAsia"/>
          <w:color w:val="auto"/>
          <w:szCs w:val="21"/>
          <w:highlight w:val="none"/>
          <w:u w:val="single"/>
        </w:rPr>
        <w:t>（</w:t>
      </w:r>
      <w:r>
        <w:rPr>
          <w:rFonts w:hint="eastAsia" w:hAnsi="宋体"/>
          <w:color w:val="auto"/>
          <w:szCs w:val="21"/>
          <w:highlight w:val="none"/>
          <w:u w:val="single"/>
        </w:rPr>
        <w:t>人民币</w:t>
      </w:r>
      <w:r>
        <w:rPr>
          <w:rFonts w:hint="eastAsia"/>
          <w:color w:val="auto"/>
          <w:szCs w:val="21"/>
          <w:highlight w:val="none"/>
          <w:u w:val="single"/>
        </w:rPr>
        <w:t>）</w:t>
      </w:r>
      <w:r>
        <w:rPr>
          <w:rFonts w:hint="eastAsia" w:hAnsi="宋体"/>
          <w:color w:val="auto"/>
          <w:szCs w:val="21"/>
          <w:highlight w:val="none"/>
          <w:u w:val="single"/>
        </w:rPr>
        <w:t>；专业工程师</w:t>
      </w:r>
      <w:r>
        <w:rPr>
          <w:rFonts w:hint="eastAsia" w:ascii="宋体" w:hAnsi="宋体"/>
          <w:b/>
          <w:color w:val="auto"/>
          <w:szCs w:val="21"/>
          <w:highlight w:val="none"/>
          <w:u w:val="single"/>
          <w:lang w:val="en-US" w:eastAsia="zh-CN"/>
        </w:rPr>
        <w:t>0.2</w:t>
      </w:r>
      <w:r>
        <w:rPr>
          <w:rFonts w:hint="eastAsia" w:ascii="宋体" w:hAnsi="宋体"/>
          <w:b/>
          <w:color w:val="auto"/>
          <w:szCs w:val="21"/>
          <w:highlight w:val="none"/>
          <w:u w:val="single"/>
        </w:rPr>
        <w:t>万</w:t>
      </w:r>
      <w:r>
        <w:rPr>
          <w:rFonts w:hint="eastAsia" w:hAnsi="宋体"/>
          <w:color w:val="auto"/>
          <w:szCs w:val="21"/>
          <w:highlight w:val="none"/>
          <w:u w:val="single"/>
        </w:rPr>
        <w:t>元</w:t>
      </w:r>
      <w:r>
        <w:rPr>
          <w:color w:val="auto"/>
          <w:szCs w:val="21"/>
          <w:highlight w:val="none"/>
          <w:u w:val="single"/>
        </w:rPr>
        <w:t>/</w:t>
      </w:r>
      <w:r>
        <w:rPr>
          <w:rFonts w:hint="eastAsia" w:hAnsi="宋体"/>
          <w:color w:val="auto"/>
          <w:szCs w:val="21"/>
          <w:highlight w:val="none"/>
          <w:u w:val="single"/>
        </w:rPr>
        <w:t>人</w:t>
      </w:r>
      <w:r>
        <w:rPr>
          <w:color w:val="auto"/>
          <w:szCs w:val="21"/>
          <w:highlight w:val="none"/>
          <w:u w:val="single"/>
        </w:rPr>
        <w:t>•</w:t>
      </w:r>
      <w:r>
        <w:rPr>
          <w:rFonts w:hint="eastAsia" w:hAnsi="宋体"/>
          <w:color w:val="auto"/>
          <w:szCs w:val="21"/>
          <w:highlight w:val="none"/>
          <w:u w:val="single"/>
        </w:rPr>
        <w:t>次</w:t>
      </w:r>
      <w:r>
        <w:rPr>
          <w:rFonts w:hint="eastAsia"/>
          <w:color w:val="auto"/>
          <w:szCs w:val="21"/>
          <w:highlight w:val="none"/>
          <w:u w:val="single"/>
        </w:rPr>
        <w:t>（</w:t>
      </w:r>
      <w:r>
        <w:rPr>
          <w:rFonts w:hint="eastAsia" w:hAnsi="宋体"/>
          <w:color w:val="auto"/>
          <w:szCs w:val="21"/>
          <w:highlight w:val="none"/>
          <w:u w:val="single"/>
        </w:rPr>
        <w:t>人民币</w:t>
      </w:r>
      <w:r>
        <w:rPr>
          <w:rFonts w:hint="eastAsia"/>
          <w:color w:val="auto"/>
          <w:szCs w:val="21"/>
          <w:highlight w:val="none"/>
          <w:u w:val="single"/>
        </w:rPr>
        <w:t>）</w:t>
      </w:r>
      <w:r>
        <w:rPr>
          <w:rFonts w:hint="eastAsia" w:hAnsi="宋体"/>
          <w:color w:val="auto"/>
          <w:szCs w:val="21"/>
          <w:highlight w:val="none"/>
        </w:rPr>
        <w:t>。</w:t>
      </w:r>
    </w:p>
    <w:p w14:paraId="51E6F3D4">
      <w:pPr>
        <w:pStyle w:val="35"/>
        <w:spacing w:line="360" w:lineRule="auto"/>
        <w:ind w:firstLine="420" w:firstLineChars="200"/>
        <w:rPr>
          <w:color w:val="auto"/>
          <w:szCs w:val="21"/>
          <w:highlight w:val="none"/>
          <w:u w:val="single"/>
        </w:rPr>
      </w:pPr>
      <w:r>
        <w:rPr>
          <w:color w:val="auto"/>
          <w:szCs w:val="21"/>
          <w:highlight w:val="none"/>
        </w:rPr>
        <w:t xml:space="preserve">3.3.4 </w:t>
      </w:r>
      <w:r>
        <w:rPr>
          <w:rFonts w:hint="eastAsia" w:hAnsi="宋体"/>
          <w:color w:val="auto"/>
          <w:szCs w:val="21"/>
          <w:highlight w:val="none"/>
        </w:rPr>
        <w:t>承包人主要施工管理人员离开施工现场的批准要求：</w:t>
      </w:r>
      <w:r>
        <w:rPr>
          <w:rFonts w:hint="eastAsia" w:ascii="宋体" w:hAnsi="宋体"/>
          <w:color w:val="auto"/>
          <w:szCs w:val="21"/>
          <w:highlight w:val="none"/>
          <w:u w:val="single"/>
        </w:rPr>
        <w:t>按通用条款第3.3.4条执行</w:t>
      </w:r>
      <w:r>
        <w:rPr>
          <w:rFonts w:hint="eastAsia" w:ascii="宋体" w:hAnsi="宋体"/>
          <w:color w:val="auto"/>
          <w:szCs w:val="21"/>
          <w:highlight w:val="none"/>
        </w:rPr>
        <w:t>。</w:t>
      </w:r>
    </w:p>
    <w:p w14:paraId="139780D3">
      <w:pPr>
        <w:pStyle w:val="35"/>
        <w:spacing w:line="360" w:lineRule="auto"/>
        <w:ind w:firstLine="420" w:firstLineChars="200"/>
        <w:rPr>
          <w:color w:val="auto"/>
          <w:szCs w:val="21"/>
          <w:highlight w:val="none"/>
        </w:rPr>
      </w:pPr>
      <w:r>
        <w:rPr>
          <w:color w:val="auto"/>
          <w:szCs w:val="21"/>
          <w:highlight w:val="none"/>
        </w:rPr>
        <w:t xml:space="preserve">3.3.5 </w:t>
      </w:r>
      <w:r>
        <w:rPr>
          <w:rFonts w:hint="eastAsia" w:hAnsi="宋体"/>
          <w:color w:val="auto"/>
          <w:szCs w:val="21"/>
          <w:highlight w:val="none"/>
        </w:rPr>
        <w:t>承包人擅自更换主要施工管理人员的违约责任：</w:t>
      </w:r>
      <w:r>
        <w:rPr>
          <w:rFonts w:hint="eastAsia" w:hAnsi="宋体"/>
          <w:color w:val="auto"/>
          <w:szCs w:val="21"/>
          <w:highlight w:val="none"/>
          <w:u w:val="single"/>
        </w:rPr>
        <w:t>技术负责人、专业工程师未经发包人书面同意不准擅自更换，擅自更换项目技术负责人处</w:t>
      </w:r>
      <w:r>
        <w:rPr>
          <w:rFonts w:hint="eastAsia"/>
          <w:color w:val="auto"/>
          <w:szCs w:val="21"/>
          <w:highlight w:val="none"/>
          <w:u w:val="single"/>
          <w:lang w:val="en-US" w:eastAsia="zh-CN"/>
        </w:rPr>
        <w:t>1</w:t>
      </w:r>
      <w:r>
        <w:rPr>
          <w:color w:val="auto"/>
          <w:szCs w:val="21"/>
          <w:highlight w:val="none"/>
          <w:u w:val="single"/>
        </w:rPr>
        <w:t>.0</w:t>
      </w:r>
      <w:r>
        <w:rPr>
          <w:rFonts w:hint="eastAsia" w:ascii="宋体" w:hAnsi="宋体"/>
          <w:b/>
          <w:color w:val="auto"/>
          <w:szCs w:val="21"/>
          <w:highlight w:val="none"/>
          <w:u w:val="single"/>
        </w:rPr>
        <w:t>万</w:t>
      </w:r>
      <w:r>
        <w:rPr>
          <w:rFonts w:hint="eastAsia" w:hAnsi="宋体"/>
          <w:color w:val="auto"/>
          <w:szCs w:val="21"/>
          <w:highlight w:val="none"/>
          <w:u w:val="single"/>
        </w:rPr>
        <w:t>元</w:t>
      </w:r>
      <w:r>
        <w:rPr>
          <w:color w:val="auto"/>
          <w:szCs w:val="21"/>
          <w:highlight w:val="none"/>
          <w:u w:val="single"/>
        </w:rPr>
        <w:t>/</w:t>
      </w:r>
      <w:r>
        <w:rPr>
          <w:rFonts w:hint="eastAsia" w:hAnsi="宋体"/>
          <w:color w:val="auto"/>
          <w:szCs w:val="21"/>
          <w:highlight w:val="none"/>
          <w:u w:val="single"/>
        </w:rPr>
        <w:t>人</w:t>
      </w:r>
      <w:r>
        <w:rPr>
          <w:color w:val="auto"/>
          <w:szCs w:val="21"/>
          <w:highlight w:val="none"/>
          <w:u w:val="single"/>
        </w:rPr>
        <w:t>•</w:t>
      </w:r>
      <w:r>
        <w:rPr>
          <w:rFonts w:hint="eastAsia" w:hAnsi="宋体"/>
          <w:color w:val="auto"/>
          <w:szCs w:val="21"/>
          <w:highlight w:val="none"/>
          <w:u w:val="single"/>
        </w:rPr>
        <w:t>次</w:t>
      </w:r>
      <w:r>
        <w:rPr>
          <w:rFonts w:hint="eastAsia"/>
          <w:color w:val="auto"/>
          <w:szCs w:val="21"/>
          <w:highlight w:val="none"/>
          <w:u w:val="single"/>
        </w:rPr>
        <w:t>（</w:t>
      </w:r>
      <w:r>
        <w:rPr>
          <w:rFonts w:hint="eastAsia" w:hAnsi="宋体"/>
          <w:color w:val="auto"/>
          <w:szCs w:val="21"/>
          <w:highlight w:val="none"/>
          <w:u w:val="single"/>
        </w:rPr>
        <w:t>人民币</w:t>
      </w:r>
      <w:r>
        <w:rPr>
          <w:rFonts w:hint="eastAsia"/>
          <w:color w:val="auto"/>
          <w:szCs w:val="21"/>
          <w:highlight w:val="none"/>
          <w:u w:val="single"/>
        </w:rPr>
        <w:t>）</w:t>
      </w:r>
      <w:r>
        <w:rPr>
          <w:rFonts w:hint="eastAsia" w:hAnsi="宋体"/>
          <w:color w:val="auto"/>
          <w:szCs w:val="21"/>
          <w:highlight w:val="none"/>
          <w:u w:val="single"/>
        </w:rPr>
        <w:t>违约金；擅自更换专业工程师处</w:t>
      </w:r>
      <w:r>
        <w:rPr>
          <w:rFonts w:hint="eastAsia" w:ascii="宋体" w:hAnsi="宋体"/>
          <w:b/>
          <w:color w:val="auto"/>
          <w:szCs w:val="21"/>
          <w:highlight w:val="none"/>
          <w:u w:val="single"/>
          <w:lang w:val="en-US" w:eastAsia="zh-CN"/>
        </w:rPr>
        <w:t>0</w:t>
      </w:r>
      <w:r>
        <w:rPr>
          <w:rFonts w:hint="eastAsia" w:ascii="宋体" w:hAnsi="宋体"/>
          <w:b/>
          <w:color w:val="auto"/>
          <w:szCs w:val="21"/>
          <w:highlight w:val="none"/>
          <w:u w:val="single"/>
        </w:rPr>
        <w:t>.5万</w:t>
      </w:r>
      <w:r>
        <w:rPr>
          <w:rFonts w:hint="eastAsia" w:hAnsi="宋体"/>
          <w:color w:val="auto"/>
          <w:szCs w:val="21"/>
          <w:highlight w:val="none"/>
          <w:u w:val="single"/>
        </w:rPr>
        <w:t>元</w:t>
      </w:r>
      <w:r>
        <w:rPr>
          <w:color w:val="auto"/>
          <w:szCs w:val="21"/>
          <w:highlight w:val="none"/>
          <w:u w:val="single"/>
        </w:rPr>
        <w:t>/</w:t>
      </w:r>
      <w:r>
        <w:rPr>
          <w:rFonts w:hint="eastAsia" w:hAnsi="宋体"/>
          <w:color w:val="auto"/>
          <w:szCs w:val="21"/>
          <w:highlight w:val="none"/>
          <w:u w:val="single"/>
        </w:rPr>
        <w:t>人</w:t>
      </w:r>
      <w:r>
        <w:rPr>
          <w:color w:val="auto"/>
          <w:szCs w:val="21"/>
          <w:highlight w:val="none"/>
          <w:u w:val="single"/>
        </w:rPr>
        <w:t>•</w:t>
      </w:r>
      <w:r>
        <w:rPr>
          <w:rFonts w:hint="eastAsia" w:hAnsi="宋体"/>
          <w:color w:val="auto"/>
          <w:szCs w:val="21"/>
          <w:highlight w:val="none"/>
          <w:u w:val="single"/>
        </w:rPr>
        <w:t>次</w:t>
      </w:r>
      <w:r>
        <w:rPr>
          <w:rFonts w:hint="eastAsia"/>
          <w:color w:val="auto"/>
          <w:szCs w:val="21"/>
          <w:highlight w:val="none"/>
          <w:u w:val="single"/>
        </w:rPr>
        <w:t>（</w:t>
      </w:r>
      <w:r>
        <w:rPr>
          <w:rFonts w:hint="eastAsia" w:hAnsi="宋体"/>
          <w:color w:val="auto"/>
          <w:szCs w:val="21"/>
          <w:highlight w:val="none"/>
          <w:u w:val="single"/>
        </w:rPr>
        <w:t>人民币</w:t>
      </w:r>
      <w:r>
        <w:rPr>
          <w:rFonts w:hint="eastAsia"/>
          <w:color w:val="auto"/>
          <w:szCs w:val="21"/>
          <w:highlight w:val="none"/>
          <w:u w:val="single"/>
        </w:rPr>
        <w:t>）</w:t>
      </w:r>
      <w:r>
        <w:rPr>
          <w:rFonts w:hint="eastAsia" w:hAnsi="宋体"/>
          <w:color w:val="auto"/>
          <w:szCs w:val="21"/>
          <w:highlight w:val="none"/>
          <w:u w:val="single"/>
        </w:rPr>
        <w:t>违约金</w:t>
      </w:r>
      <w:r>
        <w:rPr>
          <w:rFonts w:hint="eastAsia" w:hAnsi="宋体"/>
          <w:color w:val="auto"/>
          <w:szCs w:val="21"/>
          <w:highlight w:val="none"/>
        </w:rPr>
        <w:t>。</w:t>
      </w:r>
    </w:p>
    <w:p w14:paraId="69EEDF5E">
      <w:pPr>
        <w:pStyle w:val="35"/>
        <w:spacing w:line="360" w:lineRule="auto"/>
        <w:ind w:firstLine="420" w:firstLineChars="200"/>
        <w:rPr>
          <w:rFonts w:hAnsi="宋体"/>
          <w:color w:val="auto"/>
          <w:szCs w:val="21"/>
          <w:highlight w:val="none"/>
        </w:rPr>
      </w:pPr>
      <w:r>
        <w:rPr>
          <w:rFonts w:hint="eastAsia" w:hAnsi="宋体"/>
          <w:color w:val="auto"/>
          <w:szCs w:val="21"/>
          <w:highlight w:val="none"/>
        </w:rPr>
        <w:t>承包人主要施工管理人员擅自离开施工现场的违约责任：</w:t>
      </w:r>
      <w:r>
        <w:rPr>
          <w:rFonts w:hint="eastAsia" w:hAnsi="宋体"/>
          <w:color w:val="auto"/>
          <w:szCs w:val="21"/>
          <w:highlight w:val="none"/>
          <w:u w:val="single"/>
        </w:rPr>
        <w:t>未经发包人同意，技术负责人擅自离岗的，视为承包人违约，发包人有权处违约金</w:t>
      </w:r>
      <w:r>
        <w:rPr>
          <w:rFonts w:hint="eastAsia" w:ascii="宋体" w:hAnsi="宋体"/>
          <w:b/>
          <w:color w:val="auto"/>
          <w:szCs w:val="21"/>
          <w:highlight w:val="none"/>
          <w:u w:val="single"/>
        </w:rPr>
        <w:t>1.</w:t>
      </w:r>
      <w:r>
        <w:rPr>
          <w:rFonts w:hint="eastAsia" w:ascii="宋体" w:hAnsi="宋体"/>
          <w:b/>
          <w:color w:val="auto"/>
          <w:szCs w:val="21"/>
          <w:highlight w:val="none"/>
          <w:u w:val="single"/>
          <w:lang w:val="en-US" w:eastAsia="zh-CN"/>
        </w:rPr>
        <w:t>0</w:t>
      </w:r>
      <w:r>
        <w:rPr>
          <w:rFonts w:hint="eastAsia" w:ascii="宋体" w:hAnsi="宋体"/>
          <w:b/>
          <w:color w:val="auto"/>
          <w:szCs w:val="21"/>
          <w:highlight w:val="none"/>
          <w:u w:val="single"/>
        </w:rPr>
        <w:t>万</w:t>
      </w:r>
      <w:r>
        <w:rPr>
          <w:rFonts w:hint="eastAsia" w:hAnsi="宋体"/>
          <w:color w:val="auto"/>
          <w:szCs w:val="21"/>
          <w:highlight w:val="none"/>
          <w:u w:val="single"/>
        </w:rPr>
        <w:t>元</w:t>
      </w:r>
      <w:r>
        <w:rPr>
          <w:color w:val="auto"/>
          <w:szCs w:val="21"/>
          <w:highlight w:val="none"/>
          <w:u w:val="single"/>
        </w:rPr>
        <w:t>/</w:t>
      </w:r>
      <w:r>
        <w:rPr>
          <w:rFonts w:hint="eastAsia" w:hAnsi="宋体"/>
          <w:color w:val="auto"/>
          <w:szCs w:val="21"/>
          <w:highlight w:val="none"/>
          <w:u w:val="single"/>
        </w:rPr>
        <w:t>人</w:t>
      </w:r>
      <w:r>
        <w:rPr>
          <w:color w:val="auto"/>
          <w:szCs w:val="21"/>
          <w:highlight w:val="none"/>
          <w:u w:val="single"/>
        </w:rPr>
        <w:t>•</w:t>
      </w:r>
      <w:r>
        <w:rPr>
          <w:rFonts w:hint="eastAsia" w:hAnsi="宋体"/>
          <w:color w:val="auto"/>
          <w:szCs w:val="21"/>
          <w:highlight w:val="none"/>
          <w:u w:val="single"/>
        </w:rPr>
        <w:t>次</w:t>
      </w:r>
      <w:r>
        <w:rPr>
          <w:rFonts w:hint="eastAsia"/>
          <w:color w:val="auto"/>
          <w:szCs w:val="21"/>
          <w:highlight w:val="none"/>
          <w:u w:val="single"/>
        </w:rPr>
        <w:t>（</w:t>
      </w:r>
      <w:r>
        <w:rPr>
          <w:rFonts w:hint="eastAsia" w:hAnsi="宋体"/>
          <w:color w:val="auto"/>
          <w:szCs w:val="21"/>
          <w:highlight w:val="none"/>
          <w:u w:val="single"/>
        </w:rPr>
        <w:t>人民币</w:t>
      </w:r>
      <w:r>
        <w:rPr>
          <w:rFonts w:hint="eastAsia"/>
          <w:color w:val="auto"/>
          <w:szCs w:val="21"/>
          <w:highlight w:val="none"/>
          <w:u w:val="single"/>
        </w:rPr>
        <w:t>）</w:t>
      </w:r>
      <w:r>
        <w:rPr>
          <w:rFonts w:hint="eastAsia" w:hAnsi="宋体"/>
          <w:color w:val="auto"/>
          <w:szCs w:val="21"/>
          <w:highlight w:val="none"/>
          <w:u w:val="single"/>
        </w:rPr>
        <w:t>；未经发包人同意，专业工程师擅自离岗的，视为承包人违约，发包人有权处违约金</w:t>
      </w:r>
      <w:r>
        <w:rPr>
          <w:rFonts w:hint="eastAsia" w:ascii="宋体" w:hAnsi="宋体"/>
          <w:b/>
          <w:color w:val="auto"/>
          <w:szCs w:val="21"/>
          <w:highlight w:val="none"/>
          <w:u w:val="single"/>
          <w:lang w:val="en-US" w:eastAsia="zh-CN"/>
        </w:rPr>
        <w:t>0.5</w:t>
      </w:r>
      <w:r>
        <w:rPr>
          <w:rFonts w:hint="eastAsia" w:ascii="宋体" w:hAnsi="宋体"/>
          <w:b/>
          <w:color w:val="auto"/>
          <w:szCs w:val="21"/>
          <w:highlight w:val="none"/>
          <w:u w:val="single"/>
        </w:rPr>
        <w:t>万</w:t>
      </w:r>
      <w:r>
        <w:rPr>
          <w:rFonts w:hint="eastAsia" w:hAnsi="宋体"/>
          <w:color w:val="auto"/>
          <w:szCs w:val="21"/>
          <w:highlight w:val="none"/>
          <w:u w:val="single"/>
        </w:rPr>
        <w:t>元</w:t>
      </w:r>
      <w:r>
        <w:rPr>
          <w:color w:val="auto"/>
          <w:szCs w:val="21"/>
          <w:highlight w:val="none"/>
          <w:u w:val="single"/>
        </w:rPr>
        <w:t>/</w:t>
      </w:r>
      <w:r>
        <w:rPr>
          <w:rFonts w:hint="eastAsia" w:hAnsi="宋体"/>
          <w:color w:val="auto"/>
          <w:szCs w:val="21"/>
          <w:highlight w:val="none"/>
          <w:u w:val="single"/>
        </w:rPr>
        <w:t>人</w:t>
      </w:r>
      <w:r>
        <w:rPr>
          <w:color w:val="auto"/>
          <w:szCs w:val="21"/>
          <w:highlight w:val="none"/>
          <w:u w:val="single"/>
        </w:rPr>
        <w:t>•</w:t>
      </w:r>
      <w:r>
        <w:rPr>
          <w:rFonts w:hint="eastAsia" w:hAnsi="宋体"/>
          <w:color w:val="auto"/>
          <w:szCs w:val="21"/>
          <w:highlight w:val="none"/>
          <w:u w:val="single"/>
        </w:rPr>
        <w:t>次</w:t>
      </w:r>
      <w:r>
        <w:rPr>
          <w:rFonts w:hint="eastAsia"/>
          <w:color w:val="auto"/>
          <w:szCs w:val="21"/>
          <w:highlight w:val="none"/>
          <w:u w:val="single"/>
        </w:rPr>
        <w:t>（</w:t>
      </w:r>
      <w:r>
        <w:rPr>
          <w:rFonts w:hint="eastAsia" w:hAnsi="宋体"/>
          <w:color w:val="auto"/>
          <w:szCs w:val="21"/>
          <w:highlight w:val="none"/>
          <w:u w:val="single"/>
        </w:rPr>
        <w:t>人民币</w:t>
      </w:r>
      <w:r>
        <w:rPr>
          <w:rFonts w:hint="eastAsia"/>
          <w:color w:val="auto"/>
          <w:szCs w:val="21"/>
          <w:highlight w:val="none"/>
          <w:u w:val="single"/>
        </w:rPr>
        <w:t>）其它在场管理人员擅自离岗的，视为承包人违约，发包人有权处违约金</w:t>
      </w:r>
      <w:r>
        <w:rPr>
          <w:b/>
          <w:bCs/>
          <w:color w:val="auto"/>
          <w:szCs w:val="21"/>
          <w:highlight w:val="none"/>
          <w:u w:val="single"/>
        </w:rPr>
        <w:t>0.5</w:t>
      </w:r>
      <w:r>
        <w:rPr>
          <w:rFonts w:hint="eastAsia"/>
          <w:b/>
          <w:bCs/>
          <w:color w:val="auto"/>
          <w:szCs w:val="21"/>
          <w:highlight w:val="none"/>
          <w:u w:val="single"/>
        </w:rPr>
        <w:t>万</w:t>
      </w:r>
      <w:r>
        <w:rPr>
          <w:rFonts w:hint="eastAsia"/>
          <w:color w:val="auto"/>
          <w:szCs w:val="21"/>
          <w:highlight w:val="none"/>
          <w:u w:val="single"/>
        </w:rPr>
        <w:t>元</w:t>
      </w:r>
      <w:r>
        <w:rPr>
          <w:color w:val="auto"/>
          <w:szCs w:val="21"/>
          <w:highlight w:val="none"/>
          <w:u w:val="single"/>
        </w:rPr>
        <w:t>/</w:t>
      </w:r>
      <w:r>
        <w:rPr>
          <w:rFonts w:hint="eastAsia"/>
          <w:color w:val="auto"/>
          <w:szCs w:val="21"/>
          <w:highlight w:val="none"/>
          <w:u w:val="single"/>
        </w:rPr>
        <w:t>人•次（人民币）</w:t>
      </w:r>
      <w:r>
        <w:rPr>
          <w:rFonts w:hint="eastAsia" w:hAnsi="宋体"/>
          <w:color w:val="auto"/>
          <w:szCs w:val="21"/>
          <w:highlight w:val="none"/>
        </w:rPr>
        <w:t>。</w:t>
      </w:r>
    </w:p>
    <w:p w14:paraId="5D14B382">
      <w:pPr>
        <w:pStyle w:val="33"/>
        <w:rPr>
          <w:rFonts w:ascii="Calibri" w:hAnsi="Calibri"/>
          <w:color w:val="auto"/>
          <w:highlight w:val="none"/>
        </w:rPr>
      </w:pPr>
      <w:bookmarkStart w:id="320" w:name="_Toc389065276"/>
      <w:bookmarkStart w:id="321" w:name="_Toc373227710"/>
      <w:bookmarkStart w:id="322" w:name="_Toc467599571"/>
      <w:bookmarkStart w:id="323" w:name="_Toc373478357"/>
      <w:r>
        <w:rPr>
          <w:rFonts w:ascii="Calibri" w:hAnsi="Calibri"/>
          <w:color w:val="auto"/>
          <w:highlight w:val="none"/>
        </w:rPr>
        <w:t>3</w:t>
      </w:r>
      <w:bookmarkStart w:id="324" w:name="_Toc300934945"/>
      <w:bookmarkStart w:id="325" w:name="_Toc296890987"/>
      <w:bookmarkStart w:id="326" w:name="_Toc297216151"/>
      <w:bookmarkStart w:id="327" w:name="_Toc312677988"/>
      <w:bookmarkStart w:id="328" w:name="_Toc296347158"/>
      <w:bookmarkStart w:id="329" w:name="_Toc297120459"/>
      <w:bookmarkStart w:id="330" w:name="_Toc296503159"/>
      <w:bookmarkStart w:id="331" w:name="_Toc296944498"/>
      <w:bookmarkStart w:id="332" w:name="_Toc303539102"/>
      <w:bookmarkStart w:id="333" w:name="_Toc304295523"/>
      <w:bookmarkStart w:id="334" w:name="_Toc292559364"/>
      <w:bookmarkStart w:id="335" w:name="_Toc296346660"/>
      <w:bookmarkStart w:id="336" w:name="_Toc292559869"/>
      <w:bookmarkStart w:id="337" w:name="_Toc297123492"/>
      <w:bookmarkStart w:id="338" w:name="_Toc297048345"/>
      <w:bookmarkStart w:id="339" w:name="_Toc296891199"/>
      <w:r>
        <w:rPr>
          <w:rFonts w:ascii="Calibri" w:hAnsi="Calibri"/>
          <w:color w:val="auto"/>
          <w:highlight w:val="none"/>
        </w:rPr>
        <w:t xml:space="preserve">.5 </w:t>
      </w:r>
      <w:r>
        <w:rPr>
          <w:rFonts w:hint="eastAsia" w:ascii="Calibri" w:hAnsi="宋体"/>
          <w:color w:val="auto"/>
          <w:highlight w:val="none"/>
        </w:rPr>
        <w:t>分包</w:t>
      </w:r>
      <w:bookmarkEnd w:id="320"/>
      <w:bookmarkEnd w:id="321"/>
      <w:bookmarkEnd w:id="322"/>
      <w:bookmarkEnd w:id="323"/>
    </w:p>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14:paraId="21DC5D26">
      <w:pPr>
        <w:pStyle w:val="35"/>
        <w:spacing w:line="360" w:lineRule="auto"/>
        <w:ind w:firstLine="420" w:firstLineChars="200"/>
        <w:rPr>
          <w:color w:val="auto"/>
          <w:szCs w:val="21"/>
          <w:highlight w:val="none"/>
        </w:rPr>
      </w:pPr>
      <w:r>
        <w:rPr>
          <w:color w:val="auto"/>
          <w:szCs w:val="21"/>
          <w:highlight w:val="none"/>
        </w:rPr>
        <w:t>3</w:t>
      </w:r>
      <w:bookmarkStart w:id="340" w:name="_Toc297120460"/>
      <w:bookmarkStart w:id="341" w:name="_Toc296346661"/>
      <w:bookmarkStart w:id="342" w:name="_Toc296891200"/>
      <w:bookmarkStart w:id="343" w:name="_Toc300934946"/>
      <w:bookmarkStart w:id="344" w:name="_Toc292559365"/>
      <w:bookmarkStart w:id="345" w:name="_Toc292559870"/>
      <w:bookmarkStart w:id="346" w:name="_Toc303539103"/>
      <w:bookmarkStart w:id="347" w:name="_Toc312677989"/>
      <w:bookmarkStart w:id="348" w:name="_Toc296503160"/>
      <w:bookmarkStart w:id="349" w:name="_Toc318581158"/>
      <w:bookmarkStart w:id="350" w:name="_Toc297123493"/>
      <w:bookmarkStart w:id="351" w:name="_Toc297048346"/>
      <w:bookmarkStart w:id="352" w:name="_Toc296944499"/>
      <w:bookmarkStart w:id="353" w:name="_Toc296347159"/>
      <w:bookmarkStart w:id="354" w:name="_Toc297216152"/>
      <w:bookmarkStart w:id="355" w:name="_Toc304295524"/>
      <w:bookmarkStart w:id="356" w:name="_Toc296890988"/>
      <w:r>
        <w:rPr>
          <w:color w:val="auto"/>
          <w:szCs w:val="21"/>
          <w:highlight w:val="none"/>
        </w:rPr>
        <w:t xml:space="preserve">.5.1 </w:t>
      </w:r>
      <w:r>
        <w:rPr>
          <w:rFonts w:hint="eastAsia" w:hAnsi="宋体"/>
          <w:color w:val="auto"/>
          <w:szCs w:val="21"/>
          <w:highlight w:val="none"/>
        </w:rPr>
        <w:t>分包的一般约定</w:t>
      </w:r>
    </w:p>
    <w:p w14:paraId="5708EDDA">
      <w:pPr>
        <w:pStyle w:val="35"/>
        <w:spacing w:line="360" w:lineRule="auto"/>
        <w:ind w:firstLine="420" w:firstLineChars="200"/>
        <w:jc w:val="left"/>
        <w:rPr>
          <w:color w:val="auto"/>
          <w:szCs w:val="21"/>
          <w:highlight w:val="none"/>
        </w:rPr>
      </w:pPr>
      <w:r>
        <w:rPr>
          <w:rFonts w:hint="eastAsia" w:hAnsi="宋体"/>
          <w:color w:val="auto"/>
          <w:szCs w:val="21"/>
          <w:highlight w:val="none"/>
        </w:rPr>
        <w:t>禁止分包的工程包括：</w:t>
      </w:r>
      <w:r>
        <w:rPr>
          <w:rFonts w:hint="eastAsia" w:ascii="新宋体" w:hAnsi="新宋体" w:eastAsia="新宋体" w:cs="新宋体"/>
          <w:color w:val="auto"/>
          <w:spacing w:val="2"/>
          <w:szCs w:val="21"/>
          <w:highlight w:val="none"/>
          <w:u w:val="single"/>
        </w:rPr>
        <w:t>本工程不允许分包</w:t>
      </w:r>
      <w:r>
        <w:rPr>
          <w:rFonts w:hint="eastAsia" w:hAnsi="宋体"/>
          <w:color w:val="auto"/>
          <w:szCs w:val="21"/>
          <w:highlight w:val="none"/>
        </w:rPr>
        <w:t>。</w:t>
      </w:r>
    </w:p>
    <w:p w14:paraId="358A276A">
      <w:pPr>
        <w:pStyle w:val="35"/>
        <w:spacing w:line="360" w:lineRule="auto"/>
        <w:ind w:firstLine="420" w:firstLineChars="200"/>
        <w:jc w:val="left"/>
        <w:rPr>
          <w:rFonts w:hAnsi="宋体"/>
          <w:color w:val="auto"/>
          <w:szCs w:val="21"/>
          <w:highlight w:val="none"/>
        </w:rPr>
      </w:pPr>
      <w:r>
        <w:rPr>
          <w:rFonts w:hint="eastAsia" w:hAnsi="宋体"/>
          <w:color w:val="auto"/>
          <w:szCs w:val="21"/>
          <w:highlight w:val="none"/>
        </w:rPr>
        <w:t>主体结构、关键性工作的范围：</w:t>
      </w:r>
      <w:r>
        <w:rPr>
          <w:rFonts w:hint="eastAsia" w:ascii="新宋体" w:hAnsi="新宋体" w:eastAsia="新宋体" w:cs="新宋体"/>
          <w:color w:val="auto"/>
          <w:spacing w:val="2"/>
          <w:szCs w:val="21"/>
          <w:highlight w:val="none"/>
          <w:u w:val="single"/>
        </w:rPr>
        <w:t>全部工程</w:t>
      </w:r>
      <w:r>
        <w:rPr>
          <w:rFonts w:hint="eastAsia" w:hAnsi="宋体"/>
          <w:color w:val="auto"/>
          <w:szCs w:val="21"/>
          <w:highlight w:val="none"/>
        </w:rPr>
        <w:t>。</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06143DE6">
      <w:pPr>
        <w:pStyle w:val="35"/>
        <w:spacing w:line="360" w:lineRule="auto"/>
        <w:ind w:firstLine="420" w:firstLineChars="200"/>
        <w:jc w:val="left"/>
        <w:rPr>
          <w:color w:val="auto"/>
          <w:szCs w:val="21"/>
          <w:highlight w:val="none"/>
        </w:rPr>
      </w:pPr>
      <w:r>
        <w:rPr>
          <w:color w:val="auto"/>
          <w:szCs w:val="21"/>
          <w:highlight w:val="none"/>
        </w:rPr>
        <w:t>3</w:t>
      </w:r>
      <w:bookmarkStart w:id="357" w:name="_Toc318581159"/>
      <w:bookmarkStart w:id="358" w:name="_Toc312677990"/>
      <w:r>
        <w:rPr>
          <w:color w:val="auto"/>
          <w:szCs w:val="21"/>
          <w:highlight w:val="none"/>
        </w:rPr>
        <w:t xml:space="preserve">.5.2 </w:t>
      </w:r>
      <w:r>
        <w:rPr>
          <w:rFonts w:hint="eastAsia" w:hAnsi="宋体"/>
          <w:color w:val="auto"/>
          <w:szCs w:val="21"/>
          <w:highlight w:val="none"/>
        </w:rPr>
        <w:t>分包的确定</w:t>
      </w:r>
    </w:p>
    <w:p w14:paraId="5EBE1F0F">
      <w:pPr>
        <w:pStyle w:val="35"/>
        <w:spacing w:line="360" w:lineRule="auto"/>
        <w:ind w:firstLine="420" w:firstLineChars="200"/>
        <w:rPr>
          <w:color w:val="auto"/>
          <w:szCs w:val="21"/>
          <w:highlight w:val="none"/>
          <w:u w:val="single"/>
        </w:rPr>
      </w:pPr>
      <w:r>
        <w:rPr>
          <w:rFonts w:hint="eastAsia" w:hAnsi="宋体"/>
          <w:color w:val="auto"/>
          <w:szCs w:val="21"/>
          <w:highlight w:val="none"/>
        </w:rPr>
        <w:t>允许分包的专业工程包括：</w:t>
      </w:r>
      <w:r>
        <w:rPr>
          <w:rFonts w:hint="eastAsia" w:hAnsi="宋体"/>
          <w:color w:val="auto"/>
          <w:szCs w:val="21"/>
          <w:highlight w:val="none"/>
          <w:u w:val="single"/>
        </w:rPr>
        <w:t>无</w:t>
      </w:r>
      <w:r>
        <w:rPr>
          <w:rFonts w:hint="eastAsia" w:hAnsi="宋体"/>
          <w:color w:val="auto"/>
          <w:szCs w:val="21"/>
          <w:highlight w:val="none"/>
        </w:rPr>
        <w:t>。</w:t>
      </w:r>
    </w:p>
    <w:p w14:paraId="5F43A5D6">
      <w:pPr>
        <w:pStyle w:val="35"/>
        <w:spacing w:line="360" w:lineRule="auto"/>
        <w:ind w:firstLine="420" w:firstLineChars="200"/>
        <w:rPr>
          <w:color w:val="auto"/>
          <w:szCs w:val="21"/>
          <w:highlight w:val="none"/>
        </w:rPr>
      </w:pPr>
      <w:r>
        <w:rPr>
          <w:rFonts w:hint="eastAsia" w:hAnsi="宋体"/>
          <w:color w:val="auto"/>
          <w:szCs w:val="21"/>
          <w:highlight w:val="none"/>
        </w:rPr>
        <w:t>其他关于分包的约定：</w:t>
      </w:r>
    </w:p>
    <w:p w14:paraId="023F467C">
      <w:pPr>
        <w:pStyle w:val="35"/>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w:t>
      </w:r>
      <w:r>
        <w:rPr>
          <w:rFonts w:hint="eastAsia" w:hAnsi="宋体"/>
          <w:color w:val="auto"/>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Ansi="宋体"/>
          <w:color w:val="auto"/>
          <w:szCs w:val="21"/>
          <w:highlight w:val="none"/>
        </w:rPr>
        <w:t>4</w:t>
      </w:r>
      <w:r>
        <w:rPr>
          <w:rFonts w:hint="eastAsia" w:hAnsi="宋体"/>
          <w:color w:val="auto"/>
          <w:szCs w:val="21"/>
          <w:highlight w:val="none"/>
        </w:rPr>
        <w:t>。</w:t>
      </w:r>
    </w:p>
    <w:p w14:paraId="27B39292">
      <w:pPr>
        <w:pStyle w:val="35"/>
        <w:spacing w:line="360" w:lineRule="auto"/>
        <w:ind w:firstLine="420" w:firstLineChars="200"/>
        <w:rPr>
          <w:color w:val="auto"/>
          <w:szCs w:val="21"/>
          <w:highlight w:val="none"/>
          <w:u w:val="single"/>
        </w:rPr>
      </w:pPr>
      <w:r>
        <w:rPr>
          <w:rFonts w:hint="eastAsia"/>
          <w:color w:val="auto"/>
          <w:szCs w:val="21"/>
          <w:highlight w:val="none"/>
        </w:rPr>
        <w:t>（</w:t>
      </w:r>
      <w:r>
        <w:rPr>
          <w:color w:val="auto"/>
          <w:szCs w:val="21"/>
          <w:highlight w:val="none"/>
        </w:rPr>
        <w:t>2</w:t>
      </w:r>
      <w:r>
        <w:rPr>
          <w:rFonts w:hint="eastAsia"/>
          <w:color w:val="auto"/>
          <w:szCs w:val="21"/>
          <w:highlight w:val="none"/>
        </w:rPr>
        <w:t>）</w:t>
      </w:r>
      <w:r>
        <w:rPr>
          <w:rFonts w:hint="eastAsia" w:hAnsi="宋体"/>
          <w:color w:val="auto"/>
          <w:szCs w:val="21"/>
          <w:highlight w:val="none"/>
        </w:rPr>
        <w:t>在相关分包合同签订并报送有关建设行政主管部门备案后</w:t>
      </w:r>
      <w:r>
        <w:rPr>
          <w:color w:val="auto"/>
          <w:szCs w:val="21"/>
          <w:highlight w:val="none"/>
        </w:rPr>
        <w:t>7</w:t>
      </w:r>
      <w:r>
        <w:rPr>
          <w:rFonts w:hint="eastAsia" w:hAnsi="宋体"/>
          <w:color w:val="auto"/>
          <w:szCs w:val="21"/>
          <w:highlight w:val="none"/>
        </w:rPr>
        <w:t>天内，承包人应当将一份副本提交给监理人，承包人应保障分包工作不得再次分包。</w:t>
      </w:r>
    </w:p>
    <w:p w14:paraId="2DB4B7FF">
      <w:pPr>
        <w:pStyle w:val="35"/>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w:t>
      </w:r>
      <w:r>
        <w:rPr>
          <w:rFonts w:hint="eastAsia" w:hAnsi="宋体"/>
          <w:color w:val="auto"/>
          <w:szCs w:val="21"/>
          <w:highlight w:val="none"/>
        </w:rPr>
        <w:t>未经发包人和监理人审批同意的分包工程和分包人，发包人有权拒绝验收分包工程和支付相应款项，由此引起的发包人费用增加和</w:t>
      </w:r>
      <w:r>
        <w:rPr>
          <w:color w:val="auto"/>
          <w:szCs w:val="21"/>
          <w:highlight w:val="none"/>
        </w:rPr>
        <w:t>(</w:t>
      </w:r>
      <w:r>
        <w:rPr>
          <w:rFonts w:hint="eastAsia" w:hAnsi="宋体"/>
          <w:color w:val="auto"/>
          <w:szCs w:val="21"/>
          <w:highlight w:val="none"/>
        </w:rPr>
        <w:t>或</w:t>
      </w:r>
      <w:r>
        <w:rPr>
          <w:color w:val="auto"/>
          <w:szCs w:val="21"/>
          <w:highlight w:val="none"/>
        </w:rPr>
        <w:t>)</w:t>
      </w:r>
      <w:r>
        <w:rPr>
          <w:rFonts w:hint="eastAsia" w:hAnsi="宋体"/>
          <w:color w:val="auto"/>
          <w:szCs w:val="21"/>
          <w:highlight w:val="none"/>
        </w:rPr>
        <w:t>延误的工期由</w:t>
      </w:r>
      <w:r>
        <w:rPr>
          <w:rFonts w:hint="eastAsia" w:ascii="宋体" w:hAnsi="宋体" w:eastAsia="宋体"/>
          <w:color w:val="auto"/>
          <w:szCs w:val="21"/>
          <w:highlight w:val="none"/>
        </w:rPr>
        <w:t>承</w:t>
      </w:r>
      <w:r>
        <w:rPr>
          <w:rFonts w:hint="eastAsia" w:hAnsi="宋体"/>
          <w:color w:val="auto"/>
          <w:szCs w:val="21"/>
          <w:highlight w:val="none"/>
        </w:rPr>
        <w:t>包人承担。</w:t>
      </w:r>
    </w:p>
    <w:p w14:paraId="761604A9">
      <w:pPr>
        <w:pStyle w:val="37"/>
        <w:spacing w:line="360" w:lineRule="auto"/>
        <w:rPr>
          <w:rFonts w:ascii="Calibri" w:hAnsi="宋体"/>
          <w:color w:val="auto"/>
          <w:kern w:val="2"/>
          <w:sz w:val="21"/>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Calibri" w:hAnsi="宋体"/>
          <w:color w:val="auto"/>
          <w:kern w:val="2"/>
          <w:sz w:val="21"/>
          <w:szCs w:val="21"/>
          <w:highlight w:val="none"/>
        </w:rPr>
        <w:t>）承包人有以下情况之一者，发包人有权解除合同，并视情况扣除其履约保证金：</w:t>
      </w:r>
    </w:p>
    <w:p w14:paraId="69A1C394">
      <w:pPr>
        <w:pStyle w:val="37"/>
        <w:spacing w:line="360" w:lineRule="auto"/>
        <w:rPr>
          <w:rFonts w:ascii="Calibri" w:hAnsi="宋体"/>
          <w:color w:val="auto"/>
          <w:kern w:val="2"/>
          <w:sz w:val="21"/>
          <w:szCs w:val="21"/>
          <w:highlight w:val="none"/>
        </w:rPr>
      </w:pPr>
      <w:r>
        <w:rPr>
          <w:rFonts w:hint="eastAsia" w:ascii="Calibri" w:hAnsi="宋体"/>
          <w:color w:val="auto"/>
          <w:kern w:val="2"/>
          <w:sz w:val="21"/>
          <w:szCs w:val="21"/>
          <w:highlight w:val="none"/>
        </w:rPr>
        <w:t>①个人承包工程，包括本人单位及外单位人员承包，发包人不承认其个人拥有任何资质等级及营业许可资格。没收全部履约保证金。</w:t>
      </w:r>
    </w:p>
    <w:p w14:paraId="427CE866">
      <w:pPr>
        <w:pStyle w:val="37"/>
        <w:spacing w:line="360" w:lineRule="auto"/>
        <w:rPr>
          <w:rFonts w:ascii="Calibri" w:hAnsi="宋体"/>
          <w:color w:val="auto"/>
          <w:kern w:val="2"/>
          <w:sz w:val="21"/>
          <w:szCs w:val="21"/>
          <w:highlight w:val="none"/>
        </w:rPr>
      </w:pPr>
      <w:r>
        <w:rPr>
          <w:rFonts w:hint="eastAsia" w:ascii="Calibri" w:hAnsi="宋体"/>
          <w:color w:val="auto"/>
          <w:kern w:val="2"/>
          <w:sz w:val="21"/>
          <w:szCs w:val="21"/>
          <w:highlight w:val="none"/>
        </w:rPr>
        <w:t>②几个人联合承包工程，就地组织暗分包队伍，不具备完成本工程的技术、机械能力，被发包人判定为没有能力履行的承包人。没收全部履约保证金。</w:t>
      </w:r>
    </w:p>
    <w:p w14:paraId="470B7C90">
      <w:pPr>
        <w:pStyle w:val="37"/>
        <w:spacing w:line="360" w:lineRule="auto"/>
        <w:rPr>
          <w:rFonts w:ascii="Calibri" w:hAnsi="宋体"/>
          <w:color w:val="auto"/>
          <w:kern w:val="2"/>
          <w:sz w:val="21"/>
          <w:szCs w:val="21"/>
          <w:highlight w:val="none"/>
        </w:rPr>
      </w:pPr>
      <w:r>
        <w:rPr>
          <w:rFonts w:hint="eastAsia" w:ascii="Calibri" w:hAnsi="宋体"/>
          <w:color w:val="auto"/>
          <w:kern w:val="2"/>
          <w:sz w:val="21"/>
          <w:szCs w:val="21"/>
          <w:highlight w:val="none"/>
        </w:rPr>
        <w:t>③就地转包全部的工程，以谋取高额转让费、管理费的承包人。没收全部履约保证金。</w:t>
      </w:r>
    </w:p>
    <w:p w14:paraId="227330E9">
      <w:pPr>
        <w:pStyle w:val="35"/>
        <w:spacing w:line="360" w:lineRule="auto"/>
        <w:ind w:firstLine="420" w:firstLineChars="200"/>
        <w:rPr>
          <w:color w:val="auto"/>
          <w:szCs w:val="21"/>
          <w:highlight w:val="none"/>
          <w:u w:val="single"/>
        </w:rPr>
      </w:pPr>
      <w:r>
        <w:rPr>
          <w:rFonts w:hint="eastAsia" w:hAnsi="宋体"/>
          <w:color w:val="auto"/>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r>
        <w:rPr>
          <w:rFonts w:hint="eastAsia" w:ascii="新宋体" w:hAnsi="新宋体" w:eastAsia="新宋体" w:cs="新宋体"/>
          <w:color w:val="auto"/>
          <w:spacing w:val="2"/>
          <w:szCs w:val="21"/>
          <w:highlight w:val="none"/>
        </w:rPr>
        <w:t>，违约金金额为履约保证金金额的5%～20%（视情节严重而定）</w:t>
      </w:r>
      <w:r>
        <w:rPr>
          <w:rFonts w:hint="eastAsia" w:hAnsi="宋体"/>
          <w:color w:val="auto"/>
          <w:szCs w:val="21"/>
          <w:highlight w:val="none"/>
        </w:rPr>
        <w:t>。</w:t>
      </w:r>
    </w:p>
    <w:p w14:paraId="5125EB40">
      <w:pPr>
        <w:pStyle w:val="35"/>
        <w:spacing w:line="360" w:lineRule="auto"/>
        <w:ind w:firstLine="420" w:firstLineChars="200"/>
        <w:rPr>
          <w:color w:val="auto"/>
          <w:szCs w:val="21"/>
          <w:highlight w:val="none"/>
        </w:rPr>
      </w:pPr>
      <w:r>
        <w:rPr>
          <w:color w:val="auto"/>
          <w:szCs w:val="21"/>
          <w:highlight w:val="none"/>
        </w:rPr>
        <w:t xml:space="preserve">3.5.4 </w:t>
      </w:r>
      <w:r>
        <w:rPr>
          <w:rFonts w:hint="eastAsia" w:hAnsi="宋体"/>
          <w:color w:val="auto"/>
          <w:szCs w:val="21"/>
          <w:highlight w:val="none"/>
        </w:rPr>
        <w:t>分包合同价款</w:t>
      </w:r>
    </w:p>
    <w:bookmarkEnd w:id="357"/>
    <w:bookmarkEnd w:id="358"/>
    <w:p w14:paraId="708B22C5">
      <w:pPr>
        <w:pStyle w:val="35"/>
        <w:spacing w:line="360" w:lineRule="auto"/>
        <w:ind w:firstLine="420" w:firstLineChars="200"/>
        <w:rPr>
          <w:color w:val="auto"/>
          <w:szCs w:val="21"/>
          <w:highlight w:val="none"/>
        </w:rPr>
      </w:pPr>
      <w:bookmarkStart w:id="359" w:name="_Toc389065277"/>
      <w:bookmarkStart w:id="360" w:name="_Toc373227711"/>
      <w:bookmarkStart w:id="361" w:name="_Toc373478358"/>
      <w:r>
        <w:rPr>
          <w:rFonts w:hint="eastAsia" w:hAnsi="宋体"/>
          <w:color w:val="auto"/>
          <w:szCs w:val="21"/>
          <w:highlight w:val="none"/>
        </w:rPr>
        <w:t>关于分包合同价款支付的约定：</w:t>
      </w:r>
      <w:r>
        <w:rPr>
          <w:rFonts w:hint="eastAsia" w:hAnsi="宋体"/>
          <w:color w:val="auto"/>
          <w:szCs w:val="21"/>
          <w:highlight w:val="none"/>
          <w:u w:val="single"/>
        </w:rPr>
        <w:t>分包工程价款由承包人与分包人</w:t>
      </w:r>
      <w:r>
        <w:rPr>
          <w:rFonts w:hint="eastAsia"/>
          <w:color w:val="auto"/>
          <w:szCs w:val="21"/>
          <w:highlight w:val="none"/>
          <w:u w:val="single"/>
        </w:rPr>
        <w:t>（</w:t>
      </w:r>
      <w:r>
        <w:rPr>
          <w:rFonts w:hint="eastAsia" w:hAnsi="宋体"/>
          <w:color w:val="auto"/>
          <w:szCs w:val="21"/>
          <w:highlight w:val="none"/>
          <w:u w:val="single"/>
        </w:rPr>
        <w:t>包括专业分包人</w:t>
      </w:r>
      <w:r>
        <w:rPr>
          <w:rFonts w:hint="eastAsia"/>
          <w:color w:val="auto"/>
          <w:szCs w:val="21"/>
          <w:highlight w:val="none"/>
          <w:u w:val="single"/>
        </w:rPr>
        <w:t>）</w:t>
      </w:r>
      <w:r>
        <w:rPr>
          <w:rFonts w:hint="eastAsia" w:hAnsi="宋体"/>
          <w:color w:val="auto"/>
          <w:szCs w:val="21"/>
          <w:highlight w:val="none"/>
          <w:u w:val="single"/>
        </w:rPr>
        <w:t>结算。发包人未经承包人同意不得以任何形式向分包人</w:t>
      </w:r>
      <w:r>
        <w:rPr>
          <w:rFonts w:hint="eastAsia"/>
          <w:color w:val="auto"/>
          <w:szCs w:val="21"/>
          <w:highlight w:val="none"/>
          <w:u w:val="single"/>
        </w:rPr>
        <w:t>（</w:t>
      </w:r>
      <w:r>
        <w:rPr>
          <w:rFonts w:hint="eastAsia" w:hAnsi="宋体"/>
          <w:color w:val="auto"/>
          <w:szCs w:val="21"/>
          <w:highlight w:val="none"/>
          <w:u w:val="single"/>
        </w:rPr>
        <w:t>包括专业分包人</w:t>
      </w:r>
      <w:r>
        <w:rPr>
          <w:rFonts w:hint="eastAsia"/>
          <w:color w:val="auto"/>
          <w:szCs w:val="21"/>
          <w:highlight w:val="none"/>
          <w:u w:val="single"/>
        </w:rPr>
        <w:t>）</w:t>
      </w:r>
      <w:r>
        <w:rPr>
          <w:rFonts w:hint="eastAsia" w:hAnsi="宋体"/>
          <w:color w:val="auto"/>
          <w:szCs w:val="21"/>
          <w:highlight w:val="none"/>
          <w:u w:val="single"/>
        </w:rPr>
        <w:t>支付相关分包合同项下的任何工程款项。因发包人未经承包人同意直接向分包人</w:t>
      </w:r>
      <w:r>
        <w:rPr>
          <w:rFonts w:hint="eastAsia"/>
          <w:color w:val="auto"/>
          <w:szCs w:val="21"/>
          <w:highlight w:val="none"/>
          <w:u w:val="single"/>
        </w:rPr>
        <w:t>（</w:t>
      </w:r>
      <w:r>
        <w:rPr>
          <w:rFonts w:hint="eastAsia" w:hAnsi="宋体"/>
          <w:color w:val="auto"/>
          <w:szCs w:val="21"/>
          <w:highlight w:val="none"/>
          <w:u w:val="single"/>
        </w:rPr>
        <w:t>包括专业分包人</w:t>
      </w:r>
      <w:r>
        <w:rPr>
          <w:rFonts w:hint="eastAsia"/>
          <w:color w:val="auto"/>
          <w:szCs w:val="21"/>
          <w:highlight w:val="none"/>
          <w:u w:val="single"/>
        </w:rPr>
        <w:t>）</w:t>
      </w:r>
      <w:r>
        <w:rPr>
          <w:rFonts w:hint="eastAsia" w:hAnsi="宋体"/>
          <w:color w:val="auto"/>
          <w:szCs w:val="21"/>
          <w:highlight w:val="none"/>
          <w:u w:val="single"/>
        </w:rPr>
        <w:t>支付相关分包合同项下的任何工程款项而影响承包人工作的，所造成的承包人费用增加和</w:t>
      </w:r>
      <w:r>
        <w:rPr>
          <w:rFonts w:hint="eastAsia"/>
          <w:color w:val="auto"/>
          <w:szCs w:val="21"/>
          <w:highlight w:val="none"/>
          <w:u w:val="single"/>
        </w:rPr>
        <w:t>（</w:t>
      </w:r>
      <w:r>
        <w:rPr>
          <w:rFonts w:hint="eastAsia" w:hAnsi="宋体"/>
          <w:color w:val="auto"/>
          <w:szCs w:val="21"/>
          <w:highlight w:val="none"/>
          <w:u w:val="single"/>
        </w:rPr>
        <w:t>或</w:t>
      </w:r>
      <w:r>
        <w:rPr>
          <w:rFonts w:hint="eastAsia"/>
          <w:color w:val="auto"/>
          <w:szCs w:val="21"/>
          <w:highlight w:val="none"/>
          <w:u w:val="single"/>
        </w:rPr>
        <w:t>）</w:t>
      </w:r>
      <w:r>
        <w:rPr>
          <w:rFonts w:hint="eastAsia" w:hAnsi="宋体"/>
          <w:color w:val="auto"/>
          <w:szCs w:val="21"/>
          <w:highlight w:val="none"/>
          <w:u w:val="single"/>
        </w:rPr>
        <w:t>延误的工期由发包人承担。</w:t>
      </w:r>
    </w:p>
    <w:p w14:paraId="15CCD1BE">
      <w:pPr>
        <w:pStyle w:val="33"/>
        <w:rPr>
          <w:rFonts w:ascii="Calibri" w:hAnsi="Calibri"/>
          <w:color w:val="auto"/>
          <w:highlight w:val="none"/>
        </w:rPr>
      </w:pPr>
      <w:bookmarkStart w:id="362" w:name="_Toc467599572"/>
      <w:r>
        <w:rPr>
          <w:rFonts w:ascii="Calibri" w:hAnsi="Calibri"/>
          <w:color w:val="auto"/>
          <w:highlight w:val="none"/>
        </w:rPr>
        <w:t xml:space="preserve">3.6 </w:t>
      </w:r>
      <w:r>
        <w:rPr>
          <w:rFonts w:hint="eastAsia" w:ascii="Calibri" w:hAnsi="Calibri"/>
          <w:color w:val="auto"/>
          <w:highlight w:val="none"/>
        </w:rPr>
        <w:t>工程照管与成品、半成品保护</w:t>
      </w:r>
      <w:bookmarkEnd w:id="359"/>
      <w:bookmarkEnd w:id="360"/>
      <w:bookmarkEnd w:id="361"/>
      <w:bookmarkEnd w:id="362"/>
    </w:p>
    <w:p w14:paraId="05C50F4B">
      <w:pPr>
        <w:pStyle w:val="35"/>
        <w:spacing w:line="360" w:lineRule="auto"/>
        <w:ind w:firstLine="420" w:firstLineChars="200"/>
        <w:rPr>
          <w:color w:val="auto"/>
          <w:kern w:val="0"/>
          <w:szCs w:val="21"/>
          <w:highlight w:val="none"/>
          <w:u w:val="single"/>
        </w:rPr>
      </w:pPr>
      <w:r>
        <w:rPr>
          <w:rFonts w:hint="eastAsia" w:hAnsi="宋体"/>
          <w:color w:val="auto"/>
          <w:kern w:val="0"/>
          <w:szCs w:val="21"/>
          <w:highlight w:val="none"/>
        </w:rPr>
        <w:t>承包人负责照管工程及工程相关的材料、工程设备的起始时间：</w:t>
      </w:r>
      <w:r>
        <w:rPr>
          <w:rFonts w:hint="eastAsia" w:ascii="新宋体" w:hAnsi="新宋体" w:eastAsia="新宋体" w:cs="新宋体"/>
          <w:color w:val="auto"/>
          <w:spacing w:val="2"/>
          <w:szCs w:val="21"/>
          <w:highlight w:val="none"/>
        </w:rPr>
        <w:t>工程接收证书颁发前，承包人应负责照管和维护工程。工程接收证书颁发时尚有部分未竣工工程的，承包人还应负责该未竣工工程的照管和维护工作，直到竣工后移交给发包人为止</w:t>
      </w:r>
      <w:r>
        <w:rPr>
          <w:rFonts w:hint="eastAsia" w:hAnsi="宋体"/>
          <w:color w:val="auto"/>
          <w:kern w:val="0"/>
          <w:szCs w:val="21"/>
          <w:highlight w:val="none"/>
        </w:rPr>
        <w:t>。</w:t>
      </w:r>
    </w:p>
    <w:p w14:paraId="1ACD9290">
      <w:pPr>
        <w:pStyle w:val="33"/>
        <w:rPr>
          <w:rFonts w:ascii="Calibri" w:hAnsi="Calibri"/>
          <w:color w:val="auto"/>
          <w:highlight w:val="none"/>
        </w:rPr>
      </w:pPr>
      <w:bookmarkStart w:id="363" w:name="_Toc373478359"/>
      <w:bookmarkStart w:id="364" w:name="_Toc389065278"/>
      <w:bookmarkStart w:id="365" w:name="_Toc373227712"/>
      <w:bookmarkStart w:id="366" w:name="_Toc467599573"/>
      <w:r>
        <w:rPr>
          <w:rFonts w:ascii="Calibri" w:hAnsi="Calibri"/>
          <w:color w:val="auto"/>
          <w:highlight w:val="none"/>
        </w:rPr>
        <w:t xml:space="preserve">3.7 </w:t>
      </w:r>
      <w:r>
        <w:rPr>
          <w:rFonts w:hint="eastAsia" w:ascii="Calibri" w:hAnsi="宋体"/>
          <w:color w:val="auto"/>
          <w:highlight w:val="none"/>
        </w:rPr>
        <w:t>履约</w:t>
      </w:r>
      <w:bookmarkEnd w:id="363"/>
      <w:bookmarkEnd w:id="364"/>
      <w:bookmarkEnd w:id="365"/>
      <w:r>
        <w:rPr>
          <w:rFonts w:hint="eastAsia" w:ascii="Calibri" w:hAnsi="宋体"/>
          <w:color w:val="auto"/>
          <w:highlight w:val="none"/>
        </w:rPr>
        <w:t>保证金</w:t>
      </w:r>
      <w:bookmarkEnd w:id="366"/>
    </w:p>
    <w:p w14:paraId="6B0AD080">
      <w:pPr>
        <w:pStyle w:val="35"/>
        <w:spacing w:line="360" w:lineRule="auto"/>
        <w:ind w:firstLine="420" w:firstLineChars="200"/>
        <w:rPr>
          <w:rFonts w:hint="eastAsia" w:hAnsi="宋体" w:eastAsia="宋体"/>
          <w:color w:val="auto"/>
          <w:szCs w:val="21"/>
          <w:highlight w:val="none"/>
          <w:u w:val="single"/>
          <w:lang w:eastAsia="zh-CN"/>
        </w:rPr>
      </w:pPr>
      <w:bookmarkStart w:id="367" w:name="_Toc373478360"/>
      <w:bookmarkStart w:id="368" w:name="_Toc389065279"/>
      <w:bookmarkStart w:id="369" w:name="_Toc351203636"/>
      <w:bookmarkStart w:id="370" w:name="_Toc373227713"/>
      <w:r>
        <w:rPr>
          <w:rFonts w:hint="eastAsia" w:hAnsi="宋体"/>
          <w:color w:val="auto"/>
          <w:szCs w:val="21"/>
          <w:highlight w:val="none"/>
        </w:rPr>
        <w:t>承包人提供履约担保的形式、金额及期限的：</w:t>
      </w:r>
      <w:r>
        <w:rPr>
          <w:rFonts w:hint="eastAsia" w:hAnsi="宋体"/>
          <w:color w:val="auto"/>
          <w:szCs w:val="21"/>
          <w:highlight w:val="none"/>
          <w:lang w:eastAsia="zh-CN"/>
        </w:rPr>
        <w:t>无</w:t>
      </w:r>
    </w:p>
    <w:p w14:paraId="2F6E08F9">
      <w:pPr>
        <w:pStyle w:val="23"/>
        <w:rPr>
          <w:color w:val="auto"/>
          <w:highlight w:val="none"/>
        </w:rPr>
      </w:pPr>
      <w:bookmarkStart w:id="371" w:name="_Toc467599574"/>
      <w:r>
        <w:rPr>
          <w:color w:val="auto"/>
          <w:highlight w:val="none"/>
        </w:rPr>
        <w:t>4</w:t>
      </w:r>
      <w:bookmarkStart w:id="372" w:name="_Toc296346663"/>
      <w:bookmarkStart w:id="373" w:name="_Toc292559871"/>
      <w:bookmarkStart w:id="374" w:name="_Toc296944501"/>
      <w:bookmarkStart w:id="375" w:name="_Toc296891202"/>
      <w:bookmarkStart w:id="376" w:name="_Toc297120462"/>
      <w:bookmarkStart w:id="377" w:name="_Toc296890990"/>
      <w:bookmarkStart w:id="378" w:name="_Toc267251413"/>
      <w:bookmarkStart w:id="379" w:name="_Toc297048348"/>
      <w:bookmarkStart w:id="380" w:name="_Toc292559366"/>
      <w:bookmarkStart w:id="381" w:name="_Toc296503162"/>
      <w:bookmarkStart w:id="382" w:name="_Toc296347161"/>
      <w:r>
        <w:rPr>
          <w:color w:val="auto"/>
          <w:highlight w:val="none"/>
        </w:rPr>
        <w:t xml:space="preserve">. </w:t>
      </w:r>
      <w:r>
        <w:rPr>
          <w:rFonts w:hint="eastAsia" w:hAnsi="宋体"/>
          <w:color w:val="auto"/>
          <w:highlight w:val="none"/>
        </w:rPr>
        <w:t>监</w:t>
      </w:r>
      <w:bookmarkEnd w:id="372"/>
      <w:bookmarkEnd w:id="373"/>
      <w:bookmarkEnd w:id="374"/>
      <w:bookmarkEnd w:id="375"/>
      <w:bookmarkEnd w:id="376"/>
      <w:bookmarkEnd w:id="377"/>
      <w:bookmarkEnd w:id="378"/>
      <w:bookmarkEnd w:id="379"/>
      <w:bookmarkEnd w:id="380"/>
      <w:bookmarkEnd w:id="381"/>
      <w:bookmarkEnd w:id="382"/>
      <w:r>
        <w:rPr>
          <w:rFonts w:hint="eastAsia" w:hAnsi="宋体"/>
          <w:color w:val="auto"/>
          <w:highlight w:val="none"/>
        </w:rPr>
        <w:t>理人</w:t>
      </w:r>
      <w:bookmarkEnd w:id="367"/>
      <w:bookmarkEnd w:id="368"/>
      <w:bookmarkEnd w:id="369"/>
      <w:bookmarkEnd w:id="370"/>
      <w:bookmarkEnd w:id="371"/>
    </w:p>
    <w:p w14:paraId="7771E139">
      <w:pPr>
        <w:pStyle w:val="33"/>
        <w:rPr>
          <w:rFonts w:ascii="Calibri" w:hAnsi="Calibri"/>
          <w:color w:val="auto"/>
          <w:highlight w:val="none"/>
        </w:rPr>
      </w:pPr>
      <w:bookmarkStart w:id="383" w:name="_Toc373227714"/>
      <w:bookmarkStart w:id="384" w:name="_Toc467599575"/>
      <w:bookmarkStart w:id="385" w:name="_Toc373478361"/>
      <w:bookmarkStart w:id="386" w:name="_Toc389065280"/>
      <w:r>
        <w:rPr>
          <w:rFonts w:ascii="Calibri" w:hAnsi="Calibri"/>
          <w:color w:val="auto"/>
          <w:highlight w:val="none"/>
        </w:rPr>
        <w:t xml:space="preserve">4.1 </w:t>
      </w:r>
      <w:r>
        <w:rPr>
          <w:rFonts w:hint="eastAsia" w:ascii="Calibri" w:hAnsi="Calibri"/>
          <w:color w:val="auto"/>
          <w:highlight w:val="none"/>
        </w:rPr>
        <w:t>监理人的一般规定</w:t>
      </w:r>
      <w:bookmarkEnd w:id="383"/>
      <w:bookmarkEnd w:id="384"/>
      <w:bookmarkEnd w:id="385"/>
      <w:bookmarkEnd w:id="386"/>
    </w:p>
    <w:p w14:paraId="706971B6">
      <w:pPr>
        <w:pStyle w:val="35"/>
        <w:spacing w:line="360" w:lineRule="auto"/>
        <w:ind w:firstLine="420" w:firstLineChars="200"/>
        <w:jc w:val="left"/>
        <w:rPr>
          <w:color w:val="auto"/>
          <w:szCs w:val="21"/>
          <w:highlight w:val="none"/>
        </w:rPr>
      </w:pPr>
      <w:r>
        <w:rPr>
          <w:rFonts w:hint="eastAsia" w:hAnsi="宋体"/>
          <w:color w:val="auto"/>
          <w:szCs w:val="21"/>
          <w:highlight w:val="none"/>
        </w:rPr>
        <w:t>关于监理人的监理内容：</w:t>
      </w:r>
      <w:r>
        <w:rPr>
          <w:rFonts w:hint="eastAsia" w:ascii="新宋体" w:hAnsi="新宋体" w:eastAsia="新宋体" w:cs="新宋体"/>
          <w:color w:val="auto"/>
          <w:spacing w:val="2"/>
          <w:szCs w:val="21"/>
          <w:highlight w:val="none"/>
          <w:u w:val="single"/>
        </w:rPr>
        <w:t>按本工程的监理合同中的相关条款</w:t>
      </w:r>
      <w:r>
        <w:rPr>
          <w:rFonts w:hint="eastAsia" w:hAnsi="宋体"/>
          <w:color w:val="auto"/>
          <w:szCs w:val="21"/>
          <w:highlight w:val="none"/>
        </w:rPr>
        <w:t>。</w:t>
      </w:r>
    </w:p>
    <w:p w14:paraId="2D458990">
      <w:pPr>
        <w:pStyle w:val="35"/>
        <w:spacing w:line="360" w:lineRule="auto"/>
        <w:ind w:firstLine="420" w:firstLineChars="200"/>
        <w:jc w:val="left"/>
        <w:rPr>
          <w:color w:val="auto"/>
          <w:szCs w:val="21"/>
          <w:highlight w:val="none"/>
        </w:rPr>
      </w:pPr>
      <w:r>
        <w:rPr>
          <w:rFonts w:hint="eastAsia" w:hAnsi="宋体"/>
          <w:color w:val="auto"/>
          <w:szCs w:val="21"/>
          <w:highlight w:val="none"/>
        </w:rPr>
        <w:t>关于监理人的监理权限：</w:t>
      </w:r>
      <w:r>
        <w:rPr>
          <w:rFonts w:hint="eastAsia" w:ascii="新宋体" w:hAnsi="新宋体" w:eastAsia="新宋体" w:cs="新宋体"/>
          <w:color w:val="auto"/>
          <w:spacing w:val="2"/>
          <w:szCs w:val="21"/>
          <w:highlight w:val="none"/>
          <w:u w:val="single"/>
        </w:rPr>
        <w:t>按本工程的监理合同中的相关条款</w:t>
      </w:r>
      <w:r>
        <w:rPr>
          <w:rFonts w:hint="eastAsia" w:hAnsi="宋体"/>
          <w:color w:val="auto"/>
          <w:szCs w:val="21"/>
          <w:highlight w:val="none"/>
        </w:rPr>
        <w:t>。</w:t>
      </w:r>
    </w:p>
    <w:p w14:paraId="60B88EBC">
      <w:pPr>
        <w:pStyle w:val="35"/>
        <w:spacing w:line="360" w:lineRule="auto"/>
        <w:ind w:firstLine="420" w:firstLineChars="200"/>
        <w:rPr>
          <w:color w:val="auto"/>
          <w:szCs w:val="21"/>
          <w:highlight w:val="none"/>
        </w:rPr>
      </w:pPr>
      <w:r>
        <w:rPr>
          <w:rFonts w:hint="eastAsia" w:hAnsi="宋体"/>
          <w:color w:val="auto"/>
          <w:szCs w:val="21"/>
          <w:highlight w:val="none"/>
        </w:rPr>
        <w:t>关于监理人在施工现场的办公场所、生活场所的提供和费用承担的约定：</w:t>
      </w:r>
      <w:r>
        <w:rPr>
          <w:rFonts w:hint="eastAsia" w:ascii="新宋体" w:hAnsi="新宋体" w:eastAsia="新宋体" w:cs="新宋体"/>
          <w:color w:val="auto"/>
          <w:spacing w:val="2"/>
          <w:szCs w:val="21"/>
          <w:highlight w:val="none"/>
          <w:u w:val="single"/>
        </w:rPr>
        <w:t>按本工程的监理合同中的相关条款</w:t>
      </w:r>
      <w:r>
        <w:rPr>
          <w:rFonts w:hint="eastAsia" w:hAnsi="宋体"/>
          <w:color w:val="auto"/>
          <w:szCs w:val="21"/>
          <w:highlight w:val="none"/>
        </w:rPr>
        <w:t>。</w:t>
      </w:r>
    </w:p>
    <w:p w14:paraId="1D654FED">
      <w:pPr>
        <w:pStyle w:val="33"/>
        <w:rPr>
          <w:rFonts w:ascii="Calibri" w:hAnsi="Calibri"/>
          <w:color w:val="auto"/>
          <w:highlight w:val="none"/>
        </w:rPr>
      </w:pPr>
      <w:bookmarkStart w:id="387" w:name="_Toc373478362"/>
      <w:bookmarkStart w:id="388" w:name="_Toc389065281"/>
      <w:bookmarkStart w:id="389" w:name="_Toc373227715"/>
      <w:bookmarkStart w:id="390" w:name="_Toc467599576"/>
      <w:r>
        <w:rPr>
          <w:rFonts w:ascii="Calibri" w:hAnsi="Calibri"/>
          <w:color w:val="auto"/>
          <w:highlight w:val="none"/>
        </w:rPr>
        <w:t xml:space="preserve">4.2 </w:t>
      </w:r>
      <w:r>
        <w:rPr>
          <w:rFonts w:hint="eastAsia" w:ascii="Calibri" w:hAnsi="宋体"/>
          <w:color w:val="auto"/>
          <w:highlight w:val="none"/>
        </w:rPr>
        <w:t>监理人员</w:t>
      </w:r>
      <w:bookmarkEnd w:id="387"/>
      <w:bookmarkEnd w:id="388"/>
      <w:bookmarkEnd w:id="389"/>
      <w:bookmarkEnd w:id="390"/>
    </w:p>
    <w:p w14:paraId="1D031CFB">
      <w:pPr>
        <w:pStyle w:val="35"/>
        <w:spacing w:line="360" w:lineRule="auto"/>
        <w:ind w:firstLine="420" w:firstLineChars="200"/>
        <w:rPr>
          <w:color w:val="auto"/>
          <w:szCs w:val="21"/>
          <w:highlight w:val="none"/>
        </w:rPr>
      </w:pPr>
      <w:r>
        <w:rPr>
          <w:rFonts w:hint="eastAsia" w:hAnsi="宋体"/>
          <w:color w:val="auto"/>
          <w:szCs w:val="21"/>
          <w:highlight w:val="none"/>
        </w:rPr>
        <w:t>总监理工程师：</w:t>
      </w:r>
    </w:p>
    <w:p w14:paraId="42F93D06">
      <w:pPr>
        <w:pStyle w:val="35"/>
        <w:spacing w:line="360" w:lineRule="auto"/>
        <w:ind w:firstLine="420" w:firstLineChars="200"/>
        <w:rPr>
          <w:color w:val="auto"/>
          <w:szCs w:val="21"/>
          <w:highlight w:val="none"/>
        </w:rPr>
      </w:pPr>
      <w:r>
        <w:rPr>
          <w:rFonts w:hint="eastAsia" w:hAnsi="宋体"/>
          <w:color w:val="auto"/>
          <w:szCs w:val="21"/>
          <w:highlight w:val="none"/>
        </w:rPr>
        <w:t>姓名：</w:t>
      </w:r>
      <w:r>
        <w:rPr>
          <w:rFonts w:hAnsi="宋体"/>
          <w:color w:val="auto"/>
          <w:szCs w:val="21"/>
          <w:highlight w:val="none"/>
          <w:u w:val="single"/>
        </w:rPr>
        <w:t></w:t>
      </w:r>
      <w:r>
        <w:rPr>
          <w:rFonts w:ascii="Times New Roman" w:hAnsi="宋体"/>
          <w:color w:val="auto"/>
          <w:szCs w:val="21"/>
          <w:highlight w:val="none"/>
          <w:u w:val="single"/>
        </w:rPr>
        <w:t></w:t>
      </w:r>
      <w:r>
        <w:rPr>
          <w:rFonts w:hint="eastAsia" w:ascii="Times New Roman"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color w:val="auto"/>
          <w:szCs w:val="21"/>
          <w:highlight w:val="none"/>
        </w:rPr>
        <w:t>；</w:t>
      </w:r>
    </w:p>
    <w:p w14:paraId="3AFF1AFA">
      <w:pPr>
        <w:pStyle w:val="35"/>
        <w:spacing w:line="360" w:lineRule="auto"/>
        <w:ind w:firstLine="420" w:firstLineChars="200"/>
        <w:rPr>
          <w:color w:val="auto"/>
          <w:szCs w:val="21"/>
          <w:highlight w:val="none"/>
        </w:rPr>
      </w:pPr>
      <w:r>
        <w:rPr>
          <w:rFonts w:hint="eastAsia" w:hAnsi="宋体"/>
          <w:color w:val="auto"/>
          <w:szCs w:val="21"/>
          <w:highlight w:val="none"/>
        </w:rPr>
        <w:t>职务：</w:t>
      </w:r>
      <w:r>
        <w:rPr>
          <w:rFonts w:hAnsi="宋体"/>
          <w:color w:val="auto"/>
          <w:szCs w:val="21"/>
          <w:highlight w:val="none"/>
          <w:u w:val="single"/>
        </w:rPr>
        <w:t></w:t>
      </w:r>
      <w:r>
        <w:rPr>
          <w:rFonts w:ascii="Times New Roman" w:hAnsi="宋体"/>
          <w:color w:val="auto"/>
          <w:szCs w:val="21"/>
          <w:highlight w:val="none"/>
          <w:u w:val="single"/>
        </w:rPr>
        <w:t></w:t>
      </w:r>
      <w:r>
        <w:rPr>
          <w:rFonts w:hint="eastAsia" w:ascii="Times New Roman"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color w:val="auto"/>
          <w:szCs w:val="21"/>
          <w:highlight w:val="none"/>
        </w:rPr>
        <w:t>；</w:t>
      </w:r>
    </w:p>
    <w:p w14:paraId="19A955C4">
      <w:pPr>
        <w:pStyle w:val="35"/>
        <w:spacing w:line="360" w:lineRule="auto"/>
        <w:ind w:firstLine="420" w:firstLineChars="200"/>
        <w:rPr>
          <w:rFonts w:hAnsi="宋体"/>
          <w:color w:val="auto"/>
          <w:szCs w:val="21"/>
          <w:highlight w:val="none"/>
        </w:rPr>
      </w:pPr>
      <w:r>
        <w:rPr>
          <w:rFonts w:hint="eastAsia" w:hAnsi="宋体"/>
          <w:color w:val="auto"/>
          <w:szCs w:val="21"/>
          <w:highlight w:val="none"/>
        </w:rPr>
        <w:t>监理工程师执业资格证书号：</w:t>
      </w:r>
      <w:r>
        <w:rPr>
          <w:rFonts w:hAnsi="宋体"/>
          <w:color w:val="auto"/>
          <w:szCs w:val="21"/>
          <w:highlight w:val="none"/>
          <w:u w:val="single"/>
        </w:rPr>
        <w:t></w:t>
      </w:r>
      <w:r>
        <w:rPr>
          <w:rFonts w:hint="eastAsia" w:ascii="Times New Roman"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color w:val="auto"/>
          <w:szCs w:val="21"/>
          <w:highlight w:val="none"/>
        </w:rPr>
        <w:t>；</w:t>
      </w:r>
    </w:p>
    <w:p w14:paraId="73332FC2">
      <w:pPr>
        <w:pStyle w:val="35"/>
        <w:spacing w:line="360" w:lineRule="auto"/>
        <w:ind w:firstLine="420" w:firstLineChars="200"/>
        <w:rPr>
          <w:color w:val="auto"/>
          <w:szCs w:val="21"/>
          <w:highlight w:val="none"/>
        </w:rPr>
      </w:pPr>
      <w:r>
        <w:rPr>
          <w:rFonts w:hint="eastAsia" w:hAnsi="宋体"/>
          <w:color w:val="auto"/>
          <w:szCs w:val="21"/>
          <w:highlight w:val="none"/>
        </w:rPr>
        <w:t>联系电话：</w:t>
      </w:r>
      <w:r>
        <w:rPr>
          <w:rFonts w:hAnsi="宋体"/>
          <w:color w:val="auto"/>
          <w:szCs w:val="21"/>
          <w:highlight w:val="none"/>
          <w:u w:val="single"/>
        </w:rPr>
        <w:t></w:t>
      </w:r>
      <w:r>
        <w:rPr>
          <w:rFonts w:hint="eastAsia"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color w:val="auto"/>
          <w:szCs w:val="21"/>
          <w:highlight w:val="none"/>
        </w:rPr>
        <w:t>；</w:t>
      </w:r>
    </w:p>
    <w:p w14:paraId="77943F9E">
      <w:pPr>
        <w:pStyle w:val="35"/>
        <w:spacing w:line="360" w:lineRule="auto"/>
        <w:ind w:firstLine="420" w:firstLineChars="200"/>
        <w:rPr>
          <w:color w:val="auto"/>
          <w:szCs w:val="21"/>
          <w:highlight w:val="none"/>
        </w:rPr>
      </w:pPr>
      <w:r>
        <w:rPr>
          <w:rFonts w:hint="eastAsia" w:hAnsi="宋体"/>
          <w:color w:val="auto"/>
          <w:szCs w:val="21"/>
          <w:highlight w:val="none"/>
        </w:rPr>
        <w:t>电子信箱：</w:t>
      </w:r>
      <w:r>
        <w:rPr>
          <w:rFonts w:hAnsi="宋体"/>
          <w:color w:val="auto"/>
          <w:szCs w:val="21"/>
          <w:highlight w:val="none"/>
          <w:u w:val="single"/>
        </w:rPr>
        <w:t></w:t>
      </w:r>
      <w:r>
        <w:rPr>
          <w:rFonts w:ascii="Times New Roman" w:hAnsi="宋体"/>
          <w:color w:val="auto"/>
          <w:szCs w:val="21"/>
          <w:highlight w:val="none"/>
          <w:u w:val="single"/>
        </w:rPr>
        <w:t></w:t>
      </w:r>
      <w:r>
        <w:rPr>
          <w:rFonts w:hint="eastAsia" w:ascii="Times New Roman"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color w:val="auto"/>
          <w:szCs w:val="21"/>
          <w:highlight w:val="none"/>
        </w:rPr>
        <w:t>；</w:t>
      </w:r>
    </w:p>
    <w:p w14:paraId="0E5F19B7">
      <w:pPr>
        <w:pStyle w:val="35"/>
        <w:spacing w:line="360" w:lineRule="auto"/>
        <w:ind w:firstLine="420" w:firstLineChars="200"/>
        <w:rPr>
          <w:color w:val="auto"/>
          <w:szCs w:val="21"/>
          <w:highlight w:val="none"/>
        </w:rPr>
      </w:pPr>
      <w:r>
        <w:rPr>
          <w:rFonts w:hint="eastAsia" w:hAnsi="宋体"/>
          <w:color w:val="auto"/>
          <w:szCs w:val="21"/>
          <w:highlight w:val="none"/>
        </w:rPr>
        <w:t>通信地址：</w:t>
      </w:r>
      <w:r>
        <w:rPr>
          <w:rFonts w:hAnsi="宋体"/>
          <w:color w:val="auto"/>
          <w:szCs w:val="21"/>
          <w:highlight w:val="none"/>
          <w:u w:val="single"/>
        </w:rPr>
        <w:t></w:t>
      </w:r>
      <w:r>
        <w:rPr>
          <w:rFonts w:hint="eastAsia" w:ascii="Times New Roman" w:hAnsi="宋体"/>
          <w:color w:val="auto"/>
          <w:szCs w:val="21"/>
          <w:highlight w:val="none"/>
          <w:u w:val="single"/>
          <w:lang w:val="en-US" w:eastAsia="zh-CN"/>
        </w:rPr>
        <w:t xml:space="preserve">   </w:t>
      </w:r>
      <w:r>
        <w:rPr>
          <w:rFonts w:hAnsi="宋体"/>
          <w:color w:val="auto"/>
          <w:szCs w:val="21"/>
          <w:highlight w:val="none"/>
          <w:u w:val="single"/>
        </w:rPr>
        <w:t></w:t>
      </w:r>
      <w:r>
        <w:rPr>
          <w:rFonts w:hint="eastAsia" w:hAnsi="宋体"/>
          <w:color w:val="auto"/>
          <w:szCs w:val="21"/>
          <w:highlight w:val="none"/>
        </w:rPr>
        <w:t>；</w:t>
      </w:r>
    </w:p>
    <w:p w14:paraId="0E3F6E71">
      <w:pPr>
        <w:pStyle w:val="35"/>
        <w:spacing w:line="360" w:lineRule="auto"/>
        <w:ind w:firstLine="420" w:firstLineChars="200"/>
        <w:rPr>
          <w:color w:val="auto"/>
          <w:szCs w:val="21"/>
          <w:highlight w:val="none"/>
        </w:rPr>
      </w:pPr>
      <w:r>
        <w:rPr>
          <w:rFonts w:hint="eastAsia" w:hAnsi="宋体"/>
          <w:color w:val="auto"/>
          <w:szCs w:val="21"/>
          <w:highlight w:val="none"/>
        </w:rPr>
        <w:t>关于监理人的其他约定：</w:t>
      </w:r>
      <w:r>
        <w:rPr>
          <w:rFonts w:hint="eastAsia" w:ascii="新宋体" w:hAnsi="新宋体" w:eastAsia="新宋体" w:cs="新宋体"/>
          <w:color w:val="auto"/>
          <w:spacing w:val="2"/>
          <w:szCs w:val="21"/>
          <w:highlight w:val="none"/>
          <w:u w:val="single"/>
        </w:rPr>
        <w:t>按通用条款第 4.2 条执行</w:t>
      </w:r>
      <w:r>
        <w:rPr>
          <w:rFonts w:hint="eastAsia" w:hAnsi="宋体"/>
          <w:color w:val="auto"/>
          <w:szCs w:val="21"/>
          <w:highlight w:val="none"/>
        </w:rPr>
        <w:t>。</w:t>
      </w:r>
    </w:p>
    <w:p w14:paraId="33BEC577">
      <w:pPr>
        <w:pStyle w:val="33"/>
        <w:rPr>
          <w:rFonts w:ascii="Calibri" w:hAnsi="Calibri"/>
          <w:color w:val="auto"/>
          <w:highlight w:val="none"/>
        </w:rPr>
      </w:pPr>
      <w:bookmarkStart w:id="391" w:name="_Toc467599577"/>
      <w:bookmarkStart w:id="392" w:name="_Toc373478363"/>
      <w:bookmarkStart w:id="393" w:name="_Toc373227716"/>
      <w:bookmarkStart w:id="394" w:name="_Toc389065282"/>
      <w:r>
        <w:rPr>
          <w:rFonts w:ascii="Calibri" w:hAnsi="Calibri"/>
          <w:color w:val="auto"/>
          <w:highlight w:val="none"/>
        </w:rPr>
        <w:t xml:space="preserve">4.4 </w:t>
      </w:r>
      <w:r>
        <w:rPr>
          <w:rFonts w:hint="eastAsia" w:ascii="Calibri" w:hAnsi="宋体"/>
          <w:color w:val="auto"/>
          <w:highlight w:val="none"/>
        </w:rPr>
        <w:t>商定或确定</w:t>
      </w:r>
      <w:bookmarkEnd w:id="391"/>
      <w:bookmarkEnd w:id="392"/>
      <w:bookmarkEnd w:id="393"/>
      <w:bookmarkEnd w:id="394"/>
    </w:p>
    <w:p w14:paraId="4E1189DC">
      <w:pPr>
        <w:pStyle w:val="35"/>
        <w:spacing w:line="360" w:lineRule="auto"/>
        <w:ind w:firstLine="420" w:firstLineChars="200"/>
        <w:rPr>
          <w:color w:val="auto"/>
          <w:szCs w:val="21"/>
          <w:highlight w:val="none"/>
        </w:rPr>
      </w:pPr>
      <w:bookmarkStart w:id="395" w:name="_Toc267251418"/>
      <w:r>
        <w:rPr>
          <w:rFonts w:hint="eastAsia" w:hAnsi="宋体"/>
          <w:color w:val="auto"/>
          <w:szCs w:val="21"/>
          <w:highlight w:val="none"/>
        </w:rPr>
        <w:t>在发包人和承包人不能通过协商达成一致意见时，发包人授权监理人对以下事项进行确定：</w:t>
      </w:r>
    </w:p>
    <w:p w14:paraId="7919C70D">
      <w:pPr>
        <w:pStyle w:val="35"/>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1</w:t>
      </w:r>
      <w:r>
        <w:rPr>
          <w:rFonts w:hint="eastAsia" w:hAnsi="宋体"/>
          <w:color w:val="auto"/>
          <w:kern w:val="0"/>
          <w:szCs w:val="21"/>
          <w:highlight w:val="none"/>
        </w:rPr>
        <w:t>）</w:t>
      </w:r>
      <w:r>
        <w:rPr>
          <w:rFonts w:hint="eastAsia"/>
          <w:color w:val="auto"/>
          <w:szCs w:val="21"/>
          <w:highlight w:val="none"/>
          <w:u w:val="single"/>
        </w:rPr>
        <w:t>无</w:t>
      </w:r>
      <w:r>
        <w:rPr>
          <w:rFonts w:hint="eastAsia" w:hAnsi="宋体"/>
          <w:color w:val="auto"/>
          <w:szCs w:val="21"/>
          <w:highlight w:val="none"/>
        </w:rPr>
        <w:t>；</w:t>
      </w:r>
    </w:p>
    <w:p w14:paraId="08896308">
      <w:pPr>
        <w:pStyle w:val="35"/>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2</w:t>
      </w:r>
      <w:r>
        <w:rPr>
          <w:rFonts w:hint="eastAsia" w:hAnsi="宋体"/>
          <w:color w:val="auto"/>
          <w:kern w:val="0"/>
          <w:szCs w:val="21"/>
          <w:highlight w:val="none"/>
        </w:rPr>
        <w:t>）</w:t>
      </w:r>
      <w:r>
        <w:rPr>
          <w:rFonts w:hint="eastAsia"/>
          <w:color w:val="auto"/>
          <w:szCs w:val="21"/>
          <w:highlight w:val="none"/>
          <w:u w:val="single"/>
        </w:rPr>
        <w:t>无</w:t>
      </w:r>
      <w:r>
        <w:rPr>
          <w:rFonts w:hint="eastAsia" w:hAnsi="宋体"/>
          <w:color w:val="auto"/>
          <w:szCs w:val="21"/>
          <w:highlight w:val="none"/>
        </w:rPr>
        <w:t>；</w:t>
      </w:r>
    </w:p>
    <w:p w14:paraId="222D538F">
      <w:pPr>
        <w:pStyle w:val="35"/>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3</w:t>
      </w:r>
      <w:r>
        <w:rPr>
          <w:rFonts w:hint="eastAsia" w:hAnsi="宋体"/>
          <w:color w:val="auto"/>
          <w:kern w:val="0"/>
          <w:szCs w:val="21"/>
          <w:highlight w:val="none"/>
        </w:rPr>
        <w:t>）</w:t>
      </w:r>
      <w:r>
        <w:rPr>
          <w:rFonts w:hint="eastAsia"/>
          <w:color w:val="auto"/>
          <w:szCs w:val="21"/>
          <w:highlight w:val="none"/>
          <w:u w:val="single"/>
        </w:rPr>
        <w:t>无</w:t>
      </w:r>
      <w:r>
        <w:rPr>
          <w:rFonts w:hint="eastAsia" w:hAnsi="宋体"/>
          <w:color w:val="auto"/>
          <w:szCs w:val="21"/>
          <w:highlight w:val="none"/>
        </w:rPr>
        <w:t>。</w:t>
      </w:r>
    </w:p>
    <w:p w14:paraId="45516ADF">
      <w:pPr>
        <w:pStyle w:val="23"/>
        <w:rPr>
          <w:color w:val="auto"/>
          <w:highlight w:val="none"/>
        </w:rPr>
      </w:pPr>
      <w:bookmarkStart w:id="396" w:name="_Toc467599578"/>
      <w:bookmarkStart w:id="397" w:name="_Toc389065283"/>
      <w:bookmarkStart w:id="398" w:name="_Toc351203637"/>
      <w:bookmarkStart w:id="399" w:name="_Toc373478364"/>
      <w:bookmarkStart w:id="400" w:name="_Toc373227717"/>
      <w:r>
        <w:rPr>
          <w:color w:val="auto"/>
          <w:highlight w:val="none"/>
        </w:rPr>
        <w:t>5</w:t>
      </w:r>
      <w:bookmarkEnd w:id="395"/>
      <w:bookmarkStart w:id="401" w:name="_Toc296944502"/>
      <w:bookmarkStart w:id="402" w:name="_Toc296503163"/>
      <w:bookmarkStart w:id="403" w:name="_Toc296346664"/>
      <w:bookmarkStart w:id="404" w:name="_Toc292559872"/>
      <w:bookmarkStart w:id="405" w:name="_Toc296347162"/>
      <w:bookmarkStart w:id="406" w:name="_Toc297048349"/>
      <w:bookmarkStart w:id="407" w:name="_Toc292559367"/>
      <w:bookmarkStart w:id="408" w:name="_Toc296890991"/>
      <w:bookmarkStart w:id="409" w:name="_Toc296891203"/>
      <w:bookmarkStart w:id="410" w:name="_Toc297120463"/>
      <w:r>
        <w:rPr>
          <w:color w:val="auto"/>
          <w:highlight w:val="none"/>
        </w:rPr>
        <w:t xml:space="preserve">. </w:t>
      </w:r>
      <w:r>
        <w:rPr>
          <w:rFonts w:hint="eastAsia" w:hAnsi="宋体"/>
          <w:color w:val="auto"/>
          <w:highlight w:val="none"/>
        </w:rPr>
        <w:t>工程质量</w:t>
      </w:r>
      <w:bookmarkEnd w:id="396"/>
      <w:bookmarkEnd w:id="397"/>
      <w:bookmarkEnd w:id="398"/>
      <w:bookmarkEnd w:id="399"/>
      <w:bookmarkEnd w:id="400"/>
    </w:p>
    <w:p w14:paraId="67FBEF69">
      <w:pPr>
        <w:pStyle w:val="33"/>
        <w:rPr>
          <w:rFonts w:ascii="Calibri" w:hAnsi="Calibri"/>
          <w:color w:val="auto"/>
          <w:highlight w:val="none"/>
        </w:rPr>
      </w:pPr>
      <w:bookmarkStart w:id="411" w:name="_Toc373478365"/>
      <w:bookmarkStart w:id="412" w:name="_Toc467599579"/>
      <w:bookmarkStart w:id="413" w:name="_Toc373227718"/>
      <w:bookmarkStart w:id="414" w:name="_Toc389065284"/>
      <w:r>
        <w:rPr>
          <w:rFonts w:ascii="Calibri" w:hAnsi="Calibri"/>
          <w:color w:val="auto"/>
          <w:highlight w:val="none"/>
        </w:rPr>
        <w:t xml:space="preserve">5.1 </w:t>
      </w:r>
      <w:r>
        <w:rPr>
          <w:rFonts w:hint="eastAsia" w:ascii="Calibri" w:hAnsi="宋体"/>
          <w:color w:val="auto"/>
          <w:highlight w:val="none"/>
        </w:rPr>
        <w:t>质量要求</w:t>
      </w:r>
      <w:bookmarkEnd w:id="411"/>
      <w:bookmarkEnd w:id="412"/>
      <w:bookmarkEnd w:id="413"/>
      <w:bookmarkEnd w:id="414"/>
    </w:p>
    <w:p w14:paraId="4ACBA873">
      <w:pPr>
        <w:pStyle w:val="35"/>
        <w:spacing w:line="360" w:lineRule="auto"/>
        <w:ind w:firstLine="420" w:firstLineChars="200"/>
        <w:jc w:val="left"/>
        <w:rPr>
          <w:color w:val="auto"/>
          <w:szCs w:val="21"/>
          <w:highlight w:val="none"/>
          <w:u w:val="single"/>
        </w:rPr>
      </w:pPr>
      <w:r>
        <w:rPr>
          <w:color w:val="auto"/>
          <w:szCs w:val="21"/>
          <w:highlight w:val="none"/>
        </w:rPr>
        <w:t>5</w:t>
      </w:r>
      <w:bookmarkStart w:id="415" w:name="_Toc303539106"/>
      <w:bookmarkStart w:id="416" w:name="_Toc304295527"/>
      <w:bookmarkStart w:id="417" w:name="_Toc297216155"/>
      <w:bookmarkStart w:id="418" w:name="_Toc312677997"/>
      <w:bookmarkStart w:id="419" w:name="_Toc300934949"/>
      <w:bookmarkStart w:id="420" w:name="_Toc318581164"/>
      <w:bookmarkStart w:id="421" w:name="_Toc297123496"/>
      <w:r>
        <w:rPr>
          <w:color w:val="auto"/>
          <w:szCs w:val="21"/>
          <w:highlight w:val="none"/>
        </w:rPr>
        <w:t xml:space="preserve">.1.1 </w:t>
      </w:r>
      <w:r>
        <w:rPr>
          <w:rFonts w:hint="eastAsia" w:hAnsi="宋体"/>
          <w:color w:val="auto"/>
          <w:szCs w:val="21"/>
          <w:highlight w:val="none"/>
        </w:rPr>
        <w:t>特殊质量标准和要求：</w:t>
      </w:r>
      <w:r>
        <w:rPr>
          <w:rFonts w:hint="eastAsia"/>
          <w:color w:val="auto"/>
          <w:szCs w:val="21"/>
          <w:highlight w:val="none"/>
          <w:u w:val="single"/>
        </w:rPr>
        <w:t>特殊要求：严格执行广西壮族自治区住房和城乡建设厅《关于严格实行房屋建筑和市政基础设施工程质量终身责任承诺、永久性质量责任标牌、终身责任信息档案等制度的通知》</w:t>
      </w:r>
      <w:r>
        <w:rPr>
          <w:color w:val="auto"/>
          <w:szCs w:val="21"/>
          <w:highlight w:val="none"/>
          <w:u w:val="single"/>
        </w:rPr>
        <w:t>(</w:t>
      </w:r>
      <w:r>
        <w:rPr>
          <w:rFonts w:hint="eastAsia"/>
          <w:color w:val="auto"/>
          <w:szCs w:val="21"/>
          <w:highlight w:val="none"/>
          <w:u w:val="single"/>
        </w:rPr>
        <w:t>桂建管</w:t>
      </w:r>
      <w:r>
        <w:rPr>
          <w:color w:val="auto"/>
          <w:szCs w:val="21"/>
          <w:highlight w:val="none"/>
          <w:u w:val="single"/>
        </w:rPr>
        <w:t>[2014]96</w:t>
      </w:r>
      <w:r>
        <w:rPr>
          <w:rFonts w:hint="eastAsia"/>
          <w:color w:val="auto"/>
          <w:szCs w:val="21"/>
          <w:highlight w:val="none"/>
          <w:u w:val="single"/>
        </w:rPr>
        <w:t>号</w:t>
      </w:r>
      <w:r>
        <w:rPr>
          <w:color w:val="auto"/>
          <w:szCs w:val="21"/>
          <w:highlight w:val="none"/>
          <w:u w:val="single"/>
        </w:rPr>
        <w:t>)</w:t>
      </w:r>
      <w:r>
        <w:rPr>
          <w:rFonts w:hint="eastAsia"/>
          <w:color w:val="auto"/>
          <w:szCs w:val="21"/>
          <w:highlight w:val="none"/>
          <w:u w:val="single"/>
        </w:rPr>
        <w:t>和南宁市城乡建设委员会《关于落实建设工程质量终身责任，加强工程质量管理的通知》（南建质安</w:t>
      </w:r>
      <w:r>
        <w:rPr>
          <w:color w:val="auto"/>
          <w:szCs w:val="21"/>
          <w:highlight w:val="none"/>
          <w:u w:val="single"/>
        </w:rPr>
        <w:t>[2014]155</w:t>
      </w:r>
      <w:r>
        <w:rPr>
          <w:rFonts w:hint="eastAsia"/>
          <w:color w:val="auto"/>
          <w:szCs w:val="21"/>
          <w:highlight w:val="none"/>
          <w:u w:val="single"/>
        </w:rPr>
        <w:t>号）要求，落实建设工程质量终身责任。</w:t>
      </w:r>
    </w:p>
    <w:p w14:paraId="05C7F791">
      <w:pPr>
        <w:spacing w:line="360" w:lineRule="auto"/>
        <w:ind w:firstLine="420" w:firstLineChars="200"/>
        <w:jc w:val="left"/>
        <w:rPr>
          <w:rFonts w:hint="default" w:ascii="宋体" w:hAnsi="宋体" w:eastAsia="宋体"/>
          <w:color w:val="auto"/>
          <w:szCs w:val="21"/>
          <w:highlight w:val="none"/>
          <w:lang w:val="en-US"/>
        </w:rPr>
      </w:pPr>
      <w:r>
        <w:rPr>
          <w:rFonts w:hint="eastAsia"/>
          <w:color w:val="auto"/>
          <w:szCs w:val="21"/>
          <w:highlight w:val="none"/>
        </w:rPr>
        <w:t>关于工程奖项的约定：</w:t>
      </w:r>
      <w:r>
        <w:rPr>
          <w:rFonts w:hint="eastAsia"/>
          <w:color w:val="auto"/>
          <w:szCs w:val="21"/>
          <w:highlight w:val="none"/>
          <w:u w:val="single"/>
          <w:lang w:val="en-US" w:eastAsia="zh-CN"/>
        </w:rPr>
        <w:t xml:space="preserve">   无</w:t>
      </w:r>
      <w:r>
        <w:rPr>
          <w:rFonts w:hint="eastAsia" w:ascii="Calibri" w:hAnsi="Calibri" w:cs="Times New Roman"/>
          <w:color w:val="auto"/>
          <w:kern w:val="2"/>
          <w:sz w:val="21"/>
          <w:szCs w:val="21"/>
          <w:highlight w:val="none"/>
          <w:u w:val="single"/>
          <w:lang w:val="en-US" w:eastAsia="zh-CN" w:bidi="ar-SA"/>
        </w:rPr>
        <w:t xml:space="preserve">      </w:t>
      </w:r>
    </w:p>
    <w:p w14:paraId="760324C0">
      <w:pPr>
        <w:pStyle w:val="27"/>
        <w:snapToGrid w:val="0"/>
        <w:rPr>
          <w:rFonts w:ascii="宋 体" w:hAnsi="宋 体" w:eastAsia="宋 体" w:cs="宋 体"/>
          <w:color w:val="auto"/>
          <w:highlight w:val="none"/>
          <w:u w:val="single"/>
          <w:lang w:val="zh-CN"/>
        </w:rPr>
      </w:pPr>
    </w:p>
    <w:p w14:paraId="3CB1AFCA">
      <w:pPr>
        <w:pStyle w:val="35"/>
        <w:spacing w:line="360" w:lineRule="auto"/>
        <w:ind w:firstLine="420" w:firstLineChars="200"/>
        <w:jc w:val="left"/>
        <w:rPr>
          <w:color w:val="auto"/>
          <w:szCs w:val="21"/>
          <w:highlight w:val="none"/>
        </w:rPr>
      </w:pPr>
      <w:r>
        <w:rPr>
          <w:color w:val="auto"/>
          <w:szCs w:val="21"/>
          <w:highlight w:val="none"/>
        </w:rPr>
        <w:t xml:space="preserve">5.3 </w:t>
      </w:r>
      <w:r>
        <w:rPr>
          <w:rFonts w:hint="eastAsia" w:hAnsi="宋体"/>
          <w:color w:val="auto"/>
          <w:szCs w:val="21"/>
          <w:highlight w:val="none"/>
        </w:rPr>
        <w:t>隐蔽工程检查</w:t>
      </w:r>
    </w:p>
    <w:p w14:paraId="33343058">
      <w:pPr>
        <w:pStyle w:val="35"/>
        <w:spacing w:line="360" w:lineRule="auto"/>
        <w:ind w:firstLine="420" w:firstLineChars="200"/>
        <w:jc w:val="left"/>
        <w:rPr>
          <w:rFonts w:hAnsi="宋体"/>
          <w:bCs/>
          <w:color w:val="auto"/>
          <w:szCs w:val="21"/>
          <w:highlight w:val="none"/>
        </w:rPr>
      </w:pPr>
      <w:r>
        <w:rPr>
          <w:color w:val="auto"/>
          <w:szCs w:val="21"/>
          <w:highlight w:val="none"/>
        </w:rPr>
        <w:t>5.3.2</w:t>
      </w:r>
      <w:r>
        <w:rPr>
          <w:rFonts w:hint="eastAsia" w:hAnsi="宋体"/>
          <w:color w:val="auto"/>
          <w:szCs w:val="21"/>
          <w:highlight w:val="none"/>
        </w:rPr>
        <w:t>承包人提前通知监理人隐蔽工程检查的期限的约定：</w:t>
      </w:r>
      <w:r>
        <w:rPr>
          <w:rFonts w:hint="eastAsia" w:hAnsi="宋体"/>
          <w:bCs/>
          <w:color w:val="auto"/>
          <w:szCs w:val="21"/>
          <w:highlight w:val="none"/>
        </w:rPr>
        <w:t>工程隐蔽或中间验收前</w:t>
      </w:r>
      <w:r>
        <w:rPr>
          <w:bCs/>
          <w:color w:val="auto"/>
          <w:szCs w:val="21"/>
          <w:highlight w:val="none"/>
        </w:rPr>
        <w:t>12</w:t>
      </w:r>
      <w:r>
        <w:rPr>
          <w:rFonts w:hint="eastAsia" w:hAnsi="宋体"/>
          <w:bCs/>
          <w:color w:val="auto"/>
          <w:szCs w:val="21"/>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1B079E3">
      <w:pPr>
        <w:pStyle w:val="35"/>
        <w:spacing w:line="360" w:lineRule="auto"/>
        <w:ind w:firstLine="420" w:firstLineChars="200"/>
        <w:jc w:val="left"/>
        <w:rPr>
          <w:color w:val="auto"/>
          <w:szCs w:val="21"/>
          <w:highlight w:val="none"/>
          <w:u w:val="single"/>
        </w:rPr>
      </w:pPr>
      <w:r>
        <w:rPr>
          <w:color w:val="auto"/>
          <w:szCs w:val="21"/>
          <w:highlight w:val="none"/>
          <w:u w:val="single"/>
        </w:rPr>
        <w:t>*</w:t>
      </w:r>
      <w:r>
        <w:rPr>
          <w:rFonts w:hint="eastAsia"/>
          <w:color w:val="auto"/>
          <w:szCs w:val="21"/>
          <w:highlight w:val="none"/>
          <w:u w:val="single"/>
        </w:rPr>
        <w:t>工程师应在承包人约定时间到达现场进行隐蔽中间验收工作（不得以任何理由改期），如果在约定时间超过两小时内工程师未到现场（有发包方现场代表证明），承包人可自行隐蔽继续施工，后果由工程师承担。但在约定时间承包人未到现场及超过约定时间两小时，工程师可另订时间验收，承包人不得有异议且承担由此引发的责任。</w:t>
      </w:r>
    </w:p>
    <w:p w14:paraId="04864346">
      <w:pPr>
        <w:pStyle w:val="35"/>
        <w:spacing w:line="360" w:lineRule="auto"/>
        <w:ind w:firstLine="420" w:firstLineChars="200"/>
        <w:jc w:val="left"/>
        <w:rPr>
          <w:color w:val="auto"/>
          <w:szCs w:val="21"/>
          <w:highlight w:val="none"/>
        </w:rPr>
      </w:pPr>
      <w:r>
        <w:rPr>
          <w:rFonts w:hint="eastAsia" w:hAnsi="宋体"/>
          <w:color w:val="auto"/>
          <w:szCs w:val="21"/>
          <w:highlight w:val="none"/>
        </w:rPr>
        <w:t>监理人不能按时进行检查时，应提前</w:t>
      </w:r>
      <w:r>
        <w:rPr>
          <w:color w:val="auto"/>
          <w:szCs w:val="21"/>
          <w:highlight w:val="none"/>
          <w:u w:val="single"/>
        </w:rPr>
        <w:t xml:space="preserve"> 24 </w:t>
      </w:r>
      <w:r>
        <w:rPr>
          <w:rFonts w:hint="eastAsia" w:hAnsi="宋体"/>
          <w:color w:val="auto"/>
          <w:szCs w:val="21"/>
          <w:highlight w:val="none"/>
        </w:rPr>
        <w:t>小时提交书面延期要求。</w:t>
      </w:r>
    </w:p>
    <w:p w14:paraId="27904A8D">
      <w:pPr>
        <w:pStyle w:val="35"/>
        <w:spacing w:line="360" w:lineRule="auto"/>
        <w:ind w:firstLine="420" w:firstLineChars="200"/>
        <w:jc w:val="left"/>
        <w:rPr>
          <w:color w:val="auto"/>
          <w:szCs w:val="21"/>
          <w:highlight w:val="none"/>
        </w:rPr>
      </w:pPr>
      <w:r>
        <w:rPr>
          <w:rFonts w:hint="eastAsia" w:hAnsi="宋体"/>
          <w:color w:val="auto"/>
          <w:szCs w:val="21"/>
          <w:highlight w:val="none"/>
        </w:rPr>
        <w:t>关于延期最长不得超过：</w:t>
      </w:r>
      <w:r>
        <w:rPr>
          <w:color w:val="auto"/>
          <w:szCs w:val="21"/>
          <w:highlight w:val="none"/>
          <w:u w:val="single"/>
        </w:rPr>
        <w:t xml:space="preserve">  48   </w:t>
      </w:r>
      <w:r>
        <w:rPr>
          <w:rFonts w:hint="eastAsia" w:hAnsi="宋体"/>
          <w:color w:val="auto"/>
          <w:szCs w:val="21"/>
          <w:highlight w:val="none"/>
        </w:rPr>
        <w:t>小时。</w:t>
      </w:r>
    </w:p>
    <w:p w14:paraId="5F292186">
      <w:pPr>
        <w:pStyle w:val="23"/>
        <w:rPr>
          <w:color w:val="auto"/>
          <w:highlight w:val="none"/>
        </w:rPr>
      </w:pPr>
      <w:bookmarkStart w:id="422" w:name="_Toc373478366"/>
      <w:bookmarkStart w:id="423" w:name="_Toc351203638"/>
      <w:bookmarkStart w:id="424" w:name="_Toc389065285"/>
      <w:bookmarkStart w:id="425" w:name="_Toc373227719"/>
      <w:bookmarkStart w:id="426" w:name="_Toc467599580"/>
      <w:r>
        <w:rPr>
          <w:color w:val="auto"/>
          <w:highlight w:val="none"/>
        </w:rPr>
        <w:t xml:space="preserve">6. </w:t>
      </w:r>
      <w:r>
        <w:rPr>
          <w:rFonts w:hint="eastAsia"/>
          <w:color w:val="auto"/>
          <w:highlight w:val="none"/>
        </w:rPr>
        <w:t>安全文明施工与环境保护</w:t>
      </w:r>
      <w:bookmarkEnd w:id="422"/>
      <w:bookmarkEnd w:id="423"/>
      <w:bookmarkEnd w:id="424"/>
      <w:bookmarkEnd w:id="425"/>
      <w:bookmarkEnd w:id="426"/>
    </w:p>
    <w:p w14:paraId="26F8C970">
      <w:pPr>
        <w:pStyle w:val="33"/>
        <w:rPr>
          <w:rFonts w:ascii="Calibri" w:hAnsi="Calibri"/>
          <w:color w:val="auto"/>
          <w:highlight w:val="none"/>
        </w:rPr>
      </w:pPr>
      <w:bookmarkStart w:id="427" w:name="_Toc373478367"/>
      <w:bookmarkStart w:id="428" w:name="_Toc373227720"/>
      <w:bookmarkStart w:id="429" w:name="_Toc389065286"/>
      <w:bookmarkStart w:id="430" w:name="_Toc467599581"/>
      <w:r>
        <w:rPr>
          <w:rFonts w:ascii="Calibri" w:hAnsi="Calibri"/>
          <w:color w:val="auto"/>
          <w:highlight w:val="none"/>
        </w:rPr>
        <w:t xml:space="preserve">6.1 </w:t>
      </w:r>
      <w:r>
        <w:rPr>
          <w:rFonts w:hint="eastAsia" w:ascii="Calibri" w:hAnsi="Calibri"/>
          <w:color w:val="auto"/>
          <w:highlight w:val="none"/>
        </w:rPr>
        <w:t>安全文明施工</w:t>
      </w:r>
      <w:bookmarkEnd w:id="427"/>
      <w:bookmarkEnd w:id="428"/>
      <w:bookmarkEnd w:id="429"/>
      <w:bookmarkEnd w:id="430"/>
    </w:p>
    <w:p w14:paraId="3EEDE5C2">
      <w:pPr>
        <w:pStyle w:val="35"/>
        <w:spacing w:line="360" w:lineRule="auto"/>
        <w:ind w:firstLine="420" w:firstLineChars="200"/>
        <w:jc w:val="left"/>
        <w:rPr>
          <w:rFonts w:hAnsi="宋体"/>
          <w:color w:val="auto"/>
          <w:szCs w:val="21"/>
          <w:highlight w:val="none"/>
          <w:u w:val="single"/>
        </w:rPr>
      </w:pPr>
      <w:r>
        <w:rPr>
          <w:color w:val="auto"/>
          <w:szCs w:val="21"/>
          <w:highlight w:val="none"/>
        </w:rPr>
        <w:t xml:space="preserve">6.1.1 </w:t>
      </w:r>
      <w:r>
        <w:rPr>
          <w:rFonts w:hint="eastAsia" w:hAnsi="宋体"/>
          <w:color w:val="auto"/>
          <w:szCs w:val="21"/>
          <w:highlight w:val="none"/>
        </w:rPr>
        <w:t>项目安全生产的达标目标及相应事项的约定：</w:t>
      </w:r>
      <w:r>
        <w:rPr>
          <w:rFonts w:hint="eastAsia" w:ascii="新宋体" w:hAnsi="新宋体" w:eastAsia="新宋体" w:cs="新宋体"/>
          <w:color w:val="auto"/>
          <w:spacing w:val="2"/>
          <w:szCs w:val="21"/>
          <w:highlight w:val="none"/>
          <w:u w:val="single"/>
        </w:rPr>
        <w:t>按通用条款 6.1.1 条执行</w:t>
      </w:r>
      <w:r>
        <w:rPr>
          <w:rFonts w:hint="eastAsia" w:hAnsi="宋体"/>
          <w:color w:val="auto"/>
          <w:szCs w:val="21"/>
          <w:highlight w:val="none"/>
          <w:u w:val="single"/>
        </w:rPr>
        <w:t>。</w:t>
      </w:r>
    </w:p>
    <w:p w14:paraId="70C8A047">
      <w:pPr>
        <w:pStyle w:val="35"/>
        <w:spacing w:line="360" w:lineRule="auto"/>
        <w:ind w:firstLine="420" w:firstLineChars="200"/>
        <w:jc w:val="left"/>
        <w:rPr>
          <w:rFonts w:hint="default" w:ascii="新宋体" w:hAnsi="新宋体" w:eastAsia="新宋体" w:cs="新宋体"/>
          <w:color w:val="auto"/>
          <w:spacing w:val="2"/>
          <w:szCs w:val="21"/>
          <w:highlight w:val="none"/>
          <w:u w:val="single"/>
          <w:lang w:val="en-US" w:eastAsia="zh-CN"/>
        </w:rPr>
      </w:pPr>
      <w:r>
        <w:rPr>
          <w:rFonts w:hint="eastAsia" w:hAnsi="宋体"/>
          <w:color w:val="auto"/>
          <w:szCs w:val="21"/>
          <w:highlight w:val="none"/>
        </w:rPr>
        <w:t>关于安全文明施工奖项的约定：</w:t>
      </w:r>
      <w:r>
        <w:rPr>
          <w:rFonts w:hint="eastAsia" w:hAnsi="宋体"/>
          <w:color w:val="auto"/>
          <w:szCs w:val="21"/>
          <w:highlight w:val="none"/>
          <w:u w:val="single"/>
          <w:lang w:val="en-US" w:eastAsia="zh-CN"/>
        </w:rPr>
        <w:t xml:space="preserve">     无</w:t>
      </w:r>
      <w:r>
        <w:rPr>
          <w:rFonts w:hint="eastAsia" w:ascii="新宋体" w:hAnsi="新宋体" w:eastAsia="新宋体" w:cs="新宋体"/>
          <w:color w:val="auto"/>
          <w:spacing w:val="2"/>
          <w:szCs w:val="21"/>
          <w:highlight w:val="none"/>
          <w:u w:val="single"/>
          <w:lang w:val="en-US" w:eastAsia="zh-CN"/>
        </w:rPr>
        <w:t xml:space="preserve">     </w:t>
      </w:r>
    </w:p>
    <w:p w14:paraId="2D51EC49">
      <w:pPr>
        <w:pStyle w:val="35"/>
        <w:spacing w:line="360" w:lineRule="auto"/>
        <w:ind w:firstLine="420" w:firstLineChars="200"/>
        <w:jc w:val="left"/>
        <w:rPr>
          <w:color w:val="auto"/>
          <w:szCs w:val="21"/>
          <w:highlight w:val="none"/>
          <w:u w:val="single"/>
        </w:rPr>
      </w:pPr>
      <w:r>
        <w:rPr>
          <w:color w:val="auto"/>
          <w:szCs w:val="21"/>
          <w:highlight w:val="none"/>
        </w:rPr>
        <w:t xml:space="preserve">6.1.4 </w:t>
      </w:r>
      <w:r>
        <w:rPr>
          <w:rFonts w:hint="eastAsia" w:hAnsi="宋体"/>
          <w:color w:val="auto"/>
          <w:szCs w:val="21"/>
          <w:highlight w:val="none"/>
        </w:rPr>
        <w:t>关于治安保卫的特别约定：</w:t>
      </w:r>
      <w:r>
        <w:rPr>
          <w:rFonts w:hint="eastAsia" w:hAnsi="宋体"/>
          <w:color w:val="auto"/>
          <w:szCs w:val="21"/>
          <w:highlight w:val="none"/>
          <w:u w:val="single"/>
        </w:rPr>
        <w:t>承包人应承担施工安全保卫工作及非夜间施工照明的责任，承包人应采取一切合理的预防措施，防止人员伤亡、财产损失和交通事故，否则造成的一切损失费用由承包人承担。承包人生活设施及施工场应自费配备消防设备，防止火灾发生。</w:t>
      </w:r>
    </w:p>
    <w:p w14:paraId="68A7CA5D">
      <w:pPr>
        <w:pStyle w:val="35"/>
        <w:spacing w:line="360" w:lineRule="auto"/>
        <w:ind w:firstLine="420" w:firstLineChars="200"/>
        <w:jc w:val="left"/>
        <w:rPr>
          <w:color w:val="auto"/>
          <w:szCs w:val="21"/>
          <w:highlight w:val="none"/>
        </w:rPr>
      </w:pPr>
      <w:r>
        <w:rPr>
          <w:rFonts w:hint="eastAsia" w:hAnsi="宋体"/>
          <w:color w:val="auto"/>
          <w:szCs w:val="21"/>
          <w:highlight w:val="none"/>
        </w:rPr>
        <w:t>关于编制施工场地治安管理计划的约定：</w:t>
      </w:r>
      <w:r>
        <w:rPr>
          <w:rFonts w:hint="eastAsia" w:ascii="新宋体" w:hAnsi="新宋体" w:eastAsia="新宋体" w:cs="新宋体"/>
          <w:color w:val="auto"/>
          <w:spacing w:val="2"/>
          <w:szCs w:val="21"/>
          <w:highlight w:val="none"/>
          <w:u w:val="single"/>
        </w:rPr>
        <w:t>开工前提供施工场地治安管理计划</w:t>
      </w:r>
      <w:r>
        <w:rPr>
          <w:rFonts w:hint="eastAsia" w:hAnsi="宋体"/>
          <w:color w:val="auto"/>
          <w:szCs w:val="21"/>
          <w:highlight w:val="none"/>
        </w:rPr>
        <w:t>。</w:t>
      </w:r>
    </w:p>
    <w:p w14:paraId="6F25A1CA">
      <w:pPr>
        <w:spacing w:line="360" w:lineRule="auto"/>
        <w:ind w:firstLine="420" w:firstLineChars="200"/>
        <w:jc w:val="left"/>
        <w:rPr>
          <w:rFonts w:ascii="宋体" w:hAnsi="宋体" w:eastAsia="宋体"/>
          <w:color w:val="auto"/>
          <w:szCs w:val="21"/>
          <w:highlight w:val="none"/>
        </w:rPr>
      </w:pPr>
      <w:bookmarkStart w:id="431" w:name="_Toc373227721"/>
      <w:bookmarkStart w:id="432" w:name="_Toc373478368"/>
      <w:bookmarkStart w:id="433" w:name="_Toc389065287"/>
      <w:bookmarkStart w:id="434" w:name="_Toc467599582"/>
      <w:r>
        <w:rPr>
          <w:rFonts w:hint="eastAsia" w:ascii="宋体" w:hAnsi="宋体" w:eastAsia="宋体"/>
          <w:color w:val="auto"/>
          <w:szCs w:val="21"/>
          <w:highlight w:val="none"/>
        </w:rPr>
        <w:t>6.1.5 文明施工</w:t>
      </w:r>
    </w:p>
    <w:p w14:paraId="01B06FD0">
      <w:pPr>
        <w:widowControl/>
        <w:numPr>
          <w:ilvl w:val="0"/>
          <w:numId w:val="0"/>
        </w:numPr>
        <w:shd w:val="clear" w:color="auto" w:fill="FFFFFF"/>
        <w:spacing w:line="530" w:lineRule="exact"/>
        <w:ind w:firstLine="420" w:firstLineChars="200"/>
        <w:jc w:val="left"/>
        <w:outlineLvl w:val="1"/>
        <w:rPr>
          <w:rFonts w:hint="eastAsia" w:ascii="宋体" w:hAnsi="宋体" w:eastAsia="宋体"/>
          <w:color w:val="auto"/>
          <w:szCs w:val="21"/>
          <w:highlight w:val="none"/>
        </w:rPr>
      </w:pPr>
      <w:r>
        <w:rPr>
          <w:rFonts w:hint="eastAsia" w:ascii="宋体" w:hAnsi="宋体" w:eastAsia="宋体"/>
          <w:color w:val="auto"/>
          <w:szCs w:val="21"/>
          <w:highlight w:val="none"/>
        </w:rPr>
        <w:t>合同当事人对文明施工的要求：严格执行《大气污染防治法》（主席令第三十一号）、《广西壮族自治区建筑工程安全生产管理办法》（广西壮族自治区人民政府令第124号）</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《南宁市建设工程质量和安全生产管理办法》（南宁市政府令第 46 号）、《关于推进建筑业改革发展提升工程治理水平的若干意见》（南府规[2016]24 号）、《南宁市土方作业文明施工工作导则》、《南宁市建设工程质量安全标准化图集》、《广西壮族自治区建设工程安全文明施工费使用管理细则》（桂建质[2015]16 号）、《南宁市建设工程施工现场管理若干规定》（南宁市人民政府令 第8号）、《〈南宁市建设工程施工现场管理若干规定〉贯彻实施工作方案》(南府办函[2018]375号)的有关规定，必须与经城管部门及行业协会核查建立的合法合规运输企业名录当中的企业签订运输合同，保证车辆受管控、服务够专业、利益分配较合理；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w:t>
      </w:r>
    </w:p>
    <w:p w14:paraId="6A255FAF">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6.1.6 关于安全文明施工费支付比例和支付期限的约定：</w:t>
      </w:r>
    </w:p>
    <w:p w14:paraId="65B88BF5">
      <w:pPr>
        <w:spacing w:line="360" w:lineRule="auto"/>
        <w:ind w:firstLine="420" w:firstLineChars="200"/>
        <w:jc w:val="left"/>
        <w:rPr>
          <w:rFonts w:ascii="宋体" w:hAnsi="宋体" w:eastAsia="宋体"/>
          <w:color w:val="auto"/>
          <w:szCs w:val="21"/>
          <w:highlight w:val="none"/>
          <w:u w:val="single"/>
        </w:rPr>
      </w:pPr>
      <w:r>
        <w:rPr>
          <w:rFonts w:hint="eastAsia" w:ascii="宋体" w:hAnsi="宋体" w:eastAsia="宋体"/>
          <w:color w:val="auto"/>
          <w:szCs w:val="21"/>
          <w:highlight w:val="none"/>
        </w:rPr>
        <w:t>（1）本合同价款已包含安全文明施工费</w:t>
      </w:r>
      <w:r>
        <w:rPr>
          <w:rFonts w:hint="eastAsia" w:ascii="宋体" w:hAnsi="宋体" w:eastAsia="宋体"/>
          <w:color w:val="auto"/>
          <w:szCs w:val="21"/>
          <w:highlight w:val="none"/>
          <w:u w:val="single"/>
          <w:lang w:val="en-US" w:eastAsia="zh-CN"/>
        </w:rPr>
        <w:t xml:space="preserve"> </w:t>
      </w:r>
      <w:r>
        <w:rPr>
          <w:rFonts w:hint="eastAsia" w:ascii="宋体" w:hAnsi="宋体" w:eastAsia="宋体"/>
          <w:strike w:val="0"/>
          <w:dstrike w:val="0"/>
          <w:color w:val="auto"/>
          <w:szCs w:val="21"/>
          <w:highlight w:val="none"/>
          <w:u w:val="single"/>
          <w:lang w:val="en-US" w:eastAsia="zh-CN"/>
        </w:rPr>
        <w:t xml:space="preserve">   </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rPr>
        <w:t>元。</w:t>
      </w:r>
    </w:p>
    <w:p w14:paraId="4191D5E3">
      <w:pPr>
        <w:spacing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（2）使用要求：承包人</w:t>
      </w:r>
      <w:r>
        <w:rPr>
          <w:rFonts w:hint="eastAsia" w:ascii="宋体" w:hAnsi="宋体" w:eastAsia="宋体"/>
          <w:color w:val="auto"/>
          <w:szCs w:val="21"/>
          <w:highlight w:val="none"/>
          <w:lang w:eastAsia="zh-CN"/>
        </w:rPr>
        <w:t>设立的安全生产费用专帐户，</w:t>
      </w:r>
      <w:r>
        <w:rPr>
          <w:rFonts w:hint="eastAsia" w:ascii="宋体" w:hAnsi="宋体" w:eastAsia="宋体"/>
          <w:color w:val="auto"/>
          <w:szCs w:val="21"/>
          <w:highlight w:val="none"/>
        </w:rPr>
        <w:t>专款专用。具体按《广西壮族自治区建设工程安全文明施工费使用管理细则》（桂建质〔2015〕16号）和《南宁市建设工程施工现场管理若干规定》（南宁市人民政府令 第8号）、《〈南宁市建设工程施工现场管理若干规定〉贯彻实施工作方案》(南府办函[2018]375号)、《关于明确安全文明施工措施费和扬尘污染防治费用使用管理的通知》（南建管字[2019]3号）相关规定执行。</w:t>
      </w:r>
    </w:p>
    <w:p w14:paraId="2B29D944">
      <w:pPr>
        <w:spacing w:line="360" w:lineRule="auto"/>
        <w:ind w:firstLine="420" w:firstLineChars="200"/>
        <w:jc w:val="left"/>
        <w:rPr>
          <w:rFonts w:hint="eastAsia" w:ascii="宋体" w:hAnsi="宋体" w:eastAsia="宋体"/>
          <w:color w:val="auto"/>
          <w:szCs w:val="21"/>
          <w:highlight w:val="none"/>
          <w:lang w:val="zh-TW" w:eastAsia="zh-CN"/>
        </w:rPr>
      </w:pPr>
      <w:r>
        <w:rPr>
          <w:rFonts w:hint="eastAsia" w:ascii="宋体" w:hAnsi="宋体" w:eastAsia="宋体"/>
          <w:color w:val="auto"/>
          <w:szCs w:val="21"/>
          <w:highlight w:val="none"/>
        </w:rPr>
        <w:t>（3）支付约定：</w:t>
      </w:r>
      <w:r>
        <w:rPr>
          <w:rFonts w:hint="eastAsia" w:ascii="宋体" w:hAnsi="宋体" w:eastAsia="宋体"/>
          <w:color w:val="auto"/>
          <w:szCs w:val="21"/>
          <w:highlight w:val="none"/>
          <w:lang w:val="zh-TW" w:eastAsia="zh-TW"/>
        </w:rPr>
        <w:t>采用</w:t>
      </w:r>
      <w:r>
        <w:rPr>
          <w:rFonts w:hint="eastAsia" w:ascii="宋体" w:hAnsi="宋体" w:eastAsia="宋体"/>
          <w:color w:val="auto"/>
          <w:szCs w:val="21"/>
          <w:highlight w:val="none"/>
          <w:lang w:val="zh-TW" w:eastAsia="zh-CN"/>
        </w:rPr>
        <w:t>据实</w:t>
      </w:r>
      <w:r>
        <w:rPr>
          <w:rFonts w:hint="eastAsia" w:ascii="宋体" w:hAnsi="宋体" w:eastAsia="宋体"/>
          <w:color w:val="auto"/>
          <w:szCs w:val="21"/>
          <w:highlight w:val="none"/>
          <w:lang w:val="zh-TW" w:eastAsia="zh-TW"/>
        </w:rPr>
        <w:t>支付的</w:t>
      </w:r>
      <w:r>
        <w:rPr>
          <w:rFonts w:hint="eastAsia" w:ascii="宋体" w:hAnsi="宋体" w:eastAsia="宋体"/>
          <w:color w:val="auto"/>
          <w:szCs w:val="21"/>
          <w:highlight w:val="none"/>
          <w:lang w:val="zh-TW" w:eastAsia="zh-CN"/>
        </w:rPr>
        <w:t>支付</w:t>
      </w:r>
      <w:r>
        <w:rPr>
          <w:rFonts w:hint="eastAsia" w:ascii="宋体" w:hAnsi="宋体" w:eastAsia="宋体"/>
          <w:color w:val="auto"/>
          <w:szCs w:val="21"/>
          <w:highlight w:val="none"/>
          <w:lang w:val="zh-TW" w:eastAsia="zh-TW"/>
        </w:rPr>
        <w:t>方式</w:t>
      </w:r>
      <w:r>
        <w:rPr>
          <w:rFonts w:hint="eastAsia" w:ascii="宋体" w:hAnsi="宋体" w:eastAsia="宋体"/>
          <w:color w:val="auto"/>
          <w:szCs w:val="21"/>
          <w:highlight w:val="none"/>
          <w:lang w:val="zh-TW" w:eastAsia="zh-CN"/>
        </w:rPr>
        <w:t>，按项目实际发生的</w:t>
      </w:r>
      <w:r>
        <w:rPr>
          <w:rFonts w:hint="eastAsia" w:ascii="宋体" w:hAnsi="宋体" w:eastAsia="宋体"/>
          <w:color w:val="auto"/>
          <w:szCs w:val="21"/>
          <w:highlight w:val="none"/>
          <w:lang w:val="zh-TW" w:eastAsia="zh-TW"/>
        </w:rPr>
        <w:t>该工程的安全防护、文明施工措施费用</w:t>
      </w:r>
      <w:r>
        <w:rPr>
          <w:rFonts w:hint="eastAsia" w:ascii="宋体" w:hAnsi="宋体" w:eastAsia="宋体"/>
          <w:color w:val="auto"/>
          <w:szCs w:val="21"/>
          <w:highlight w:val="none"/>
          <w:lang w:val="zh-TW" w:eastAsia="zh-CN"/>
        </w:rPr>
        <w:t>支付，</w:t>
      </w:r>
      <w:r>
        <w:rPr>
          <w:rFonts w:hint="eastAsia" w:ascii="宋体" w:hAnsi="宋体" w:eastAsia="宋体"/>
          <w:color w:val="auto"/>
          <w:szCs w:val="21"/>
          <w:highlight w:val="none"/>
          <w:lang w:val="zh-TW" w:eastAsia="zh-TW"/>
        </w:rPr>
        <w:t>支付</w:t>
      </w:r>
      <w:r>
        <w:rPr>
          <w:rFonts w:hint="eastAsia" w:ascii="宋体" w:hAnsi="宋体" w:eastAsia="宋体"/>
          <w:color w:val="auto"/>
          <w:szCs w:val="21"/>
          <w:highlight w:val="none"/>
          <w:lang w:val="zh-TW" w:eastAsia="zh-CN"/>
        </w:rPr>
        <w:t>额度不超过</w:t>
      </w:r>
      <w:r>
        <w:rPr>
          <w:rFonts w:hint="eastAsia" w:ascii="宋体" w:hAnsi="宋体" w:eastAsia="宋体"/>
          <w:color w:val="auto"/>
          <w:szCs w:val="21"/>
          <w:highlight w:val="none"/>
          <w:lang w:val="zh-TW" w:eastAsia="zh-TW"/>
        </w:rPr>
        <w:t>总费用。在工程施工现场的围挡、大门、冲洗平台、临时给排水系统、场内便道硬化、降尘、抑尘设施安装到位并调试正常、办公临时设施等完成，办理建设工程质量监督登记和安全措施备案后，</w:t>
      </w:r>
      <w:r>
        <w:rPr>
          <w:rFonts w:hint="eastAsia" w:ascii="宋体" w:hAnsi="宋体" w:eastAsia="宋体"/>
          <w:color w:val="auto"/>
          <w:szCs w:val="21"/>
          <w:highlight w:val="none"/>
        </w:rPr>
        <w:t>承包人</w:t>
      </w:r>
      <w:r>
        <w:rPr>
          <w:rFonts w:hint="eastAsia" w:ascii="宋体" w:hAnsi="宋体" w:eastAsia="宋体"/>
          <w:color w:val="auto"/>
          <w:szCs w:val="21"/>
          <w:highlight w:val="none"/>
          <w:lang w:val="zh-TW" w:eastAsia="zh-TW"/>
        </w:rPr>
        <w:t>可申请第一次付款，根据安措费使用情况据实支付，并且支付额度不超过总费用的40%。项目实施过程中，根据安措费使用情况，</w:t>
      </w:r>
      <w:r>
        <w:rPr>
          <w:rFonts w:hint="eastAsia" w:ascii="宋体" w:hAnsi="宋体" w:eastAsia="宋体"/>
          <w:color w:val="auto"/>
          <w:szCs w:val="21"/>
          <w:highlight w:val="none"/>
        </w:rPr>
        <w:t>承包人</w:t>
      </w:r>
      <w:r>
        <w:rPr>
          <w:rFonts w:hint="eastAsia" w:ascii="宋体" w:hAnsi="宋体" w:eastAsia="宋体"/>
          <w:color w:val="auto"/>
          <w:szCs w:val="21"/>
          <w:highlight w:val="none"/>
          <w:lang w:val="zh-TW" w:eastAsia="zh-TW"/>
        </w:rPr>
        <w:t>按月申请付款，并且支付累计额度不超过总费用的90%。竣工验收合格并完成管理权移交后，根据安措费使用情况据实支付余额，并且支付累计额度不能超过总费用。</w:t>
      </w:r>
      <w:r>
        <w:rPr>
          <w:rFonts w:hint="eastAsia" w:ascii="宋体" w:hAnsi="宋体" w:eastAsia="宋体"/>
          <w:color w:val="auto"/>
          <w:szCs w:val="21"/>
          <w:highlight w:val="none"/>
        </w:rPr>
        <w:t>承包人</w:t>
      </w:r>
      <w:r>
        <w:rPr>
          <w:rFonts w:hint="eastAsia" w:ascii="宋体" w:hAnsi="宋体" w:eastAsia="宋体"/>
          <w:color w:val="auto"/>
          <w:szCs w:val="21"/>
          <w:highlight w:val="none"/>
          <w:lang w:eastAsia="zh-CN"/>
        </w:rPr>
        <w:t>申请安全文明施工措施费，必须提供安全文明施工措施费使用清单，并经监理单位审核后，方能向</w:t>
      </w:r>
      <w:r>
        <w:rPr>
          <w:rFonts w:hint="eastAsia" w:ascii="宋体" w:hAnsi="宋体" w:eastAsia="宋体"/>
          <w:color w:val="auto"/>
          <w:szCs w:val="21"/>
          <w:highlight w:val="none"/>
        </w:rPr>
        <w:t>发包人</w:t>
      </w:r>
      <w:r>
        <w:rPr>
          <w:rFonts w:hint="eastAsia" w:ascii="宋体" w:hAnsi="宋体" w:eastAsia="宋体"/>
          <w:color w:val="auto"/>
          <w:szCs w:val="21"/>
          <w:highlight w:val="none"/>
          <w:lang w:eastAsia="zh-CN"/>
        </w:rPr>
        <w:t>申请付款。</w:t>
      </w:r>
    </w:p>
    <w:p w14:paraId="06D1586C">
      <w:pPr>
        <w:spacing w:line="360" w:lineRule="auto"/>
        <w:ind w:firstLine="420" w:firstLineChars="200"/>
        <w:jc w:val="left"/>
        <w:rPr>
          <w:rFonts w:hint="eastAsia" w:ascii="宋体" w:hAnsi="宋体" w:eastAsia="宋体"/>
          <w:color w:val="auto"/>
          <w:szCs w:val="21"/>
          <w:highlight w:val="none"/>
          <w:lang w:val="zh-TW" w:eastAsia="zh-CN"/>
        </w:rPr>
      </w:pPr>
      <w:r>
        <w:rPr>
          <w:rFonts w:hint="eastAsia" w:ascii="宋体" w:hAnsi="宋体" w:eastAsia="宋体"/>
          <w:color w:val="auto"/>
          <w:szCs w:val="21"/>
          <w:highlight w:val="none"/>
          <w:lang w:val="zh-TW" w:eastAsia="zh-CN"/>
        </w:rPr>
        <w:t xml:space="preserve"> </w:t>
      </w:r>
      <w:r>
        <w:rPr>
          <w:rFonts w:hint="eastAsia" w:ascii="宋体" w:hAnsi="宋体" w:eastAsia="宋体"/>
          <w:color w:val="auto"/>
          <w:szCs w:val="21"/>
          <w:highlight w:val="none"/>
        </w:rPr>
        <w:t>承包人</w:t>
      </w:r>
      <w:r>
        <w:rPr>
          <w:rFonts w:hint="eastAsia" w:ascii="宋体" w:hAnsi="宋体" w:eastAsia="宋体"/>
          <w:color w:val="auto"/>
          <w:szCs w:val="21"/>
          <w:highlight w:val="none"/>
          <w:lang w:val="zh-TW" w:eastAsia="zh-CN"/>
        </w:rPr>
        <w:t>若有下列行为之一的，</w:t>
      </w:r>
      <w:r>
        <w:rPr>
          <w:rFonts w:hint="eastAsia" w:ascii="宋体" w:hAnsi="宋体" w:eastAsia="宋体"/>
          <w:color w:val="auto"/>
          <w:szCs w:val="21"/>
          <w:highlight w:val="none"/>
        </w:rPr>
        <w:t>发包人</w:t>
      </w:r>
      <w:r>
        <w:rPr>
          <w:rFonts w:hint="eastAsia" w:ascii="宋体" w:hAnsi="宋体" w:eastAsia="宋体"/>
          <w:color w:val="auto"/>
          <w:szCs w:val="21"/>
          <w:highlight w:val="none"/>
          <w:lang w:val="zh-TW" w:eastAsia="zh-CN"/>
        </w:rPr>
        <w:t>有权暂扣相应安全文明施工措施费或扬尘治理费：</w:t>
      </w:r>
    </w:p>
    <w:p w14:paraId="44B641B5">
      <w:pPr>
        <w:spacing w:line="360" w:lineRule="auto"/>
        <w:ind w:firstLine="420" w:firstLineChars="200"/>
        <w:jc w:val="left"/>
        <w:rPr>
          <w:rFonts w:hint="eastAsia" w:ascii="宋体" w:hAnsi="宋体" w:eastAsia="宋体"/>
          <w:color w:val="auto"/>
          <w:szCs w:val="21"/>
          <w:highlight w:val="none"/>
          <w:lang w:val="zh-TW" w:eastAsia="zh-CN"/>
        </w:rPr>
      </w:pPr>
      <w:r>
        <w:rPr>
          <w:rFonts w:hint="eastAsia" w:ascii="宋体" w:hAnsi="宋体" w:eastAsia="宋体"/>
          <w:color w:val="auto"/>
          <w:szCs w:val="21"/>
          <w:highlight w:val="none"/>
          <w:lang w:val="zh-TW" w:eastAsia="zh-CN"/>
        </w:rPr>
        <w:t>（一）因未落实安全防护措施导致发生安全生产事故的;</w:t>
      </w:r>
    </w:p>
    <w:p w14:paraId="383BA198">
      <w:pPr>
        <w:spacing w:line="360" w:lineRule="auto"/>
        <w:ind w:firstLine="420" w:firstLineChars="200"/>
        <w:jc w:val="left"/>
        <w:rPr>
          <w:rFonts w:hint="eastAsia" w:ascii="宋体" w:hAnsi="宋体" w:eastAsia="宋体"/>
          <w:color w:val="auto"/>
          <w:szCs w:val="21"/>
          <w:highlight w:val="none"/>
          <w:lang w:val="zh-TW" w:eastAsia="zh-CN"/>
        </w:rPr>
      </w:pPr>
      <w:r>
        <w:rPr>
          <w:rFonts w:hint="eastAsia" w:ascii="宋体" w:hAnsi="宋体" w:eastAsia="宋体"/>
          <w:color w:val="auto"/>
          <w:szCs w:val="21"/>
          <w:highlight w:val="none"/>
          <w:lang w:val="zh-TW" w:eastAsia="zh-CN"/>
        </w:rPr>
        <w:t>（二）擅自挪用安全文明施工措施费用和扬尘治理费用的;</w:t>
      </w:r>
    </w:p>
    <w:p w14:paraId="4014B56E">
      <w:pPr>
        <w:spacing w:line="360" w:lineRule="auto"/>
        <w:ind w:firstLine="420" w:firstLineChars="200"/>
        <w:jc w:val="left"/>
        <w:rPr>
          <w:rFonts w:hint="eastAsia" w:ascii="宋体" w:hAnsi="宋体" w:eastAsia="宋体"/>
          <w:color w:val="auto"/>
          <w:szCs w:val="21"/>
          <w:highlight w:val="none"/>
          <w:lang w:val="zh-TW" w:eastAsia="zh-CN"/>
        </w:rPr>
      </w:pPr>
      <w:r>
        <w:rPr>
          <w:rFonts w:hint="eastAsia" w:ascii="宋体" w:hAnsi="宋体" w:eastAsia="宋体"/>
          <w:color w:val="auto"/>
          <w:szCs w:val="21"/>
          <w:highlight w:val="none"/>
          <w:lang w:val="zh-TW" w:eastAsia="zh-CN"/>
        </w:rPr>
        <w:t>（三）质量安全文明施工管理或扬尘治理工作不到位被上级主管部门通报批评的。</w:t>
      </w:r>
    </w:p>
    <w:p w14:paraId="46EE80E9">
      <w:pPr>
        <w:spacing w:line="360" w:lineRule="auto"/>
        <w:ind w:firstLine="420" w:firstLineChars="200"/>
        <w:jc w:val="left"/>
        <w:rPr>
          <w:rFonts w:hint="eastAsia" w:ascii="宋体" w:hAnsi="宋体" w:eastAsia="宋体"/>
          <w:color w:val="auto"/>
          <w:szCs w:val="21"/>
          <w:highlight w:val="none"/>
          <w:lang w:val="zh-TW" w:eastAsia="zh-CN"/>
        </w:rPr>
      </w:pPr>
      <w:r>
        <w:rPr>
          <w:rFonts w:hint="eastAsia" w:ascii="宋体" w:hAnsi="宋体" w:eastAsia="宋体"/>
          <w:color w:val="auto"/>
          <w:szCs w:val="21"/>
          <w:highlight w:val="none"/>
          <w:lang w:val="zh-TW" w:eastAsia="zh-CN"/>
        </w:rPr>
        <w:t>（四）</w:t>
      </w:r>
      <w:r>
        <w:rPr>
          <w:rFonts w:hint="eastAsia" w:ascii="宋体" w:hAnsi="宋体" w:eastAsia="宋体"/>
          <w:color w:val="auto"/>
          <w:szCs w:val="21"/>
          <w:highlight w:val="none"/>
        </w:rPr>
        <w:t>发包人</w:t>
      </w:r>
      <w:r>
        <w:rPr>
          <w:rFonts w:hint="eastAsia" w:ascii="宋体" w:hAnsi="宋体" w:eastAsia="宋体"/>
          <w:color w:val="auto"/>
          <w:szCs w:val="21"/>
          <w:highlight w:val="none"/>
          <w:lang w:val="zh-TW" w:eastAsia="zh-CN"/>
        </w:rPr>
        <w:t>及监理单位相关管理人员书面下达安全文明及降尘抑尘整改通知，未能按时整改的，</w:t>
      </w:r>
      <w:r>
        <w:rPr>
          <w:rFonts w:hint="eastAsia" w:ascii="宋体" w:hAnsi="宋体" w:eastAsia="宋体"/>
          <w:color w:val="auto"/>
          <w:szCs w:val="21"/>
          <w:highlight w:val="none"/>
        </w:rPr>
        <w:t>发包人</w:t>
      </w:r>
      <w:r>
        <w:rPr>
          <w:rFonts w:hint="eastAsia" w:ascii="宋体" w:hAnsi="宋体" w:eastAsia="宋体"/>
          <w:color w:val="auto"/>
          <w:szCs w:val="21"/>
          <w:highlight w:val="none"/>
          <w:lang w:val="zh-TW" w:eastAsia="zh-CN"/>
        </w:rPr>
        <w:t>将按隐患点对应整改金额暂扣安措费和扬尘治理费用。</w:t>
      </w:r>
    </w:p>
    <w:p w14:paraId="7AC12CF8">
      <w:pPr>
        <w:widowControl/>
        <w:shd w:val="clear" w:color="auto" w:fill="FFFFFF"/>
        <w:spacing w:line="530" w:lineRule="exact"/>
        <w:ind w:firstLine="480"/>
        <w:rPr>
          <w:color w:val="auto"/>
          <w:highlight w:val="none"/>
        </w:rPr>
      </w:pPr>
      <w:r>
        <w:rPr>
          <w:color w:val="auto"/>
          <w:highlight w:val="none"/>
        </w:rPr>
        <w:t xml:space="preserve">6.3 </w:t>
      </w:r>
      <w:r>
        <w:rPr>
          <w:rFonts w:hint="eastAsia" w:hAnsi="宋体"/>
          <w:color w:val="auto"/>
          <w:highlight w:val="none"/>
        </w:rPr>
        <w:t>环境保护</w:t>
      </w:r>
      <w:bookmarkEnd w:id="431"/>
      <w:bookmarkEnd w:id="432"/>
      <w:bookmarkEnd w:id="433"/>
      <w:bookmarkEnd w:id="434"/>
    </w:p>
    <w:p w14:paraId="62BD41FA">
      <w:pPr>
        <w:pStyle w:val="35"/>
        <w:spacing w:line="360" w:lineRule="auto"/>
        <w:ind w:firstLine="420" w:firstLineChars="200"/>
        <w:jc w:val="left"/>
        <w:rPr>
          <w:color w:val="auto"/>
          <w:szCs w:val="21"/>
          <w:highlight w:val="none"/>
          <w:u w:val="single"/>
        </w:rPr>
      </w:pPr>
      <w:r>
        <w:rPr>
          <w:rFonts w:hint="eastAsia" w:hAnsi="宋体"/>
          <w:color w:val="auto"/>
          <w:szCs w:val="21"/>
          <w:highlight w:val="none"/>
          <w:u w:val="single"/>
        </w:rPr>
        <w:t>因施工需要，经发包人批准，由承包人办理有关施工场地交通、环卫和施工噪音管理等手续，费用由承包人负责。</w:t>
      </w:r>
    </w:p>
    <w:p w14:paraId="4531E90E">
      <w:pPr>
        <w:pStyle w:val="35"/>
        <w:spacing w:line="360" w:lineRule="auto"/>
        <w:ind w:firstLine="420" w:firstLineChars="200"/>
        <w:jc w:val="left"/>
        <w:rPr>
          <w:rFonts w:hAnsi="宋体"/>
          <w:color w:val="auto"/>
          <w:szCs w:val="21"/>
          <w:highlight w:val="none"/>
          <w:u w:val="single"/>
        </w:rPr>
      </w:pPr>
      <w:r>
        <w:rPr>
          <w:rFonts w:hint="eastAsia" w:hAnsi="宋体"/>
          <w:color w:val="auto"/>
          <w:szCs w:val="21"/>
          <w:highlight w:val="none"/>
          <w:u w:val="single"/>
        </w:rPr>
        <w:t>经过城市道路的施工车辆，必须按交警、城管、运输等部门相关规定执行。由于施工车辆造成的道路、环境等污染，其责任和费用均由承包人承担。</w:t>
      </w:r>
    </w:p>
    <w:p w14:paraId="1EAAD9EC">
      <w:pPr>
        <w:spacing w:line="360" w:lineRule="auto"/>
        <w:ind w:firstLine="420" w:firstLineChars="200"/>
        <w:jc w:val="left"/>
        <w:rPr>
          <w:rFonts w:ascii="Times New Roman" w:hAnsi="Times New Roman"/>
          <w:color w:val="auto"/>
          <w:szCs w:val="21"/>
          <w:highlight w:val="none"/>
          <w:u w:val="single"/>
        </w:rPr>
      </w:pPr>
      <w:r>
        <w:rPr>
          <w:rFonts w:hint="eastAsia" w:ascii="Times New Roman" w:hAnsi="宋体"/>
          <w:color w:val="auto"/>
          <w:szCs w:val="21"/>
          <w:highlight w:val="none"/>
          <w:u w:val="single"/>
        </w:rPr>
        <w:t>根据《南宁市挥发性有机物污染防治实施方案（2019-2020年）》（南环委办</w:t>
      </w:r>
      <w:r>
        <w:rPr>
          <w:rFonts w:hint="eastAsia" w:ascii="Times New Roman" w:hAnsi="宋体"/>
          <w:color w:val="auto"/>
          <w:kern w:val="0"/>
          <w:szCs w:val="21"/>
          <w:highlight w:val="none"/>
          <w:u w:val="single"/>
        </w:rPr>
        <w:t>〔</w:t>
      </w:r>
      <w:r>
        <w:rPr>
          <w:rFonts w:ascii="Times New Roman" w:hAnsi="宋体"/>
          <w:color w:val="auto"/>
          <w:kern w:val="0"/>
          <w:szCs w:val="21"/>
          <w:highlight w:val="none"/>
          <w:u w:val="single"/>
        </w:rPr>
        <w:t>20</w:t>
      </w:r>
      <w:r>
        <w:rPr>
          <w:rFonts w:hint="eastAsia" w:ascii="Times New Roman" w:hAnsi="宋体"/>
          <w:color w:val="auto"/>
          <w:kern w:val="0"/>
          <w:szCs w:val="21"/>
          <w:highlight w:val="none"/>
          <w:u w:val="single"/>
        </w:rPr>
        <w:t>19〕166</w:t>
      </w:r>
      <w:r>
        <w:rPr>
          <w:rFonts w:ascii="Times New Roman" w:hAnsi="宋体"/>
          <w:color w:val="auto"/>
          <w:kern w:val="0"/>
          <w:szCs w:val="21"/>
          <w:highlight w:val="none"/>
          <w:u w:val="single"/>
        </w:rPr>
        <w:t>号</w:t>
      </w:r>
      <w:r>
        <w:rPr>
          <w:rFonts w:hint="eastAsia" w:ascii="Times New Roman" w:hAnsi="宋体"/>
          <w:color w:val="auto"/>
          <w:kern w:val="0"/>
          <w:szCs w:val="21"/>
          <w:highlight w:val="none"/>
          <w:u w:val="single"/>
        </w:rPr>
        <w:t>）文件精神，宜优先使用低VOCs含量的涂料、油漆和有机溶剂。</w:t>
      </w:r>
    </w:p>
    <w:bookmarkEnd w:id="415"/>
    <w:bookmarkEnd w:id="416"/>
    <w:bookmarkEnd w:id="417"/>
    <w:bookmarkEnd w:id="418"/>
    <w:bookmarkEnd w:id="419"/>
    <w:bookmarkEnd w:id="420"/>
    <w:bookmarkEnd w:id="421"/>
    <w:p w14:paraId="55EBF12B">
      <w:pPr>
        <w:pStyle w:val="23"/>
        <w:rPr>
          <w:color w:val="auto"/>
          <w:highlight w:val="none"/>
        </w:rPr>
      </w:pPr>
      <w:bookmarkStart w:id="435" w:name="_Toc467599583"/>
      <w:bookmarkStart w:id="436" w:name="_Toc389065288"/>
      <w:bookmarkStart w:id="437" w:name="_Toc373227722"/>
      <w:bookmarkStart w:id="438" w:name="_Toc373478369"/>
      <w:bookmarkStart w:id="439" w:name="_Toc351203639"/>
      <w:r>
        <w:rPr>
          <w:color w:val="auto"/>
          <w:highlight w:val="none"/>
        </w:rPr>
        <w:t xml:space="preserve">7. </w:t>
      </w:r>
      <w:r>
        <w:rPr>
          <w:rFonts w:hint="eastAsia"/>
          <w:color w:val="auto"/>
          <w:highlight w:val="none"/>
        </w:rPr>
        <w:t>工期和进度</w:t>
      </w:r>
      <w:bookmarkEnd w:id="435"/>
      <w:bookmarkEnd w:id="436"/>
      <w:bookmarkEnd w:id="437"/>
      <w:bookmarkEnd w:id="438"/>
      <w:bookmarkEnd w:id="439"/>
    </w:p>
    <w:p w14:paraId="6E6ECDFA">
      <w:pPr>
        <w:pStyle w:val="33"/>
        <w:rPr>
          <w:rFonts w:ascii="Calibri" w:hAnsi="Calibri"/>
          <w:color w:val="auto"/>
          <w:highlight w:val="none"/>
        </w:rPr>
      </w:pPr>
      <w:bookmarkStart w:id="440" w:name="_Toc373227723"/>
      <w:bookmarkStart w:id="441" w:name="_Toc389065289"/>
      <w:bookmarkStart w:id="442" w:name="_Toc467599584"/>
      <w:bookmarkStart w:id="443" w:name="_Toc373478370"/>
      <w:r>
        <w:rPr>
          <w:rFonts w:ascii="Calibri" w:hAnsi="Calibri"/>
          <w:color w:val="auto"/>
          <w:highlight w:val="none"/>
        </w:rPr>
        <w:t xml:space="preserve">7.1 </w:t>
      </w:r>
      <w:r>
        <w:rPr>
          <w:rFonts w:hint="eastAsia" w:ascii="Calibri" w:hAnsi="Calibri"/>
          <w:color w:val="auto"/>
          <w:highlight w:val="none"/>
        </w:rPr>
        <w:t>施工组织设计</w:t>
      </w:r>
      <w:bookmarkEnd w:id="440"/>
      <w:bookmarkEnd w:id="441"/>
      <w:bookmarkEnd w:id="442"/>
      <w:bookmarkEnd w:id="443"/>
    </w:p>
    <w:p w14:paraId="03E96C45">
      <w:pPr>
        <w:pStyle w:val="35"/>
        <w:autoSpaceDE w:val="0"/>
        <w:autoSpaceDN w:val="0"/>
        <w:adjustRightInd w:val="0"/>
        <w:spacing w:line="360" w:lineRule="auto"/>
        <w:ind w:firstLine="420" w:firstLineChars="200"/>
        <w:jc w:val="left"/>
        <w:rPr>
          <w:color w:val="auto"/>
          <w:szCs w:val="21"/>
          <w:highlight w:val="none"/>
          <w:u w:val="single"/>
        </w:rPr>
      </w:pPr>
      <w:r>
        <w:rPr>
          <w:color w:val="auto"/>
          <w:szCs w:val="21"/>
          <w:highlight w:val="none"/>
        </w:rPr>
        <w:t xml:space="preserve">7.1.1 </w:t>
      </w:r>
      <w:r>
        <w:rPr>
          <w:rFonts w:hint="eastAsia" w:hAnsi="宋体"/>
          <w:color w:val="auto"/>
          <w:szCs w:val="21"/>
          <w:highlight w:val="none"/>
        </w:rPr>
        <w:t>合</w:t>
      </w:r>
      <w:r>
        <w:rPr>
          <w:rFonts w:hint="eastAsia" w:hAnsi="宋体"/>
          <w:color w:val="auto"/>
          <w:kern w:val="0"/>
          <w:szCs w:val="21"/>
          <w:highlight w:val="none"/>
        </w:rPr>
        <w:t>同当事人约定的施工组织设计应包括的其他内容：</w:t>
      </w:r>
      <w:r>
        <w:rPr>
          <w:rFonts w:hint="eastAsia" w:ascii="新宋体" w:hAnsi="新宋体" w:eastAsia="新宋体" w:cs="新宋体"/>
          <w:color w:val="auto"/>
          <w:spacing w:val="2"/>
          <w:szCs w:val="21"/>
          <w:highlight w:val="none"/>
          <w:u w:val="single"/>
        </w:rPr>
        <w:t>按通用条款第 7.1.1 条执行</w:t>
      </w:r>
      <w:r>
        <w:rPr>
          <w:rFonts w:hint="eastAsia" w:hAnsi="宋体"/>
          <w:color w:val="auto"/>
          <w:szCs w:val="21"/>
          <w:highlight w:val="none"/>
        </w:rPr>
        <w:t>。</w:t>
      </w:r>
    </w:p>
    <w:p w14:paraId="11B05EEA">
      <w:pPr>
        <w:pStyle w:val="35"/>
        <w:autoSpaceDE w:val="0"/>
        <w:autoSpaceDN w:val="0"/>
        <w:adjustRightInd w:val="0"/>
        <w:spacing w:line="360" w:lineRule="auto"/>
        <w:ind w:firstLine="420" w:firstLineChars="200"/>
        <w:jc w:val="left"/>
        <w:rPr>
          <w:color w:val="auto"/>
          <w:kern w:val="0"/>
          <w:szCs w:val="21"/>
          <w:highlight w:val="none"/>
        </w:rPr>
      </w:pPr>
      <w:r>
        <w:rPr>
          <w:color w:val="auto"/>
          <w:szCs w:val="21"/>
          <w:highlight w:val="none"/>
        </w:rPr>
        <w:t xml:space="preserve">7.1.2 </w:t>
      </w:r>
      <w:r>
        <w:rPr>
          <w:rFonts w:hint="eastAsia" w:hAnsi="宋体"/>
          <w:color w:val="auto"/>
          <w:kern w:val="0"/>
          <w:szCs w:val="21"/>
          <w:highlight w:val="none"/>
        </w:rPr>
        <w:t>施工组织设计的提交和修改</w:t>
      </w:r>
    </w:p>
    <w:p w14:paraId="14A0B3B8">
      <w:pPr>
        <w:pStyle w:val="35"/>
        <w:autoSpaceDE w:val="0"/>
        <w:autoSpaceDN w:val="0"/>
        <w:adjustRightInd w:val="0"/>
        <w:spacing w:line="360" w:lineRule="auto"/>
        <w:ind w:firstLine="420" w:firstLineChars="200"/>
        <w:jc w:val="left"/>
        <w:rPr>
          <w:color w:val="auto"/>
          <w:szCs w:val="21"/>
          <w:highlight w:val="none"/>
          <w:u w:val="single"/>
        </w:rPr>
      </w:pPr>
      <w:r>
        <w:rPr>
          <w:rFonts w:hint="eastAsia" w:hAnsi="宋体"/>
          <w:color w:val="auto"/>
          <w:kern w:val="0"/>
          <w:szCs w:val="21"/>
          <w:highlight w:val="none"/>
        </w:rPr>
        <w:t>承包人提交详细施工组织设计的期限的约定：</w:t>
      </w:r>
      <w:r>
        <w:rPr>
          <w:rFonts w:hint="eastAsia" w:ascii="新宋体" w:hAnsi="新宋体" w:eastAsia="新宋体" w:cs="新宋体"/>
          <w:color w:val="auto"/>
          <w:spacing w:val="2"/>
          <w:szCs w:val="21"/>
          <w:highlight w:val="none"/>
          <w:u w:val="single"/>
        </w:rPr>
        <w:t>开工前 7 天内</w:t>
      </w:r>
      <w:r>
        <w:rPr>
          <w:rFonts w:hint="eastAsia" w:hAnsi="宋体"/>
          <w:color w:val="auto"/>
          <w:szCs w:val="21"/>
          <w:highlight w:val="none"/>
        </w:rPr>
        <w:t>。</w:t>
      </w:r>
    </w:p>
    <w:p w14:paraId="2500201B">
      <w:pPr>
        <w:pStyle w:val="35"/>
        <w:spacing w:line="360" w:lineRule="auto"/>
        <w:ind w:firstLine="420" w:firstLineChars="200"/>
        <w:jc w:val="left"/>
        <w:rPr>
          <w:color w:val="auto"/>
          <w:szCs w:val="21"/>
          <w:highlight w:val="none"/>
        </w:rPr>
      </w:pPr>
      <w:r>
        <w:rPr>
          <w:rFonts w:hint="eastAsia"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承包人报送的施工组织设计7天内</w:t>
      </w:r>
      <w:r>
        <w:rPr>
          <w:rFonts w:hint="eastAsia" w:hAnsi="宋体"/>
          <w:color w:val="auto"/>
          <w:szCs w:val="21"/>
          <w:highlight w:val="none"/>
        </w:rPr>
        <w:t>。</w:t>
      </w:r>
    </w:p>
    <w:p w14:paraId="094975A5">
      <w:pPr>
        <w:pStyle w:val="33"/>
        <w:rPr>
          <w:rFonts w:ascii="Calibri" w:hAnsi="Calibri"/>
          <w:color w:val="auto"/>
          <w:highlight w:val="none"/>
        </w:rPr>
      </w:pPr>
      <w:bookmarkStart w:id="444" w:name="_Toc389065290"/>
      <w:bookmarkStart w:id="445" w:name="_Toc373227724"/>
      <w:bookmarkStart w:id="446" w:name="_Toc467599585"/>
      <w:bookmarkStart w:id="447" w:name="_Toc373478371"/>
      <w:r>
        <w:rPr>
          <w:rFonts w:ascii="Calibri" w:hAnsi="Calibri"/>
          <w:color w:val="auto"/>
          <w:highlight w:val="none"/>
        </w:rPr>
        <w:t>7</w:t>
      </w:r>
      <w:bookmarkStart w:id="448" w:name="_Toc312677479"/>
      <w:bookmarkStart w:id="449" w:name="_Toc303539123"/>
      <w:bookmarkStart w:id="450" w:name="_Toc300934966"/>
      <w:bookmarkStart w:id="451" w:name="_Toc304295541"/>
      <w:bookmarkStart w:id="452" w:name="_Toc312678005"/>
      <w:bookmarkStart w:id="453" w:name="_Toc297123514"/>
      <w:bookmarkStart w:id="454" w:name="_Toc297216173"/>
      <w:r>
        <w:rPr>
          <w:rFonts w:ascii="Calibri" w:hAnsi="Calibri"/>
          <w:color w:val="auto"/>
          <w:highlight w:val="none"/>
        </w:rPr>
        <w:t xml:space="preserve">.2 </w:t>
      </w:r>
      <w:r>
        <w:rPr>
          <w:rFonts w:hint="eastAsia" w:ascii="Calibri" w:hAnsi="Calibri"/>
          <w:color w:val="auto"/>
          <w:highlight w:val="none"/>
        </w:rPr>
        <w:t>施工进度计划</w:t>
      </w:r>
      <w:bookmarkEnd w:id="444"/>
      <w:bookmarkEnd w:id="445"/>
      <w:bookmarkEnd w:id="446"/>
      <w:bookmarkEnd w:id="447"/>
    </w:p>
    <w:p w14:paraId="28FAB43D">
      <w:pPr>
        <w:pStyle w:val="35"/>
        <w:spacing w:line="360" w:lineRule="auto"/>
        <w:ind w:firstLine="420" w:firstLineChars="200"/>
        <w:jc w:val="left"/>
        <w:rPr>
          <w:rFonts w:hint="eastAsia"/>
          <w:color w:val="auto"/>
          <w:szCs w:val="21"/>
          <w:highlight w:val="none"/>
        </w:rPr>
      </w:pPr>
      <w:r>
        <w:rPr>
          <w:rFonts w:hint="eastAsia"/>
          <w:color w:val="auto"/>
          <w:szCs w:val="21"/>
          <w:highlight w:val="none"/>
        </w:rPr>
        <w:t>7.2.2 施工进度计划的修订</w:t>
      </w:r>
    </w:p>
    <w:p w14:paraId="23DA4EDA">
      <w:pPr>
        <w:pStyle w:val="35"/>
        <w:spacing w:line="360" w:lineRule="auto"/>
        <w:ind w:firstLine="420" w:firstLineChars="200"/>
        <w:jc w:val="left"/>
        <w:rPr>
          <w:rFonts w:hint="eastAsia"/>
          <w:color w:val="auto"/>
          <w:szCs w:val="21"/>
          <w:highlight w:val="none"/>
        </w:rPr>
      </w:pPr>
      <w:r>
        <w:rPr>
          <w:rFonts w:hint="eastAsia"/>
          <w:color w:val="auto"/>
          <w:szCs w:val="21"/>
          <w:highlight w:val="none"/>
        </w:rPr>
        <w:t>第一次工地例会后十天内，承包人提交经监理签章的总进度计划及月进度计划（含网络计划），总计划中包括：（1）完工时间；（2）关键节点、时间；（3）机械设备进场计划；（4）资金需求计划；（5）项目工作人员劳动分工及进场计划， 发包人有权根据现场实际进度情况对承包人及监理人通过下达生产任务方式进行月度考核，如承包人未能按月完成发包人下达的生产任务的，视为承包人违约，承包人必须向发包人交纳</w:t>
      </w:r>
      <w:r>
        <w:rPr>
          <w:rFonts w:hint="eastAsia"/>
          <w:color w:val="auto"/>
          <w:szCs w:val="21"/>
          <w:highlight w:val="none"/>
          <w:lang w:eastAsia="zh-CN"/>
        </w:rPr>
        <w:t>当月需完成施工产值的</w:t>
      </w:r>
      <w:r>
        <w:rPr>
          <w:rFonts w:hint="eastAsia"/>
          <w:color w:val="auto"/>
          <w:szCs w:val="21"/>
          <w:highlight w:val="none"/>
          <w:u w:val="single"/>
          <w:lang w:val="en-US" w:eastAsia="zh-CN"/>
        </w:rPr>
        <w:t xml:space="preserve"> 1 %</w:t>
      </w:r>
      <w:r>
        <w:rPr>
          <w:rFonts w:hint="eastAsia"/>
          <w:color w:val="auto"/>
          <w:szCs w:val="21"/>
          <w:highlight w:val="none"/>
          <w:lang w:val="en-US" w:eastAsia="zh-CN"/>
        </w:rPr>
        <w:t>作为</w:t>
      </w:r>
      <w:r>
        <w:rPr>
          <w:rFonts w:hint="eastAsia"/>
          <w:color w:val="auto"/>
          <w:szCs w:val="21"/>
          <w:highlight w:val="none"/>
        </w:rPr>
        <w:t>违约金。</w:t>
      </w:r>
    </w:p>
    <w:p w14:paraId="732D37FC">
      <w:pPr>
        <w:pStyle w:val="35"/>
        <w:spacing w:line="360" w:lineRule="auto"/>
        <w:ind w:firstLine="420" w:firstLineChars="200"/>
        <w:jc w:val="left"/>
        <w:rPr>
          <w:color w:val="auto"/>
          <w:szCs w:val="21"/>
          <w:highlight w:val="none"/>
        </w:rPr>
      </w:pPr>
      <w:r>
        <w:rPr>
          <w:rFonts w:hint="eastAsia"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收到修订的施工进度计划后7天内</w:t>
      </w:r>
      <w:r>
        <w:rPr>
          <w:rFonts w:hint="eastAsia" w:hAnsi="宋体"/>
          <w:color w:val="auto"/>
          <w:szCs w:val="21"/>
          <w:highlight w:val="none"/>
        </w:rPr>
        <w:t>。</w:t>
      </w:r>
    </w:p>
    <w:p w14:paraId="0CC3E401">
      <w:pPr>
        <w:pStyle w:val="33"/>
        <w:rPr>
          <w:rFonts w:ascii="Calibri" w:hAnsi="Calibri"/>
          <w:color w:val="auto"/>
          <w:highlight w:val="none"/>
        </w:rPr>
      </w:pPr>
      <w:bookmarkStart w:id="455" w:name="_Toc467599586"/>
      <w:bookmarkStart w:id="456" w:name="_Toc389065291"/>
      <w:bookmarkStart w:id="457" w:name="_Toc373478372"/>
      <w:bookmarkStart w:id="458" w:name="_Toc373227725"/>
      <w:r>
        <w:rPr>
          <w:rFonts w:ascii="Calibri" w:hAnsi="Calibri"/>
          <w:color w:val="auto"/>
          <w:highlight w:val="none"/>
        </w:rPr>
        <w:t xml:space="preserve">7.3 </w:t>
      </w:r>
      <w:r>
        <w:rPr>
          <w:rFonts w:hint="eastAsia" w:ascii="Calibri" w:hAnsi="Calibri"/>
          <w:color w:val="auto"/>
          <w:highlight w:val="none"/>
        </w:rPr>
        <w:t>开工</w:t>
      </w:r>
      <w:bookmarkEnd w:id="455"/>
      <w:bookmarkEnd w:id="456"/>
      <w:bookmarkEnd w:id="457"/>
      <w:bookmarkEnd w:id="458"/>
    </w:p>
    <w:p w14:paraId="3CD8BACE">
      <w:pPr>
        <w:pStyle w:val="35"/>
        <w:spacing w:line="360" w:lineRule="auto"/>
        <w:ind w:firstLine="420" w:firstLineChars="200"/>
        <w:jc w:val="left"/>
        <w:rPr>
          <w:color w:val="auto"/>
          <w:szCs w:val="21"/>
          <w:highlight w:val="none"/>
        </w:rPr>
      </w:pPr>
      <w:r>
        <w:rPr>
          <w:color w:val="auto"/>
          <w:szCs w:val="21"/>
          <w:highlight w:val="none"/>
        </w:rPr>
        <w:t xml:space="preserve">7.3.1 </w:t>
      </w:r>
      <w:r>
        <w:rPr>
          <w:rFonts w:hint="eastAsia" w:hAnsi="宋体"/>
          <w:color w:val="auto"/>
          <w:szCs w:val="21"/>
          <w:highlight w:val="none"/>
        </w:rPr>
        <w:t>开工准备</w:t>
      </w:r>
    </w:p>
    <w:p w14:paraId="10450894">
      <w:pPr>
        <w:pStyle w:val="35"/>
        <w:spacing w:line="360" w:lineRule="auto"/>
        <w:ind w:firstLine="426"/>
        <w:jc w:val="left"/>
        <w:rPr>
          <w:color w:val="auto"/>
          <w:szCs w:val="21"/>
          <w:highlight w:val="none"/>
          <w:u w:val="single"/>
        </w:rPr>
      </w:pPr>
      <w:r>
        <w:rPr>
          <w:rFonts w:hint="eastAsia" w:hAnsi="宋体"/>
          <w:color w:val="auto"/>
          <w:szCs w:val="21"/>
          <w:highlight w:val="none"/>
        </w:rPr>
        <w:t>关于承包人提交</w:t>
      </w:r>
      <w:r>
        <w:rPr>
          <w:rFonts w:hint="eastAsia" w:hAnsi="宋体"/>
          <w:color w:val="auto"/>
          <w:kern w:val="0"/>
          <w:szCs w:val="21"/>
          <w:highlight w:val="none"/>
        </w:rPr>
        <w:t>工程开工报审表的期限：</w:t>
      </w:r>
      <w:r>
        <w:rPr>
          <w:rFonts w:hint="eastAsia" w:ascii="新宋体" w:hAnsi="新宋体" w:eastAsia="新宋体" w:cs="新宋体"/>
          <w:color w:val="auto"/>
          <w:spacing w:val="2"/>
          <w:szCs w:val="21"/>
          <w:highlight w:val="none"/>
          <w:u w:val="single"/>
        </w:rPr>
        <w:t>按通用条款第 7.3.1 条执行</w:t>
      </w:r>
      <w:r>
        <w:rPr>
          <w:rFonts w:hint="eastAsia" w:hAnsi="宋体"/>
          <w:color w:val="auto"/>
          <w:szCs w:val="21"/>
          <w:highlight w:val="none"/>
        </w:rPr>
        <w:t>。</w:t>
      </w:r>
    </w:p>
    <w:p w14:paraId="3195E005">
      <w:pPr>
        <w:pStyle w:val="35"/>
        <w:spacing w:line="360" w:lineRule="auto"/>
        <w:ind w:firstLine="426"/>
        <w:jc w:val="left"/>
        <w:rPr>
          <w:color w:val="auto"/>
          <w:szCs w:val="21"/>
          <w:highlight w:val="none"/>
          <w:u w:val="single"/>
        </w:rPr>
      </w:pPr>
      <w:r>
        <w:rPr>
          <w:rFonts w:hint="eastAsia" w:hAnsi="宋体"/>
          <w:color w:val="auto"/>
          <w:szCs w:val="21"/>
          <w:highlight w:val="none"/>
        </w:rPr>
        <w:t>关于发包人应完成的其他开工准备工作及期限：</w:t>
      </w:r>
      <w:r>
        <w:rPr>
          <w:rFonts w:hint="eastAsia" w:ascii="宋体" w:hAnsi="宋体"/>
          <w:color w:val="auto"/>
          <w:szCs w:val="21"/>
          <w:highlight w:val="none"/>
          <w:u w:val="single"/>
        </w:rPr>
        <w:t>开工前3天内</w:t>
      </w:r>
      <w:r>
        <w:rPr>
          <w:rFonts w:hint="eastAsia" w:hAnsi="宋体"/>
          <w:color w:val="auto"/>
          <w:szCs w:val="21"/>
          <w:highlight w:val="none"/>
        </w:rPr>
        <w:t>。</w:t>
      </w:r>
    </w:p>
    <w:p w14:paraId="161562ED">
      <w:pPr>
        <w:pStyle w:val="35"/>
        <w:spacing w:line="360" w:lineRule="auto"/>
        <w:ind w:firstLine="420" w:firstLineChars="200"/>
        <w:jc w:val="left"/>
        <w:rPr>
          <w:color w:val="auto"/>
          <w:szCs w:val="21"/>
          <w:highlight w:val="none"/>
          <w:u w:val="single"/>
        </w:rPr>
      </w:pPr>
      <w:r>
        <w:rPr>
          <w:rFonts w:hint="eastAsia" w:hAnsi="宋体"/>
          <w:color w:val="auto"/>
          <w:szCs w:val="21"/>
          <w:highlight w:val="none"/>
        </w:rPr>
        <w:t>关于承包人应完成的其他开工准备工作及期限：</w:t>
      </w:r>
      <w:r>
        <w:rPr>
          <w:rFonts w:hint="eastAsia" w:ascii="宋体" w:hAnsi="宋体"/>
          <w:color w:val="auto"/>
          <w:szCs w:val="21"/>
          <w:highlight w:val="none"/>
          <w:u w:val="single"/>
        </w:rPr>
        <w:t>开工前3天内</w:t>
      </w:r>
      <w:r>
        <w:rPr>
          <w:rFonts w:hint="eastAsia" w:hAnsi="宋体"/>
          <w:color w:val="auto"/>
          <w:szCs w:val="21"/>
          <w:highlight w:val="none"/>
        </w:rPr>
        <w:t>。</w:t>
      </w:r>
    </w:p>
    <w:p w14:paraId="2E14ACC6">
      <w:pPr>
        <w:pStyle w:val="35"/>
        <w:spacing w:line="360" w:lineRule="auto"/>
        <w:ind w:firstLine="420" w:firstLineChars="200"/>
        <w:jc w:val="left"/>
        <w:rPr>
          <w:color w:val="auto"/>
          <w:szCs w:val="21"/>
          <w:highlight w:val="none"/>
        </w:rPr>
      </w:pPr>
      <w:r>
        <w:rPr>
          <w:color w:val="auto"/>
          <w:szCs w:val="21"/>
          <w:highlight w:val="none"/>
        </w:rPr>
        <w:t xml:space="preserve">7.3.2 </w:t>
      </w:r>
      <w:r>
        <w:rPr>
          <w:rFonts w:hint="eastAsia" w:hAnsi="宋体"/>
          <w:color w:val="auto"/>
          <w:szCs w:val="21"/>
          <w:highlight w:val="none"/>
        </w:rPr>
        <w:t>开工通知</w:t>
      </w:r>
    </w:p>
    <w:p w14:paraId="58F4ED6F">
      <w:pPr>
        <w:pStyle w:val="35"/>
        <w:spacing w:line="360" w:lineRule="auto"/>
        <w:ind w:firstLine="420" w:firstLineChars="200"/>
        <w:jc w:val="left"/>
        <w:rPr>
          <w:color w:val="auto"/>
          <w:szCs w:val="21"/>
          <w:highlight w:val="none"/>
        </w:rPr>
      </w:pPr>
      <w:r>
        <w:rPr>
          <w:rFonts w:hint="eastAsia" w:hAnsi="宋体"/>
          <w:color w:val="auto"/>
          <w:szCs w:val="21"/>
          <w:highlight w:val="none"/>
          <w:lang w:val="en-US" w:eastAsia="zh-CN"/>
        </w:rPr>
        <w:t>签订合同后5天内进场施工，</w:t>
      </w:r>
      <w:r>
        <w:rPr>
          <w:rFonts w:hint="eastAsia" w:hAnsi="宋体"/>
          <w:color w:val="auto"/>
          <w:szCs w:val="21"/>
          <w:highlight w:val="none"/>
        </w:rPr>
        <w:t>因发包人原因造成监理人未能在计划开工日期之日起</w:t>
      </w:r>
      <w:r>
        <w:rPr>
          <w:color w:val="auto"/>
          <w:szCs w:val="21"/>
          <w:highlight w:val="none"/>
          <w:u w:val="single"/>
        </w:rPr>
        <w:t xml:space="preserve"> 30  </w:t>
      </w:r>
      <w:r>
        <w:rPr>
          <w:rFonts w:hint="eastAsia" w:hAnsi="宋体"/>
          <w:color w:val="auto"/>
          <w:szCs w:val="21"/>
          <w:highlight w:val="none"/>
        </w:rPr>
        <w:t>天内发出开工通知的，承包人有权提出价格调整要求，或者解除合同。</w:t>
      </w:r>
    </w:p>
    <w:bookmarkEnd w:id="448"/>
    <w:bookmarkEnd w:id="449"/>
    <w:bookmarkEnd w:id="450"/>
    <w:bookmarkEnd w:id="451"/>
    <w:bookmarkEnd w:id="452"/>
    <w:bookmarkEnd w:id="453"/>
    <w:bookmarkEnd w:id="454"/>
    <w:p w14:paraId="7EBA4E13">
      <w:pPr>
        <w:pStyle w:val="33"/>
        <w:rPr>
          <w:rFonts w:ascii="Calibri" w:hAnsi="Calibri"/>
          <w:color w:val="auto"/>
          <w:highlight w:val="none"/>
        </w:rPr>
      </w:pPr>
      <w:bookmarkStart w:id="459" w:name="_Toc467599587"/>
      <w:bookmarkStart w:id="460" w:name="_Toc373478373"/>
      <w:bookmarkStart w:id="461" w:name="_Toc373227726"/>
      <w:bookmarkStart w:id="462" w:name="_Toc389065292"/>
      <w:r>
        <w:rPr>
          <w:rFonts w:ascii="Calibri" w:hAnsi="Calibri"/>
          <w:color w:val="auto"/>
          <w:highlight w:val="none"/>
        </w:rPr>
        <w:t xml:space="preserve">7.4 </w:t>
      </w:r>
      <w:r>
        <w:rPr>
          <w:rFonts w:hint="eastAsia" w:ascii="Calibri" w:hAnsi="宋体"/>
          <w:color w:val="auto"/>
          <w:highlight w:val="none"/>
        </w:rPr>
        <w:t>测量放线</w:t>
      </w:r>
      <w:bookmarkEnd w:id="459"/>
      <w:bookmarkEnd w:id="460"/>
      <w:bookmarkEnd w:id="461"/>
      <w:bookmarkEnd w:id="462"/>
    </w:p>
    <w:p w14:paraId="20D39B85">
      <w:pPr>
        <w:pStyle w:val="35"/>
        <w:spacing w:line="360" w:lineRule="auto"/>
        <w:ind w:firstLine="420" w:firstLineChars="200"/>
        <w:jc w:val="left"/>
        <w:rPr>
          <w:color w:val="auto"/>
          <w:szCs w:val="21"/>
          <w:highlight w:val="none"/>
          <w:u w:val="single"/>
        </w:rPr>
      </w:pPr>
      <w:r>
        <w:rPr>
          <w:color w:val="auto"/>
          <w:szCs w:val="21"/>
          <w:highlight w:val="none"/>
        </w:rPr>
        <w:t>7.4.1</w:t>
      </w:r>
      <w:r>
        <w:rPr>
          <w:rFonts w:hint="eastAsia" w:hAnsi="宋体"/>
          <w:color w:val="auto"/>
          <w:szCs w:val="21"/>
          <w:highlight w:val="none"/>
        </w:rPr>
        <w:t>发包人通过监理人向承包人提供测量基准点、基准线和水准点及其书面资料的期限：</w:t>
      </w:r>
      <w:r>
        <w:rPr>
          <w:rFonts w:hint="eastAsia" w:ascii="新宋体" w:hAnsi="新宋体" w:eastAsia="新宋体" w:cs="新宋体"/>
          <w:color w:val="auto"/>
          <w:spacing w:val="2"/>
          <w:szCs w:val="21"/>
          <w:highlight w:val="none"/>
          <w:u w:val="single"/>
        </w:rPr>
        <w:t>开工前 7 日内承包人发现发包人资料明显错误和疏忽的要及时通知监理人。否则因发包人资料错误造成承包人放线及施工损失的由承包人自行承担</w:t>
      </w:r>
      <w:r>
        <w:rPr>
          <w:rFonts w:hint="eastAsia" w:hAnsi="宋体"/>
          <w:color w:val="auto"/>
          <w:szCs w:val="21"/>
          <w:highlight w:val="none"/>
        </w:rPr>
        <w:t>。</w:t>
      </w:r>
    </w:p>
    <w:p w14:paraId="5F6C7EB0">
      <w:pPr>
        <w:pStyle w:val="33"/>
        <w:rPr>
          <w:rFonts w:ascii="Calibri" w:hAnsi="Calibri"/>
          <w:color w:val="auto"/>
          <w:highlight w:val="none"/>
        </w:rPr>
      </w:pPr>
      <w:bookmarkStart w:id="463" w:name="_Toc373478374"/>
      <w:bookmarkStart w:id="464" w:name="_Toc467599588"/>
      <w:bookmarkStart w:id="465" w:name="_Toc373227727"/>
      <w:bookmarkStart w:id="466" w:name="_Toc389065293"/>
      <w:r>
        <w:rPr>
          <w:rFonts w:ascii="Calibri" w:hAnsi="Calibri"/>
          <w:color w:val="auto"/>
          <w:highlight w:val="none"/>
        </w:rPr>
        <w:t>7</w:t>
      </w:r>
      <w:bookmarkStart w:id="467" w:name="_Toc304295546"/>
      <w:bookmarkStart w:id="468" w:name="_Toc303539125"/>
      <w:bookmarkStart w:id="469" w:name="_Toc297216175"/>
      <w:bookmarkStart w:id="470" w:name="_Toc300934968"/>
      <w:bookmarkStart w:id="471" w:name="_Toc312677484"/>
      <w:bookmarkStart w:id="472" w:name="_Toc297123516"/>
      <w:bookmarkStart w:id="473" w:name="_Toc312678010"/>
      <w:r>
        <w:rPr>
          <w:rFonts w:ascii="Calibri" w:hAnsi="Calibri"/>
          <w:color w:val="auto"/>
          <w:highlight w:val="none"/>
        </w:rPr>
        <w:t xml:space="preserve">.5 </w:t>
      </w:r>
      <w:r>
        <w:rPr>
          <w:rFonts w:hint="eastAsia" w:ascii="Calibri" w:hAnsi="宋体"/>
          <w:color w:val="auto"/>
          <w:highlight w:val="none"/>
        </w:rPr>
        <w:t>工期延误</w:t>
      </w:r>
      <w:bookmarkEnd w:id="463"/>
      <w:bookmarkEnd w:id="464"/>
      <w:bookmarkEnd w:id="465"/>
      <w:bookmarkEnd w:id="466"/>
    </w:p>
    <w:bookmarkEnd w:id="467"/>
    <w:bookmarkEnd w:id="468"/>
    <w:bookmarkEnd w:id="469"/>
    <w:bookmarkEnd w:id="470"/>
    <w:bookmarkEnd w:id="471"/>
    <w:bookmarkEnd w:id="472"/>
    <w:bookmarkEnd w:id="473"/>
    <w:p w14:paraId="27D63647">
      <w:pPr>
        <w:pStyle w:val="35"/>
        <w:spacing w:line="360" w:lineRule="auto"/>
        <w:ind w:firstLine="420" w:firstLineChars="200"/>
        <w:jc w:val="left"/>
        <w:rPr>
          <w:color w:val="auto"/>
          <w:szCs w:val="21"/>
          <w:highlight w:val="none"/>
        </w:rPr>
      </w:pPr>
      <w:r>
        <w:rPr>
          <w:color w:val="auto"/>
          <w:szCs w:val="21"/>
          <w:highlight w:val="none"/>
        </w:rPr>
        <w:t xml:space="preserve">7.5.1 </w:t>
      </w:r>
      <w:r>
        <w:rPr>
          <w:rFonts w:hint="eastAsia" w:hAnsi="宋体"/>
          <w:color w:val="auto"/>
          <w:szCs w:val="21"/>
          <w:highlight w:val="none"/>
        </w:rPr>
        <w:t>因发包人原因导致工期延误</w:t>
      </w:r>
    </w:p>
    <w:p w14:paraId="34B5DD4D">
      <w:pPr>
        <w:pStyle w:val="35"/>
        <w:spacing w:line="360" w:lineRule="auto"/>
        <w:ind w:firstLine="420" w:firstLineChars="200"/>
        <w:jc w:val="left"/>
        <w:rPr>
          <w:color w:val="auto"/>
          <w:szCs w:val="21"/>
          <w:highlight w:val="none"/>
          <w:u w:val="single"/>
        </w:rPr>
      </w:pPr>
      <w:r>
        <w:rPr>
          <w:rFonts w:hint="eastAsia" w:hAnsi="宋体"/>
          <w:color w:val="auto"/>
          <w:szCs w:val="21"/>
          <w:highlight w:val="none"/>
        </w:rPr>
        <w:t>（</w:t>
      </w:r>
      <w:r>
        <w:rPr>
          <w:color w:val="auto"/>
          <w:szCs w:val="21"/>
          <w:highlight w:val="none"/>
        </w:rPr>
        <w:t>7</w:t>
      </w:r>
      <w:r>
        <w:rPr>
          <w:rFonts w:hint="eastAsia" w:hAnsi="宋体"/>
          <w:color w:val="auto"/>
          <w:szCs w:val="21"/>
          <w:highlight w:val="none"/>
        </w:rPr>
        <w:t>）因发包人原因导致工期延误的其他情形：</w:t>
      </w:r>
      <w:r>
        <w:rPr>
          <w:rFonts w:hint="eastAsia" w:ascii="宋体" w:hAnsi="宋体"/>
          <w:color w:val="auto"/>
          <w:szCs w:val="21"/>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hAnsi="宋体"/>
          <w:color w:val="auto"/>
          <w:szCs w:val="21"/>
          <w:highlight w:val="none"/>
        </w:rPr>
        <w:t>。</w:t>
      </w:r>
    </w:p>
    <w:p w14:paraId="3DA3C2F7">
      <w:pPr>
        <w:pStyle w:val="35"/>
        <w:spacing w:line="360" w:lineRule="auto"/>
        <w:ind w:firstLine="420" w:firstLineChars="200"/>
        <w:jc w:val="left"/>
        <w:rPr>
          <w:color w:val="auto"/>
          <w:szCs w:val="21"/>
          <w:highlight w:val="none"/>
        </w:rPr>
      </w:pPr>
      <w:r>
        <w:rPr>
          <w:color w:val="auto"/>
          <w:szCs w:val="21"/>
          <w:highlight w:val="none"/>
        </w:rPr>
        <w:t>7</w:t>
      </w:r>
      <w:bookmarkStart w:id="474" w:name="_Toc312678012"/>
      <w:bookmarkStart w:id="475" w:name="_Toc318581169"/>
      <w:bookmarkStart w:id="476" w:name="_Toc312677486"/>
      <w:bookmarkStart w:id="477" w:name="_Toc303539127"/>
      <w:bookmarkStart w:id="478" w:name="_Toc297123518"/>
      <w:bookmarkStart w:id="479" w:name="_Toc304295548"/>
      <w:bookmarkStart w:id="480" w:name="_Toc297216177"/>
      <w:bookmarkStart w:id="481" w:name="_Toc300934970"/>
      <w:r>
        <w:rPr>
          <w:color w:val="auto"/>
          <w:szCs w:val="21"/>
          <w:highlight w:val="none"/>
        </w:rPr>
        <w:t xml:space="preserve">.5.2 </w:t>
      </w:r>
      <w:r>
        <w:rPr>
          <w:rFonts w:hint="eastAsia" w:hAnsi="宋体"/>
          <w:color w:val="auto"/>
          <w:szCs w:val="21"/>
          <w:highlight w:val="none"/>
        </w:rPr>
        <w:t>因承包人原因导致工期延误</w:t>
      </w:r>
    </w:p>
    <w:bookmarkEnd w:id="474"/>
    <w:bookmarkEnd w:id="475"/>
    <w:bookmarkEnd w:id="476"/>
    <w:p w14:paraId="6FCBF2E0">
      <w:pPr>
        <w:pStyle w:val="35"/>
        <w:spacing w:line="360" w:lineRule="auto"/>
        <w:ind w:firstLine="420" w:firstLineChars="200"/>
        <w:jc w:val="left"/>
        <w:rPr>
          <w:color w:val="auto"/>
          <w:szCs w:val="21"/>
          <w:highlight w:val="none"/>
        </w:rPr>
      </w:pPr>
      <w:r>
        <w:rPr>
          <w:rFonts w:hint="eastAsia" w:hAnsi="宋体"/>
          <w:color w:val="auto"/>
          <w:szCs w:val="21"/>
          <w:highlight w:val="none"/>
        </w:rPr>
        <w:t>双方约定经监理工程师确认，工期相应顺延的情况：</w:t>
      </w:r>
      <w:r>
        <w:rPr>
          <w:rFonts w:hint="eastAsia"/>
          <w:color w:val="auto"/>
          <w:szCs w:val="21"/>
          <w:highlight w:val="none"/>
          <w:u w:val="single"/>
        </w:rPr>
        <w:t>无</w:t>
      </w:r>
      <w:r>
        <w:rPr>
          <w:rFonts w:hint="eastAsia" w:hAnsi="宋体"/>
          <w:color w:val="auto"/>
          <w:szCs w:val="21"/>
          <w:highlight w:val="none"/>
        </w:rPr>
        <w:t>。</w:t>
      </w:r>
    </w:p>
    <w:p w14:paraId="62EC8019">
      <w:pPr>
        <w:pStyle w:val="35"/>
        <w:spacing w:line="360" w:lineRule="auto"/>
        <w:ind w:firstLine="420" w:firstLineChars="200"/>
        <w:jc w:val="left"/>
        <w:rPr>
          <w:color w:val="auto"/>
          <w:szCs w:val="21"/>
          <w:highlight w:val="none"/>
          <w:u w:val="single"/>
        </w:rPr>
      </w:pPr>
      <w:r>
        <w:rPr>
          <w:rFonts w:hint="eastAsia" w:hAnsi="宋体"/>
          <w:color w:val="auto"/>
          <w:szCs w:val="21"/>
          <w:highlight w:val="none"/>
        </w:rPr>
        <w:t>因</w:t>
      </w:r>
      <w:bookmarkStart w:id="482" w:name="_Toc312678013"/>
      <w:bookmarkStart w:id="483" w:name="_Toc312677487"/>
      <w:bookmarkStart w:id="484" w:name="_Toc318581170"/>
      <w:r>
        <w:rPr>
          <w:rFonts w:hint="eastAsia" w:hAnsi="宋体"/>
          <w:color w:val="auto"/>
          <w:szCs w:val="21"/>
          <w:highlight w:val="none"/>
        </w:rPr>
        <w:t>承包人原因造成工期延误，逾期竣工违约金的计算方法为：</w:t>
      </w:r>
      <w:r>
        <w:rPr>
          <w:rFonts w:hint="eastAsia" w:hAnsi="宋体"/>
          <w:color w:val="auto"/>
          <w:szCs w:val="21"/>
          <w:highlight w:val="none"/>
          <w:u w:val="single"/>
        </w:rPr>
        <w:t>非上述原因，承包人不能按合同约定的时间竣工，承包人应承担违约责任。应向发包人支付误期赔偿费（赔偿费</w:t>
      </w:r>
      <w:r>
        <w:rPr>
          <w:rFonts w:hint="eastAsia" w:ascii="宋体" w:hAnsi="宋体"/>
          <w:color w:val="auto"/>
          <w:szCs w:val="21"/>
          <w:highlight w:val="none"/>
          <w:u w:val="single"/>
        </w:rPr>
        <w:t>按逾期竣工的单栋工程罚款，每延误一天,按该栋工程结算造价扣除建安劳保费、发包人材料设备价款、暂估专业工程、暂列金额后的万分之 四  处罚,罚款直接从结算款中扣除。</w:t>
      </w:r>
      <w:r>
        <w:rPr>
          <w:rFonts w:hint="eastAsia" w:hAnsi="宋体"/>
          <w:color w:val="auto"/>
          <w:szCs w:val="21"/>
          <w:highlight w:val="none"/>
          <w:u w:val="single"/>
        </w:rPr>
        <w:t>），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w:t>
      </w:r>
    </w:p>
    <w:bookmarkEnd w:id="477"/>
    <w:bookmarkEnd w:id="478"/>
    <w:bookmarkEnd w:id="479"/>
    <w:bookmarkEnd w:id="480"/>
    <w:bookmarkEnd w:id="481"/>
    <w:bookmarkEnd w:id="482"/>
    <w:bookmarkEnd w:id="483"/>
    <w:bookmarkEnd w:id="484"/>
    <w:p w14:paraId="658845FB">
      <w:pPr>
        <w:pStyle w:val="35"/>
        <w:spacing w:line="360" w:lineRule="auto"/>
        <w:ind w:firstLine="420" w:firstLineChars="200"/>
        <w:jc w:val="left"/>
        <w:rPr>
          <w:color w:val="auto"/>
          <w:szCs w:val="21"/>
          <w:highlight w:val="none"/>
        </w:rPr>
      </w:pPr>
      <w:r>
        <w:rPr>
          <w:rFonts w:hint="eastAsia" w:hAnsi="宋体"/>
          <w:color w:val="auto"/>
          <w:szCs w:val="21"/>
          <w:highlight w:val="none"/>
        </w:rPr>
        <w:t>因承包人原因造成工期延误，逾</w:t>
      </w:r>
      <w:bookmarkStart w:id="485" w:name="_Toc312678014"/>
      <w:bookmarkStart w:id="486" w:name="_Toc318581171"/>
      <w:r>
        <w:rPr>
          <w:rFonts w:hint="eastAsia" w:hAnsi="宋体"/>
          <w:color w:val="auto"/>
          <w:szCs w:val="21"/>
          <w:highlight w:val="none"/>
        </w:rPr>
        <w:t>期竣工违约金的上限：</w:t>
      </w:r>
      <w:r>
        <w:rPr>
          <w:rFonts w:hint="eastAsia" w:ascii="宋体" w:hAnsi="宋体"/>
          <w:color w:val="auto"/>
          <w:szCs w:val="21"/>
          <w:highlight w:val="none"/>
          <w:u w:val="single"/>
        </w:rPr>
        <w:t>逾期竣工的单位工程结算造价</w:t>
      </w:r>
      <w:r>
        <w:rPr>
          <w:rFonts w:hint="eastAsia" w:hAnsi="宋体"/>
          <w:color w:val="auto"/>
          <w:szCs w:val="21"/>
          <w:highlight w:val="none"/>
          <w:u w:val="single"/>
        </w:rPr>
        <w:t>扣除建安劳保费、发包人材料价款、暂估专业工程、暂列金额后的</w:t>
      </w:r>
      <w:r>
        <w:rPr>
          <w:color w:val="auto"/>
          <w:szCs w:val="21"/>
          <w:highlight w:val="none"/>
          <w:u w:val="single"/>
          <w:shd w:val="clear" w:color="FFFFFF" w:fill="D9D9D9"/>
        </w:rPr>
        <w:t xml:space="preserve">  </w:t>
      </w:r>
      <w:r>
        <w:rPr>
          <w:rFonts w:hint="eastAsia"/>
          <w:color w:val="auto"/>
          <w:szCs w:val="21"/>
          <w:highlight w:val="none"/>
          <w:u w:val="single"/>
          <w:shd w:val="clear" w:color="FFFFFF" w:fill="D9D9D9"/>
          <w:lang w:val="en-US" w:eastAsia="zh-CN"/>
        </w:rPr>
        <w:t>2</w:t>
      </w:r>
      <w:r>
        <w:rPr>
          <w:color w:val="auto"/>
          <w:szCs w:val="21"/>
          <w:highlight w:val="none"/>
          <w:u w:val="single"/>
          <w:shd w:val="clear" w:color="FFFFFF" w:fill="D9D9D9"/>
        </w:rPr>
        <w:t xml:space="preserve"> %</w:t>
      </w:r>
      <w:r>
        <w:rPr>
          <w:rFonts w:hint="eastAsia" w:hAnsi="宋体"/>
          <w:color w:val="auto"/>
          <w:szCs w:val="21"/>
          <w:highlight w:val="none"/>
        </w:rPr>
        <w:t>。</w:t>
      </w:r>
    </w:p>
    <w:bookmarkEnd w:id="485"/>
    <w:bookmarkEnd w:id="486"/>
    <w:p w14:paraId="2FF06B56">
      <w:pPr>
        <w:pStyle w:val="33"/>
        <w:rPr>
          <w:rFonts w:ascii="Calibri" w:hAnsi="Calibri"/>
          <w:color w:val="auto"/>
          <w:highlight w:val="none"/>
        </w:rPr>
      </w:pPr>
      <w:bookmarkStart w:id="487" w:name="_Toc373478375"/>
      <w:bookmarkStart w:id="488" w:name="_Toc389065294"/>
      <w:bookmarkStart w:id="489" w:name="_Toc373227728"/>
      <w:bookmarkStart w:id="490" w:name="_Toc467599589"/>
      <w:r>
        <w:rPr>
          <w:rFonts w:ascii="Calibri" w:hAnsi="Calibri"/>
          <w:color w:val="auto"/>
          <w:highlight w:val="none"/>
        </w:rPr>
        <w:t>7</w:t>
      </w:r>
      <w:bookmarkStart w:id="491" w:name="_Toc304295549"/>
      <w:bookmarkStart w:id="492" w:name="_Toc300934971"/>
      <w:bookmarkStart w:id="493" w:name="_Toc312678015"/>
      <w:bookmarkStart w:id="494" w:name="_Toc297216178"/>
      <w:bookmarkStart w:id="495" w:name="_Toc297123519"/>
      <w:bookmarkStart w:id="496" w:name="_Toc303539128"/>
      <w:r>
        <w:rPr>
          <w:rFonts w:ascii="Calibri" w:hAnsi="Calibri"/>
          <w:color w:val="auto"/>
          <w:highlight w:val="none"/>
        </w:rPr>
        <w:t xml:space="preserve">.6 </w:t>
      </w:r>
      <w:r>
        <w:rPr>
          <w:rFonts w:hint="eastAsia" w:ascii="Calibri" w:hAnsi="Calibri"/>
          <w:color w:val="auto"/>
          <w:highlight w:val="none"/>
        </w:rPr>
        <w:t>不</w:t>
      </w:r>
      <w:bookmarkEnd w:id="491"/>
      <w:bookmarkEnd w:id="492"/>
      <w:bookmarkEnd w:id="493"/>
      <w:bookmarkEnd w:id="494"/>
      <w:bookmarkEnd w:id="495"/>
      <w:bookmarkEnd w:id="496"/>
      <w:r>
        <w:rPr>
          <w:rFonts w:hint="eastAsia" w:ascii="Calibri" w:hAnsi="Calibri"/>
          <w:color w:val="auto"/>
          <w:highlight w:val="none"/>
        </w:rPr>
        <w:t>利物质条件</w:t>
      </w:r>
      <w:bookmarkEnd w:id="487"/>
      <w:bookmarkEnd w:id="488"/>
      <w:bookmarkEnd w:id="489"/>
      <w:bookmarkEnd w:id="490"/>
    </w:p>
    <w:p w14:paraId="21C63127">
      <w:pPr>
        <w:pStyle w:val="35"/>
        <w:spacing w:line="360" w:lineRule="auto"/>
        <w:ind w:firstLine="420" w:firstLineChars="200"/>
        <w:jc w:val="left"/>
        <w:rPr>
          <w:color w:val="auto"/>
          <w:szCs w:val="21"/>
          <w:highlight w:val="none"/>
          <w:u w:val="single"/>
        </w:rPr>
      </w:pPr>
      <w:bookmarkStart w:id="497" w:name="_Toc297216179"/>
      <w:bookmarkStart w:id="498" w:name="_Toc303539129"/>
      <w:bookmarkStart w:id="499" w:name="_Toc297123520"/>
      <w:bookmarkStart w:id="500" w:name="_Toc318581172"/>
      <w:bookmarkStart w:id="501" w:name="_Toc304295550"/>
      <w:bookmarkStart w:id="502" w:name="_Toc300934972"/>
      <w:bookmarkStart w:id="503" w:name="_Toc312678016"/>
      <w:r>
        <w:rPr>
          <w:rFonts w:hint="eastAsia" w:hAnsi="宋体"/>
          <w:color w:val="auto"/>
          <w:szCs w:val="21"/>
          <w:highlight w:val="none"/>
        </w:rPr>
        <w:t>不利物质条件的其他情形和有关约定：</w:t>
      </w:r>
      <w:r>
        <w:rPr>
          <w:rFonts w:hint="eastAsia" w:ascii="新宋体" w:hAnsi="新宋体" w:eastAsia="新宋体" w:cs="新宋体"/>
          <w:color w:val="auto"/>
          <w:spacing w:val="2"/>
          <w:szCs w:val="21"/>
          <w:highlight w:val="none"/>
          <w:u w:val="single"/>
        </w:rPr>
        <w:t>以有关部门发布的文告或文件为准</w:t>
      </w:r>
      <w:r>
        <w:rPr>
          <w:rFonts w:hint="eastAsia" w:hAnsi="宋体"/>
          <w:color w:val="auto"/>
          <w:szCs w:val="21"/>
          <w:highlight w:val="none"/>
        </w:rPr>
        <w:t>。</w:t>
      </w:r>
    </w:p>
    <w:bookmarkEnd w:id="497"/>
    <w:bookmarkEnd w:id="498"/>
    <w:bookmarkEnd w:id="499"/>
    <w:bookmarkEnd w:id="500"/>
    <w:bookmarkEnd w:id="501"/>
    <w:bookmarkEnd w:id="502"/>
    <w:bookmarkEnd w:id="503"/>
    <w:p w14:paraId="476B657C">
      <w:pPr>
        <w:pStyle w:val="33"/>
        <w:rPr>
          <w:rFonts w:ascii="Calibri" w:hAnsi="Calibri"/>
          <w:color w:val="auto"/>
          <w:highlight w:val="none"/>
        </w:rPr>
      </w:pPr>
      <w:bookmarkStart w:id="504" w:name="_Toc389065295"/>
      <w:bookmarkStart w:id="505" w:name="_Toc373478376"/>
      <w:bookmarkStart w:id="506" w:name="_Toc467599590"/>
      <w:bookmarkStart w:id="507" w:name="_Toc373227729"/>
      <w:r>
        <w:rPr>
          <w:rFonts w:ascii="Calibri" w:hAnsi="Calibri"/>
          <w:color w:val="auto"/>
          <w:highlight w:val="none"/>
        </w:rPr>
        <w:t>7</w:t>
      </w:r>
      <w:bookmarkStart w:id="508" w:name="_Toc304295551"/>
      <w:bookmarkStart w:id="509" w:name="_Toc297123521"/>
      <w:bookmarkStart w:id="510" w:name="_Toc312678017"/>
      <w:bookmarkStart w:id="511" w:name="_Toc300934973"/>
      <w:bookmarkStart w:id="512" w:name="_Toc303539130"/>
      <w:bookmarkStart w:id="513" w:name="_Toc297216180"/>
      <w:r>
        <w:rPr>
          <w:rFonts w:ascii="Calibri" w:hAnsi="Calibri"/>
          <w:color w:val="auto"/>
          <w:highlight w:val="none"/>
        </w:rPr>
        <w:t xml:space="preserve">.7 </w:t>
      </w:r>
      <w:r>
        <w:rPr>
          <w:rFonts w:hint="eastAsia" w:ascii="Calibri" w:hAnsi="Calibri"/>
          <w:color w:val="auto"/>
          <w:highlight w:val="none"/>
        </w:rPr>
        <w:t>异常恶劣的气候条件</w:t>
      </w:r>
      <w:bookmarkEnd w:id="504"/>
      <w:bookmarkEnd w:id="505"/>
      <w:bookmarkEnd w:id="506"/>
      <w:bookmarkEnd w:id="507"/>
    </w:p>
    <w:bookmarkEnd w:id="508"/>
    <w:bookmarkEnd w:id="509"/>
    <w:bookmarkEnd w:id="510"/>
    <w:bookmarkEnd w:id="511"/>
    <w:bookmarkEnd w:id="512"/>
    <w:bookmarkEnd w:id="513"/>
    <w:p w14:paraId="657B21A1">
      <w:pPr>
        <w:pStyle w:val="35"/>
        <w:spacing w:line="360" w:lineRule="auto"/>
        <w:ind w:firstLine="420" w:firstLineChars="200"/>
        <w:jc w:val="left"/>
        <w:rPr>
          <w:color w:val="auto"/>
          <w:szCs w:val="21"/>
          <w:highlight w:val="none"/>
        </w:rPr>
      </w:pPr>
      <w:r>
        <w:rPr>
          <w:rFonts w:hint="eastAsia" w:hAnsi="宋体"/>
          <w:color w:val="auto"/>
          <w:szCs w:val="21"/>
          <w:highlight w:val="none"/>
        </w:rPr>
        <w:t>发包人和承包人同意以下情形视为异常恶劣的气候条件：</w:t>
      </w:r>
    </w:p>
    <w:p w14:paraId="0C0DF1DD">
      <w:pPr>
        <w:pStyle w:val="35"/>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1</w:t>
      </w:r>
      <w:r>
        <w:rPr>
          <w:rFonts w:hint="eastAsia" w:hAnsi="宋体"/>
          <w:color w:val="auto"/>
          <w:szCs w:val="21"/>
          <w:highlight w:val="none"/>
        </w:rPr>
        <w:t>）</w:t>
      </w:r>
      <w:r>
        <w:rPr>
          <w:rFonts w:hint="eastAsia" w:ascii="新宋体" w:hAnsi="新宋体" w:eastAsia="新宋体" w:cs="新宋体"/>
          <w:color w:val="auto"/>
          <w:spacing w:val="2"/>
          <w:szCs w:val="21"/>
          <w:highlight w:val="none"/>
          <w:u w:val="single"/>
        </w:rPr>
        <w:t>日气温超过 40 摄氏度的高温大于 3 天</w:t>
      </w:r>
      <w:r>
        <w:rPr>
          <w:rFonts w:hint="eastAsia" w:hAnsi="宋体"/>
          <w:color w:val="auto"/>
          <w:szCs w:val="21"/>
          <w:highlight w:val="none"/>
        </w:rPr>
        <w:t>；</w:t>
      </w:r>
    </w:p>
    <w:p w14:paraId="2748D3B4">
      <w:pPr>
        <w:pStyle w:val="35"/>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2</w:t>
      </w:r>
      <w:r>
        <w:rPr>
          <w:rFonts w:hint="eastAsia" w:hAnsi="宋体"/>
          <w:color w:val="auto"/>
          <w:szCs w:val="21"/>
          <w:highlight w:val="none"/>
        </w:rPr>
        <w:t>）</w:t>
      </w:r>
      <w:r>
        <w:rPr>
          <w:rFonts w:hint="eastAsia" w:ascii="新宋体" w:hAnsi="新宋体" w:eastAsia="新宋体" w:cs="新宋体"/>
          <w:color w:val="auto"/>
          <w:spacing w:val="2"/>
          <w:szCs w:val="21"/>
          <w:highlight w:val="none"/>
          <w:u w:val="single"/>
        </w:rPr>
        <w:t xml:space="preserve">日气温低于零摄氏度的严寒大于3 天  </w:t>
      </w:r>
      <w:r>
        <w:rPr>
          <w:rFonts w:hint="eastAsia" w:hAnsi="宋体"/>
          <w:color w:val="auto"/>
          <w:szCs w:val="21"/>
          <w:highlight w:val="none"/>
        </w:rPr>
        <w:t>；</w:t>
      </w:r>
    </w:p>
    <w:p w14:paraId="3FEF1CD0">
      <w:pPr>
        <w:pStyle w:val="35"/>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color w:val="auto"/>
          <w:szCs w:val="21"/>
          <w:highlight w:val="none"/>
        </w:rPr>
        <w:t>3</w:t>
      </w:r>
      <w:r>
        <w:rPr>
          <w:rFonts w:hint="eastAsia" w:hAnsi="宋体"/>
          <w:color w:val="auto"/>
          <w:szCs w:val="21"/>
          <w:highlight w:val="none"/>
        </w:rPr>
        <w:t>）</w:t>
      </w:r>
      <w:r>
        <w:rPr>
          <w:rFonts w:hint="eastAsia" w:ascii="新宋体" w:hAnsi="新宋体" w:eastAsia="新宋体" w:cs="新宋体"/>
          <w:color w:val="auto"/>
          <w:spacing w:val="2"/>
          <w:szCs w:val="21"/>
          <w:highlight w:val="none"/>
          <w:u w:val="single"/>
        </w:rPr>
        <w:t xml:space="preserve">8 级以上大风及六级以上的地震  </w:t>
      </w:r>
      <w:r>
        <w:rPr>
          <w:rFonts w:hint="eastAsia" w:hAnsi="宋体"/>
          <w:color w:val="auto"/>
          <w:szCs w:val="21"/>
          <w:highlight w:val="none"/>
        </w:rPr>
        <w:t>；</w:t>
      </w:r>
    </w:p>
    <w:p w14:paraId="10DB2798">
      <w:pPr>
        <w:pStyle w:val="35"/>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color w:val="auto"/>
          <w:szCs w:val="21"/>
          <w:highlight w:val="none"/>
        </w:rPr>
        <w:t>4</w:t>
      </w:r>
      <w:r>
        <w:rPr>
          <w:rFonts w:hint="eastAsia" w:hAnsi="宋体"/>
          <w:color w:val="auto"/>
          <w:szCs w:val="21"/>
          <w:highlight w:val="none"/>
        </w:rPr>
        <w:t>）</w:t>
      </w:r>
      <w:r>
        <w:rPr>
          <w:rFonts w:hint="eastAsia" w:ascii="新宋体" w:hAnsi="新宋体" w:eastAsia="新宋体" w:cs="新宋体"/>
          <w:color w:val="auto"/>
          <w:spacing w:val="2"/>
          <w:szCs w:val="21"/>
          <w:highlight w:val="none"/>
          <w:u w:val="single"/>
        </w:rPr>
        <w:t>一日内降雨达200mm的暴雨（以气象部门公布的为准）；</w:t>
      </w:r>
    </w:p>
    <w:p w14:paraId="42718B61">
      <w:pPr>
        <w:pStyle w:val="35"/>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5</w:t>
      </w:r>
      <w:r>
        <w:rPr>
          <w:rFonts w:hint="eastAsia" w:hAnsi="宋体"/>
          <w:color w:val="auto"/>
          <w:szCs w:val="21"/>
          <w:highlight w:val="none"/>
        </w:rPr>
        <w:t>）</w:t>
      </w:r>
      <w:r>
        <w:rPr>
          <w:rFonts w:hint="eastAsia" w:ascii="新宋体" w:hAnsi="新宋体" w:eastAsia="新宋体" w:cs="新宋体"/>
          <w:color w:val="auto"/>
          <w:spacing w:val="2"/>
          <w:szCs w:val="21"/>
          <w:highlight w:val="none"/>
          <w:u w:val="single"/>
        </w:rPr>
        <w:t>造成的工程损坏的冰雹和大雪灾害；其它异常恶劣气候灾害。</w:t>
      </w:r>
    </w:p>
    <w:p w14:paraId="57B016ED">
      <w:pPr>
        <w:pStyle w:val="33"/>
        <w:rPr>
          <w:rFonts w:ascii="Calibri" w:hAnsi="Calibri"/>
          <w:color w:val="auto"/>
          <w:highlight w:val="none"/>
        </w:rPr>
      </w:pPr>
      <w:bookmarkStart w:id="514" w:name="_Toc373478377"/>
      <w:bookmarkStart w:id="515" w:name="_Toc373227730"/>
      <w:bookmarkStart w:id="516" w:name="_Toc389065296"/>
      <w:bookmarkStart w:id="517" w:name="_Toc467599591"/>
      <w:r>
        <w:rPr>
          <w:rFonts w:ascii="Calibri" w:hAnsi="Calibri"/>
          <w:color w:val="auto"/>
          <w:highlight w:val="none"/>
        </w:rPr>
        <w:t xml:space="preserve">7.9 </w:t>
      </w:r>
      <w:r>
        <w:rPr>
          <w:rFonts w:hint="eastAsia" w:ascii="Calibri" w:hAnsi="宋体"/>
          <w:color w:val="auto"/>
          <w:highlight w:val="none"/>
        </w:rPr>
        <w:t>提前竣工的奖励</w:t>
      </w:r>
      <w:bookmarkEnd w:id="514"/>
      <w:bookmarkEnd w:id="515"/>
      <w:bookmarkEnd w:id="516"/>
      <w:bookmarkEnd w:id="517"/>
    </w:p>
    <w:p w14:paraId="5D344F06">
      <w:pPr>
        <w:pStyle w:val="23"/>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7.9.2 提前竣工的奖励：</w:t>
      </w:r>
      <w:r>
        <w:rPr>
          <w:rFonts w:hint="eastAsia" w:ascii="新宋体" w:hAnsi="新宋体" w:eastAsia="新宋体" w:cs="新宋体"/>
          <w:color w:val="auto"/>
          <w:spacing w:val="2"/>
          <w:szCs w:val="21"/>
          <w:highlight w:val="none"/>
          <w:u w:val="single"/>
        </w:rPr>
        <w:t xml:space="preserve">        无       </w:t>
      </w:r>
      <w:r>
        <w:rPr>
          <w:rFonts w:hint="eastAsia" w:ascii="新宋体" w:hAnsi="新宋体" w:eastAsia="新宋体" w:cs="新宋体"/>
          <w:color w:val="auto"/>
          <w:spacing w:val="2"/>
          <w:szCs w:val="21"/>
          <w:highlight w:val="none"/>
        </w:rPr>
        <w:t>。</w:t>
      </w:r>
      <w:bookmarkStart w:id="518" w:name="_Toc389065297"/>
      <w:bookmarkStart w:id="519" w:name="_Toc373227731"/>
      <w:bookmarkStart w:id="520" w:name="_Toc351203640"/>
      <w:bookmarkStart w:id="521" w:name="_Toc467599592"/>
      <w:bookmarkStart w:id="522" w:name="_Toc373478378"/>
    </w:p>
    <w:p w14:paraId="4F7D7B2B">
      <w:pPr>
        <w:pStyle w:val="23"/>
        <w:rPr>
          <w:color w:val="auto"/>
          <w:highlight w:val="none"/>
        </w:rPr>
      </w:pPr>
      <w:r>
        <w:rPr>
          <w:color w:val="auto"/>
          <w:highlight w:val="none"/>
        </w:rPr>
        <w:t xml:space="preserve">8. </w:t>
      </w:r>
      <w:r>
        <w:rPr>
          <w:rFonts w:hint="eastAsia"/>
          <w:color w:val="auto"/>
          <w:highlight w:val="none"/>
        </w:rPr>
        <w:t>材料与设备</w:t>
      </w:r>
      <w:bookmarkEnd w:id="518"/>
      <w:bookmarkEnd w:id="519"/>
      <w:bookmarkEnd w:id="520"/>
      <w:bookmarkEnd w:id="521"/>
      <w:bookmarkEnd w:id="522"/>
    </w:p>
    <w:bookmarkEnd w:id="401"/>
    <w:bookmarkEnd w:id="402"/>
    <w:bookmarkEnd w:id="403"/>
    <w:bookmarkEnd w:id="404"/>
    <w:bookmarkEnd w:id="405"/>
    <w:bookmarkEnd w:id="406"/>
    <w:bookmarkEnd w:id="407"/>
    <w:bookmarkEnd w:id="408"/>
    <w:bookmarkEnd w:id="409"/>
    <w:bookmarkEnd w:id="410"/>
    <w:p w14:paraId="32CB7D0F">
      <w:pPr>
        <w:pStyle w:val="33"/>
        <w:rPr>
          <w:rFonts w:ascii="Calibri" w:hAnsi="Calibri"/>
          <w:color w:val="auto"/>
          <w:highlight w:val="none"/>
        </w:rPr>
      </w:pPr>
      <w:bookmarkStart w:id="523" w:name="_Toc373227732"/>
      <w:bookmarkStart w:id="524" w:name="_Toc389065298"/>
      <w:bookmarkStart w:id="525" w:name="_Toc373478379"/>
      <w:bookmarkStart w:id="526" w:name="_Toc467599593"/>
      <w:r>
        <w:rPr>
          <w:rFonts w:ascii="Calibri" w:hAnsi="Calibri"/>
          <w:color w:val="auto"/>
          <w:highlight w:val="none"/>
        </w:rPr>
        <w:t xml:space="preserve">8.2 </w:t>
      </w:r>
      <w:r>
        <w:rPr>
          <w:rFonts w:hint="eastAsia" w:ascii="Calibri" w:hAnsi="Calibri"/>
          <w:color w:val="auto"/>
          <w:highlight w:val="none"/>
        </w:rPr>
        <w:t>承包人采购材料与工程设备</w:t>
      </w:r>
      <w:bookmarkEnd w:id="523"/>
      <w:bookmarkEnd w:id="524"/>
      <w:bookmarkEnd w:id="525"/>
      <w:bookmarkEnd w:id="526"/>
    </w:p>
    <w:p w14:paraId="56EF1C06">
      <w:pPr>
        <w:pStyle w:val="35"/>
        <w:autoSpaceDE w:val="0"/>
        <w:autoSpaceDN w:val="0"/>
        <w:adjustRightInd w:val="0"/>
        <w:spacing w:line="360" w:lineRule="auto"/>
        <w:ind w:firstLine="420" w:firstLineChars="200"/>
        <w:jc w:val="left"/>
        <w:rPr>
          <w:color w:val="auto"/>
          <w:kern w:val="0"/>
          <w:highlight w:val="none"/>
        </w:rPr>
      </w:pPr>
      <w:r>
        <w:rPr>
          <w:rFonts w:hint="eastAsia"/>
          <w:color w:val="auto"/>
          <w:kern w:val="0"/>
          <w:highlight w:val="none"/>
        </w:rPr>
        <w:t>除已标价工程量清单《发包人提供主要材料和工程设备一览表》（表</w:t>
      </w:r>
      <w:r>
        <w:rPr>
          <w:color w:val="auto"/>
          <w:kern w:val="0"/>
          <w:highlight w:val="none"/>
        </w:rPr>
        <w:t>-21</w:t>
      </w:r>
      <w:r>
        <w:rPr>
          <w:rFonts w:hint="eastAsia"/>
          <w:color w:val="auto"/>
          <w:kern w:val="0"/>
          <w:highlight w:val="none"/>
        </w:rPr>
        <w:t>）中明确的材料、工程设备外，由承包人负责材料和工程设备的采购、运输和保管。《</w:t>
      </w:r>
      <w:r>
        <w:rPr>
          <w:rFonts w:hint="eastAsia"/>
          <w:color w:val="auto"/>
          <w:highlight w:val="none"/>
        </w:rPr>
        <w:t>承包人提供主要材料和工程设备一览表》</w:t>
      </w:r>
      <w:r>
        <w:rPr>
          <w:rFonts w:hint="eastAsia"/>
          <w:color w:val="auto"/>
          <w:kern w:val="0"/>
          <w:highlight w:val="none"/>
        </w:rPr>
        <w:t>（表</w:t>
      </w:r>
      <w:r>
        <w:rPr>
          <w:color w:val="auto"/>
          <w:kern w:val="0"/>
          <w:highlight w:val="none"/>
        </w:rPr>
        <w:t>-22</w:t>
      </w:r>
      <w:r>
        <w:rPr>
          <w:rFonts w:hint="eastAsia"/>
          <w:color w:val="auto"/>
          <w:kern w:val="0"/>
          <w:highlight w:val="none"/>
        </w:rPr>
        <w:t>）见已标价工程量清单。</w:t>
      </w:r>
    </w:p>
    <w:p w14:paraId="473B2DF3">
      <w:pPr>
        <w:pStyle w:val="35"/>
        <w:autoSpaceDE w:val="0"/>
        <w:autoSpaceDN w:val="0"/>
        <w:adjustRightInd w:val="0"/>
        <w:spacing w:line="360" w:lineRule="auto"/>
        <w:ind w:firstLine="420" w:firstLineChars="200"/>
        <w:jc w:val="left"/>
        <w:rPr>
          <w:color w:val="auto"/>
          <w:szCs w:val="21"/>
          <w:highlight w:val="none"/>
        </w:rPr>
      </w:pPr>
      <w:bookmarkStart w:id="527" w:name="_Toc373478380"/>
      <w:bookmarkStart w:id="528" w:name="_Toc389065299"/>
      <w:bookmarkStart w:id="529" w:name="_Toc373227733"/>
      <w:r>
        <w:rPr>
          <w:rFonts w:hint="eastAsia"/>
          <w:color w:val="auto"/>
          <w:szCs w:val="21"/>
          <w:highlight w:val="none"/>
        </w:rPr>
        <w:t>对发包人在招标时有“参照或相当于</w:t>
      </w:r>
      <w:r>
        <w:rPr>
          <w:color w:val="auto"/>
          <w:szCs w:val="21"/>
          <w:highlight w:val="none"/>
        </w:rPr>
        <w:t>**</w:t>
      </w:r>
      <w:r>
        <w:rPr>
          <w:rFonts w:hint="eastAsia"/>
          <w:color w:val="auto"/>
          <w:szCs w:val="21"/>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0A37E070">
      <w:pPr>
        <w:pStyle w:val="35"/>
        <w:autoSpaceDE w:val="0"/>
        <w:autoSpaceDN w:val="0"/>
        <w:adjustRightInd w:val="0"/>
        <w:spacing w:line="360" w:lineRule="auto"/>
        <w:ind w:firstLine="420" w:firstLineChars="200"/>
        <w:jc w:val="left"/>
        <w:rPr>
          <w:color w:val="auto"/>
          <w:szCs w:val="21"/>
          <w:highlight w:val="none"/>
        </w:rPr>
      </w:pPr>
      <w:r>
        <w:rPr>
          <w:rFonts w:hint="eastAsia"/>
          <w:color w:val="auto"/>
          <w:szCs w:val="21"/>
          <w:highlight w:val="none"/>
        </w:rPr>
        <w:t>满足南宁市城乡建设委员会南宁市工业和信息化委员会关于重新印发《南宁市城乡建设委员会和南宁市工业和信息化委员会关于推广应用高性能混凝土的通知》的通知（南建规【</w:t>
      </w:r>
      <w:r>
        <w:rPr>
          <w:color w:val="auto"/>
          <w:szCs w:val="21"/>
          <w:highlight w:val="none"/>
        </w:rPr>
        <w:t>2016</w:t>
      </w:r>
      <w:r>
        <w:rPr>
          <w:rFonts w:hint="eastAsia"/>
          <w:color w:val="auto"/>
          <w:szCs w:val="21"/>
          <w:highlight w:val="none"/>
        </w:rPr>
        <w:t>】</w:t>
      </w:r>
      <w:r>
        <w:rPr>
          <w:color w:val="auto"/>
          <w:szCs w:val="21"/>
          <w:highlight w:val="none"/>
        </w:rPr>
        <w:t>1</w:t>
      </w:r>
      <w:r>
        <w:rPr>
          <w:rFonts w:hint="eastAsia"/>
          <w:color w:val="auto"/>
          <w:szCs w:val="21"/>
          <w:highlight w:val="none"/>
        </w:rPr>
        <w:t>号）要求的，本工程必须使用高性能混凝土。</w:t>
      </w:r>
    </w:p>
    <w:p w14:paraId="62685F0E">
      <w:pPr>
        <w:pStyle w:val="35"/>
        <w:autoSpaceDE w:val="0"/>
        <w:autoSpaceDN w:val="0"/>
        <w:adjustRightInd w:val="0"/>
        <w:spacing w:line="360" w:lineRule="auto"/>
        <w:ind w:firstLine="420" w:firstLineChars="200"/>
        <w:jc w:val="left"/>
        <w:rPr>
          <w:color w:val="auto"/>
          <w:szCs w:val="21"/>
          <w:highlight w:val="none"/>
        </w:rPr>
      </w:pPr>
      <w:r>
        <w:rPr>
          <w:rFonts w:hint="eastAsia"/>
          <w:color w:val="auto"/>
          <w:szCs w:val="21"/>
          <w:highlight w:val="none"/>
        </w:rPr>
        <w:t>满足南宁市人民政府印发的《南宁市人民政府关于推广使用预拌砂浆的实施意见》（南府规〔</w:t>
      </w:r>
      <w:r>
        <w:rPr>
          <w:color w:val="auto"/>
          <w:szCs w:val="21"/>
          <w:highlight w:val="none"/>
        </w:rPr>
        <w:t>2016</w:t>
      </w:r>
      <w:r>
        <w:rPr>
          <w:rFonts w:hint="eastAsia"/>
          <w:color w:val="auto"/>
          <w:szCs w:val="21"/>
          <w:highlight w:val="none"/>
        </w:rPr>
        <w:t>〕</w:t>
      </w:r>
      <w:r>
        <w:rPr>
          <w:color w:val="auto"/>
          <w:szCs w:val="21"/>
          <w:highlight w:val="none"/>
        </w:rPr>
        <w:t xml:space="preserve">12 </w:t>
      </w:r>
      <w:r>
        <w:rPr>
          <w:rFonts w:hint="eastAsia"/>
          <w:color w:val="auto"/>
          <w:szCs w:val="21"/>
          <w:highlight w:val="none"/>
        </w:rPr>
        <w:t>号）要求的，本工程必须使用预拌砂浆。</w:t>
      </w:r>
    </w:p>
    <w:p w14:paraId="0F7A7CBD">
      <w:pPr>
        <w:pStyle w:val="33"/>
        <w:rPr>
          <w:rFonts w:ascii="Calibri" w:hAnsi="Calibri"/>
          <w:color w:val="auto"/>
          <w:highlight w:val="none"/>
        </w:rPr>
      </w:pPr>
      <w:bookmarkStart w:id="530" w:name="_Toc467599594"/>
      <w:r>
        <w:rPr>
          <w:rFonts w:ascii="Calibri" w:hAnsi="Calibri"/>
          <w:color w:val="auto"/>
          <w:highlight w:val="none"/>
        </w:rPr>
        <w:t>8</w:t>
      </w:r>
      <w:bookmarkStart w:id="531" w:name="_Toc292559877"/>
      <w:bookmarkStart w:id="532" w:name="_Toc300934979"/>
      <w:bookmarkStart w:id="533" w:name="_Toc312678019"/>
      <w:bookmarkStart w:id="534" w:name="_Toc280868654"/>
      <w:bookmarkStart w:id="535" w:name="_Toc296890995"/>
      <w:bookmarkStart w:id="536" w:name="_Toc297216186"/>
      <w:bookmarkStart w:id="537" w:name="_Toc297120467"/>
      <w:bookmarkStart w:id="538" w:name="_Toc296944506"/>
      <w:bookmarkStart w:id="539" w:name="_Toc296503167"/>
      <w:bookmarkStart w:id="540" w:name="_Toc312677493"/>
      <w:bookmarkStart w:id="541" w:name="_Toc297123527"/>
      <w:bookmarkStart w:id="542" w:name="_Toc296346668"/>
      <w:bookmarkStart w:id="543" w:name="_Toc292559372"/>
      <w:bookmarkStart w:id="544" w:name="_Toc303539136"/>
      <w:bookmarkStart w:id="545" w:name="_Toc297048353"/>
      <w:bookmarkStart w:id="546" w:name="_Toc296347166"/>
      <w:bookmarkStart w:id="547" w:name="_Toc304295556"/>
      <w:bookmarkStart w:id="548" w:name="_Toc296891207"/>
      <w:bookmarkStart w:id="549" w:name="_Toc267251424"/>
      <w:bookmarkStart w:id="550" w:name="_Toc280868655"/>
      <w:bookmarkStart w:id="551" w:name="_Toc280868656"/>
      <w:r>
        <w:rPr>
          <w:rFonts w:ascii="Calibri" w:hAnsi="Calibri"/>
          <w:color w:val="auto"/>
          <w:highlight w:val="none"/>
        </w:rPr>
        <w:t xml:space="preserve">.4 </w:t>
      </w:r>
      <w:r>
        <w:rPr>
          <w:rFonts w:hint="eastAsia" w:ascii="Calibri" w:hAnsi="Calibri"/>
          <w:color w:val="auto"/>
          <w:highlight w:val="none"/>
        </w:rPr>
        <w:t>材料与工程设备的保管与使用</w:t>
      </w:r>
      <w:bookmarkEnd w:id="527"/>
      <w:bookmarkEnd w:id="528"/>
      <w:bookmarkEnd w:id="529"/>
      <w:bookmarkEnd w:id="530"/>
    </w:p>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14:paraId="324D1016">
      <w:pPr>
        <w:pStyle w:val="35"/>
        <w:spacing w:line="360" w:lineRule="auto"/>
        <w:ind w:firstLine="420" w:firstLineChars="200"/>
        <w:jc w:val="left"/>
        <w:rPr>
          <w:color w:val="auto"/>
          <w:szCs w:val="21"/>
          <w:highlight w:val="none"/>
          <w:u w:val="single"/>
        </w:rPr>
      </w:pPr>
      <w:r>
        <w:rPr>
          <w:color w:val="auto"/>
          <w:szCs w:val="21"/>
          <w:highlight w:val="none"/>
        </w:rPr>
        <w:t>8</w:t>
      </w:r>
      <w:bookmarkStart w:id="552" w:name="_Toc292559373"/>
      <w:bookmarkStart w:id="553" w:name="_Toc292559878"/>
      <w:bookmarkStart w:id="554" w:name="_Toc304295557"/>
      <w:bookmarkStart w:id="555" w:name="_Toc303539137"/>
      <w:bookmarkStart w:id="556" w:name="_Toc297123528"/>
      <w:bookmarkStart w:id="557" w:name="_Toc312677494"/>
      <w:bookmarkStart w:id="558" w:name="_Toc296347167"/>
      <w:bookmarkStart w:id="559" w:name="_Toc296890996"/>
      <w:bookmarkStart w:id="560" w:name="_Toc297216187"/>
      <w:bookmarkStart w:id="561" w:name="_Toc300934980"/>
      <w:bookmarkStart w:id="562" w:name="_Toc297120468"/>
      <w:bookmarkStart w:id="563" w:name="_Toc312678020"/>
      <w:bookmarkStart w:id="564" w:name="_Toc296891208"/>
      <w:bookmarkStart w:id="565" w:name="_Toc296944507"/>
      <w:bookmarkStart w:id="566" w:name="_Toc296503168"/>
      <w:bookmarkStart w:id="567" w:name="_Toc296346669"/>
      <w:bookmarkStart w:id="568" w:name="_Toc318581173"/>
      <w:bookmarkStart w:id="569" w:name="_Toc297048354"/>
      <w:r>
        <w:rPr>
          <w:color w:val="auto"/>
          <w:szCs w:val="21"/>
          <w:highlight w:val="none"/>
        </w:rPr>
        <w:t>.4.1</w:t>
      </w:r>
      <w:r>
        <w:rPr>
          <w:rFonts w:hint="eastAsia" w:hAnsi="宋体"/>
          <w:color w:val="auto"/>
          <w:szCs w:val="21"/>
          <w:highlight w:val="none"/>
        </w:rPr>
        <w:t>发包人供应的材料设备的保管费用的承担：</w:t>
      </w:r>
      <w:r>
        <w:rPr>
          <w:rFonts w:hint="eastAsia" w:ascii="宋体" w:hAnsi="宋体"/>
          <w:color w:val="auto"/>
          <w:szCs w:val="21"/>
          <w:highlight w:val="none"/>
          <w:u w:val="single"/>
        </w:rPr>
        <w:t>发包人供应的材料设备，承包人清点后由承包人负责保管，保管费用由承包人承担</w:t>
      </w:r>
      <w:r>
        <w:rPr>
          <w:rFonts w:hint="eastAsia" w:ascii="新宋体" w:hAnsi="新宋体" w:eastAsia="新宋体" w:cs="新宋体"/>
          <w:color w:val="auto"/>
          <w:szCs w:val="21"/>
          <w:highlight w:val="none"/>
        </w:rPr>
        <w:t>。</w:t>
      </w:r>
    </w:p>
    <w:bookmarkEnd w:id="552"/>
    <w:bookmarkEnd w:id="553"/>
    <w:p w14:paraId="494E6EAB">
      <w:pPr>
        <w:pStyle w:val="33"/>
        <w:rPr>
          <w:rFonts w:ascii="Calibri" w:hAnsi="Calibri"/>
          <w:color w:val="auto"/>
          <w:highlight w:val="none"/>
        </w:rPr>
      </w:pPr>
      <w:bookmarkStart w:id="570" w:name="_Toc373227734"/>
      <w:bookmarkStart w:id="571" w:name="_Toc389065300"/>
      <w:bookmarkStart w:id="572" w:name="_Toc373478381"/>
      <w:bookmarkStart w:id="573" w:name="_Toc467599595"/>
      <w:r>
        <w:rPr>
          <w:rFonts w:ascii="Calibri" w:hAnsi="Calibri"/>
          <w:color w:val="auto"/>
          <w:highlight w:val="none"/>
        </w:rPr>
        <w:t xml:space="preserve">8.6 </w:t>
      </w:r>
      <w:r>
        <w:rPr>
          <w:rFonts w:hint="eastAsia" w:ascii="Calibri" w:hAnsi="宋体"/>
          <w:color w:val="auto"/>
          <w:highlight w:val="none"/>
        </w:rPr>
        <w:t>样品</w:t>
      </w:r>
      <w:bookmarkEnd w:id="570"/>
      <w:bookmarkEnd w:id="571"/>
      <w:bookmarkEnd w:id="572"/>
      <w:bookmarkEnd w:id="573"/>
    </w:p>
    <w:p w14:paraId="39A9E7CE">
      <w:pPr>
        <w:pStyle w:val="35"/>
        <w:autoSpaceDE w:val="0"/>
        <w:autoSpaceDN w:val="0"/>
        <w:adjustRightInd w:val="0"/>
        <w:spacing w:line="360" w:lineRule="auto"/>
        <w:ind w:firstLine="420" w:firstLineChars="200"/>
        <w:jc w:val="left"/>
        <w:rPr>
          <w:color w:val="auto"/>
          <w:kern w:val="0"/>
          <w:szCs w:val="21"/>
          <w:highlight w:val="none"/>
        </w:rPr>
      </w:pPr>
      <w:r>
        <w:rPr>
          <w:color w:val="auto"/>
          <w:kern w:val="0"/>
          <w:szCs w:val="21"/>
          <w:highlight w:val="none"/>
        </w:rPr>
        <w:t xml:space="preserve">8.6.1 </w:t>
      </w:r>
      <w:r>
        <w:rPr>
          <w:rFonts w:hint="eastAsia" w:hAnsi="宋体"/>
          <w:color w:val="auto"/>
          <w:kern w:val="0"/>
          <w:szCs w:val="21"/>
          <w:highlight w:val="none"/>
        </w:rPr>
        <w:t>样品的报送与封存</w:t>
      </w:r>
    </w:p>
    <w:p w14:paraId="7194581E">
      <w:pPr>
        <w:pStyle w:val="35"/>
        <w:autoSpaceDE w:val="0"/>
        <w:autoSpaceDN w:val="0"/>
        <w:adjustRightInd w:val="0"/>
        <w:spacing w:line="360" w:lineRule="auto"/>
        <w:ind w:firstLine="420" w:firstLineChars="200"/>
        <w:jc w:val="left"/>
        <w:rPr>
          <w:color w:val="auto"/>
          <w:szCs w:val="21"/>
          <w:highlight w:val="none"/>
          <w:u w:val="single"/>
        </w:rPr>
      </w:pPr>
      <w:r>
        <w:rPr>
          <w:rFonts w:hint="eastAsia" w:hAnsi="宋体"/>
          <w:color w:val="auto"/>
          <w:kern w:val="0"/>
          <w:szCs w:val="21"/>
          <w:highlight w:val="none"/>
        </w:rPr>
        <w:t>需要承包人报送样品的材料或工程设备，样品的种类、名称、规格、数量要求：</w:t>
      </w:r>
      <w:r>
        <w:rPr>
          <w:rFonts w:hint="eastAsia" w:hAnsi="宋体"/>
          <w:color w:val="auto"/>
          <w:szCs w:val="21"/>
          <w:highlight w:val="none"/>
          <w:u w:val="single"/>
        </w:rPr>
        <w:t>主要材料涉及品种、款式、颜色等方面内容的，承包人应提交准备合格的材料样品送发包人选定。</w:t>
      </w:r>
    </w:p>
    <w:p w14:paraId="3AE9ED9A">
      <w:pPr>
        <w:pStyle w:val="33"/>
        <w:rPr>
          <w:rFonts w:ascii="Calibri" w:hAnsi="Calibri"/>
          <w:color w:val="auto"/>
          <w:highlight w:val="none"/>
        </w:rPr>
      </w:pPr>
      <w:bookmarkStart w:id="574" w:name="_Toc389065301"/>
      <w:bookmarkStart w:id="575" w:name="_Toc373227735"/>
      <w:bookmarkStart w:id="576" w:name="_Toc373478382"/>
      <w:bookmarkStart w:id="577" w:name="_Toc467599596"/>
      <w:r>
        <w:rPr>
          <w:rFonts w:ascii="Calibri" w:hAnsi="Calibri"/>
          <w:color w:val="auto"/>
          <w:highlight w:val="none"/>
        </w:rPr>
        <w:t xml:space="preserve">8.8 </w:t>
      </w:r>
      <w:r>
        <w:rPr>
          <w:rFonts w:hint="eastAsia" w:ascii="Calibri" w:hAnsi="Calibri"/>
          <w:color w:val="auto"/>
          <w:highlight w:val="none"/>
        </w:rPr>
        <w:t>施工设备和临时设施</w:t>
      </w:r>
      <w:bookmarkEnd w:id="574"/>
      <w:bookmarkEnd w:id="575"/>
      <w:bookmarkEnd w:id="576"/>
      <w:bookmarkEnd w:id="577"/>
    </w:p>
    <w:p w14:paraId="7FD62B78">
      <w:pPr>
        <w:pStyle w:val="35"/>
        <w:autoSpaceDE w:val="0"/>
        <w:autoSpaceDN w:val="0"/>
        <w:adjustRightInd w:val="0"/>
        <w:spacing w:line="360" w:lineRule="auto"/>
        <w:ind w:firstLine="420" w:firstLineChars="200"/>
        <w:jc w:val="left"/>
        <w:rPr>
          <w:color w:val="auto"/>
          <w:szCs w:val="21"/>
          <w:highlight w:val="none"/>
        </w:rPr>
      </w:pPr>
      <w:r>
        <w:rPr>
          <w:color w:val="auto"/>
          <w:szCs w:val="21"/>
          <w:highlight w:val="none"/>
        </w:rPr>
        <w:t xml:space="preserve">8.8.1 </w:t>
      </w:r>
      <w:r>
        <w:rPr>
          <w:rFonts w:hint="eastAsia" w:hAnsi="宋体"/>
          <w:color w:val="auto"/>
          <w:szCs w:val="21"/>
          <w:highlight w:val="none"/>
        </w:rPr>
        <w:t>承包人提供的施工设备和临时设施</w:t>
      </w:r>
    </w:p>
    <w:p w14:paraId="22E8C37E">
      <w:pPr>
        <w:pStyle w:val="35"/>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olor w:val="auto"/>
          <w:szCs w:val="21"/>
          <w:highlight w:val="none"/>
        </w:rPr>
        <w:t>承包人用于本工程的主要机械设备清单见合同附件6。</w:t>
      </w:r>
    </w:p>
    <w:p w14:paraId="2436287A">
      <w:pPr>
        <w:pStyle w:val="35"/>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关于修建临时设施费用承担的约定：</w:t>
      </w:r>
    </w:p>
    <w:p w14:paraId="0AE9AAB1">
      <w:pPr>
        <w:pStyle w:val="35"/>
        <w:autoSpaceDE w:val="0"/>
        <w:autoSpaceDN w:val="0"/>
        <w:adjustRightInd w:val="0"/>
        <w:spacing w:line="360" w:lineRule="auto"/>
        <w:ind w:firstLine="420" w:firstLineChars="200"/>
        <w:jc w:val="left"/>
        <w:rPr>
          <w:rFonts w:hAnsi="宋体"/>
          <w:color w:val="auto"/>
          <w:szCs w:val="21"/>
          <w:highlight w:val="none"/>
          <w:u w:val="single"/>
        </w:rPr>
      </w:pPr>
      <w:r>
        <w:rPr>
          <w:rFonts w:hint="eastAsia" w:hAnsi="宋体"/>
          <w:color w:val="auto"/>
          <w:szCs w:val="21"/>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02D4E552">
      <w:pPr>
        <w:pStyle w:val="35"/>
        <w:autoSpaceDE w:val="0"/>
        <w:autoSpaceDN w:val="0"/>
        <w:adjustRightInd w:val="0"/>
        <w:spacing w:line="360" w:lineRule="auto"/>
        <w:ind w:firstLine="420" w:firstLineChars="200"/>
        <w:jc w:val="left"/>
        <w:rPr>
          <w:rFonts w:hAnsi="宋体"/>
          <w:color w:val="auto"/>
          <w:szCs w:val="21"/>
          <w:highlight w:val="none"/>
          <w:u w:val="single"/>
        </w:rPr>
      </w:pPr>
      <w:r>
        <w:rPr>
          <w:rFonts w:hint="eastAsia" w:hAnsi="宋体"/>
          <w:color w:val="auto"/>
          <w:szCs w:val="21"/>
          <w:highlight w:val="none"/>
          <w:u w:val="single"/>
        </w:rPr>
        <w:t>②承包人负责合同实施期间其合同段内临时交通道路（含场内外连接公共交通道路）和交通设施的修建、维修、养护和交通管理工作，并承担一切费用。</w:t>
      </w:r>
    </w:p>
    <w:p w14:paraId="4372AFC2">
      <w:pPr>
        <w:pStyle w:val="35"/>
        <w:autoSpaceDE w:val="0"/>
        <w:autoSpaceDN w:val="0"/>
        <w:adjustRightInd w:val="0"/>
        <w:spacing w:line="360" w:lineRule="auto"/>
        <w:ind w:firstLine="420" w:firstLineChars="200"/>
        <w:jc w:val="left"/>
        <w:rPr>
          <w:rFonts w:hAnsi="宋体"/>
          <w:color w:val="auto"/>
          <w:szCs w:val="21"/>
          <w:highlight w:val="none"/>
          <w:u w:val="single"/>
        </w:rPr>
      </w:pPr>
      <w:r>
        <w:rPr>
          <w:rFonts w:hint="eastAsia" w:hAnsi="宋体"/>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542C65FF">
      <w:pPr>
        <w:pStyle w:val="35"/>
        <w:autoSpaceDE w:val="0"/>
        <w:autoSpaceDN w:val="0"/>
        <w:adjustRightInd w:val="0"/>
        <w:spacing w:line="360" w:lineRule="auto"/>
        <w:ind w:firstLine="420" w:firstLineChars="200"/>
        <w:jc w:val="left"/>
        <w:rPr>
          <w:color w:val="auto"/>
          <w:szCs w:val="21"/>
          <w:highlight w:val="none"/>
        </w:rPr>
      </w:pPr>
      <w:r>
        <w:rPr>
          <w:color w:val="auto"/>
          <w:szCs w:val="21"/>
          <w:highlight w:val="none"/>
        </w:rPr>
        <w:t xml:space="preserve">8.8.2 </w:t>
      </w:r>
      <w:r>
        <w:rPr>
          <w:rFonts w:hint="eastAsia" w:hAnsi="宋体"/>
          <w:color w:val="auto"/>
          <w:szCs w:val="21"/>
          <w:highlight w:val="none"/>
        </w:rPr>
        <w:t>发包人提供的施工设备和临时设施</w:t>
      </w:r>
    </w:p>
    <w:p w14:paraId="17181AB8">
      <w:pPr>
        <w:pStyle w:val="35"/>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发包人提供的施工设备和临时设施：</w:t>
      </w:r>
      <w:r>
        <w:rPr>
          <w:rFonts w:hint="eastAsia"/>
          <w:color w:val="auto"/>
          <w:szCs w:val="21"/>
          <w:highlight w:val="none"/>
          <w:u w:val="single"/>
        </w:rPr>
        <w:t>无</w:t>
      </w:r>
      <w:r>
        <w:rPr>
          <w:rFonts w:hint="eastAsia" w:hAnsi="宋体"/>
          <w:color w:val="auto"/>
          <w:szCs w:val="21"/>
          <w:highlight w:val="none"/>
        </w:rPr>
        <w:t>。</w:t>
      </w:r>
    </w:p>
    <w:p w14:paraId="0DE4EACE">
      <w:pPr>
        <w:pStyle w:val="35"/>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发包人提供的施工设备和临时设施的运行、维护、拆除、清运费用的承担人：</w:t>
      </w:r>
      <w:r>
        <w:rPr>
          <w:rFonts w:hint="eastAsia"/>
          <w:color w:val="auto"/>
          <w:szCs w:val="21"/>
          <w:highlight w:val="none"/>
          <w:u w:val="single"/>
        </w:rPr>
        <w:t>无</w:t>
      </w:r>
      <w:r>
        <w:rPr>
          <w:color w:val="auto"/>
          <w:szCs w:val="21"/>
          <w:highlight w:val="none"/>
          <w:u w:val="single"/>
        </w:rPr>
        <w:tab/>
      </w:r>
      <w:r>
        <w:rPr>
          <w:rFonts w:hint="eastAsia" w:hAnsi="宋体"/>
          <w:color w:val="auto"/>
          <w:szCs w:val="21"/>
          <w:highlight w:val="none"/>
        </w:rPr>
        <w:t>。</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14:paraId="1AB864EE">
      <w:pPr>
        <w:pStyle w:val="23"/>
        <w:rPr>
          <w:color w:val="auto"/>
          <w:highlight w:val="none"/>
        </w:rPr>
      </w:pPr>
      <w:bookmarkStart w:id="578" w:name="_Toc373227736"/>
      <w:bookmarkStart w:id="579" w:name="_Toc389065302"/>
      <w:bookmarkStart w:id="580" w:name="_Toc467599597"/>
      <w:bookmarkStart w:id="581" w:name="_Toc351203641"/>
      <w:bookmarkStart w:id="582" w:name="_Toc373478383"/>
      <w:r>
        <w:rPr>
          <w:color w:val="auto"/>
          <w:highlight w:val="none"/>
        </w:rPr>
        <w:t>9</w:t>
      </w:r>
      <w:bookmarkEnd w:id="549"/>
      <w:bookmarkEnd w:id="550"/>
      <w:bookmarkEnd w:id="551"/>
      <w:bookmarkStart w:id="583" w:name="_Toc297123533"/>
      <w:bookmarkStart w:id="584" w:name="_Toc297216192"/>
      <w:bookmarkStart w:id="585" w:name="_Toc312678021"/>
      <w:bookmarkStart w:id="586" w:name="_Toc304295559"/>
      <w:bookmarkStart w:id="587" w:name="_Toc312677495"/>
      <w:bookmarkStart w:id="588" w:name="_Toc300934982"/>
      <w:bookmarkStart w:id="589" w:name="_Toc303539139"/>
      <w:r>
        <w:rPr>
          <w:color w:val="auto"/>
          <w:highlight w:val="none"/>
        </w:rPr>
        <w:t xml:space="preserve">. </w:t>
      </w:r>
      <w:r>
        <w:rPr>
          <w:rFonts w:hint="eastAsia"/>
          <w:color w:val="auto"/>
          <w:highlight w:val="none"/>
        </w:rPr>
        <w:t>试验与检验</w:t>
      </w:r>
      <w:bookmarkEnd w:id="578"/>
      <w:bookmarkEnd w:id="579"/>
      <w:bookmarkEnd w:id="580"/>
      <w:bookmarkEnd w:id="581"/>
      <w:bookmarkEnd w:id="582"/>
    </w:p>
    <w:bookmarkEnd w:id="583"/>
    <w:bookmarkEnd w:id="584"/>
    <w:bookmarkEnd w:id="585"/>
    <w:bookmarkEnd w:id="586"/>
    <w:bookmarkEnd w:id="587"/>
    <w:bookmarkEnd w:id="588"/>
    <w:bookmarkEnd w:id="589"/>
    <w:p w14:paraId="4A3ACDF6">
      <w:pPr>
        <w:pStyle w:val="33"/>
        <w:rPr>
          <w:rFonts w:ascii="Calibri" w:hAnsi="Calibri"/>
          <w:color w:val="auto"/>
          <w:highlight w:val="none"/>
        </w:rPr>
      </w:pPr>
      <w:bookmarkStart w:id="590" w:name="_Toc467599598"/>
      <w:bookmarkStart w:id="591" w:name="_Toc389065303"/>
      <w:bookmarkStart w:id="592" w:name="_Toc373478384"/>
      <w:bookmarkStart w:id="593" w:name="_Toc373227737"/>
      <w:r>
        <w:rPr>
          <w:rFonts w:ascii="Calibri" w:hAnsi="Calibri"/>
          <w:color w:val="auto"/>
          <w:highlight w:val="none"/>
        </w:rPr>
        <w:t>9</w:t>
      </w:r>
      <w:bookmarkStart w:id="594" w:name="_Toc297123534"/>
      <w:bookmarkStart w:id="595" w:name="_Toc300934983"/>
      <w:bookmarkStart w:id="596" w:name="_Toc304295560"/>
      <w:bookmarkStart w:id="597" w:name="_Toc312678022"/>
      <w:bookmarkStart w:id="598" w:name="_Toc312677496"/>
      <w:bookmarkStart w:id="599" w:name="_Toc303539140"/>
      <w:bookmarkStart w:id="600" w:name="_Toc297216193"/>
      <w:r>
        <w:rPr>
          <w:rFonts w:ascii="Calibri" w:hAnsi="Calibri"/>
          <w:color w:val="auto"/>
          <w:highlight w:val="none"/>
        </w:rPr>
        <w:t xml:space="preserve">.1 </w:t>
      </w:r>
      <w:r>
        <w:rPr>
          <w:rFonts w:hint="eastAsia" w:ascii="Calibri" w:hAnsi="Calibri"/>
          <w:color w:val="auto"/>
          <w:highlight w:val="none"/>
        </w:rPr>
        <w:t>试验设备与试验人员</w:t>
      </w:r>
      <w:bookmarkEnd w:id="590"/>
      <w:bookmarkEnd w:id="591"/>
      <w:bookmarkEnd w:id="592"/>
      <w:bookmarkEnd w:id="593"/>
    </w:p>
    <w:bookmarkEnd w:id="594"/>
    <w:bookmarkEnd w:id="595"/>
    <w:bookmarkEnd w:id="596"/>
    <w:bookmarkEnd w:id="597"/>
    <w:bookmarkEnd w:id="598"/>
    <w:bookmarkEnd w:id="599"/>
    <w:bookmarkEnd w:id="600"/>
    <w:p w14:paraId="0CD55B92">
      <w:pPr>
        <w:pStyle w:val="35"/>
        <w:spacing w:line="360" w:lineRule="auto"/>
        <w:ind w:firstLine="420" w:firstLineChars="200"/>
        <w:jc w:val="left"/>
        <w:rPr>
          <w:color w:val="auto"/>
          <w:szCs w:val="21"/>
          <w:highlight w:val="none"/>
        </w:rPr>
      </w:pPr>
      <w:r>
        <w:rPr>
          <w:color w:val="auto"/>
          <w:szCs w:val="21"/>
          <w:highlight w:val="none"/>
        </w:rPr>
        <w:t>9</w:t>
      </w:r>
      <w:bookmarkStart w:id="601" w:name="_Toc312677497"/>
      <w:bookmarkStart w:id="602" w:name="_Toc304295561"/>
      <w:bookmarkStart w:id="603" w:name="_Toc303539141"/>
      <w:bookmarkStart w:id="604" w:name="_Toc297216194"/>
      <w:bookmarkStart w:id="605" w:name="_Toc312678023"/>
      <w:bookmarkStart w:id="606" w:name="_Toc297123535"/>
      <w:bookmarkStart w:id="607" w:name="_Toc300934984"/>
      <w:bookmarkStart w:id="608" w:name="_Toc318581174"/>
      <w:r>
        <w:rPr>
          <w:color w:val="auto"/>
          <w:szCs w:val="21"/>
          <w:highlight w:val="none"/>
        </w:rPr>
        <w:t xml:space="preserve">.1.2 </w:t>
      </w:r>
      <w:r>
        <w:rPr>
          <w:rFonts w:hint="eastAsia" w:hAnsi="宋体"/>
          <w:color w:val="auto"/>
          <w:szCs w:val="21"/>
          <w:highlight w:val="none"/>
        </w:rPr>
        <w:t>试验设备</w:t>
      </w:r>
    </w:p>
    <w:p w14:paraId="49B99438">
      <w:pPr>
        <w:pStyle w:val="35"/>
        <w:spacing w:line="360" w:lineRule="auto"/>
        <w:ind w:firstLine="420" w:firstLineChars="200"/>
        <w:jc w:val="left"/>
        <w:rPr>
          <w:color w:val="auto"/>
          <w:szCs w:val="21"/>
          <w:highlight w:val="none"/>
          <w:u w:val="single"/>
        </w:rPr>
      </w:pPr>
      <w:r>
        <w:rPr>
          <w:rFonts w:hint="eastAsia" w:hAnsi="宋体"/>
          <w:color w:val="auto"/>
          <w:szCs w:val="21"/>
          <w:highlight w:val="none"/>
        </w:rPr>
        <w:t>施工现场需要配置的试验场所：</w:t>
      </w:r>
      <w:bookmarkEnd w:id="601"/>
      <w:bookmarkEnd w:id="602"/>
      <w:bookmarkEnd w:id="603"/>
      <w:bookmarkEnd w:id="604"/>
      <w:bookmarkEnd w:id="605"/>
      <w:bookmarkEnd w:id="606"/>
      <w:bookmarkEnd w:id="607"/>
      <w:bookmarkStart w:id="609" w:name="_Toc304295562"/>
      <w:bookmarkStart w:id="610" w:name="_Toc312677498"/>
      <w:bookmarkStart w:id="611" w:name="_Toc297123536"/>
      <w:bookmarkStart w:id="612" w:name="_Toc303539142"/>
      <w:bookmarkStart w:id="613" w:name="_Toc312678024"/>
      <w:bookmarkStart w:id="614" w:name="_Toc297216195"/>
      <w:bookmarkStart w:id="615" w:name="_Toc300934985"/>
      <w:r>
        <w:rPr>
          <w:rFonts w:hint="eastAsia" w:ascii="宋体" w:hAnsi="宋体"/>
          <w:color w:val="auto"/>
          <w:szCs w:val="21"/>
          <w:highlight w:val="none"/>
          <w:u w:val="single"/>
        </w:rPr>
        <w:t>按有关规定执行</w:t>
      </w:r>
      <w:r>
        <w:rPr>
          <w:rFonts w:hint="eastAsia" w:hAnsi="宋体"/>
          <w:color w:val="auto"/>
          <w:szCs w:val="21"/>
          <w:highlight w:val="none"/>
        </w:rPr>
        <w:t>。</w:t>
      </w:r>
    </w:p>
    <w:p w14:paraId="219AA868">
      <w:pPr>
        <w:pStyle w:val="35"/>
        <w:spacing w:line="360" w:lineRule="auto"/>
        <w:ind w:firstLine="420" w:firstLineChars="200"/>
        <w:jc w:val="left"/>
        <w:rPr>
          <w:color w:val="auto"/>
          <w:szCs w:val="21"/>
          <w:highlight w:val="none"/>
          <w:u w:val="single"/>
        </w:rPr>
      </w:pPr>
      <w:r>
        <w:rPr>
          <w:rFonts w:hint="eastAsia" w:hAnsi="宋体"/>
          <w:color w:val="auto"/>
          <w:szCs w:val="21"/>
          <w:highlight w:val="none"/>
        </w:rPr>
        <w:t>施工现场需要配备的试验设备：</w:t>
      </w:r>
      <w:r>
        <w:rPr>
          <w:rFonts w:hint="eastAsia" w:ascii="宋体" w:hAnsi="宋体"/>
          <w:color w:val="auto"/>
          <w:szCs w:val="21"/>
          <w:highlight w:val="none"/>
          <w:u w:val="single"/>
        </w:rPr>
        <w:t>按有关规定执行</w:t>
      </w:r>
      <w:r>
        <w:rPr>
          <w:rFonts w:hint="eastAsia" w:hAnsi="宋体"/>
          <w:color w:val="auto"/>
          <w:szCs w:val="21"/>
          <w:highlight w:val="none"/>
        </w:rPr>
        <w:t>。</w:t>
      </w:r>
    </w:p>
    <w:p w14:paraId="2C485A61">
      <w:pPr>
        <w:pStyle w:val="35"/>
        <w:spacing w:line="360" w:lineRule="auto"/>
        <w:ind w:firstLine="420" w:firstLineChars="200"/>
        <w:jc w:val="left"/>
        <w:rPr>
          <w:color w:val="auto"/>
          <w:szCs w:val="21"/>
          <w:highlight w:val="none"/>
          <w:u w:val="single"/>
        </w:rPr>
      </w:pPr>
      <w:r>
        <w:rPr>
          <w:rFonts w:hint="eastAsia" w:hAnsi="宋体"/>
          <w:color w:val="auto"/>
          <w:szCs w:val="21"/>
          <w:highlight w:val="none"/>
        </w:rPr>
        <w:t>施工现场需要具备的其他试验条件：</w:t>
      </w:r>
      <w:r>
        <w:rPr>
          <w:rFonts w:hint="eastAsia"/>
          <w:color w:val="auto"/>
          <w:szCs w:val="21"/>
          <w:highlight w:val="none"/>
          <w:u w:val="single"/>
        </w:rPr>
        <w:t>无</w:t>
      </w:r>
      <w:r>
        <w:rPr>
          <w:rFonts w:hint="eastAsia" w:hAnsi="宋体"/>
          <w:color w:val="auto"/>
          <w:szCs w:val="21"/>
          <w:highlight w:val="none"/>
        </w:rPr>
        <w:t>。</w:t>
      </w:r>
    </w:p>
    <w:p w14:paraId="28C0AD6A">
      <w:pPr>
        <w:pStyle w:val="33"/>
        <w:rPr>
          <w:rFonts w:ascii="Calibri" w:hAnsi="Calibri"/>
          <w:color w:val="auto"/>
          <w:highlight w:val="none"/>
        </w:rPr>
      </w:pPr>
      <w:bookmarkStart w:id="616" w:name="_Toc389065304"/>
      <w:bookmarkStart w:id="617" w:name="_Toc373227738"/>
      <w:bookmarkStart w:id="618" w:name="_Toc373478385"/>
      <w:bookmarkStart w:id="619" w:name="_Toc467599599"/>
      <w:r>
        <w:rPr>
          <w:rFonts w:ascii="Calibri" w:hAnsi="Calibri"/>
          <w:color w:val="auto"/>
          <w:highlight w:val="none"/>
        </w:rPr>
        <w:t xml:space="preserve">9.4 </w:t>
      </w:r>
      <w:r>
        <w:rPr>
          <w:rFonts w:hint="eastAsia" w:ascii="Calibri" w:hAnsi="宋体"/>
          <w:color w:val="auto"/>
          <w:highlight w:val="none"/>
        </w:rPr>
        <w:t>现场工艺试验</w:t>
      </w:r>
      <w:bookmarkEnd w:id="616"/>
      <w:bookmarkEnd w:id="617"/>
      <w:bookmarkEnd w:id="618"/>
      <w:bookmarkEnd w:id="619"/>
    </w:p>
    <w:p w14:paraId="547EBEED">
      <w:pPr>
        <w:pStyle w:val="35"/>
        <w:spacing w:line="360" w:lineRule="auto"/>
        <w:ind w:firstLine="420" w:firstLineChars="200"/>
        <w:jc w:val="left"/>
        <w:rPr>
          <w:color w:val="auto"/>
          <w:szCs w:val="21"/>
          <w:highlight w:val="none"/>
        </w:rPr>
      </w:pPr>
      <w:r>
        <w:rPr>
          <w:rFonts w:hint="eastAsia" w:hAnsi="宋体"/>
          <w:color w:val="auto"/>
          <w:szCs w:val="21"/>
          <w:highlight w:val="none"/>
        </w:rPr>
        <w:t>现场工艺试验的有关约定：</w:t>
      </w:r>
      <w:r>
        <w:rPr>
          <w:rFonts w:hint="eastAsia"/>
          <w:color w:val="auto"/>
          <w:szCs w:val="21"/>
          <w:highlight w:val="none"/>
          <w:u w:val="single"/>
        </w:rPr>
        <w:t>无</w:t>
      </w:r>
      <w:r>
        <w:rPr>
          <w:rFonts w:hint="eastAsia" w:hAnsi="宋体"/>
          <w:color w:val="auto"/>
          <w:szCs w:val="21"/>
          <w:highlight w:val="none"/>
        </w:rPr>
        <w:t>。</w:t>
      </w:r>
    </w:p>
    <w:p w14:paraId="4AE3086F">
      <w:pPr>
        <w:pStyle w:val="33"/>
        <w:rPr>
          <w:rFonts w:ascii="Calibri" w:hAnsi="Calibri"/>
          <w:color w:val="auto"/>
          <w:highlight w:val="none"/>
        </w:rPr>
      </w:pPr>
      <w:bookmarkStart w:id="620" w:name="_Toc467599600"/>
      <w:r>
        <w:rPr>
          <w:rFonts w:ascii="Calibri" w:hAnsi="Calibri"/>
          <w:color w:val="auto"/>
          <w:highlight w:val="none"/>
        </w:rPr>
        <w:t xml:space="preserve">9.5 </w:t>
      </w:r>
      <w:r>
        <w:rPr>
          <w:rFonts w:hint="eastAsia" w:ascii="Calibri" w:hAnsi="宋体"/>
          <w:color w:val="auto"/>
          <w:highlight w:val="none"/>
        </w:rPr>
        <w:t>检验费用</w:t>
      </w:r>
      <w:bookmarkEnd w:id="620"/>
    </w:p>
    <w:p w14:paraId="0E1CD7FA">
      <w:pPr>
        <w:pStyle w:val="35"/>
        <w:spacing w:line="360" w:lineRule="auto"/>
        <w:ind w:firstLine="411" w:firstLineChars="196"/>
        <w:rPr>
          <w:color w:val="auto"/>
          <w:szCs w:val="21"/>
          <w:highlight w:val="none"/>
        </w:rPr>
      </w:pPr>
      <w:r>
        <w:rPr>
          <w:rFonts w:hint="eastAsia" w:hAnsi="宋体"/>
          <w:color w:val="auto"/>
          <w:szCs w:val="21"/>
          <w:highlight w:val="none"/>
        </w:rPr>
        <w:t>根据《建设工程质量检测管理办法》（建设部令第</w:t>
      </w:r>
      <w:r>
        <w:rPr>
          <w:color w:val="auto"/>
          <w:szCs w:val="21"/>
          <w:highlight w:val="none"/>
        </w:rPr>
        <w:t>141</w:t>
      </w:r>
      <w:r>
        <w:rPr>
          <w:rFonts w:hint="eastAsia" w:hAnsi="宋体"/>
          <w:color w:val="auto"/>
          <w:szCs w:val="21"/>
          <w:highlight w:val="none"/>
        </w:rPr>
        <w:t>号）以及</w:t>
      </w:r>
      <w:r>
        <w:rPr>
          <w:rFonts w:hint="eastAsia" w:hAnsi="宋体"/>
          <w:bCs/>
          <w:color w:val="auto"/>
          <w:szCs w:val="21"/>
          <w:highlight w:val="none"/>
        </w:rPr>
        <w:t>《广西壮族自治区建设工程质量检测管理规定》</w:t>
      </w:r>
      <w:r>
        <w:rPr>
          <w:rFonts w:hint="eastAsia"/>
          <w:bCs/>
          <w:color w:val="auto"/>
          <w:szCs w:val="21"/>
          <w:highlight w:val="none"/>
        </w:rPr>
        <w:t>（</w:t>
      </w:r>
      <w:r>
        <w:rPr>
          <w:rFonts w:hint="eastAsia" w:hAnsi="宋体"/>
          <w:bCs/>
          <w:color w:val="auto"/>
          <w:szCs w:val="21"/>
          <w:highlight w:val="none"/>
        </w:rPr>
        <w:t>桂建管</w:t>
      </w:r>
      <w:r>
        <w:rPr>
          <w:rFonts w:hint="eastAsia"/>
          <w:bCs/>
          <w:color w:val="auto"/>
          <w:szCs w:val="21"/>
          <w:highlight w:val="none"/>
        </w:rPr>
        <w:t>〔</w:t>
      </w:r>
      <w:r>
        <w:rPr>
          <w:bCs/>
          <w:color w:val="auto"/>
          <w:szCs w:val="21"/>
          <w:highlight w:val="none"/>
        </w:rPr>
        <w:t>2013</w:t>
      </w:r>
      <w:r>
        <w:rPr>
          <w:rFonts w:hint="eastAsia"/>
          <w:bCs/>
          <w:color w:val="auto"/>
          <w:szCs w:val="21"/>
          <w:highlight w:val="none"/>
        </w:rPr>
        <w:t>〕</w:t>
      </w:r>
      <w:r>
        <w:rPr>
          <w:bCs/>
          <w:color w:val="auto"/>
          <w:szCs w:val="21"/>
          <w:highlight w:val="none"/>
        </w:rPr>
        <w:t>11</w:t>
      </w:r>
      <w:r>
        <w:rPr>
          <w:rFonts w:hint="eastAsia" w:hAnsi="宋体"/>
          <w:bCs/>
          <w:color w:val="auto"/>
          <w:szCs w:val="21"/>
          <w:highlight w:val="none"/>
        </w:rPr>
        <w:t>号</w:t>
      </w:r>
      <w:r>
        <w:rPr>
          <w:rFonts w:hint="eastAsia"/>
          <w:bCs/>
          <w:color w:val="auto"/>
          <w:szCs w:val="21"/>
          <w:highlight w:val="none"/>
        </w:rPr>
        <w:t>）</w:t>
      </w:r>
      <w:r>
        <w:rPr>
          <w:rFonts w:hint="eastAsia" w:hAnsi="宋体"/>
          <w:color w:val="auto"/>
          <w:szCs w:val="21"/>
          <w:highlight w:val="none"/>
        </w:rPr>
        <w:t>规定，工程质量检测业务由发包人委托有相应资质的检测机构检测。费用从发包人的项目建设经费中支出并直接支付给检测机构，不计入合同价款内。</w:t>
      </w:r>
    </w:p>
    <w:bookmarkEnd w:id="608"/>
    <w:bookmarkEnd w:id="609"/>
    <w:bookmarkEnd w:id="610"/>
    <w:bookmarkEnd w:id="611"/>
    <w:bookmarkEnd w:id="612"/>
    <w:bookmarkEnd w:id="613"/>
    <w:bookmarkEnd w:id="614"/>
    <w:bookmarkEnd w:id="615"/>
    <w:p w14:paraId="18AC94F2">
      <w:pPr>
        <w:pStyle w:val="23"/>
        <w:rPr>
          <w:color w:val="auto"/>
          <w:highlight w:val="none"/>
        </w:rPr>
      </w:pPr>
      <w:bookmarkStart w:id="621" w:name="_Toc373227739"/>
      <w:bookmarkStart w:id="622" w:name="_Toc389065305"/>
      <w:bookmarkStart w:id="623" w:name="_Toc351203642"/>
      <w:bookmarkStart w:id="624" w:name="_Toc467599601"/>
      <w:bookmarkStart w:id="625" w:name="_Toc373478386"/>
      <w:r>
        <w:rPr>
          <w:color w:val="auto"/>
          <w:highlight w:val="none"/>
        </w:rPr>
        <w:t>1</w:t>
      </w:r>
      <w:bookmarkStart w:id="626" w:name="_Toc300934989"/>
      <w:bookmarkStart w:id="627" w:name="_Toc304295566"/>
      <w:bookmarkStart w:id="628" w:name="_Toc292559903"/>
      <w:bookmarkStart w:id="629" w:name="_Toc297120493"/>
      <w:bookmarkStart w:id="630" w:name="_Toc296503193"/>
      <w:bookmarkStart w:id="631" w:name="_Toc296891021"/>
      <w:bookmarkStart w:id="632" w:name="_Toc297048379"/>
      <w:bookmarkStart w:id="633" w:name="_Toc296891233"/>
      <w:bookmarkStart w:id="634" w:name="_Toc297216199"/>
      <w:bookmarkStart w:id="635" w:name="_Toc297123540"/>
      <w:bookmarkStart w:id="636" w:name="_Toc296944532"/>
      <w:bookmarkStart w:id="637" w:name="_Toc292559398"/>
      <w:bookmarkStart w:id="638" w:name="_Toc303539146"/>
      <w:bookmarkStart w:id="639" w:name="_Toc296346694"/>
      <w:bookmarkStart w:id="640" w:name="_Toc296347192"/>
      <w:bookmarkStart w:id="641" w:name="_Toc312678025"/>
      <w:bookmarkStart w:id="642" w:name="_Toc312677499"/>
      <w:bookmarkStart w:id="643" w:name="_Toc267251437"/>
      <w:bookmarkStart w:id="644" w:name="_Toc267251439"/>
      <w:bookmarkStart w:id="645" w:name="_Toc267251433"/>
      <w:bookmarkStart w:id="646" w:name="_Toc267251435"/>
      <w:bookmarkStart w:id="647" w:name="_Toc267251441"/>
      <w:bookmarkStart w:id="648" w:name="_Toc267251440"/>
      <w:bookmarkStart w:id="649" w:name="_Toc267251442"/>
      <w:r>
        <w:rPr>
          <w:color w:val="auto"/>
          <w:highlight w:val="none"/>
        </w:rPr>
        <w:t xml:space="preserve">0. </w:t>
      </w:r>
      <w:r>
        <w:rPr>
          <w:rFonts w:hint="eastAsia" w:hAnsi="宋体"/>
          <w:color w:val="auto"/>
          <w:highlight w:val="none"/>
        </w:rPr>
        <w:t>变更</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bookmarkEnd w:id="641"/>
    <w:bookmarkEnd w:id="642"/>
    <w:p w14:paraId="4938DAC0">
      <w:pPr>
        <w:pStyle w:val="33"/>
        <w:rPr>
          <w:color w:val="auto"/>
          <w:highlight w:val="none"/>
        </w:rPr>
      </w:pPr>
      <w:bookmarkStart w:id="650" w:name="_Toc467599602"/>
      <w:bookmarkStart w:id="651" w:name="_Toc389065306"/>
      <w:bookmarkStart w:id="652" w:name="_Toc373478387"/>
      <w:bookmarkStart w:id="653" w:name="_Toc373227740"/>
      <w:r>
        <w:rPr>
          <w:color w:val="auto"/>
          <w:highlight w:val="none"/>
        </w:rPr>
        <w:t>1</w:t>
      </w:r>
      <w:bookmarkStart w:id="654" w:name="_Toc292559904"/>
      <w:bookmarkStart w:id="655" w:name="_Toc297048380"/>
      <w:bookmarkStart w:id="656" w:name="_Toc292559399"/>
      <w:bookmarkStart w:id="657" w:name="_Toc296347193"/>
      <w:bookmarkStart w:id="658" w:name="_Toc312677500"/>
      <w:bookmarkStart w:id="659" w:name="_Toc296503194"/>
      <w:bookmarkStart w:id="660" w:name="_Toc312678026"/>
      <w:bookmarkStart w:id="661" w:name="_Toc297123541"/>
      <w:bookmarkStart w:id="662" w:name="_Toc296891022"/>
      <w:bookmarkStart w:id="663" w:name="_Toc296944533"/>
      <w:bookmarkStart w:id="664" w:name="_Toc297120494"/>
      <w:bookmarkStart w:id="665" w:name="_Toc304295567"/>
      <w:bookmarkStart w:id="666" w:name="_Toc297216200"/>
      <w:bookmarkStart w:id="667" w:name="_Toc296346695"/>
      <w:bookmarkStart w:id="668" w:name="_Toc300934990"/>
      <w:bookmarkStart w:id="669" w:name="_Toc296891234"/>
      <w:bookmarkStart w:id="670" w:name="_Toc303539147"/>
      <w:r>
        <w:rPr>
          <w:color w:val="auto"/>
          <w:highlight w:val="none"/>
        </w:rPr>
        <w:t xml:space="preserve">0.1 </w:t>
      </w:r>
      <w:r>
        <w:rPr>
          <w:rFonts w:hint="eastAsia" w:hAnsi="宋体"/>
          <w:color w:val="auto"/>
          <w:highlight w:val="none"/>
        </w:rPr>
        <w:t>变更的范围</w:t>
      </w:r>
      <w:bookmarkEnd w:id="650"/>
      <w:bookmarkEnd w:id="651"/>
      <w:bookmarkEnd w:id="652"/>
      <w:bookmarkEnd w:id="653"/>
    </w:p>
    <w:p w14:paraId="27794F27">
      <w:pPr>
        <w:pStyle w:val="35"/>
        <w:spacing w:line="360" w:lineRule="auto"/>
        <w:ind w:firstLine="426"/>
        <w:jc w:val="left"/>
        <w:rPr>
          <w:color w:val="auto"/>
          <w:szCs w:val="21"/>
          <w:highlight w:val="none"/>
        </w:rPr>
      </w:pPr>
      <w:r>
        <w:rPr>
          <w:rFonts w:hint="eastAsia" w:hAnsi="宋体"/>
          <w:color w:val="auto"/>
          <w:szCs w:val="21"/>
          <w:highlight w:val="none"/>
        </w:rPr>
        <w:t>关于变更的范围的约定：</w:t>
      </w:r>
      <w:r>
        <w:rPr>
          <w:rFonts w:hint="eastAsia" w:ascii="宋体" w:hAnsi="宋体"/>
          <w:color w:val="auto"/>
          <w:szCs w:val="21"/>
          <w:highlight w:val="none"/>
          <w:u w:val="single"/>
        </w:rPr>
        <w:t>除通用合同条款约定的范围外，发包人有权根据本工程的实际提出其他的变更事项。凡涉及合同价款增减变化的变更事项，必须以发包人代表及总监理工程师共同签字并经发包人盖章确认后的书面文件为准</w:t>
      </w:r>
      <w:r>
        <w:rPr>
          <w:rFonts w:hint="eastAsia" w:hAnsi="宋体"/>
          <w:color w:val="auto"/>
          <w:szCs w:val="21"/>
          <w:highlight w:val="none"/>
        </w:rPr>
        <w:t>。</w:t>
      </w:r>
    </w:p>
    <w:p w14:paraId="0371289E">
      <w:pPr>
        <w:pStyle w:val="33"/>
        <w:rPr>
          <w:color w:val="auto"/>
          <w:highlight w:val="none"/>
        </w:rPr>
      </w:pPr>
      <w:bookmarkStart w:id="671" w:name="_Toc467599603"/>
      <w:bookmarkStart w:id="672" w:name="_Toc373227741"/>
      <w:bookmarkStart w:id="673" w:name="_Toc373478388"/>
      <w:bookmarkStart w:id="674" w:name="_Toc389065307"/>
      <w:r>
        <w:rPr>
          <w:color w:val="auto"/>
          <w:highlight w:val="none"/>
        </w:rPr>
        <w:t xml:space="preserve">10.3 </w:t>
      </w:r>
      <w:r>
        <w:rPr>
          <w:rFonts w:hint="eastAsia" w:hAnsi="宋体"/>
          <w:color w:val="auto"/>
          <w:highlight w:val="none"/>
        </w:rPr>
        <w:t>变更程序</w:t>
      </w:r>
      <w:bookmarkEnd w:id="671"/>
      <w:bookmarkEnd w:id="672"/>
      <w:bookmarkEnd w:id="673"/>
      <w:bookmarkEnd w:id="674"/>
    </w:p>
    <w:p w14:paraId="5F8B38EA">
      <w:pPr>
        <w:pStyle w:val="38"/>
        <w:spacing w:line="360" w:lineRule="auto"/>
        <w:ind w:firstLine="420"/>
        <w:rPr>
          <w:rFonts w:hAnsi="宋体"/>
          <w:b/>
          <w:bCs/>
          <w:color w:val="auto"/>
          <w:szCs w:val="21"/>
          <w:highlight w:val="none"/>
        </w:rPr>
      </w:pPr>
      <w:bookmarkStart w:id="675" w:name="_Toc373478389"/>
      <w:bookmarkStart w:id="676" w:name="_Toc389065308"/>
      <w:bookmarkStart w:id="677" w:name="_Toc373227742"/>
      <w:bookmarkStart w:id="678" w:name="_Toc467599604"/>
      <w:r>
        <w:rPr>
          <w:rFonts w:hint="eastAsia" w:hAnsi="宋体"/>
          <w:b/>
          <w:bCs/>
          <w:color w:val="auto"/>
          <w:szCs w:val="21"/>
          <w:highlight w:val="none"/>
        </w:rPr>
        <w:t>按《关于印发加强南宁市政府投资建设工程设计变更管理的通知》（南发改城市[2014]431号）执行，未按文件规定执行或手续不完善的工程变更，结算时不予认可。具体变更程序如下：【备注：工程变更的分类详见南发改城市[2014]431号文，</w:t>
      </w:r>
      <w:r>
        <w:rPr>
          <w:rFonts w:hint="eastAsia" w:hAnsi="宋体"/>
          <w:b/>
          <w:bCs/>
          <w:color w:val="auto"/>
          <w:szCs w:val="21"/>
          <w:highlight w:val="none"/>
          <w:lang w:eastAsia="zh-CN"/>
        </w:rPr>
        <w:t>采购人</w:t>
      </w:r>
      <w:r>
        <w:rPr>
          <w:rFonts w:hint="eastAsia" w:hAnsi="宋体"/>
          <w:b/>
          <w:bCs/>
          <w:color w:val="auto"/>
          <w:szCs w:val="21"/>
          <w:highlight w:val="none"/>
        </w:rPr>
        <w:t>应根据不同类别选择相应的变更程序；本条款内容仅适用南宁市本级政府投资项目，其他项目可由</w:t>
      </w:r>
      <w:r>
        <w:rPr>
          <w:rFonts w:hint="eastAsia" w:hAnsi="宋体"/>
          <w:b/>
          <w:bCs/>
          <w:color w:val="auto"/>
          <w:szCs w:val="21"/>
          <w:highlight w:val="none"/>
          <w:lang w:eastAsia="zh-CN"/>
        </w:rPr>
        <w:t>采购人</w:t>
      </w:r>
      <w:r>
        <w:rPr>
          <w:rFonts w:hint="eastAsia" w:hAnsi="宋体"/>
          <w:b/>
          <w:bCs/>
          <w:color w:val="auto"/>
          <w:szCs w:val="21"/>
          <w:highlight w:val="none"/>
        </w:rPr>
        <w:t>自行设定。】</w:t>
      </w:r>
    </w:p>
    <w:p w14:paraId="62899160">
      <w:pPr>
        <w:pStyle w:val="38"/>
        <w:spacing w:line="360" w:lineRule="auto"/>
        <w:ind w:firstLine="420"/>
        <w:rPr>
          <w:rFonts w:hAnsi="宋体"/>
          <w:b/>
          <w:color w:val="auto"/>
          <w:szCs w:val="21"/>
          <w:highlight w:val="none"/>
        </w:rPr>
      </w:pPr>
      <w:r>
        <w:rPr>
          <w:rFonts w:hint="eastAsia" w:hAnsi="宋体"/>
          <w:b/>
          <w:color w:val="auto"/>
          <w:szCs w:val="21"/>
          <w:highlight w:val="none"/>
        </w:rPr>
        <w:t>1、Ⅰ类设计变更由发包人向</w:t>
      </w:r>
      <w:r>
        <w:rPr>
          <w:rFonts w:hint="eastAsia" w:hAnsi="宋体"/>
          <w:b/>
          <w:color w:val="auto"/>
          <w:szCs w:val="21"/>
          <w:highlight w:val="none"/>
          <w:lang w:eastAsia="zh-CN"/>
        </w:rPr>
        <w:t>南宁市住房和城乡建设局</w:t>
      </w:r>
      <w:r>
        <w:rPr>
          <w:rFonts w:hint="eastAsia" w:hAnsi="宋体"/>
          <w:b/>
          <w:color w:val="auto"/>
          <w:szCs w:val="21"/>
          <w:highlight w:val="none"/>
        </w:rPr>
        <w:t>提出书面申请，经</w:t>
      </w:r>
      <w:r>
        <w:rPr>
          <w:rFonts w:hint="eastAsia" w:hAnsi="宋体"/>
          <w:b/>
          <w:color w:val="auto"/>
          <w:szCs w:val="21"/>
          <w:highlight w:val="none"/>
          <w:lang w:eastAsia="zh-CN"/>
        </w:rPr>
        <w:t>南宁市住房和城乡建设局</w:t>
      </w:r>
      <w:r>
        <w:rPr>
          <w:rFonts w:hint="eastAsia" w:hAnsi="宋体"/>
          <w:b/>
          <w:color w:val="auto"/>
          <w:szCs w:val="21"/>
          <w:highlight w:val="none"/>
        </w:rPr>
        <w:t>组织发改、规划、财政等相关部门，并要所需要邀请专家论证通过后方可变更设计，工程变更图纸完成并通过图纸审查后，将变更资料报</w:t>
      </w:r>
      <w:r>
        <w:rPr>
          <w:rFonts w:hint="eastAsia" w:hAnsi="宋体"/>
          <w:b/>
          <w:color w:val="auto"/>
          <w:szCs w:val="21"/>
          <w:highlight w:val="none"/>
          <w:lang w:eastAsia="zh-CN"/>
        </w:rPr>
        <w:t>南宁市住房和城乡建设局</w:t>
      </w:r>
      <w:r>
        <w:rPr>
          <w:rFonts w:hint="eastAsia" w:hAnsi="宋体"/>
          <w:b/>
          <w:color w:val="auto"/>
          <w:szCs w:val="21"/>
          <w:highlight w:val="none"/>
        </w:rPr>
        <w:t>备案方可实施。</w:t>
      </w:r>
    </w:p>
    <w:p w14:paraId="736A311D">
      <w:pPr>
        <w:pStyle w:val="38"/>
        <w:spacing w:line="360" w:lineRule="auto"/>
        <w:ind w:firstLine="420"/>
        <w:rPr>
          <w:rFonts w:hAnsi="宋体"/>
          <w:b/>
          <w:color w:val="auto"/>
          <w:szCs w:val="21"/>
          <w:highlight w:val="none"/>
        </w:rPr>
      </w:pPr>
      <w:r>
        <w:rPr>
          <w:rFonts w:hint="eastAsia" w:hAnsi="宋体"/>
          <w:b/>
          <w:color w:val="auto"/>
          <w:szCs w:val="21"/>
          <w:highlight w:val="none"/>
        </w:rPr>
        <w:t>2、Ⅱ类工程变更由发包人向</w:t>
      </w:r>
      <w:r>
        <w:rPr>
          <w:rFonts w:hint="eastAsia" w:hAnsi="宋体"/>
          <w:b/>
          <w:color w:val="auto"/>
          <w:szCs w:val="21"/>
          <w:highlight w:val="none"/>
          <w:lang w:eastAsia="zh-CN"/>
        </w:rPr>
        <w:t>南宁市住房和城乡建设局</w:t>
      </w:r>
      <w:r>
        <w:rPr>
          <w:rFonts w:hint="eastAsia" w:hAnsi="宋体"/>
          <w:b/>
          <w:color w:val="auto"/>
          <w:szCs w:val="21"/>
          <w:highlight w:val="none"/>
        </w:rPr>
        <w:t>提出书面申请，</w:t>
      </w:r>
      <w:r>
        <w:rPr>
          <w:rFonts w:hint="eastAsia" w:hAnsi="宋体"/>
          <w:b/>
          <w:color w:val="auto"/>
          <w:szCs w:val="21"/>
          <w:highlight w:val="none"/>
          <w:lang w:eastAsia="zh-CN"/>
        </w:rPr>
        <w:t>南宁市住房和城乡建设局</w:t>
      </w:r>
      <w:r>
        <w:rPr>
          <w:rFonts w:hint="eastAsia" w:hAnsi="宋体"/>
          <w:b/>
          <w:color w:val="auto"/>
          <w:szCs w:val="21"/>
          <w:highlight w:val="none"/>
        </w:rPr>
        <w:t>要所具体情况组织有关部门，并根据需要邀请专家论证通过后方可变更设计，工程变更图纸完成并通过图纸审查后，将变更资料报</w:t>
      </w:r>
      <w:r>
        <w:rPr>
          <w:rFonts w:hint="eastAsia" w:hAnsi="宋体"/>
          <w:b/>
          <w:color w:val="auto"/>
          <w:szCs w:val="21"/>
          <w:highlight w:val="none"/>
          <w:lang w:eastAsia="zh-CN"/>
        </w:rPr>
        <w:t>南宁市住房和城乡建设局</w:t>
      </w:r>
      <w:r>
        <w:rPr>
          <w:rFonts w:hint="eastAsia" w:hAnsi="宋体"/>
          <w:b/>
          <w:color w:val="auto"/>
          <w:szCs w:val="21"/>
          <w:highlight w:val="none"/>
        </w:rPr>
        <w:t>备案后方可实施。项目实施过程中，如遇实施时间紧迫但确需进行工程变更，且所引起投资增减达50万元以上的应急抢险工程，发包人应及时向</w:t>
      </w:r>
      <w:r>
        <w:rPr>
          <w:rFonts w:hint="eastAsia" w:hAnsi="宋体"/>
          <w:b/>
          <w:color w:val="auto"/>
          <w:szCs w:val="21"/>
          <w:highlight w:val="none"/>
          <w:lang w:eastAsia="zh-CN"/>
        </w:rPr>
        <w:t>南宁市住房和城乡建设局</w:t>
      </w:r>
      <w:r>
        <w:rPr>
          <w:rFonts w:hint="eastAsia" w:hAnsi="宋体"/>
          <w:b/>
          <w:color w:val="auto"/>
          <w:szCs w:val="21"/>
          <w:highlight w:val="none"/>
        </w:rPr>
        <w:t>和南宁市财政局提出申请，经两人部门与项目建设、勘察、设计、监理单位及有关专家现场开会论证确定处理措施后，经现场签认，可先准许实施，后补工程变更资料报</w:t>
      </w:r>
      <w:r>
        <w:rPr>
          <w:rFonts w:hint="eastAsia" w:hAnsi="宋体"/>
          <w:b/>
          <w:color w:val="auto"/>
          <w:szCs w:val="21"/>
          <w:highlight w:val="none"/>
          <w:lang w:eastAsia="zh-CN"/>
        </w:rPr>
        <w:t>南宁市住房和城乡建设局</w:t>
      </w:r>
      <w:r>
        <w:rPr>
          <w:rFonts w:hint="eastAsia" w:hAnsi="宋体"/>
          <w:b/>
          <w:color w:val="auto"/>
          <w:szCs w:val="21"/>
          <w:highlight w:val="none"/>
        </w:rPr>
        <w:t>备案。</w:t>
      </w:r>
    </w:p>
    <w:p w14:paraId="659AB99E">
      <w:pPr>
        <w:pStyle w:val="38"/>
        <w:spacing w:line="360" w:lineRule="auto"/>
        <w:ind w:firstLine="420"/>
        <w:rPr>
          <w:rFonts w:hAnsi="宋体"/>
          <w:b/>
          <w:color w:val="auto"/>
          <w:szCs w:val="21"/>
          <w:highlight w:val="none"/>
        </w:rPr>
      </w:pPr>
      <w:r>
        <w:rPr>
          <w:rFonts w:hint="eastAsia" w:hAnsi="宋体"/>
          <w:b/>
          <w:color w:val="auto"/>
          <w:szCs w:val="21"/>
          <w:highlight w:val="none"/>
        </w:rPr>
        <w:t>3、Ⅲ类工程变更应组织参建各方，并根据需要邀请专家进行经济、技术论证，完善变更手续后方可实施。发包人为南宁市管集团公司或其下属子公司的，工程变更论证会由南宁市管集团公司组织召开；发包人为开发区（管委会）下属公司的，工程变更论证会由开发区（管委会）建设局组织召开；其他由</w:t>
      </w:r>
      <w:r>
        <w:rPr>
          <w:rFonts w:hint="eastAsia" w:hAnsi="宋体"/>
          <w:b/>
          <w:color w:val="auto"/>
          <w:szCs w:val="21"/>
          <w:highlight w:val="none"/>
          <w:lang w:eastAsia="zh-CN"/>
        </w:rPr>
        <w:t>南宁市住房和城乡建设局</w:t>
      </w:r>
      <w:r>
        <w:rPr>
          <w:rFonts w:hint="eastAsia" w:hAnsi="宋体"/>
          <w:b/>
          <w:color w:val="auto"/>
          <w:szCs w:val="21"/>
          <w:highlight w:val="none"/>
        </w:rPr>
        <w:t>按照Ⅱ类变更方式组织召开。发包人应当按</w:t>
      </w:r>
      <w:r>
        <w:rPr>
          <w:rFonts w:hint="eastAsia" w:hAnsi="宋体"/>
          <w:b/>
          <w:color w:val="auto"/>
          <w:szCs w:val="21"/>
          <w:highlight w:val="none"/>
          <w:lang w:eastAsia="zh-CN"/>
        </w:rPr>
        <w:t>南宁市住房和城乡建设局</w:t>
      </w:r>
      <w:r>
        <w:rPr>
          <w:rFonts w:hint="eastAsia" w:hAnsi="宋体"/>
          <w:b/>
          <w:color w:val="auto"/>
          <w:szCs w:val="21"/>
          <w:highlight w:val="none"/>
        </w:rPr>
        <w:t>规定的要求建立工程变更管理台账，定期进行汇总，并于每月5日前将上月办理Ⅲ类工程变更的情况向</w:t>
      </w:r>
      <w:r>
        <w:rPr>
          <w:rFonts w:hint="eastAsia" w:hAnsi="宋体"/>
          <w:b/>
          <w:color w:val="auto"/>
          <w:szCs w:val="21"/>
          <w:highlight w:val="none"/>
          <w:lang w:eastAsia="zh-CN"/>
        </w:rPr>
        <w:t>南宁市住房和城乡建设局</w:t>
      </w:r>
      <w:r>
        <w:rPr>
          <w:rFonts w:hint="eastAsia" w:hAnsi="宋体"/>
          <w:b/>
          <w:color w:val="auto"/>
          <w:szCs w:val="21"/>
          <w:highlight w:val="none"/>
        </w:rPr>
        <w:t>报备，并报送南宁市财政局，接受有关部门的检查和稽查。Ⅲ类工程变更累计超过合同总价10%以上（含）的，以后所有的变更按Ⅱ类工程变更程序实施。</w:t>
      </w:r>
    </w:p>
    <w:p w14:paraId="5C0B95F8">
      <w:pPr>
        <w:pStyle w:val="24"/>
        <w:spacing w:line="360" w:lineRule="auto"/>
        <w:ind w:firstLine="422" w:firstLineChars="200"/>
        <w:jc w:val="left"/>
        <w:rPr>
          <w:rFonts w:ascii="宋体" w:hAnsi="宋体"/>
          <w:b/>
          <w:bCs/>
          <w:color w:val="auto"/>
          <w:szCs w:val="21"/>
          <w:highlight w:val="none"/>
          <w:u w:val="single"/>
        </w:rPr>
      </w:pPr>
      <w:r>
        <w:rPr>
          <w:rFonts w:hint="eastAsia" w:ascii="宋体" w:hAnsi="宋体"/>
          <w:b/>
          <w:bCs/>
          <w:color w:val="auto"/>
          <w:szCs w:val="21"/>
          <w:highlight w:val="none"/>
          <w:u w:val="single"/>
        </w:rPr>
        <w:t>4、对于现场签证资料手续办理问题，由建设单位、监理单位、设计单位、施工单位四方对相关工程量进行签章确认，涉及地基处理及地质处理变更工程量的现场确认需增加勘察单位。</w:t>
      </w:r>
    </w:p>
    <w:p w14:paraId="0A2DF3DA">
      <w:pPr>
        <w:pStyle w:val="24"/>
        <w:spacing w:line="360" w:lineRule="auto"/>
        <w:ind w:firstLine="422" w:firstLineChars="200"/>
        <w:jc w:val="left"/>
        <w:rPr>
          <w:rFonts w:ascii="宋体" w:hAnsi="宋体"/>
          <w:b/>
          <w:bCs/>
          <w:color w:val="auto"/>
          <w:szCs w:val="21"/>
          <w:highlight w:val="none"/>
          <w:u w:val="single"/>
        </w:rPr>
      </w:pPr>
      <w:r>
        <w:rPr>
          <w:rFonts w:hint="eastAsia" w:ascii="宋体" w:hAnsi="宋体"/>
          <w:b/>
          <w:bCs/>
          <w:color w:val="auto"/>
          <w:szCs w:val="21"/>
          <w:highlight w:val="none"/>
          <w:u w:val="single"/>
        </w:rPr>
        <w:t>5、承包人要严格按要求完善影像、图片、图纸、工程量签证、施工和监理日志等相关资料，确保资料真实、完整，并负相应责任。</w:t>
      </w:r>
    </w:p>
    <w:p w14:paraId="62076E08">
      <w:pPr>
        <w:pStyle w:val="24"/>
        <w:spacing w:line="360" w:lineRule="auto"/>
        <w:ind w:firstLine="422" w:firstLineChars="200"/>
        <w:jc w:val="left"/>
        <w:rPr>
          <w:rFonts w:ascii="宋体" w:hAnsi="宋体"/>
          <w:b/>
          <w:bCs/>
          <w:color w:val="auto"/>
          <w:szCs w:val="21"/>
          <w:highlight w:val="none"/>
          <w:u w:val="single"/>
        </w:rPr>
      </w:pPr>
      <w:r>
        <w:rPr>
          <w:rFonts w:hint="eastAsia" w:ascii="宋体" w:hAnsi="宋体"/>
          <w:b/>
          <w:bCs/>
          <w:color w:val="auto"/>
          <w:szCs w:val="21"/>
          <w:highlight w:val="none"/>
          <w:u w:val="single"/>
        </w:rPr>
        <w:t>6、工程变更的其他规定：</w:t>
      </w:r>
    </w:p>
    <w:p w14:paraId="11807E33">
      <w:pPr>
        <w:pStyle w:val="24"/>
        <w:spacing w:line="360" w:lineRule="auto"/>
        <w:ind w:firstLine="422" w:firstLineChars="200"/>
        <w:jc w:val="left"/>
        <w:rPr>
          <w:rFonts w:ascii="宋体" w:hAnsi="宋体"/>
          <w:b/>
          <w:bCs/>
          <w:color w:val="auto"/>
          <w:szCs w:val="21"/>
          <w:highlight w:val="none"/>
          <w:u w:val="single"/>
        </w:rPr>
      </w:pPr>
      <w:r>
        <w:rPr>
          <w:rFonts w:hint="eastAsia" w:ascii="宋体" w:hAnsi="宋体"/>
          <w:b/>
          <w:bCs/>
          <w:color w:val="auto"/>
          <w:szCs w:val="21"/>
          <w:highlight w:val="none"/>
          <w:u w:val="single"/>
        </w:rPr>
        <w:t>⑴已办理施工图备案并且正在施工的项目不得擅自提高设计标准和安全储备进行工程变更；</w:t>
      </w:r>
    </w:p>
    <w:p w14:paraId="4F2C9B52">
      <w:pPr>
        <w:pStyle w:val="24"/>
        <w:spacing w:line="360" w:lineRule="auto"/>
        <w:ind w:firstLine="422" w:firstLineChars="200"/>
        <w:jc w:val="left"/>
        <w:rPr>
          <w:rFonts w:ascii="宋体" w:hAnsi="宋体"/>
          <w:b/>
          <w:bCs/>
          <w:color w:val="auto"/>
          <w:szCs w:val="21"/>
          <w:highlight w:val="none"/>
          <w:u w:val="single"/>
        </w:rPr>
      </w:pPr>
      <w:r>
        <w:rPr>
          <w:rFonts w:hint="eastAsia" w:ascii="宋体" w:hAnsi="宋体"/>
          <w:b/>
          <w:bCs/>
          <w:color w:val="auto"/>
          <w:szCs w:val="21"/>
          <w:highlight w:val="none"/>
          <w:u w:val="single"/>
        </w:rPr>
        <w:t>⑵因施工组织设计不合理引起的工程变化不得进行工程变更；</w:t>
      </w:r>
    </w:p>
    <w:p w14:paraId="27690A4F">
      <w:pPr>
        <w:pStyle w:val="24"/>
        <w:spacing w:line="360" w:lineRule="auto"/>
        <w:ind w:firstLine="422" w:firstLineChars="200"/>
        <w:jc w:val="left"/>
        <w:rPr>
          <w:rFonts w:ascii="宋体" w:hAnsi="宋体"/>
          <w:b/>
          <w:bCs/>
          <w:color w:val="auto"/>
          <w:szCs w:val="21"/>
          <w:highlight w:val="none"/>
          <w:u w:val="single"/>
        </w:rPr>
      </w:pPr>
      <w:r>
        <w:rPr>
          <w:rFonts w:hint="eastAsia" w:ascii="宋体" w:hAnsi="宋体"/>
          <w:b/>
          <w:bCs/>
          <w:color w:val="auto"/>
          <w:szCs w:val="21"/>
          <w:highlight w:val="none"/>
          <w:u w:val="single"/>
        </w:rPr>
        <w:t>⑶工程项目征地红线范围内施工或检测便道由承包人负责修建，费用由承包人在合同价款中考虑，不得以此进行工程变更；</w:t>
      </w:r>
    </w:p>
    <w:p w14:paraId="5590881C">
      <w:pPr>
        <w:pStyle w:val="24"/>
        <w:spacing w:line="360" w:lineRule="auto"/>
        <w:ind w:firstLine="422" w:firstLineChars="200"/>
        <w:jc w:val="left"/>
        <w:rPr>
          <w:rFonts w:ascii="宋体" w:hAnsi="宋体"/>
          <w:b/>
          <w:bCs/>
          <w:color w:val="auto"/>
          <w:szCs w:val="21"/>
          <w:highlight w:val="none"/>
          <w:u w:val="single"/>
        </w:rPr>
      </w:pPr>
      <w:r>
        <w:rPr>
          <w:rFonts w:hint="eastAsia" w:ascii="宋体" w:hAnsi="宋体"/>
          <w:b/>
          <w:bCs/>
          <w:color w:val="auto"/>
          <w:szCs w:val="21"/>
          <w:highlight w:val="none"/>
          <w:u w:val="single"/>
        </w:rPr>
        <w:t>⑷由于施工现场排水组织不畅造成的软土处理、积水排放不得进行工程变更；</w:t>
      </w:r>
    </w:p>
    <w:p w14:paraId="24679F46">
      <w:pPr>
        <w:pStyle w:val="24"/>
        <w:spacing w:line="360" w:lineRule="auto"/>
        <w:ind w:firstLine="422" w:firstLineChars="200"/>
        <w:jc w:val="left"/>
        <w:rPr>
          <w:rFonts w:ascii="宋体" w:hAnsi="宋体"/>
          <w:b/>
          <w:bCs/>
          <w:color w:val="auto"/>
          <w:szCs w:val="21"/>
          <w:highlight w:val="none"/>
          <w:u w:val="single"/>
        </w:rPr>
      </w:pPr>
      <w:r>
        <w:rPr>
          <w:rFonts w:hint="eastAsia" w:ascii="宋体" w:hAnsi="宋体"/>
          <w:b/>
          <w:bCs/>
          <w:color w:val="auto"/>
          <w:szCs w:val="21"/>
          <w:highlight w:val="none"/>
          <w:u w:val="single"/>
        </w:rPr>
        <w:t>⑸招标文件工程量清单中有土石方综合报价的，土石成分比例不得进行工程变更</w:t>
      </w:r>
    </w:p>
    <w:p w14:paraId="5AFDD186">
      <w:pPr>
        <w:pStyle w:val="24"/>
        <w:spacing w:line="360" w:lineRule="auto"/>
        <w:ind w:firstLine="422" w:firstLineChars="200"/>
        <w:jc w:val="left"/>
        <w:rPr>
          <w:rFonts w:ascii="宋体" w:hAnsi="宋体"/>
          <w:b/>
          <w:bCs/>
          <w:color w:val="auto"/>
          <w:szCs w:val="21"/>
          <w:highlight w:val="none"/>
          <w:u w:val="single"/>
        </w:rPr>
      </w:pPr>
      <w:r>
        <w:rPr>
          <w:rFonts w:hint="eastAsia" w:ascii="宋体" w:hAnsi="宋体"/>
          <w:b/>
          <w:bCs/>
          <w:color w:val="auto"/>
          <w:szCs w:val="21"/>
          <w:highlight w:val="none"/>
          <w:u w:val="single"/>
        </w:rPr>
        <w:t>⑹中标后，桩基的成孔方式、施工工艺、施工方案等不得进行工程变更；</w:t>
      </w:r>
    </w:p>
    <w:p w14:paraId="3F34AB57">
      <w:pPr>
        <w:pStyle w:val="24"/>
        <w:spacing w:line="360" w:lineRule="auto"/>
        <w:ind w:firstLine="422" w:firstLineChars="200"/>
        <w:jc w:val="left"/>
        <w:rPr>
          <w:rFonts w:ascii="宋体" w:hAnsi="宋体"/>
          <w:b/>
          <w:bCs/>
          <w:color w:val="auto"/>
          <w:szCs w:val="21"/>
          <w:highlight w:val="none"/>
          <w:u w:val="single"/>
        </w:rPr>
      </w:pPr>
      <w:r>
        <w:rPr>
          <w:rFonts w:hint="eastAsia" w:ascii="宋体" w:hAnsi="宋体"/>
          <w:b/>
          <w:bCs/>
          <w:color w:val="auto"/>
          <w:szCs w:val="21"/>
          <w:highlight w:val="none"/>
          <w:u w:val="single"/>
        </w:rPr>
        <w:t>⑺涉及到不平衡报价的工程变更，应对合同单价进行调整，确定合理单价后方能进行工程变更；</w:t>
      </w:r>
    </w:p>
    <w:p w14:paraId="787F8943">
      <w:pPr>
        <w:pStyle w:val="24"/>
        <w:spacing w:line="360" w:lineRule="auto"/>
        <w:ind w:firstLine="422" w:firstLineChars="200"/>
        <w:jc w:val="left"/>
        <w:rPr>
          <w:rFonts w:ascii="宋体" w:hAnsi="宋体"/>
          <w:b/>
          <w:bCs/>
          <w:color w:val="auto"/>
          <w:szCs w:val="21"/>
          <w:highlight w:val="none"/>
          <w:u w:val="single"/>
        </w:rPr>
      </w:pPr>
      <w:r>
        <w:rPr>
          <w:rFonts w:hint="eastAsia" w:ascii="宋体" w:hAnsi="宋体"/>
          <w:b/>
          <w:bCs/>
          <w:color w:val="auto"/>
          <w:szCs w:val="21"/>
          <w:highlight w:val="none"/>
          <w:u w:val="single"/>
        </w:rPr>
        <w:t>⑻因征地拆迁原因引起的工程变更，需县(区)、开发区（管委会）提供不能按要求完成征地拆迁任务的书面证明材料，并经市政府或其授权的机构同意才能进行工程变更。</w:t>
      </w:r>
    </w:p>
    <w:p w14:paraId="216B7B4B">
      <w:pPr>
        <w:pStyle w:val="33"/>
        <w:rPr>
          <w:color w:val="auto"/>
          <w:highlight w:val="none"/>
        </w:rPr>
      </w:pPr>
      <w:r>
        <w:rPr>
          <w:color w:val="auto"/>
          <w:highlight w:val="none"/>
        </w:rPr>
        <w:t xml:space="preserve">10.4 </w:t>
      </w:r>
      <w:r>
        <w:rPr>
          <w:rFonts w:hint="eastAsia" w:hAnsi="宋体"/>
          <w:color w:val="auto"/>
          <w:highlight w:val="none"/>
        </w:rPr>
        <w:t>变更估价</w:t>
      </w:r>
      <w:bookmarkEnd w:id="675"/>
      <w:bookmarkEnd w:id="676"/>
      <w:bookmarkEnd w:id="677"/>
      <w:bookmarkEnd w:id="678"/>
    </w:p>
    <w:p w14:paraId="03062C15">
      <w:pPr>
        <w:pStyle w:val="35"/>
        <w:spacing w:line="360" w:lineRule="auto"/>
        <w:ind w:firstLine="420" w:firstLineChars="200"/>
        <w:jc w:val="left"/>
        <w:rPr>
          <w:color w:val="auto"/>
          <w:szCs w:val="21"/>
          <w:highlight w:val="none"/>
        </w:rPr>
      </w:pPr>
      <w:r>
        <w:rPr>
          <w:color w:val="auto"/>
          <w:szCs w:val="21"/>
          <w:highlight w:val="none"/>
        </w:rPr>
        <w:t xml:space="preserve">10.4.1 </w:t>
      </w:r>
      <w:r>
        <w:rPr>
          <w:rFonts w:hint="eastAsia" w:hAnsi="宋体"/>
          <w:color w:val="auto"/>
          <w:szCs w:val="21"/>
          <w:highlight w:val="none"/>
        </w:rPr>
        <w:t>变更估价原则</w:t>
      </w:r>
    </w:p>
    <w:p w14:paraId="4F693C1B">
      <w:pPr>
        <w:pStyle w:val="35"/>
        <w:spacing w:line="360" w:lineRule="auto"/>
        <w:ind w:firstLine="420" w:firstLineChars="200"/>
        <w:jc w:val="left"/>
        <w:rPr>
          <w:color w:val="auto"/>
          <w:szCs w:val="21"/>
          <w:highlight w:val="none"/>
        </w:rPr>
      </w:pPr>
      <w:r>
        <w:rPr>
          <w:rFonts w:hint="eastAsia" w:hAnsi="宋体"/>
          <w:color w:val="auto"/>
          <w:szCs w:val="21"/>
          <w:highlight w:val="none"/>
        </w:rPr>
        <w:t>关于变更估价的约定</w:t>
      </w:r>
      <w:r>
        <w:rPr>
          <w:color w:val="auto"/>
          <w:szCs w:val="21"/>
          <w:highlight w:val="none"/>
        </w:rPr>
        <w:t>:</w:t>
      </w:r>
    </w:p>
    <w:p w14:paraId="01EAE9AF">
      <w:pPr>
        <w:spacing w:line="360" w:lineRule="auto"/>
        <w:ind w:firstLine="420" w:firstLineChars="200"/>
        <w:jc w:val="left"/>
        <w:rPr>
          <w:rFonts w:ascii="宋体" w:hAnsi="宋体" w:eastAsia="宋体"/>
          <w:color w:val="auto"/>
          <w:szCs w:val="21"/>
          <w:highlight w:val="none"/>
        </w:rPr>
      </w:pPr>
      <w:bookmarkStart w:id="679" w:name="_Toc373227743"/>
      <w:bookmarkStart w:id="680" w:name="_Toc467599605"/>
      <w:bookmarkStart w:id="681" w:name="_Toc389065309"/>
      <w:bookmarkStart w:id="682" w:name="_Toc373478390"/>
      <w:r>
        <w:rPr>
          <w:rFonts w:hint="eastAsia" w:ascii="宋体" w:hAnsi="宋体" w:eastAsia="宋体"/>
          <w:color w:val="auto"/>
          <w:szCs w:val="21"/>
          <w:highlight w:val="none"/>
        </w:rPr>
        <w:t>（一）因分部分项工程量清单漏项、设计变更、相关签证引起工程项目、工程量任何变化的，变更合同价款按下列方法进行：</w:t>
      </w:r>
    </w:p>
    <w:p w14:paraId="51252AF7">
      <w:pPr>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（1）合同中已有相同子目的，按合同该子目价格进行计算；</w:t>
      </w:r>
    </w:p>
    <w:p w14:paraId="7535B7E5">
      <w:pPr>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（2）合同中只有类似子目的，参照该类似子目价格进行计算；</w:t>
      </w:r>
    </w:p>
    <w:p w14:paraId="607B86E7">
      <w:pPr>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（3）合同中没有适用或类似子目的价格计算方法：</w:t>
      </w:r>
    </w:p>
    <w:p w14:paraId="4DF9D0B4">
      <w:pPr>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A有定额的套定额（土石方工程除外），并乘以下浮系数（中标价/公布的工程招标控制价）计算，材料价格按施工期间的《南宁建设工程造价信息》相应价格信息进行计算；《南宁建设工程造价信息》没有相应价格信息的按市场价计算；</w:t>
      </w:r>
    </w:p>
    <w:p w14:paraId="03945E5B">
      <w:pPr>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B无定额可套的，根据市场价格协商或询价方式确定综合价格，并乘以下浮系数（中标价/公布的工程招标控制价）计算；</w:t>
      </w:r>
    </w:p>
    <w:p w14:paraId="0BCD888B">
      <w:pPr>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（4）新增项目的单价必须经发包人委托的中介机构审核及南宁市有关规定执行。</w:t>
      </w:r>
    </w:p>
    <w:p w14:paraId="17E27255">
      <w:pPr>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（二）国家和自治区、南宁市政策性调整有关费用标准的，按文件规定执行。</w:t>
      </w:r>
    </w:p>
    <w:p w14:paraId="2E428FB5">
      <w:pPr>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（三）本工程可以调整的主要材料：按南宁市相关规定执行。</w:t>
      </w:r>
    </w:p>
    <w:p w14:paraId="65D2E1F3">
      <w:pPr>
        <w:pStyle w:val="11"/>
        <w:spacing w:line="360" w:lineRule="auto"/>
        <w:ind w:firstLine="420" w:firstLineChars="210"/>
        <w:rPr>
          <w:rFonts w:hAnsi="宋体"/>
          <w:color w:val="auto"/>
          <w:szCs w:val="21"/>
          <w:highlight w:val="none"/>
        </w:rPr>
      </w:pPr>
      <w:r>
        <w:rPr>
          <w:rFonts w:hint="eastAsia" w:hAnsi="宋体"/>
          <w:color w:val="auto"/>
          <w:szCs w:val="21"/>
          <w:highlight w:val="none"/>
        </w:rPr>
        <w:t>由于工程变更等原因造成工程总投资超出概算的，未经调概（中央预算内资金除外）前，一律不予结算和核拨超概部分费用。本工程最终结算价按</w:t>
      </w:r>
      <w:r>
        <w:rPr>
          <w:rFonts w:hint="eastAsia" w:ascii="宋体" w:hAnsi="宋体"/>
          <w:color w:val="auto"/>
          <w:sz w:val="24"/>
          <w:highlight w:val="none"/>
          <w:u w:val="single"/>
        </w:rPr>
        <w:t>南宁市审计行政主管部门或南宁市财政行政主管部门</w:t>
      </w:r>
      <w:r>
        <w:rPr>
          <w:rFonts w:hint="eastAsia" w:hAnsi="宋体"/>
          <w:color w:val="auto"/>
          <w:szCs w:val="21"/>
          <w:highlight w:val="none"/>
        </w:rPr>
        <w:t>有关结算审计规定办理。</w:t>
      </w:r>
    </w:p>
    <w:p w14:paraId="6B431BDB">
      <w:pPr>
        <w:pStyle w:val="33"/>
        <w:rPr>
          <w:color w:val="auto"/>
          <w:highlight w:val="none"/>
        </w:rPr>
      </w:pPr>
      <w:r>
        <w:rPr>
          <w:color w:val="auto"/>
          <w:highlight w:val="none"/>
        </w:rPr>
        <w:t>1</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Start w:id="683" w:name="_Toc296891237"/>
      <w:bookmarkStart w:id="684" w:name="_Toc300934993"/>
      <w:bookmarkStart w:id="685" w:name="_Toc303539150"/>
      <w:bookmarkStart w:id="686" w:name="_Toc296891025"/>
      <w:bookmarkStart w:id="687" w:name="_Toc297120497"/>
      <w:bookmarkStart w:id="688" w:name="_Toc297048383"/>
      <w:bookmarkStart w:id="689" w:name="_Toc296346698"/>
      <w:bookmarkStart w:id="690" w:name="_Toc292559907"/>
      <w:bookmarkStart w:id="691" w:name="_Toc297216203"/>
      <w:bookmarkStart w:id="692" w:name="_Toc297123544"/>
      <w:bookmarkStart w:id="693" w:name="_Toc296503197"/>
      <w:bookmarkStart w:id="694" w:name="_Toc292559402"/>
      <w:bookmarkStart w:id="695" w:name="_Toc296944536"/>
      <w:bookmarkStart w:id="696" w:name="_Toc296347196"/>
      <w:bookmarkStart w:id="697" w:name="_Toc312678029"/>
      <w:bookmarkStart w:id="698" w:name="_Toc312677503"/>
      <w:bookmarkStart w:id="699" w:name="_Toc304295570"/>
      <w:r>
        <w:rPr>
          <w:color w:val="auto"/>
          <w:highlight w:val="none"/>
        </w:rPr>
        <w:t xml:space="preserve">0.5 </w:t>
      </w:r>
      <w:r>
        <w:rPr>
          <w:rFonts w:hint="eastAsia"/>
          <w:color w:val="auto"/>
          <w:highlight w:val="none"/>
        </w:rPr>
        <w:t>承</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Start w:id="700" w:name="_Toc297048389"/>
      <w:bookmarkStart w:id="701" w:name="_Toc292559913"/>
      <w:bookmarkStart w:id="702" w:name="_Toc296891243"/>
      <w:bookmarkStart w:id="703" w:name="_Toc300934994"/>
      <w:bookmarkStart w:id="704" w:name="_Toc296346704"/>
      <w:bookmarkStart w:id="705" w:name="_Toc292559408"/>
      <w:bookmarkStart w:id="706" w:name="_Toc297120503"/>
      <w:bookmarkStart w:id="707" w:name="_Toc296944542"/>
      <w:bookmarkStart w:id="708" w:name="_Toc296503203"/>
      <w:bookmarkStart w:id="709" w:name="_Toc297216204"/>
      <w:bookmarkStart w:id="710" w:name="_Toc296347202"/>
      <w:bookmarkStart w:id="711" w:name="_Toc297123545"/>
      <w:bookmarkStart w:id="712" w:name="_Toc303539151"/>
      <w:bookmarkStart w:id="713" w:name="_Toc296891031"/>
      <w:r>
        <w:rPr>
          <w:rFonts w:hint="eastAsia"/>
          <w:color w:val="auto"/>
          <w:highlight w:val="none"/>
        </w:rPr>
        <w:t>包人的合理化建议</w:t>
      </w:r>
      <w:bookmarkEnd w:id="679"/>
      <w:bookmarkEnd w:id="680"/>
      <w:bookmarkEnd w:id="681"/>
      <w:bookmarkEnd w:id="682"/>
    </w:p>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14:paraId="4AF09824">
      <w:pPr>
        <w:pStyle w:val="35"/>
        <w:spacing w:line="360" w:lineRule="auto"/>
        <w:jc w:val="left"/>
        <w:rPr>
          <w:color w:val="auto"/>
          <w:szCs w:val="21"/>
          <w:highlight w:val="none"/>
        </w:rPr>
      </w:pPr>
      <w:r>
        <w:rPr>
          <w:rFonts w:hint="eastAsia" w:hAnsi="宋体"/>
          <w:color w:val="auto"/>
          <w:szCs w:val="21"/>
          <w:highlight w:val="none"/>
        </w:rPr>
        <w:t>监理人审查承包人合理化建议的期限：</w:t>
      </w:r>
      <w:r>
        <w:rPr>
          <w:rFonts w:hint="eastAsia" w:ascii="宋体" w:hAnsi="宋体"/>
          <w:color w:val="auto"/>
          <w:szCs w:val="21"/>
          <w:highlight w:val="none"/>
          <w:u w:val="single"/>
        </w:rPr>
        <w:t>收到承包人提交的合理化建议后7日内审查完毕</w:t>
      </w:r>
      <w:r>
        <w:rPr>
          <w:rFonts w:hint="eastAsia" w:hAnsi="宋体"/>
          <w:color w:val="auto"/>
          <w:szCs w:val="21"/>
          <w:highlight w:val="none"/>
        </w:rPr>
        <w:t>。</w:t>
      </w:r>
    </w:p>
    <w:p w14:paraId="3D49CE18">
      <w:pPr>
        <w:pStyle w:val="35"/>
        <w:spacing w:line="360" w:lineRule="auto"/>
        <w:jc w:val="left"/>
        <w:rPr>
          <w:color w:val="auto"/>
          <w:szCs w:val="21"/>
          <w:highlight w:val="none"/>
        </w:rPr>
      </w:pPr>
      <w:r>
        <w:rPr>
          <w:rFonts w:hint="eastAsia" w:hAnsi="宋体"/>
          <w:color w:val="auto"/>
          <w:szCs w:val="21"/>
          <w:highlight w:val="none"/>
        </w:rPr>
        <w:t>发包人审批承包人合理化建议的期限：</w:t>
      </w:r>
      <w:r>
        <w:rPr>
          <w:rFonts w:hint="eastAsia" w:ascii="宋体" w:hAnsi="宋体"/>
          <w:color w:val="auto"/>
          <w:szCs w:val="21"/>
          <w:highlight w:val="none"/>
          <w:u w:val="single"/>
        </w:rPr>
        <w:t>收到承包人提交的合理化建议后7日内审查完毕</w:t>
      </w:r>
      <w:r>
        <w:rPr>
          <w:rFonts w:hint="eastAsia" w:hAnsi="宋体"/>
          <w:color w:val="auto"/>
          <w:szCs w:val="21"/>
          <w:highlight w:val="none"/>
        </w:rPr>
        <w:t>。</w:t>
      </w:r>
    </w:p>
    <w:p w14:paraId="3C03C5D2">
      <w:pPr>
        <w:pStyle w:val="35"/>
        <w:spacing w:line="360" w:lineRule="auto"/>
        <w:jc w:val="left"/>
        <w:rPr>
          <w:color w:val="auto"/>
          <w:szCs w:val="21"/>
          <w:highlight w:val="none"/>
          <w:u w:val="single"/>
        </w:rPr>
      </w:pPr>
      <w:r>
        <w:rPr>
          <w:rFonts w:hint="eastAsia" w:hAnsi="宋体"/>
          <w:color w:val="auto"/>
          <w:szCs w:val="21"/>
          <w:highlight w:val="none"/>
        </w:rPr>
        <w:t>承</w:t>
      </w:r>
      <w:bookmarkStart w:id="714" w:name="_Toc296891032"/>
      <w:bookmarkStart w:id="715" w:name="_Toc304295571"/>
      <w:bookmarkStart w:id="716" w:name="_Toc296503204"/>
      <w:bookmarkStart w:id="717" w:name="_Toc296346705"/>
      <w:bookmarkStart w:id="718" w:name="_Toc297123546"/>
      <w:bookmarkStart w:id="719" w:name="_Toc300934995"/>
      <w:bookmarkStart w:id="720" w:name="_Toc312678030"/>
      <w:bookmarkStart w:id="721" w:name="_Toc297048390"/>
      <w:bookmarkStart w:id="722" w:name="_Toc292559409"/>
      <w:bookmarkStart w:id="723" w:name="_Toc303539152"/>
      <w:bookmarkStart w:id="724" w:name="_Toc297120504"/>
      <w:bookmarkStart w:id="725" w:name="_Toc312677504"/>
      <w:bookmarkStart w:id="726" w:name="_Toc297216205"/>
      <w:bookmarkStart w:id="727" w:name="_Toc296891244"/>
      <w:bookmarkStart w:id="728" w:name="_Toc318581175"/>
      <w:bookmarkStart w:id="729" w:name="_Toc296347203"/>
      <w:bookmarkStart w:id="730" w:name="_Toc296944543"/>
      <w:bookmarkStart w:id="731" w:name="_Toc292559914"/>
      <w:r>
        <w:rPr>
          <w:rFonts w:hint="eastAsia" w:hAnsi="宋体"/>
          <w:color w:val="auto"/>
          <w:szCs w:val="21"/>
          <w:highlight w:val="none"/>
        </w:rPr>
        <w:t>包人提出的合理化建议降低了合同价格或者提高了工程经济效益的奖励的方法和金额为：</w:t>
      </w:r>
      <w:r>
        <w:rPr>
          <w:rFonts w:hint="eastAsia" w:ascii="宋体" w:hAnsi="宋体"/>
          <w:color w:val="auto"/>
          <w:szCs w:val="21"/>
          <w:highlight w:val="none"/>
          <w:u w:val="single"/>
        </w:rPr>
        <w:t>无</w:t>
      </w:r>
      <w:r>
        <w:rPr>
          <w:rFonts w:hint="eastAsia" w:hAnsi="宋体"/>
          <w:color w:val="auto"/>
          <w:szCs w:val="21"/>
          <w:highlight w:val="none"/>
        </w:rPr>
        <w:t>。</w:t>
      </w:r>
    </w:p>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14:paraId="7BDD69D7">
      <w:pPr>
        <w:pStyle w:val="33"/>
        <w:rPr>
          <w:color w:val="auto"/>
          <w:highlight w:val="none"/>
        </w:rPr>
      </w:pPr>
      <w:bookmarkStart w:id="732" w:name="_Toc389065310"/>
      <w:bookmarkStart w:id="733" w:name="_Toc373227744"/>
      <w:bookmarkStart w:id="734" w:name="_Toc373478391"/>
      <w:bookmarkStart w:id="735" w:name="_Toc467599606"/>
      <w:r>
        <w:rPr>
          <w:color w:val="auto"/>
          <w:highlight w:val="none"/>
        </w:rPr>
        <w:t>1</w:t>
      </w:r>
      <w:bookmarkStart w:id="736" w:name="_Toc296944538"/>
      <w:bookmarkStart w:id="737" w:name="_Toc296891027"/>
      <w:bookmarkStart w:id="738" w:name="_Toc296891239"/>
      <w:bookmarkStart w:id="739" w:name="_Toc304295574"/>
      <w:bookmarkStart w:id="740" w:name="_Toc297048385"/>
      <w:bookmarkStart w:id="741" w:name="_Toc292559404"/>
      <w:bookmarkStart w:id="742" w:name="_Toc312677507"/>
      <w:bookmarkStart w:id="743" w:name="_Toc297120499"/>
      <w:bookmarkStart w:id="744" w:name="_Toc292559909"/>
      <w:bookmarkStart w:id="745" w:name="_Toc300934997"/>
      <w:bookmarkStart w:id="746" w:name="_Toc297123548"/>
      <w:bookmarkStart w:id="747" w:name="_Toc296347198"/>
      <w:bookmarkStart w:id="748" w:name="_Toc303539154"/>
      <w:bookmarkStart w:id="749" w:name="_Toc296346700"/>
      <w:bookmarkStart w:id="750" w:name="_Toc312678033"/>
      <w:bookmarkStart w:id="751" w:name="_Toc296503199"/>
      <w:bookmarkStart w:id="752" w:name="_Toc297216207"/>
      <w:r>
        <w:rPr>
          <w:color w:val="auto"/>
          <w:highlight w:val="none"/>
        </w:rPr>
        <w:t xml:space="preserve">0.7 </w:t>
      </w:r>
      <w:r>
        <w:rPr>
          <w:rFonts w:hint="eastAsia" w:hAnsi="宋体"/>
          <w:color w:val="auto"/>
          <w:highlight w:val="none"/>
        </w:rPr>
        <w:t>暂估价</w:t>
      </w:r>
      <w:bookmarkEnd w:id="732"/>
      <w:bookmarkEnd w:id="733"/>
      <w:bookmarkEnd w:id="734"/>
      <w:bookmarkEnd w:id="735"/>
    </w:p>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14:paraId="11C4E140">
      <w:pPr>
        <w:pStyle w:val="24"/>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暂估价材料和工程设备的明细详见附件11：《</w:t>
      </w:r>
      <w:r>
        <w:rPr>
          <w:rFonts w:hint="eastAsia" w:ascii="宋体" w:hAnsi="宋体"/>
          <w:color w:val="auto"/>
          <w:szCs w:val="21"/>
          <w:highlight w:val="none"/>
        </w:rPr>
        <w:t>暂估价一览表》</w:t>
      </w:r>
      <w:r>
        <w:rPr>
          <w:rFonts w:hint="eastAsia" w:ascii="宋体" w:hAnsi="宋体"/>
          <w:color w:val="auto"/>
          <w:kern w:val="0"/>
          <w:szCs w:val="21"/>
          <w:highlight w:val="none"/>
        </w:rPr>
        <w:t>。</w:t>
      </w:r>
    </w:p>
    <w:p w14:paraId="3F932ADE">
      <w:pPr>
        <w:pStyle w:val="35"/>
        <w:spacing w:line="360" w:lineRule="auto"/>
        <w:ind w:firstLine="420" w:firstLineChars="200"/>
        <w:jc w:val="left"/>
        <w:rPr>
          <w:color w:val="auto"/>
          <w:szCs w:val="21"/>
          <w:highlight w:val="none"/>
        </w:rPr>
      </w:pPr>
      <w:r>
        <w:rPr>
          <w:color w:val="auto"/>
          <w:szCs w:val="21"/>
          <w:highlight w:val="none"/>
        </w:rPr>
        <w:t>1</w:t>
      </w:r>
      <w:bookmarkStart w:id="753" w:name="_Toc312678035"/>
      <w:bookmarkStart w:id="754" w:name="_Toc318581177"/>
      <w:bookmarkStart w:id="755" w:name="_Toc312677509"/>
      <w:r>
        <w:rPr>
          <w:color w:val="auto"/>
          <w:szCs w:val="21"/>
          <w:highlight w:val="none"/>
        </w:rPr>
        <w:t xml:space="preserve">0.7.1 </w:t>
      </w:r>
      <w:r>
        <w:rPr>
          <w:rFonts w:hint="eastAsia" w:hAnsi="宋体"/>
          <w:color w:val="auto"/>
          <w:szCs w:val="21"/>
          <w:highlight w:val="none"/>
        </w:rPr>
        <w:t>依法必须招标的暂估价项目</w:t>
      </w:r>
    </w:p>
    <w:bookmarkEnd w:id="753"/>
    <w:bookmarkEnd w:id="754"/>
    <w:bookmarkEnd w:id="755"/>
    <w:p w14:paraId="19BAFA5B">
      <w:pPr>
        <w:pStyle w:val="35"/>
        <w:spacing w:line="360" w:lineRule="auto"/>
        <w:ind w:firstLine="420" w:firstLineChars="200"/>
        <w:jc w:val="left"/>
        <w:rPr>
          <w:color w:val="auto"/>
          <w:szCs w:val="21"/>
          <w:highlight w:val="none"/>
        </w:rPr>
      </w:pPr>
      <w:r>
        <w:rPr>
          <w:rFonts w:hint="eastAsia" w:hAnsi="宋体"/>
          <w:color w:val="auto"/>
          <w:szCs w:val="21"/>
          <w:highlight w:val="none"/>
        </w:rPr>
        <w:t>对于依法必须招标的暂估价项目的确认和批准采取第</w:t>
      </w:r>
      <w:r>
        <w:rPr>
          <w:rFonts w:hint="eastAsia" w:ascii="宋体" w:hAnsi="宋体"/>
          <w:color w:val="auto"/>
          <w:szCs w:val="21"/>
          <w:highlight w:val="none"/>
          <w:u w:val="single"/>
        </w:rPr>
        <w:t xml:space="preserve">    /    </w:t>
      </w:r>
      <w:r>
        <w:rPr>
          <w:rFonts w:hint="eastAsia" w:hAnsi="宋体"/>
          <w:color w:val="auto"/>
          <w:szCs w:val="21"/>
          <w:highlight w:val="none"/>
        </w:rPr>
        <w:t>种方式确定。</w:t>
      </w:r>
    </w:p>
    <w:p w14:paraId="3B92BCE2">
      <w:pPr>
        <w:pStyle w:val="35"/>
        <w:spacing w:line="360" w:lineRule="auto"/>
        <w:ind w:firstLine="420" w:firstLineChars="200"/>
        <w:jc w:val="left"/>
        <w:rPr>
          <w:color w:val="auto"/>
          <w:szCs w:val="21"/>
          <w:highlight w:val="none"/>
        </w:rPr>
      </w:pPr>
      <w:r>
        <w:rPr>
          <w:color w:val="auto"/>
          <w:szCs w:val="21"/>
          <w:highlight w:val="none"/>
        </w:rPr>
        <w:t xml:space="preserve">10.7.2 </w:t>
      </w:r>
      <w:r>
        <w:rPr>
          <w:rFonts w:hint="eastAsia" w:hAnsi="宋体"/>
          <w:color w:val="auto"/>
          <w:szCs w:val="21"/>
          <w:highlight w:val="none"/>
        </w:rPr>
        <w:t>不属于依法必须招标的暂估价项目</w:t>
      </w:r>
    </w:p>
    <w:p w14:paraId="07A725B2">
      <w:pPr>
        <w:pStyle w:val="35"/>
        <w:spacing w:line="360" w:lineRule="auto"/>
        <w:ind w:firstLine="420" w:firstLineChars="200"/>
        <w:jc w:val="left"/>
        <w:rPr>
          <w:color w:val="auto"/>
          <w:szCs w:val="21"/>
          <w:highlight w:val="none"/>
        </w:rPr>
      </w:pPr>
      <w:r>
        <w:rPr>
          <w:rFonts w:hint="eastAsia" w:hAnsi="宋体"/>
          <w:color w:val="auto"/>
          <w:szCs w:val="21"/>
          <w:highlight w:val="none"/>
        </w:rPr>
        <w:t>对于不属于依法必须招标的暂估价项目的确认和批准采取第</w:t>
      </w:r>
      <w:r>
        <w:rPr>
          <w:rFonts w:hint="eastAsia" w:ascii="宋体" w:hAnsi="宋体"/>
          <w:color w:val="auto"/>
          <w:szCs w:val="21"/>
          <w:highlight w:val="none"/>
          <w:u w:val="single"/>
        </w:rPr>
        <w:t xml:space="preserve">    /    </w:t>
      </w:r>
      <w:r>
        <w:rPr>
          <w:rFonts w:hint="eastAsia" w:hAnsi="宋体"/>
          <w:color w:val="auto"/>
          <w:szCs w:val="21"/>
          <w:highlight w:val="none"/>
        </w:rPr>
        <w:t>种方式确定。</w:t>
      </w:r>
    </w:p>
    <w:p w14:paraId="47EB2B2B">
      <w:pPr>
        <w:pStyle w:val="35"/>
        <w:spacing w:line="360" w:lineRule="auto"/>
        <w:ind w:firstLine="420" w:firstLineChars="200"/>
        <w:jc w:val="left"/>
        <w:rPr>
          <w:color w:val="auto"/>
          <w:kern w:val="0"/>
          <w:szCs w:val="21"/>
          <w:highlight w:val="none"/>
        </w:rPr>
      </w:pPr>
      <w:r>
        <w:rPr>
          <w:rFonts w:hint="eastAsia" w:hAnsi="宋体"/>
          <w:color w:val="auto"/>
          <w:szCs w:val="21"/>
          <w:highlight w:val="none"/>
        </w:rPr>
        <w:t>第</w:t>
      </w:r>
      <w:r>
        <w:rPr>
          <w:color w:val="auto"/>
          <w:szCs w:val="21"/>
          <w:highlight w:val="none"/>
        </w:rPr>
        <w:t>3</w:t>
      </w:r>
      <w:r>
        <w:rPr>
          <w:rFonts w:hint="eastAsia" w:hAnsi="宋体"/>
          <w:color w:val="auto"/>
          <w:szCs w:val="21"/>
          <w:highlight w:val="none"/>
        </w:rPr>
        <w:t>种方式：</w:t>
      </w:r>
      <w:r>
        <w:rPr>
          <w:rFonts w:hint="eastAsia" w:hAnsi="宋体"/>
          <w:color w:val="auto"/>
          <w:kern w:val="0"/>
          <w:szCs w:val="21"/>
          <w:highlight w:val="none"/>
        </w:rPr>
        <w:t>承包人直接实施的暂估价项目</w:t>
      </w:r>
    </w:p>
    <w:p w14:paraId="7237CE45">
      <w:pPr>
        <w:pStyle w:val="35"/>
        <w:spacing w:line="360" w:lineRule="auto"/>
        <w:ind w:firstLine="420" w:firstLineChars="200"/>
        <w:jc w:val="left"/>
        <w:rPr>
          <w:color w:val="auto"/>
          <w:szCs w:val="21"/>
          <w:highlight w:val="none"/>
        </w:rPr>
      </w:pPr>
      <w:r>
        <w:rPr>
          <w:rFonts w:hint="eastAsia" w:hAnsi="宋体"/>
          <w:color w:val="auto"/>
          <w:szCs w:val="21"/>
          <w:highlight w:val="none"/>
        </w:rPr>
        <w:t>承包人直接实施的暂估价项目的约定：</w:t>
      </w:r>
      <w:r>
        <w:rPr>
          <w:rFonts w:hint="eastAsia" w:ascii="宋体" w:hAnsi="宋体"/>
          <w:color w:val="auto"/>
          <w:szCs w:val="21"/>
          <w:highlight w:val="none"/>
          <w:u w:val="single"/>
        </w:rPr>
        <w:t xml:space="preserve">    无     </w:t>
      </w:r>
      <w:r>
        <w:rPr>
          <w:rFonts w:hint="eastAsia" w:hAnsi="宋体"/>
          <w:color w:val="auto"/>
          <w:szCs w:val="21"/>
          <w:highlight w:val="none"/>
        </w:rPr>
        <w:t>。</w:t>
      </w:r>
    </w:p>
    <w:p w14:paraId="0E8514B4">
      <w:pPr>
        <w:pStyle w:val="33"/>
        <w:rPr>
          <w:color w:val="auto"/>
          <w:highlight w:val="none"/>
        </w:rPr>
      </w:pPr>
      <w:bookmarkStart w:id="756" w:name="_Toc389065311"/>
      <w:bookmarkStart w:id="757" w:name="_Toc373227745"/>
      <w:bookmarkStart w:id="758" w:name="_Toc467599607"/>
      <w:bookmarkStart w:id="759" w:name="_Toc373478392"/>
      <w:r>
        <w:rPr>
          <w:color w:val="auto"/>
          <w:highlight w:val="none"/>
        </w:rPr>
        <w:t xml:space="preserve">10.8 </w:t>
      </w:r>
      <w:r>
        <w:rPr>
          <w:rFonts w:hint="eastAsia" w:hAnsi="宋体"/>
          <w:color w:val="auto"/>
          <w:highlight w:val="none"/>
        </w:rPr>
        <w:t>暂列金额</w:t>
      </w:r>
      <w:bookmarkEnd w:id="756"/>
      <w:bookmarkEnd w:id="757"/>
      <w:bookmarkEnd w:id="758"/>
      <w:bookmarkEnd w:id="759"/>
    </w:p>
    <w:p w14:paraId="6D043AAD">
      <w:pPr>
        <w:pStyle w:val="35"/>
        <w:autoSpaceDE w:val="0"/>
        <w:autoSpaceDN w:val="0"/>
        <w:adjustRightInd w:val="0"/>
        <w:spacing w:line="360" w:lineRule="auto"/>
        <w:ind w:firstLine="420" w:firstLineChars="200"/>
        <w:jc w:val="left"/>
        <w:rPr>
          <w:color w:val="auto"/>
          <w:szCs w:val="21"/>
          <w:highlight w:val="none"/>
          <w:u w:val="single"/>
        </w:rPr>
      </w:pPr>
      <w:r>
        <w:rPr>
          <w:rFonts w:hint="eastAsia" w:hAnsi="宋体"/>
          <w:color w:val="auto"/>
          <w:kern w:val="0"/>
          <w:szCs w:val="21"/>
          <w:highlight w:val="none"/>
        </w:rPr>
        <w:t>合同当事人关于暂列金额使用的约定：</w:t>
      </w:r>
      <w:r>
        <w:rPr>
          <w:rFonts w:hint="eastAsia" w:ascii="宋体" w:hAnsi="宋体"/>
          <w:color w:val="auto"/>
          <w:szCs w:val="21"/>
          <w:highlight w:val="none"/>
          <w:u w:val="single"/>
        </w:rPr>
        <w:t xml:space="preserve">    无     </w:t>
      </w:r>
      <w:r>
        <w:rPr>
          <w:rFonts w:hint="eastAsia" w:hAnsi="宋体"/>
          <w:color w:val="auto"/>
          <w:kern w:val="0"/>
          <w:szCs w:val="21"/>
          <w:highlight w:val="none"/>
        </w:rPr>
        <w:t>。</w:t>
      </w:r>
    </w:p>
    <w:p w14:paraId="05AAA3C5">
      <w:pPr>
        <w:pStyle w:val="23"/>
        <w:numPr>
          <w:ilvl w:val="0"/>
          <w:numId w:val="12"/>
        </w:numPr>
        <w:spacing w:before="60" w:after="60" w:line="412" w:lineRule="auto"/>
        <w:rPr>
          <w:rFonts w:hAnsi="宋体"/>
          <w:color w:val="auto"/>
          <w:highlight w:val="none"/>
        </w:rPr>
      </w:pPr>
      <w:bookmarkStart w:id="760" w:name="_Toc389065312"/>
      <w:bookmarkStart w:id="761" w:name="_Toc351203643"/>
      <w:bookmarkStart w:id="762" w:name="_Toc373227746"/>
      <w:bookmarkStart w:id="763" w:name="_Toc467599608"/>
      <w:bookmarkStart w:id="764" w:name="_Toc373478393"/>
      <w:r>
        <w:rPr>
          <w:rFonts w:hint="eastAsia" w:hAnsi="宋体"/>
          <w:color w:val="auto"/>
          <w:highlight w:val="none"/>
        </w:rPr>
        <w:t>价格调整</w:t>
      </w:r>
      <w:bookmarkEnd w:id="760"/>
      <w:bookmarkEnd w:id="761"/>
      <w:bookmarkEnd w:id="762"/>
      <w:bookmarkEnd w:id="763"/>
      <w:bookmarkEnd w:id="764"/>
    </w:p>
    <w:p w14:paraId="58C46251">
      <w:pPr>
        <w:pStyle w:val="33"/>
        <w:rPr>
          <w:color w:val="auto"/>
          <w:highlight w:val="none"/>
        </w:rPr>
      </w:pPr>
      <w:bookmarkStart w:id="765" w:name="_Toc373227747"/>
      <w:bookmarkStart w:id="766" w:name="_Toc467599609"/>
      <w:bookmarkStart w:id="767" w:name="_Toc389065313"/>
      <w:bookmarkStart w:id="768" w:name="_Toc373478394"/>
      <w:bookmarkStart w:id="769" w:name="_Toc303539157"/>
      <w:bookmarkStart w:id="770" w:name="_Toc297120501"/>
      <w:bookmarkStart w:id="771" w:name="_Toc297048387"/>
      <w:bookmarkStart w:id="772" w:name="_Toc296347200"/>
      <w:bookmarkStart w:id="773" w:name="_Toc296891029"/>
      <w:bookmarkStart w:id="774" w:name="_Toc300935000"/>
      <w:bookmarkStart w:id="775" w:name="_Toc292559911"/>
      <w:bookmarkStart w:id="776" w:name="_Toc296891241"/>
      <w:bookmarkStart w:id="777" w:name="_Toc296346702"/>
      <w:bookmarkStart w:id="778" w:name="_Toc312678039"/>
      <w:bookmarkStart w:id="779" w:name="_Toc297216209"/>
      <w:bookmarkStart w:id="780" w:name="_Toc296503201"/>
      <w:bookmarkStart w:id="781" w:name="_Toc297123550"/>
      <w:bookmarkStart w:id="782" w:name="_Toc292559406"/>
      <w:bookmarkStart w:id="783" w:name="_Toc304295577"/>
      <w:bookmarkStart w:id="784" w:name="_Toc296944540"/>
      <w:r>
        <w:rPr>
          <w:color w:val="auto"/>
          <w:highlight w:val="none"/>
        </w:rPr>
        <w:t xml:space="preserve">11.1 </w:t>
      </w:r>
      <w:r>
        <w:rPr>
          <w:rFonts w:hint="eastAsia"/>
          <w:color w:val="auto"/>
          <w:highlight w:val="none"/>
        </w:rPr>
        <w:t>市场价格波动引起的调整</w:t>
      </w:r>
      <w:bookmarkEnd w:id="765"/>
      <w:bookmarkEnd w:id="766"/>
      <w:bookmarkEnd w:id="767"/>
      <w:bookmarkEnd w:id="768"/>
    </w:p>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14:paraId="458D3C3E">
      <w:pPr>
        <w:pStyle w:val="35"/>
        <w:spacing w:line="360" w:lineRule="auto"/>
        <w:ind w:firstLine="420" w:firstLineChars="200"/>
        <w:jc w:val="left"/>
        <w:rPr>
          <w:color w:val="auto"/>
          <w:szCs w:val="21"/>
          <w:highlight w:val="none"/>
        </w:rPr>
      </w:pPr>
      <w:r>
        <w:rPr>
          <w:rFonts w:hint="eastAsia" w:hAnsi="宋体"/>
          <w:color w:val="auto"/>
          <w:kern w:val="0"/>
          <w:szCs w:val="21"/>
          <w:highlight w:val="none"/>
        </w:rPr>
        <w:t>市场价格波动是否调整合同价格的约定：</w:t>
      </w:r>
      <w:r>
        <w:rPr>
          <w:rFonts w:hint="eastAsia"/>
          <w:color w:val="auto"/>
          <w:highlight w:val="none"/>
          <w:u w:val="single"/>
        </w:rPr>
        <w:t>除合同约定可以调整的主要材料外，材料单价在合同实施期间不因市场价格变化因素而变动，因征地拆迁影响及重大设计变更等发包人的原因，在招标后延迟开工或中途停建重新复工的施工工期内，主要材料涨跌的调整幅度按南重点办【</w:t>
      </w:r>
      <w:r>
        <w:rPr>
          <w:color w:val="auto"/>
          <w:highlight w:val="none"/>
          <w:u w:val="single"/>
        </w:rPr>
        <w:t>2014</w:t>
      </w:r>
      <w:r>
        <w:rPr>
          <w:rFonts w:hint="eastAsia"/>
          <w:color w:val="auto"/>
          <w:highlight w:val="none"/>
          <w:u w:val="single"/>
        </w:rPr>
        <w:t>】</w:t>
      </w:r>
      <w:r>
        <w:rPr>
          <w:color w:val="auto"/>
          <w:highlight w:val="none"/>
          <w:u w:val="single"/>
        </w:rPr>
        <w:t>29</w:t>
      </w:r>
      <w:r>
        <w:rPr>
          <w:rFonts w:hint="eastAsia"/>
          <w:color w:val="auto"/>
          <w:highlight w:val="none"/>
          <w:u w:val="single"/>
        </w:rPr>
        <w:t>号文执行</w:t>
      </w:r>
      <w:r>
        <w:rPr>
          <w:rFonts w:hint="eastAsia" w:hAnsi="宋体"/>
          <w:color w:val="auto"/>
          <w:szCs w:val="21"/>
          <w:highlight w:val="none"/>
        </w:rPr>
        <w:t>。</w:t>
      </w:r>
    </w:p>
    <w:p w14:paraId="3F2777BB">
      <w:pPr>
        <w:pStyle w:val="35"/>
        <w:spacing w:line="360" w:lineRule="auto"/>
        <w:ind w:firstLine="420" w:firstLineChars="200"/>
        <w:jc w:val="left"/>
        <w:rPr>
          <w:color w:val="auto"/>
          <w:szCs w:val="21"/>
          <w:highlight w:val="none"/>
        </w:rPr>
      </w:pPr>
      <w:r>
        <w:rPr>
          <w:rFonts w:hint="eastAsia" w:hAnsi="宋体"/>
          <w:color w:val="auto"/>
          <w:szCs w:val="21"/>
          <w:highlight w:val="none"/>
        </w:rPr>
        <w:t>因市场价格波动调整合同价格，采用以下第</w:t>
      </w:r>
      <w:r>
        <w:rPr>
          <w:rFonts w:hAnsi="宋体"/>
          <w:color w:val="auto"/>
          <w:szCs w:val="21"/>
          <w:highlight w:val="none"/>
          <w:u w:val="single"/>
        </w:rPr>
        <w:t xml:space="preserve"> 3</w:t>
      </w:r>
      <w:r>
        <w:rPr>
          <w:rFonts w:hint="eastAsia" w:hAnsi="宋体"/>
          <w:color w:val="auto"/>
          <w:szCs w:val="21"/>
          <w:highlight w:val="none"/>
        </w:rPr>
        <w:t>种方式对合同价格进行调整：</w:t>
      </w:r>
    </w:p>
    <w:p w14:paraId="34EE9B0D">
      <w:pPr>
        <w:pStyle w:val="35"/>
        <w:spacing w:line="360" w:lineRule="auto"/>
        <w:ind w:firstLine="420" w:firstLineChars="200"/>
        <w:jc w:val="left"/>
        <w:rPr>
          <w:color w:val="auto"/>
          <w:szCs w:val="21"/>
          <w:highlight w:val="none"/>
        </w:rPr>
      </w:pPr>
      <w:r>
        <w:rPr>
          <w:rFonts w:hint="eastAsia" w:hAnsi="宋体"/>
          <w:color w:val="auto"/>
          <w:szCs w:val="21"/>
          <w:highlight w:val="none"/>
        </w:rPr>
        <w:t>第</w:t>
      </w:r>
      <w:r>
        <w:rPr>
          <w:color w:val="auto"/>
          <w:szCs w:val="21"/>
          <w:highlight w:val="none"/>
        </w:rPr>
        <w:t>1</w:t>
      </w:r>
      <w:r>
        <w:rPr>
          <w:rFonts w:hint="eastAsia" w:hAnsi="宋体"/>
          <w:color w:val="auto"/>
          <w:szCs w:val="21"/>
          <w:highlight w:val="none"/>
        </w:rPr>
        <w:t>种方式：采用价格指数进行价格调整。</w:t>
      </w:r>
    </w:p>
    <w:p w14:paraId="34F0EE3A">
      <w:pPr>
        <w:pStyle w:val="35"/>
        <w:spacing w:line="360" w:lineRule="auto"/>
        <w:ind w:firstLine="420" w:firstLineChars="200"/>
        <w:jc w:val="left"/>
        <w:rPr>
          <w:color w:val="auto"/>
          <w:szCs w:val="21"/>
          <w:highlight w:val="none"/>
          <w:u w:val="single"/>
        </w:rPr>
      </w:pPr>
      <w:r>
        <w:rPr>
          <w:rFonts w:hint="eastAsia" w:hAnsi="宋体"/>
          <w:color w:val="auto"/>
          <w:szCs w:val="21"/>
          <w:highlight w:val="none"/>
        </w:rPr>
        <w:t>关于各可调因子、定值和变值权重，以及基本价格指数及其来源的约定：</w:t>
      </w:r>
      <w:r>
        <w:rPr>
          <w:rFonts w:hint="eastAsia" w:ascii="宋体" w:hAnsi="宋体"/>
          <w:color w:val="auto"/>
          <w:szCs w:val="21"/>
          <w:highlight w:val="none"/>
          <w:u w:val="single"/>
        </w:rPr>
        <w:t>先采用工程工程造价管理机构发布的价格指数，无前述价格指数时，可采用工程造价管理机构发布的价格代替</w:t>
      </w:r>
      <w:r>
        <w:rPr>
          <w:rFonts w:hint="eastAsia" w:hAnsi="宋体"/>
          <w:color w:val="auto"/>
          <w:szCs w:val="21"/>
          <w:highlight w:val="none"/>
        </w:rPr>
        <w:t>；</w:t>
      </w:r>
    </w:p>
    <w:p w14:paraId="0B4A4390">
      <w:pPr>
        <w:pStyle w:val="35"/>
        <w:spacing w:line="360" w:lineRule="auto"/>
        <w:ind w:firstLine="420" w:firstLineChars="200"/>
        <w:jc w:val="left"/>
        <w:rPr>
          <w:rFonts w:hAnsi="宋体"/>
          <w:color w:val="auto"/>
          <w:szCs w:val="21"/>
          <w:highlight w:val="none"/>
        </w:rPr>
      </w:pPr>
      <w:r>
        <w:rPr>
          <w:rFonts w:hint="eastAsia" w:hAnsi="宋体"/>
          <w:color w:val="auto"/>
          <w:szCs w:val="21"/>
          <w:highlight w:val="none"/>
        </w:rPr>
        <w:t>第</w:t>
      </w:r>
      <w:r>
        <w:rPr>
          <w:color w:val="auto"/>
          <w:szCs w:val="21"/>
          <w:highlight w:val="none"/>
        </w:rPr>
        <w:t>2</w:t>
      </w:r>
      <w:r>
        <w:rPr>
          <w:rFonts w:hint="eastAsia" w:hAnsi="宋体"/>
          <w:color w:val="auto"/>
          <w:szCs w:val="21"/>
          <w:highlight w:val="none"/>
        </w:rPr>
        <w:t>种方式：采用造价信息进行价格调整。</w:t>
      </w:r>
    </w:p>
    <w:p w14:paraId="6B6616EC">
      <w:pPr>
        <w:pStyle w:val="35"/>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color w:val="auto"/>
          <w:szCs w:val="21"/>
          <w:highlight w:val="none"/>
        </w:rPr>
        <w:t>1</w:t>
      </w:r>
      <w:r>
        <w:rPr>
          <w:rFonts w:hint="eastAsia" w:hAnsi="宋体"/>
          <w:color w:val="auto"/>
          <w:szCs w:val="21"/>
          <w:highlight w:val="none"/>
        </w:rPr>
        <w:t>）允许调整的主要材料和设备、基期价格、风险系数、投标报价：详见《承包人提供主要材料和设备一览表》。</w:t>
      </w:r>
    </w:p>
    <w:p w14:paraId="096D20B5">
      <w:pPr>
        <w:pStyle w:val="35"/>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color w:val="auto"/>
          <w:szCs w:val="21"/>
          <w:highlight w:val="none"/>
        </w:rPr>
        <w:t>2</w:t>
      </w:r>
      <w:r>
        <w:rPr>
          <w:rFonts w:hint="eastAsia" w:hAnsi="宋体"/>
          <w:color w:val="auto"/>
          <w:szCs w:val="21"/>
          <w:highlight w:val="none"/>
        </w:rPr>
        <w:t>）主要材料和设备确认价：</w:t>
      </w:r>
    </w:p>
    <w:p w14:paraId="609C5EF8">
      <w:pPr>
        <w:pStyle w:val="35"/>
        <w:spacing w:line="360" w:lineRule="auto"/>
        <w:ind w:firstLine="420" w:firstLineChars="200"/>
        <w:jc w:val="left"/>
        <w:rPr>
          <w:color w:val="auto"/>
          <w:szCs w:val="21"/>
          <w:highlight w:val="none"/>
        </w:rPr>
      </w:pPr>
      <w:r>
        <w:rPr>
          <w:rFonts w:hint="eastAsia" w:hAnsi="宋体"/>
          <w:color w:val="auto"/>
          <w:szCs w:val="21"/>
          <w:highlight w:val="none"/>
        </w:rPr>
        <w:t>按施工期间《</w:t>
      </w:r>
      <w:r>
        <w:rPr>
          <w:rFonts w:hint="eastAsia"/>
          <w:color w:val="auto"/>
          <w:szCs w:val="21"/>
          <w:highlight w:val="none"/>
          <w:u w:val="single"/>
        </w:rPr>
        <w:t>南宁</w:t>
      </w:r>
      <w:r>
        <w:rPr>
          <w:rFonts w:hint="eastAsia" w:hAnsi="宋体"/>
          <w:color w:val="auto"/>
          <w:szCs w:val="21"/>
          <w:highlight w:val="none"/>
        </w:rPr>
        <w:t>市建设工程造价信息》加权平均计算，信息价没有的按通用条款规定确定。</w:t>
      </w:r>
    </w:p>
    <w:p w14:paraId="5CEF18A8">
      <w:pPr>
        <w:pStyle w:val="35"/>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color w:val="auto"/>
          <w:szCs w:val="21"/>
          <w:highlight w:val="none"/>
        </w:rPr>
        <w:t>3</w:t>
      </w:r>
      <w:r>
        <w:rPr>
          <w:rFonts w:hint="eastAsia" w:hAnsi="宋体"/>
          <w:color w:val="auto"/>
          <w:szCs w:val="21"/>
          <w:highlight w:val="none"/>
        </w:rPr>
        <w:t>）价差计算方法：</w:t>
      </w:r>
    </w:p>
    <w:p w14:paraId="200756E4">
      <w:pPr>
        <w:pStyle w:val="35"/>
        <w:spacing w:line="360" w:lineRule="auto"/>
        <w:ind w:firstLine="420" w:firstLineChars="200"/>
        <w:jc w:val="left"/>
        <w:rPr>
          <w:rFonts w:hAnsi="宋体"/>
          <w:color w:val="auto"/>
          <w:szCs w:val="21"/>
          <w:highlight w:val="none"/>
        </w:rPr>
      </w:pPr>
      <w:r>
        <w:rPr>
          <w:rFonts w:hint="eastAsia" w:hAnsi="宋体"/>
          <w:color w:val="auto"/>
          <w:szCs w:val="21"/>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其超过部分据实调整。</w:t>
      </w:r>
    </w:p>
    <w:p w14:paraId="0656F069">
      <w:pPr>
        <w:pStyle w:val="35"/>
        <w:spacing w:line="360" w:lineRule="auto"/>
        <w:ind w:firstLine="420" w:firstLineChars="200"/>
        <w:jc w:val="left"/>
        <w:rPr>
          <w:rFonts w:hAnsi="宋体"/>
          <w:color w:val="auto"/>
          <w:szCs w:val="21"/>
          <w:highlight w:val="none"/>
        </w:rPr>
      </w:pPr>
      <w:r>
        <w:rPr>
          <w:rFonts w:hint="eastAsia" w:hAnsi="宋体"/>
          <w:color w:val="auto"/>
          <w:szCs w:val="21"/>
          <w:highlight w:val="none"/>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4CD8F63D">
      <w:pPr>
        <w:pStyle w:val="35"/>
        <w:spacing w:line="360" w:lineRule="auto"/>
        <w:ind w:firstLine="420" w:firstLineChars="200"/>
        <w:jc w:val="left"/>
        <w:rPr>
          <w:color w:val="auto"/>
          <w:szCs w:val="21"/>
          <w:highlight w:val="none"/>
        </w:rPr>
      </w:pPr>
      <w:r>
        <w:rPr>
          <w:rFonts w:hint="eastAsia" w:hAnsi="宋体"/>
          <w:color w:val="auto"/>
          <w:szCs w:val="21"/>
          <w:highlight w:val="none"/>
        </w:rPr>
        <w:t>③承包人在《承包人提供主要材料和设备一览表》中载明的材料和设备单价等于基准单价的：合同履行期间材料和设备单价涨跌幅以基准单价为基础超过约定的风险范围时，其超过部分据实调整。</w:t>
      </w:r>
    </w:p>
    <w:p w14:paraId="23FE8842">
      <w:pPr>
        <w:pStyle w:val="35"/>
        <w:spacing w:line="360" w:lineRule="auto"/>
        <w:ind w:firstLine="645"/>
        <w:jc w:val="left"/>
        <w:rPr>
          <w:color w:val="auto"/>
          <w:szCs w:val="21"/>
          <w:highlight w:val="none"/>
        </w:rPr>
      </w:pPr>
      <w:r>
        <w:rPr>
          <w:rFonts w:hint="eastAsia" w:hAnsi="宋体"/>
          <w:color w:val="auto"/>
          <w:szCs w:val="21"/>
          <w:highlight w:val="none"/>
        </w:rPr>
        <w:t>第</w:t>
      </w:r>
      <w:r>
        <w:rPr>
          <w:rFonts w:hAnsi="宋体"/>
          <w:color w:val="auto"/>
          <w:szCs w:val="21"/>
          <w:highlight w:val="none"/>
        </w:rPr>
        <w:t>3</w:t>
      </w:r>
      <w:r>
        <w:rPr>
          <w:rFonts w:hint="eastAsia" w:hAnsi="宋体"/>
          <w:color w:val="auto"/>
          <w:szCs w:val="21"/>
          <w:highlight w:val="none"/>
        </w:rPr>
        <w:t>种方式：</w:t>
      </w:r>
      <w:r>
        <w:rPr>
          <w:rFonts w:hint="eastAsia" w:ascii="宋体" w:hAnsi="宋体"/>
          <w:b/>
          <w:color w:val="auto"/>
          <w:szCs w:val="21"/>
          <w:highlight w:val="none"/>
          <w:u w:val="single"/>
        </w:rPr>
        <w:t>除合同约定可以调整的主要材料外，材料单价在合同实施期间不因市场价格变化因素而变动，因征地拆迁影响及重大设计变更等发包人的原因，在招标后延迟开工或中途停建重新复工的施工工期内，主要材料涨跌的调整幅度按南重点办【2014】29号文执行（政府投资工程适用）</w:t>
      </w:r>
      <w:r>
        <w:rPr>
          <w:rFonts w:hint="eastAsia"/>
          <w:color w:val="auto"/>
          <w:szCs w:val="21"/>
          <w:highlight w:val="none"/>
        </w:rPr>
        <w:t>。</w:t>
      </w:r>
    </w:p>
    <w:bookmarkEnd w:id="643"/>
    <w:bookmarkEnd w:id="644"/>
    <w:bookmarkEnd w:id="645"/>
    <w:bookmarkEnd w:id="646"/>
    <w:bookmarkEnd w:id="647"/>
    <w:bookmarkEnd w:id="648"/>
    <w:p w14:paraId="369CE0A3">
      <w:pPr>
        <w:pStyle w:val="23"/>
        <w:rPr>
          <w:color w:val="auto"/>
          <w:highlight w:val="none"/>
        </w:rPr>
      </w:pPr>
      <w:bookmarkStart w:id="785" w:name="_Toc296503205"/>
      <w:bookmarkStart w:id="786" w:name="_Toc296891245"/>
      <w:bookmarkStart w:id="787" w:name="_Toc296891033"/>
      <w:bookmarkStart w:id="788" w:name="_Toc297048391"/>
      <w:bookmarkStart w:id="789" w:name="_Toc297120505"/>
      <w:bookmarkStart w:id="790" w:name="_Toc292559915"/>
      <w:bookmarkStart w:id="791" w:name="_Toc296347204"/>
      <w:bookmarkStart w:id="792" w:name="_Toc296346706"/>
      <w:bookmarkStart w:id="793" w:name="_Toc296944544"/>
      <w:bookmarkStart w:id="794" w:name="_Toc292559410"/>
      <w:bookmarkStart w:id="795" w:name="_Toc351203644"/>
      <w:bookmarkStart w:id="796" w:name="_Toc373227748"/>
      <w:bookmarkStart w:id="797" w:name="_Toc467599610"/>
      <w:bookmarkStart w:id="798" w:name="_Toc373478395"/>
      <w:bookmarkStart w:id="799" w:name="_Toc300935002"/>
      <w:bookmarkStart w:id="800" w:name="_Toc304295579"/>
      <w:bookmarkStart w:id="801" w:name="_Toc303539159"/>
      <w:bookmarkStart w:id="802" w:name="_Toc297216211"/>
      <w:bookmarkStart w:id="803" w:name="_Toc297123552"/>
      <w:bookmarkStart w:id="804" w:name="_Toc312678040"/>
      <w:r>
        <w:rPr>
          <w:color w:val="auto"/>
          <w:highlight w:val="none"/>
        </w:rPr>
        <w:t xml:space="preserve">12. </w:t>
      </w:r>
      <w:bookmarkEnd w:id="785"/>
      <w:bookmarkEnd w:id="786"/>
      <w:bookmarkEnd w:id="787"/>
      <w:bookmarkEnd w:id="788"/>
      <w:bookmarkEnd w:id="789"/>
      <w:bookmarkEnd w:id="790"/>
      <w:bookmarkEnd w:id="791"/>
      <w:bookmarkEnd w:id="792"/>
      <w:bookmarkEnd w:id="793"/>
      <w:bookmarkEnd w:id="794"/>
      <w:r>
        <w:rPr>
          <w:rFonts w:hint="eastAsia"/>
          <w:color w:val="auto"/>
          <w:highlight w:val="none"/>
        </w:rPr>
        <w:t>合同价格、计量与支付</w:t>
      </w:r>
      <w:bookmarkEnd w:id="795"/>
      <w:bookmarkEnd w:id="796"/>
      <w:bookmarkEnd w:id="797"/>
      <w:bookmarkEnd w:id="798"/>
    </w:p>
    <w:bookmarkEnd w:id="799"/>
    <w:bookmarkEnd w:id="800"/>
    <w:bookmarkEnd w:id="801"/>
    <w:bookmarkEnd w:id="802"/>
    <w:bookmarkEnd w:id="803"/>
    <w:bookmarkEnd w:id="804"/>
    <w:p w14:paraId="16F751EF">
      <w:pPr>
        <w:pStyle w:val="33"/>
        <w:rPr>
          <w:color w:val="auto"/>
          <w:highlight w:val="none"/>
        </w:rPr>
      </w:pPr>
      <w:bookmarkStart w:id="805" w:name="_Toc267251461"/>
      <w:bookmarkStart w:id="806" w:name="_Toc292559916"/>
      <w:bookmarkStart w:id="807" w:name="_Toc292559411"/>
      <w:bookmarkStart w:id="808" w:name="_Toc296891246"/>
      <w:bookmarkStart w:id="809" w:name="_Toc296891034"/>
      <w:bookmarkStart w:id="810" w:name="_Toc296347205"/>
      <w:bookmarkStart w:id="811" w:name="_Toc296503206"/>
      <w:bookmarkStart w:id="812" w:name="_Toc297120506"/>
      <w:bookmarkStart w:id="813" w:name="_Toc296944545"/>
      <w:bookmarkStart w:id="814" w:name="_Toc297048392"/>
      <w:bookmarkStart w:id="815" w:name="_Toc296346707"/>
      <w:bookmarkStart w:id="816" w:name="_Toc373478396"/>
      <w:bookmarkStart w:id="817" w:name="_Toc467599611"/>
      <w:bookmarkStart w:id="818" w:name="_Toc373227749"/>
      <w:bookmarkStart w:id="819" w:name="_Toc389065314"/>
      <w:bookmarkStart w:id="820" w:name="_Toc304295580"/>
      <w:bookmarkStart w:id="821" w:name="_Toc297123553"/>
      <w:bookmarkStart w:id="822" w:name="_Toc297216212"/>
      <w:bookmarkStart w:id="823" w:name="_Toc300935003"/>
      <w:bookmarkStart w:id="824" w:name="_Toc303539160"/>
      <w:bookmarkStart w:id="825" w:name="_Toc312678041"/>
      <w:r>
        <w:rPr>
          <w:color w:val="auto"/>
          <w:highlight w:val="none"/>
        </w:rPr>
        <w:t xml:space="preserve">12.1 </w:t>
      </w:r>
      <w:r>
        <w:rPr>
          <w:rFonts w:hint="eastAsia" w:hAnsi="宋体"/>
          <w:color w:val="auto"/>
          <w:highlight w:val="none"/>
        </w:rPr>
        <w:t>合</w:t>
      </w:r>
      <w:bookmarkEnd w:id="805"/>
      <w:bookmarkEnd w:id="806"/>
      <w:bookmarkEnd w:id="807"/>
      <w:r>
        <w:rPr>
          <w:rFonts w:hint="eastAsia" w:hAnsi="宋体"/>
          <w:color w:val="auto"/>
          <w:highlight w:val="none"/>
        </w:rPr>
        <w:t>同价</w:t>
      </w:r>
      <w:bookmarkEnd w:id="808"/>
      <w:bookmarkEnd w:id="809"/>
      <w:bookmarkEnd w:id="810"/>
      <w:bookmarkEnd w:id="811"/>
      <w:bookmarkEnd w:id="812"/>
      <w:bookmarkEnd w:id="813"/>
      <w:bookmarkEnd w:id="814"/>
      <w:bookmarkEnd w:id="815"/>
      <w:r>
        <w:rPr>
          <w:rFonts w:hint="eastAsia" w:hAnsi="宋体"/>
          <w:color w:val="auto"/>
          <w:highlight w:val="none"/>
        </w:rPr>
        <w:t>格形式</w:t>
      </w:r>
      <w:bookmarkEnd w:id="816"/>
      <w:bookmarkEnd w:id="817"/>
      <w:bookmarkEnd w:id="818"/>
      <w:bookmarkEnd w:id="819"/>
    </w:p>
    <w:bookmarkEnd w:id="820"/>
    <w:bookmarkEnd w:id="821"/>
    <w:bookmarkEnd w:id="822"/>
    <w:bookmarkEnd w:id="823"/>
    <w:bookmarkEnd w:id="824"/>
    <w:bookmarkEnd w:id="825"/>
    <w:p w14:paraId="551247CB">
      <w:pPr>
        <w:pStyle w:val="24"/>
        <w:spacing w:line="360" w:lineRule="auto"/>
        <w:ind w:firstLine="420" w:firstLineChars="200"/>
        <w:jc w:val="left"/>
        <w:rPr>
          <w:rFonts w:ascii="宋体" w:hAnsi="宋体"/>
          <w:color w:val="auto"/>
          <w:szCs w:val="21"/>
          <w:highlight w:val="none"/>
        </w:rPr>
      </w:pPr>
      <w:bookmarkStart w:id="826" w:name="_Toc389065315"/>
      <w:bookmarkStart w:id="827" w:name="_Toc373227750"/>
      <w:bookmarkStart w:id="828" w:name="_Toc373478397"/>
      <w:bookmarkStart w:id="829" w:name="_Toc312678042"/>
      <w:bookmarkStart w:id="830" w:name="_Toc297123554"/>
      <w:bookmarkStart w:id="831" w:name="_Toc300935004"/>
      <w:bookmarkStart w:id="832" w:name="_Toc297216213"/>
      <w:bookmarkStart w:id="833" w:name="_Toc303539161"/>
      <w:bookmarkStart w:id="834" w:name="_Toc304295581"/>
      <w:bookmarkStart w:id="835" w:name="_Toc297120507"/>
      <w:bookmarkStart w:id="836" w:name="_Toc292559917"/>
      <w:bookmarkStart w:id="837" w:name="_Toc296891247"/>
      <w:bookmarkStart w:id="838" w:name="_Toc296347206"/>
      <w:bookmarkStart w:id="839" w:name="_Toc296944546"/>
      <w:bookmarkStart w:id="840" w:name="_Toc296891035"/>
      <w:bookmarkStart w:id="841" w:name="_Toc292559412"/>
      <w:bookmarkStart w:id="842" w:name="_Toc296346708"/>
      <w:bookmarkStart w:id="843" w:name="_Toc296503207"/>
      <w:bookmarkStart w:id="844" w:name="_Toc297048393"/>
      <w:r>
        <w:rPr>
          <w:rFonts w:hint="eastAsia" w:ascii="宋体" w:hAnsi="宋体"/>
          <w:color w:val="auto"/>
          <w:szCs w:val="21"/>
          <w:highlight w:val="none"/>
        </w:rPr>
        <w:t>1、单价合同。</w:t>
      </w:r>
    </w:p>
    <w:p w14:paraId="46A45803">
      <w:pPr>
        <w:pStyle w:val="24"/>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本合同价款采用固定综合单价方式确定。</w:t>
      </w:r>
    </w:p>
    <w:p w14:paraId="68169E56">
      <w:pPr>
        <w:pStyle w:val="24"/>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综合单价包含的风险范围：</w:t>
      </w:r>
      <w:r>
        <w:rPr>
          <w:rFonts w:hint="eastAsia" w:ascii="宋体" w:hAnsi="宋体"/>
          <w:b/>
          <w:bCs/>
          <w:color w:val="auto"/>
          <w:szCs w:val="21"/>
          <w:highlight w:val="none"/>
          <w:u w:val="single"/>
        </w:rPr>
        <w:t>除工程变更、项目特征不符、工程量清单缺项、工程量偏差、政策性调整、本工程《承包人提供主要材料和设备一览表》中约定的材料和设备价格变动风险以外的其他风险因素。</w:t>
      </w:r>
    </w:p>
    <w:p w14:paraId="0F38479D">
      <w:pPr>
        <w:pStyle w:val="24"/>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无</w:t>
      </w:r>
      <w:r>
        <w:rPr>
          <w:rFonts w:hint="eastAsia" w:ascii="宋体" w:hAnsi="宋体"/>
          <w:color w:val="auto"/>
          <w:szCs w:val="21"/>
          <w:highlight w:val="none"/>
        </w:rPr>
        <w:t>。</w:t>
      </w:r>
    </w:p>
    <w:p w14:paraId="79809D8A">
      <w:pPr>
        <w:pStyle w:val="38"/>
        <w:spacing w:line="360" w:lineRule="auto"/>
        <w:ind w:firstLine="441" w:firstLineChars="210"/>
        <w:rPr>
          <w:rFonts w:hAnsi="宋体"/>
          <w:color w:val="auto"/>
          <w:szCs w:val="21"/>
          <w:highlight w:val="none"/>
        </w:rPr>
      </w:pPr>
      <w:r>
        <w:rPr>
          <w:rFonts w:hint="eastAsia" w:hAnsi="宋体"/>
          <w:color w:val="auto"/>
          <w:szCs w:val="21"/>
          <w:highlight w:val="none"/>
        </w:rPr>
        <w:t>风险范围以外合同价格的调整方法：</w:t>
      </w:r>
    </w:p>
    <w:p w14:paraId="49FE252C">
      <w:pPr>
        <w:pStyle w:val="37"/>
        <w:spacing w:line="360" w:lineRule="auto"/>
        <w:ind w:firstLine="420" w:firstLineChars="200"/>
        <w:jc w:val="left"/>
        <w:rPr>
          <w:rFonts w:hAnsi="宋体"/>
          <w:color w:val="auto"/>
          <w:kern w:val="2"/>
          <w:sz w:val="21"/>
          <w:szCs w:val="21"/>
          <w:highlight w:val="none"/>
        </w:rPr>
      </w:pPr>
      <w:r>
        <w:rPr>
          <w:rFonts w:hint="eastAsia" w:hAnsi="宋体"/>
          <w:color w:val="auto"/>
          <w:kern w:val="2"/>
          <w:sz w:val="21"/>
          <w:szCs w:val="21"/>
          <w:highlight w:val="none"/>
        </w:rPr>
        <w:t>①工程变更：按10.4.1变更估价原则的约定调整。</w:t>
      </w:r>
    </w:p>
    <w:p w14:paraId="1143F17E">
      <w:pPr>
        <w:pStyle w:val="37"/>
        <w:spacing w:line="360" w:lineRule="auto"/>
        <w:ind w:firstLine="420" w:firstLineChars="200"/>
        <w:jc w:val="left"/>
        <w:rPr>
          <w:rFonts w:hAnsi="宋体"/>
          <w:color w:val="auto"/>
          <w:kern w:val="2"/>
          <w:sz w:val="21"/>
          <w:szCs w:val="21"/>
          <w:highlight w:val="none"/>
        </w:rPr>
      </w:pPr>
      <w:r>
        <w:rPr>
          <w:rFonts w:hint="eastAsia" w:hAnsi="宋体"/>
          <w:color w:val="auto"/>
          <w:kern w:val="2"/>
          <w:sz w:val="21"/>
          <w:szCs w:val="21"/>
          <w:highlight w:val="none"/>
        </w:rPr>
        <w:t>②政策性调整：按自治区建设行政主管部门颁布的文件执行。</w:t>
      </w:r>
    </w:p>
    <w:p w14:paraId="549C3A97">
      <w:pPr>
        <w:pStyle w:val="37"/>
        <w:spacing w:line="360" w:lineRule="auto"/>
        <w:ind w:firstLine="420" w:firstLineChars="200"/>
        <w:jc w:val="left"/>
        <w:rPr>
          <w:rFonts w:hAnsi="宋体"/>
          <w:color w:val="auto"/>
          <w:kern w:val="2"/>
          <w:sz w:val="21"/>
          <w:szCs w:val="21"/>
          <w:highlight w:val="none"/>
        </w:rPr>
      </w:pPr>
      <w:r>
        <w:rPr>
          <w:rFonts w:hint="eastAsia" w:hAnsi="宋体"/>
          <w:color w:val="auto"/>
          <w:kern w:val="2"/>
          <w:sz w:val="21"/>
          <w:szCs w:val="21"/>
          <w:highlight w:val="none"/>
        </w:rPr>
        <w:t>③材料价格风险：按11.1的约定调整。</w:t>
      </w:r>
    </w:p>
    <w:p w14:paraId="141F5354">
      <w:pPr>
        <w:pStyle w:val="38"/>
        <w:spacing w:line="360" w:lineRule="auto"/>
        <w:ind w:firstLine="441" w:firstLineChars="210"/>
        <w:rPr>
          <w:rFonts w:hAnsi="宋体"/>
          <w:b/>
          <w:bCs/>
          <w:color w:val="auto"/>
          <w:szCs w:val="21"/>
          <w:highlight w:val="none"/>
          <w:u w:val="single"/>
        </w:rPr>
      </w:pPr>
      <w:r>
        <w:rPr>
          <w:rFonts w:hint="eastAsia" w:hAnsi="宋体"/>
          <w:color w:val="auto"/>
          <w:szCs w:val="21"/>
          <w:highlight w:val="none"/>
        </w:rPr>
        <w:t>④其它：</w:t>
      </w:r>
      <w:r>
        <w:rPr>
          <w:rFonts w:hint="eastAsia" w:hAnsi="宋体"/>
          <w:b/>
          <w:bCs/>
          <w:color w:val="auto"/>
          <w:szCs w:val="21"/>
          <w:highlight w:val="none"/>
          <w:u w:val="single"/>
        </w:rPr>
        <w:t>（一）因分部分项工程量清单漏项、设计变更、相关签证引起工程项目、工程量任何变化的，变更合同价款按下列方法进行：（1）合同中已有相同子目的，按合同该子目价格进行计算；（2）合同中只有类似子目的，参照该类似子目价格进行计算；（3）合同中没有适用或类似子目的价格计算方法：有定额的套定额（土石方工程除外），并乘以下浮系数（中标价/公布的工程招标控制价）计算，其中材料价格按施工期间的《南宁建设工程造价信息》相应价格信息进行计算；《南宁建设工程造价信息》没有相应价格信息的按市场价计算；无定额可套的，根据市场价格协商确定综合价格；新增项目的单价必须经市财政部门或审计部门审定。</w:t>
      </w:r>
    </w:p>
    <w:p w14:paraId="6EF9ED61">
      <w:pPr>
        <w:pStyle w:val="38"/>
        <w:spacing w:line="360" w:lineRule="auto"/>
        <w:ind w:firstLine="443" w:firstLineChars="210"/>
        <w:rPr>
          <w:rFonts w:hAnsi="宋体"/>
          <w:b/>
          <w:bCs/>
          <w:color w:val="auto"/>
          <w:szCs w:val="21"/>
          <w:highlight w:val="none"/>
          <w:u w:val="single"/>
        </w:rPr>
      </w:pPr>
      <w:r>
        <w:rPr>
          <w:rFonts w:hint="eastAsia" w:hAnsi="宋体"/>
          <w:b/>
          <w:bCs/>
          <w:color w:val="auto"/>
          <w:szCs w:val="21"/>
          <w:highlight w:val="none"/>
          <w:u w:val="single"/>
        </w:rPr>
        <w:t>（二）国家和自治区、南宁市政策性调整有关费用标准的，按文件规定执行。</w:t>
      </w:r>
    </w:p>
    <w:p w14:paraId="327C865F">
      <w:pPr>
        <w:pStyle w:val="38"/>
        <w:spacing w:line="360" w:lineRule="auto"/>
        <w:ind w:firstLine="443" w:firstLineChars="210"/>
        <w:rPr>
          <w:rFonts w:hAnsi="宋体"/>
          <w:b/>
          <w:bCs/>
          <w:color w:val="auto"/>
          <w:szCs w:val="21"/>
          <w:highlight w:val="none"/>
          <w:u w:val="single"/>
        </w:rPr>
      </w:pPr>
      <w:r>
        <w:rPr>
          <w:rFonts w:hint="eastAsia" w:hAnsi="宋体"/>
          <w:b/>
          <w:bCs/>
          <w:color w:val="auto"/>
          <w:szCs w:val="21"/>
          <w:highlight w:val="none"/>
          <w:u w:val="single"/>
        </w:rPr>
        <w:t>（三）本工程可以调整的主要材料：按南宁市相关规定执行。</w:t>
      </w:r>
    </w:p>
    <w:p w14:paraId="3C80624F">
      <w:pPr>
        <w:pStyle w:val="38"/>
        <w:spacing w:line="360" w:lineRule="auto"/>
        <w:ind w:firstLine="443" w:firstLineChars="210"/>
        <w:rPr>
          <w:rFonts w:hAnsi="宋体"/>
          <w:b/>
          <w:bCs/>
          <w:color w:val="auto"/>
          <w:szCs w:val="21"/>
          <w:highlight w:val="none"/>
          <w:u w:val="single"/>
        </w:rPr>
      </w:pPr>
      <w:r>
        <w:rPr>
          <w:rFonts w:hint="eastAsia" w:hAnsi="宋体"/>
          <w:b/>
          <w:bCs/>
          <w:color w:val="auto"/>
          <w:szCs w:val="21"/>
          <w:highlight w:val="none"/>
          <w:u w:val="single"/>
        </w:rPr>
        <w:t>由于工程变更等原因造成工程总投资超出概算的，未经调概（中央预算内资金除外）前，一律不予结算和核拨超概部分费用。本工程最终结算价按南宁市审计行政主管部门或南宁市财政行政主管部门有关结算审计规定办理。</w:t>
      </w:r>
    </w:p>
    <w:p w14:paraId="347FEB5E">
      <w:pPr>
        <w:pStyle w:val="35"/>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rFonts w:hAnsi="宋体"/>
          <w:color w:val="auto"/>
          <w:szCs w:val="21"/>
          <w:highlight w:val="none"/>
        </w:rPr>
        <w:t>2</w:t>
      </w:r>
      <w:r>
        <w:rPr>
          <w:rFonts w:hint="eastAsia" w:hAnsi="宋体"/>
          <w:color w:val="auto"/>
          <w:szCs w:val="21"/>
          <w:highlight w:val="none"/>
        </w:rPr>
        <w:t>）总价合同。</w:t>
      </w:r>
    </w:p>
    <w:p w14:paraId="3184270C">
      <w:pPr>
        <w:pStyle w:val="35"/>
        <w:spacing w:line="360" w:lineRule="auto"/>
        <w:ind w:firstLine="420" w:firstLineChars="200"/>
        <w:jc w:val="left"/>
        <w:rPr>
          <w:rFonts w:hAnsi="宋体"/>
          <w:color w:val="auto"/>
          <w:szCs w:val="21"/>
          <w:highlight w:val="none"/>
        </w:rPr>
      </w:pPr>
      <w:r>
        <w:rPr>
          <w:rFonts w:hint="eastAsia" w:hAnsi="宋体"/>
          <w:color w:val="auto"/>
          <w:szCs w:val="21"/>
          <w:highlight w:val="none"/>
        </w:rPr>
        <w:t>总价包含的风险范围：</w:t>
      </w:r>
      <w:r>
        <w:rPr>
          <w:rFonts w:hint="eastAsia" w:ascii="宋体" w:hAnsi="宋体"/>
          <w:color w:val="auto"/>
          <w:szCs w:val="21"/>
          <w:highlight w:val="none"/>
          <w:u w:val="single"/>
        </w:rPr>
        <w:t>无</w:t>
      </w:r>
      <w:r>
        <w:rPr>
          <w:rFonts w:hint="eastAsia" w:hAnsi="宋体"/>
          <w:color w:val="auto"/>
          <w:szCs w:val="21"/>
          <w:highlight w:val="none"/>
        </w:rPr>
        <w:t>。</w:t>
      </w:r>
    </w:p>
    <w:p w14:paraId="44E6568E">
      <w:pPr>
        <w:pStyle w:val="35"/>
        <w:spacing w:line="360" w:lineRule="auto"/>
        <w:ind w:firstLine="420" w:firstLineChars="200"/>
        <w:jc w:val="left"/>
        <w:rPr>
          <w:color w:val="auto"/>
          <w:highlight w:val="none"/>
        </w:rPr>
      </w:pPr>
      <w:r>
        <w:rPr>
          <w:rFonts w:hint="eastAsia"/>
          <w:color w:val="auto"/>
          <w:highlight w:val="none"/>
        </w:rPr>
        <w:t>风险范围以外合同价格的调整方法：</w:t>
      </w:r>
      <w:r>
        <w:rPr>
          <w:rFonts w:hint="eastAsia" w:ascii="宋体" w:hAnsi="宋体"/>
          <w:color w:val="auto"/>
          <w:szCs w:val="21"/>
          <w:highlight w:val="none"/>
          <w:u w:val="single"/>
        </w:rPr>
        <w:t>无</w:t>
      </w:r>
      <w:r>
        <w:rPr>
          <w:rFonts w:hint="eastAsia"/>
          <w:color w:val="auto"/>
          <w:highlight w:val="none"/>
        </w:rPr>
        <w:t>。</w:t>
      </w:r>
    </w:p>
    <w:p w14:paraId="6E6EEFA4">
      <w:pPr>
        <w:pStyle w:val="35"/>
        <w:spacing w:line="360" w:lineRule="auto"/>
        <w:ind w:firstLine="420" w:firstLineChars="200"/>
        <w:jc w:val="left"/>
        <w:rPr>
          <w:color w:val="auto"/>
          <w:highlight w:val="none"/>
        </w:rPr>
      </w:pPr>
      <w:r>
        <w:rPr>
          <w:rFonts w:hint="eastAsia"/>
          <w:color w:val="auto"/>
          <w:highlight w:val="none"/>
        </w:rPr>
        <w:t>（</w:t>
      </w:r>
      <w:r>
        <w:rPr>
          <w:color w:val="auto"/>
          <w:highlight w:val="none"/>
        </w:rPr>
        <w:t>3</w:t>
      </w:r>
      <w:r>
        <w:rPr>
          <w:rFonts w:hint="eastAsia"/>
          <w:color w:val="auto"/>
          <w:highlight w:val="none"/>
        </w:rPr>
        <w:t>）其他价格方式：</w:t>
      </w:r>
      <w:r>
        <w:rPr>
          <w:rFonts w:hint="eastAsia" w:ascii="宋体" w:hAnsi="宋体"/>
          <w:color w:val="auto"/>
          <w:szCs w:val="21"/>
          <w:highlight w:val="none"/>
          <w:u w:val="single"/>
        </w:rPr>
        <w:t>无</w:t>
      </w:r>
      <w:r>
        <w:rPr>
          <w:rFonts w:hint="eastAsia"/>
          <w:color w:val="auto"/>
          <w:highlight w:val="none"/>
        </w:rPr>
        <w:t>。</w:t>
      </w:r>
    </w:p>
    <w:p w14:paraId="130876FB">
      <w:pPr>
        <w:pStyle w:val="33"/>
        <w:rPr>
          <w:color w:val="auto"/>
          <w:highlight w:val="none"/>
        </w:rPr>
      </w:pPr>
      <w:bookmarkStart w:id="845" w:name="_Toc467599612"/>
      <w:r>
        <w:rPr>
          <w:color w:val="auto"/>
          <w:highlight w:val="none"/>
        </w:rPr>
        <w:t xml:space="preserve">12.2 </w:t>
      </w:r>
      <w:r>
        <w:rPr>
          <w:rFonts w:hint="eastAsia" w:hAnsi="宋体"/>
          <w:color w:val="auto"/>
          <w:highlight w:val="none"/>
        </w:rPr>
        <w:t>预付款</w:t>
      </w:r>
      <w:bookmarkEnd w:id="826"/>
      <w:bookmarkEnd w:id="827"/>
      <w:bookmarkEnd w:id="828"/>
      <w:bookmarkEnd w:id="845"/>
    </w:p>
    <w:bookmarkEnd w:id="829"/>
    <w:bookmarkEnd w:id="830"/>
    <w:bookmarkEnd w:id="831"/>
    <w:bookmarkEnd w:id="832"/>
    <w:bookmarkEnd w:id="833"/>
    <w:bookmarkEnd w:id="834"/>
    <w:p w14:paraId="106230B2">
      <w:pPr>
        <w:pStyle w:val="35"/>
        <w:spacing w:line="360" w:lineRule="auto"/>
        <w:ind w:firstLine="420" w:firstLineChars="200"/>
        <w:jc w:val="left"/>
        <w:rPr>
          <w:color w:val="auto"/>
          <w:szCs w:val="21"/>
          <w:highlight w:val="none"/>
        </w:rPr>
      </w:pPr>
      <w:r>
        <w:rPr>
          <w:color w:val="auto"/>
          <w:szCs w:val="21"/>
          <w:highlight w:val="none"/>
        </w:rPr>
        <w:t xml:space="preserve">12.2.1 </w:t>
      </w:r>
      <w:r>
        <w:rPr>
          <w:rFonts w:hint="eastAsia" w:hAnsi="宋体"/>
          <w:color w:val="auto"/>
          <w:szCs w:val="21"/>
          <w:highlight w:val="none"/>
        </w:rPr>
        <w:t>预付款的支付</w:t>
      </w:r>
    </w:p>
    <w:p w14:paraId="01ABEA16">
      <w:pPr>
        <w:keepNext w:val="0"/>
        <w:keepLines w:val="0"/>
        <w:widowControl/>
        <w:suppressLineNumbers w:val="0"/>
        <w:autoSpaceDE w:val="0"/>
        <w:autoSpaceDN/>
        <w:spacing w:before="0" w:beforeAutospacing="0" w:afterAutospacing="0" w:line="240" w:lineRule="auto"/>
        <w:ind w:left="0" w:right="0" w:firstLine="420" w:firstLineChars="200"/>
        <w:jc w:val="left"/>
        <w:rPr>
          <w:color w:val="FF0000"/>
          <w:szCs w:val="21"/>
          <w:highlight w:val="none"/>
        </w:rPr>
      </w:pPr>
      <w:r>
        <w:rPr>
          <w:rFonts w:hint="eastAsia" w:hAnsi="宋体"/>
          <w:color w:val="auto"/>
          <w:szCs w:val="21"/>
          <w:highlight w:val="none"/>
        </w:rPr>
        <w:t>预付款支付比例或金额：</w:t>
      </w:r>
      <w:r>
        <w:rPr>
          <w:rFonts w:hint="eastAsia" w:hAnsi="宋体"/>
          <w:color w:val="auto"/>
          <w:szCs w:val="21"/>
          <w:highlight w:val="none"/>
          <w:u w:val="single"/>
          <w:lang w:val="en-US" w:eastAsia="zh-CN"/>
        </w:rPr>
        <w:t xml:space="preserve">    30%      </w:t>
      </w:r>
      <w:r>
        <w:rPr>
          <w:rFonts w:hint="eastAsia" w:hAnsi="宋体"/>
          <w:color w:val="auto"/>
          <w:szCs w:val="21"/>
          <w:highlight w:val="none"/>
        </w:rPr>
        <w:t>。</w:t>
      </w:r>
    </w:p>
    <w:p w14:paraId="7A1F01A4">
      <w:pPr>
        <w:pStyle w:val="35"/>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预付款支付期限：</w:t>
      </w:r>
      <w:r>
        <w:rPr>
          <w:rFonts w:hint="eastAsia" w:hAnsi="宋体"/>
          <w:color w:val="auto"/>
          <w:szCs w:val="21"/>
          <w:highlight w:val="none"/>
          <w:u w:val="single"/>
          <w:lang w:val="en-US" w:eastAsia="zh-CN"/>
        </w:rPr>
        <w:t xml:space="preserve">发包人应在取得财政拨款后14天内完成支付 </w:t>
      </w:r>
      <w:r>
        <w:rPr>
          <w:rFonts w:hint="eastAsia" w:hAnsi="宋体"/>
          <w:color w:val="auto"/>
          <w:szCs w:val="21"/>
          <w:highlight w:val="none"/>
        </w:rPr>
        <w:t>。</w:t>
      </w:r>
    </w:p>
    <w:p w14:paraId="60FAFB4B">
      <w:pPr>
        <w:pStyle w:val="35"/>
        <w:spacing w:line="360" w:lineRule="auto"/>
        <w:ind w:firstLine="420" w:firstLineChars="200"/>
        <w:jc w:val="left"/>
        <w:rPr>
          <w:color w:val="auto"/>
          <w:szCs w:val="21"/>
          <w:highlight w:val="none"/>
          <w:u w:val="single"/>
        </w:rPr>
      </w:pPr>
      <w:r>
        <w:rPr>
          <w:rFonts w:hint="eastAsia" w:hAnsi="宋体"/>
          <w:color w:val="auto"/>
          <w:szCs w:val="21"/>
          <w:highlight w:val="none"/>
        </w:rPr>
        <w:t>预付款扣回的方式：</w:t>
      </w:r>
      <w:r>
        <w:rPr>
          <w:rFonts w:hint="eastAsia" w:ascii="宋体" w:hAnsi="宋体" w:cs="宋体"/>
          <w:b w:val="0"/>
          <w:bCs w:val="0"/>
          <w:color w:val="auto"/>
          <w:kern w:val="0"/>
          <w:sz w:val="24"/>
          <w:szCs w:val="24"/>
          <w:highlight w:val="none"/>
          <w:u w:val="single"/>
          <w:lang w:val="en-US" w:eastAsia="zh-CN" w:bidi="ar"/>
        </w:rPr>
        <w:t>/</w:t>
      </w:r>
      <w:r>
        <w:rPr>
          <w:rFonts w:ascii="宋体" w:hAnsi="宋体" w:eastAsia="宋体" w:cs="宋体"/>
          <w:color w:val="auto"/>
          <w:sz w:val="24"/>
          <w:szCs w:val="24"/>
          <w:highlight w:val="none"/>
          <w:u w:val="single"/>
        </w:rPr>
        <w:t>。</w:t>
      </w:r>
    </w:p>
    <w:p w14:paraId="62BAA83F">
      <w:pPr>
        <w:pStyle w:val="35"/>
        <w:spacing w:line="360" w:lineRule="auto"/>
        <w:ind w:firstLine="420" w:firstLineChars="200"/>
        <w:jc w:val="left"/>
        <w:rPr>
          <w:color w:val="auto"/>
          <w:szCs w:val="21"/>
          <w:highlight w:val="none"/>
        </w:rPr>
      </w:pPr>
      <w:r>
        <w:rPr>
          <w:color w:val="auto"/>
          <w:szCs w:val="21"/>
          <w:highlight w:val="none"/>
        </w:rPr>
        <w:t xml:space="preserve">12.2.2 </w:t>
      </w:r>
      <w:r>
        <w:rPr>
          <w:rFonts w:hint="eastAsia" w:hAnsi="宋体"/>
          <w:color w:val="auto"/>
          <w:szCs w:val="21"/>
          <w:highlight w:val="none"/>
        </w:rPr>
        <w:t>预付款担保</w:t>
      </w:r>
    </w:p>
    <w:p w14:paraId="106BF719">
      <w:pPr>
        <w:pStyle w:val="35"/>
        <w:spacing w:line="360" w:lineRule="auto"/>
        <w:ind w:firstLine="420" w:firstLineChars="200"/>
        <w:jc w:val="left"/>
        <w:rPr>
          <w:color w:val="auto"/>
          <w:szCs w:val="21"/>
          <w:highlight w:val="none"/>
        </w:rPr>
      </w:pPr>
      <w:r>
        <w:rPr>
          <w:rFonts w:hint="eastAsia" w:hAnsi="宋体"/>
          <w:color w:val="auto"/>
          <w:szCs w:val="21"/>
          <w:highlight w:val="none"/>
        </w:rPr>
        <w:t>承包人提交预付款担保的期限：</w:t>
      </w:r>
      <w:r>
        <w:rPr>
          <w:rFonts w:hint="eastAsia" w:ascii="宋体" w:hAnsi="宋体"/>
          <w:color w:val="auto"/>
          <w:szCs w:val="21"/>
          <w:highlight w:val="none"/>
          <w:u w:val="single"/>
        </w:rPr>
        <w:t xml:space="preserve"> 无</w:t>
      </w:r>
      <w:r>
        <w:rPr>
          <w:rFonts w:hint="eastAsia" w:hAnsi="宋体"/>
          <w:color w:val="auto"/>
          <w:szCs w:val="21"/>
          <w:highlight w:val="none"/>
        </w:rPr>
        <w:t>。</w:t>
      </w:r>
    </w:p>
    <w:p w14:paraId="7213C214">
      <w:pPr>
        <w:pStyle w:val="35"/>
        <w:spacing w:line="360" w:lineRule="auto"/>
        <w:ind w:firstLine="420" w:firstLineChars="200"/>
        <w:jc w:val="left"/>
        <w:rPr>
          <w:rFonts w:hAnsi="宋体"/>
          <w:color w:val="auto"/>
          <w:szCs w:val="21"/>
          <w:highlight w:val="none"/>
        </w:rPr>
      </w:pPr>
      <w:r>
        <w:rPr>
          <w:rFonts w:hint="eastAsia" w:hAnsi="宋体"/>
          <w:color w:val="auto"/>
          <w:szCs w:val="21"/>
          <w:highlight w:val="none"/>
        </w:rPr>
        <w:t>预付款担保的形式为：</w:t>
      </w:r>
      <w:r>
        <w:rPr>
          <w:rFonts w:hint="eastAsia" w:ascii="宋体" w:hAnsi="宋体"/>
          <w:color w:val="auto"/>
          <w:szCs w:val="21"/>
          <w:highlight w:val="none"/>
          <w:u w:val="single"/>
        </w:rPr>
        <w:t>无</w:t>
      </w:r>
      <w:r>
        <w:rPr>
          <w:rFonts w:hint="eastAsia" w:hAnsi="宋体"/>
          <w:color w:val="auto"/>
          <w:szCs w:val="21"/>
          <w:highlight w:val="none"/>
        </w:rPr>
        <w:t>。</w:t>
      </w:r>
    </w:p>
    <w:p w14:paraId="1F9397FF">
      <w:pPr>
        <w:pStyle w:val="35"/>
        <w:spacing w:line="360" w:lineRule="auto"/>
        <w:ind w:firstLine="420" w:firstLineChars="200"/>
        <w:jc w:val="left"/>
        <w:rPr>
          <w:color w:val="auto"/>
          <w:szCs w:val="21"/>
          <w:highlight w:val="none"/>
        </w:rPr>
      </w:pPr>
      <w:r>
        <w:rPr>
          <w:rFonts w:hint="eastAsia" w:ascii="宋体" w:hAnsi="宋体"/>
          <w:color w:val="auto"/>
          <w:szCs w:val="21"/>
          <w:highlight w:val="none"/>
        </w:rPr>
        <w:t>预付款担保格式见合同附件7。</w:t>
      </w:r>
    </w:p>
    <w:bookmarkEnd w:id="835"/>
    <w:bookmarkEnd w:id="836"/>
    <w:bookmarkEnd w:id="837"/>
    <w:bookmarkEnd w:id="838"/>
    <w:bookmarkEnd w:id="839"/>
    <w:bookmarkEnd w:id="840"/>
    <w:bookmarkEnd w:id="841"/>
    <w:bookmarkEnd w:id="842"/>
    <w:bookmarkEnd w:id="843"/>
    <w:bookmarkEnd w:id="844"/>
    <w:p w14:paraId="6C7B66E0">
      <w:pPr>
        <w:pStyle w:val="33"/>
        <w:rPr>
          <w:color w:val="auto"/>
          <w:highlight w:val="none"/>
        </w:rPr>
      </w:pPr>
      <w:bookmarkStart w:id="846" w:name="_Toc373227751"/>
      <w:bookmarkStart w:id="847" w:name="_Toc389065316"/>
      <w:bookmarkStart w:id="848" w:name="_Toc467599613"/>
      <w:bookmarkStart w:id="849" w:name="_Toc373478398"/>
      <w:r>
        <w:rPr>
          <w:color w:val="auto"/>
          <w:highlight w:val="none"/>
        </w:rPr>
        <w:t xml:space="preserve">12.3 </w:t>
      </w:r>
      <w:r>
        <w:rPr>
          <w:rFonts w:hint="eastAsia" w:hAnsi="宋体"/>
          <w:color w:val="auto"/>
          <w:highlight w:val="none"/>
        </w:rPr>
        <w:t>计量</w:t>
      </w:r>
      <w:bookmarkEnd w:id="846"/>
      <w:bookmarkEnd w:id="847"/>
      <w:bookmarkEnd w:id="848"/>
      <w:bookmarkEnd w:id="849"/>
    </w:p>
    <w:p w14:paraId="3B728976">
      <w:pPr>
        <w:pStyle w:val="35"/>
        <w:spacing w:line="360" w:lineRule="auto"/>
        <w:ind w:firstLine="420" w:firstLineChars="200"/>
        <w:jc w:val="left"/>
        <w:rPr>
          <w:color w:val="auto"/>
          <w:szCs w:val="21"/>
          <w:highlight w:val="none"/>
        </w:rPr>
      </w:pPr>
      <w:r>
        <w:rPr>
          <w:color w:val="auto"/>
          <w:szCs w:val="21"/>
          <w:highlight w:val="none"/>
        </w:rPr>
        <w:t xml:space="preserve">12.3.1 </w:t>
      </w:r>
      <w:r>
        <w:rPr>
          <w:rFonts w:hint="eastAsia" w:hAnsi="宋体"/>
          <w:color w:val="auto"/>
          <w:szCs w:val="21"/>
          <w:highlight w:val="none"/>
        </w:rPr>
        <w:t>计量原则</w:t>
      </w:r>
    </w:p>
    <w:p w14:paraId="75930154">
      <w:pPr>
        <w:pStyle w:val="35"/>
        <w:spacing w:line="360" w:lineRule="auto"/>
        <w:ind w:firstLine="420" w:firstLineChars="200"/>
        <w:jc w:val="left"/>
        <w:rPr>
          <w:color w:val="auto"/>
          <w:szCs w:val="21"/>
          <w:highlight w:val="none"/>
        </w:rPr>
      </w:pPr>
      <w:r>
        <w:rPr>
          <w:rFonts w:hint="eastAsia" w:hAnsi="宋体"/>
          <w:color w:val="auto"/>
          <w:szCs w:val="21"/>
          <w:highlight w:val="none"/>
        </w:rPr>
        <w:t>工程量计算规则：</w:t>
      </w:r>
      <w:r>
        <w:rPr>
          <w:rFonts w:hint="eastAsia" w:ascii="宋体" w:hAnsi="宋体"/>
          <w:b/>
          <w:color w:val="auto"/>
          <w:szCs w:val="21"/>
          <w:highlight w:val="none"/>
          <w:u w:val="single"/>
        </w:rPr>
        <w:t>工程的计量均以国家标准《建设工程工程量计算规范》（GB50854～50862－2013）和《建设工程工程量计算规范（GB50854～50862-2013）广西壮族自治区实施细则》计算的净值为准，如有不明之处，应以监理工程师或造价管理部门指定的计量方法为准</w:t>
      </w:r>
      <w:r>
        <w:rPr>
          <w:rFonts w:hint="eastAsia" w:hAnsi="宋体"/>
          <w:b/>
          <w:color w:val="auto"/>
          <w:szCs w:val="21"/>
          <w:highlight w:val="none"/>
          <w:u w:val="single"/>
        </w:rPr>
        <w:t>。</w:t>
      </w:r>
    </w:p>
    <w:p w14:paraId="26EE9EAA">
      <w:pPr>
        <w:pStyle w:val="35"/>
        <w:spacing w:line="360" w:lineRule="auto"/>
        <w:ind w:firstLine="420" w:firstLineChars="200"/>
        <w:jc w:val="left"/>
        <w:rPr>
          <w:color w:val="auto"/>
          <w:szCs w:val="21"/>
          <w:highlight w:val="none"/>
        </w:rPr>
      </w:pPr>
      <w:r>
        <w:rPr>
          <w:color w:val="auto"/>
          <w:szCs w:val="21"/>
          <w:highlight w:val="none"/>
        </w:rPr>
        <w:t xml:space="preserve">12.3.2 </w:t>
      </w:r>
      <w:r>
        <w:rPr>
          <w:rFonts w:hint="eastAsia" w:hAnsi="宋体"/>
          <w:color w:val="auto"/>
          <w:szCs w:val="21"/>
          <w:highlight w:val="none"/>
        </w:rPr>
        <w:t>计量周期</w:t>
      </w:r>
    </w:p>
    <w:p w14:paraId="56335430">
      <w:pPr>
        <w:pStyle w:val="35"/>
        <w:spacing w:line="360" w:lineRule="auto"/>
        <w:ind w:firstLine="420" w:firstLineChars="200"/>
        <w:jc w:val="left"/>
        <w:rPr>
          <w:color w:val="auto"/>
          <w:szCs w:val="21"/>
          <w:highlight w:val="none"/>
        </w:rPr>
      </w:pPr>
      <w:r>
        <w:rPr>
          <w:rFonts w:hint="eastAsia" w:hAnsi="宋体"/>
          <w:color w:val="auto"/>
          <w:szCs w:val="21"/>
          <w:highlight w:val="none"/>
        </w:rPr>
        <w:t>关于计量周期的约定：</w:t>
      </w:r>
      <w:r>
        <w:rPr>
          <w:rFonts w:hint="eastAsia" w:hAnsi="宋体"/>
          <w:color w:val="auto"/>
          <w:szCs w:val="21"/>
          <w:highlight w:val="none"/>
          <w:u w:val="single"/>
        </w:rPr>
        <w:t>每月</w:t>
      </w:r>
      <w:r>
        <w:rPr>
          <w:color w:val="auto"/>
          <w:szCs w:val="21"/>
          <w:highlight w:val="none"/>
          <w:u w:val="single"/>
        </w:rPr>
        <w:t>25</w:t>
      </w:r>
      <w:r>
        <w:rPr>
          <w:rFonts w:hint="eastAsia" w:hAnsi="宋体"/>
          <w:color w:val="auto"/>
          <w:szCs w:val="21"/>
          <w:highlight w:val="none"/>
          <w:u w:val="single"/>
        </w:rPr>
        <w:t>日前</w:t>
      </w:r>
      <w:r>
        <w:rPr>
          <w:rFonts w:hint="eastAsia" w:hAnsi="宋体"/>
          <w:color w:val="auto"/>
          <w:szCs w:val="21"/>
          <w:highlight w:val="none"/>
        </w:rPr>
        <w:t>。</w:t>
      </w:r>
    </w:p>
    <w:p w14:paraId="5C5E4BE5">
      <w:pPr>
        <w:pStyle w:val="35"/>
        <w:spacing w:line="360" w:lineRule="auto"/>
        <w:ind w:firstLine="420" w:firstLineChars="200"/>
        <w:jc w:val="left"/>
        <w:outlineLvl w:val="0"/>
        <w:rPr>
          <w:color w:val="auto"/>
          <w:szCs w:val="21"/>
          <w:highlight w:val="none"/>
        </w:rPr>
      </w:pPr>
      <w:r>
        <w:rPr>
          <w:color w:val="auto"/>
          <w:szCs w:val="21"/>
          <w:highlight w:val="none"/>
        </w:rPr>
        <w:t xml:space="preserve">12.3.3 </w:t>
      </w:r>
      <w:r>
        <w:rPr>
          <w:rFonts w:hint="eastAsia" w:hAnsi="宋体"/>
          <w:color w:val="auto"/>
          <w:szCs w:val="21"/>
          <w:highlight w:val="none"/>
        </w:rPr>
        <w:t>单价合同的计量</w:t>
      </w:r>
    </w:p>
    <w:p w14:paraId="18B3E671">
      <w:pPr>
        <w:pStyle w:val="35"/>
        <w:spacing w:line="360" w:lineRule="auto"/>
        <w:ind w:firstLine="420" w:firstLineChars="200"/>
        <w:jc w:val="left"/>
        <w:rPr>
          <w:color w:val="auto"/>
          <w:szCs w:val="21"/>
          <w:highlight w:val="none"/>
        </w:rPr>
      </w:pPr>
      <w:r>
        <w:rPr>
          <w:rFonts w:hint="eastAsia" w:hAnsi="宋体"/>
          <w:color w:val="auto"/>
          <w:szCs w:val="21"/>
          <w:highlight w:val="none"/>
        </w:rPr>
        <w:t>关于单价合同计量的约定：</w:t>
      </w:r>
    </w:p>
    <w:p w14:paraId="5234C8FD">
      <w:pPr>
        <w:pStyle w:val="35"/>
        <w:spacing w:line="360" w:lineRule="auto"/>
        <w:ind w:firstLine="441" w:firstLineChars="210"/>
        <w:rPr>
          <w:color w:val="auto"/>
          <w:szCs w:val="21"/>
          <w:highlight w:val="none"/>
        </w:rPr>
      </w:pPr>
      <w:r>
        <w:rPr>
          <w:color w:val="auto"/>
          <w:szCs w:val="21"/>
          <w:highlight w:val="none"/>
        </w:rPr>
        <w:t xml:space="preserve">(1) </w:t>
      </w:r>
      <w:r>
        <w:rPr>
          <w:rFonts w:hint="eastAsia" w:hAnsi="宋体"/>
          <w:color w:val="auto"/>
          <w:szCs w:val="21"/>
          <w:highlight w:val="none"/>
        </w:rPr>
        <w:t>工程量清单所列的工程量，不能作为承包人按合同履行其责任依据，实际施工中发生的工程量增加或减少并不影响承包人履行合同的责任，工程结算以完成的实际工程量为准。</w:t>
      </w:r>
    </w:p>
    <w:p w14:paraId="088AD156">
      <w:pPr>
        <w:pStyle w:val="35"/>
        <w:spacing w:line="360" w:lineRule="auto"/>
        <w:ind w:firstLine="441" w:firstLineChars="210"/>
        <w:rPr>
          <w:color w:val="auto"/>
          <w:szCs w:val="21"/>
          <w:highlight w:val="none"/>
        </w:rPr>
      </w:pPr>
      <w:r>
        <w:rPr>
          <w:color w:val="auto"/>
          <w:szCs w:val="21"/>
          <w:highlight w:val="none"/>
        </w:rPr>
        <w:t xml:space="preserve">(2) </w:t>
      </w:r>
      <w:r>
        <w:rPr>
          <w:rFonts w:hint="eastAsia" w:hAnsi="宋体"/>
          <w:color w:val="auto"/>
          <w:szCs w:val="21"/>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25C72724">
      <w:pPr>
        <w:pStyle w:val="35"/>
        <w:spacing w:line="360" w:lineRule="auto"/>
        <w:ind w:firstLine="420" w:firstLineChars="200"/>
        <w:jc w:val="left"/>
        <w:rPr>
          <w:color w:val="auto"/>
          <w:szCs w:val="21"/>
          <w:highlight w:val="none"/>
        </w:rPr>
      </w:pPr>
      <w:r>
        <w:rPr>
          <w:color w:val="auto"/>
          <w:szCs w:val="21"/>
          <w:highlight w:val="none"/>
        </w:rPr>
        <w:t xml:space="preserve">12.3.4 </w:t>
      </w:r>
      <w:r>
        <w:rPr>
          <w:rFonts w:hint="eastAsia" w:hAnsi="宋体"/>
          <w:color w:val="auto"/>
          <w:szCs w:val="21"/>
          <w:highlight w:val="none"/>
        </w:rPr>
        <w:t>总价合同的计量</w:t>
      </w:r>
    </w:p>
    <w:p w14:paraId="24CFF356">
      <w:pPr>
        <w:pStyle w:val="35"/>
        <w:spacing w:line="360" w:lineRule="auto"/>
        <w:ind w:firstLine="420" w:firstLineChars="200"/>
        <w:jc w:val="left"/>
        <w:rPr>
          <w:rFonts w:ascii="宋体" w:hAnsi="宋体"/>
          <w:color w:val="auto"/>
          <w:kern w:val="0"/>
          <w:szCs w:val="21"/>
          <w:highlight w:val="none"/>
        </w:rPr>
      </w:pPr>
      <w:r>
        <w:rPr>
          <w:rFonts w:hint="eastAsia" w:hAnsi="宋体"/>
          <w:color w:val="auto"/>
          <w:szCs w:val="21"/>
          <w:highlight w:val="none"/>
        </w:rPr>
        <w:t>关于总价合同计量的约定：</w:t>
      </w:r>
      <w:r>
        <w:rPr>
          <w:rFonts w:hint="eastAsia" w:ascii="宋体" w:hAnsi="宋体"/>
          <w:color w:val="auto"/>
          <w:szCs w:val="21"/>
          <w:highlight w:val="none"/>
          <w:u w:val="single"/>
        </w:rPr>
        <w:t>除工程变更外，原图纸范围内的工程量不得按实计量。进度款按支付分解表支付，按通用条款第12.3.4项〔总价合同的计量〕约定进行计量，但合同价款按照支付分解表进行支付。</w:t>
      </w:r>
    </w:p>
    <w:p w14:paraId="4358F091">
      <w:pPr>
        <w:pStyle w:val="35"/>
        <w:spacing w:line="360" w:lineRule="auto"/>
        <w:ind w:firstLine="420" w:firstLineChars="200"/>
        <w:jc w:val="left"/>
        <w:rPr>
          <w:color w:val="auto"/>
          <w:szCs w:val="21"/>
          <w:highlight w:val="none"/>
        </w:rPr>
      </w:pPr>
      <w:r>
        <w:rPr>
          <w:color w:val="auto"/>
          <w:szCs w:val="21"/>
          <w:highlight w:val="none"/>
        </w:rPr>
        <w:t xml:space="preserve">12.3.6 </w:t>
      </w:r>
      <w:r>
        <w:rPr>
          <w:rFonts w:hint="eastAsia" w:hAnsi="宋体"/>
          <w:color w:val="auto"/>
          <w:szCs w:val="21"/>
          <w:highlight w:val="none"/>
        </w:rPr>
        <w:t>其他价格形式合同的计量</w:t>
      </w:r>
    </w:p>
    <w:p w14:paraId="3B18012E">
      <w:pPr>
        <w:pStyle w:val="35"/>
        <w:spacing w:line="360" w:lineRule="auto"/>
        <w:ind w:firstLine="420" w:firstLineChars="200"/>
        <w:jc w:val="left"/>
        <w:rPr>
          <w:color w:val="auto"/>
          <w:szCs w:val="21"/>
          <w:highlight w:val="none"/>
          <w:u w:val="single"/>
        </w:rPr>
      </w:pPr>
      <w:r>
        <w:rPr>
          <w:rFonts w:hint="eastAsia" w:hAnsi="宋体"/>
          <w:color w:val="auto"/>
          <w:szCs w:val="21"/>
          <w:highlight w:val="none"/>
        </w:rPr>
        <w:t>其他价格形式的计量方式和程序：</w:t>
      </w:r>
      <w:r>
        <w:rPr>
          <w:rFonts w:hint="eastAsia" w:ascii="宋体" w:hAnsi="宋体"/>
          <w:color w:val="auto"/>
          <w:szCs w:val="21"/>
          <w:highlight w:val="none"/>
          <w:u w:val="single"/>
        </w:rPr>
        <w:t>无</w:t>
      </w:r>
      <w:r>
        <w:rPr>
          <w:rFonts w:hint="eastAsia" w:hAnsi="宋体"/>
          <w:color w:val="auto"/>
          <w:szCs w:val="21"/>
          <w:highlight w:val="none"/>
        </w:rPr>
        <w:t>。</w:t>
      </w:r>
    </w:p>
    <w:p w14:paraId="0954AB44">
      <w:pPr>
        <w:pStyle w:val="33"/>
        <w:rPr>
          <w:color w:val="auto"/>
          <w:highlight w:val="none"/>
        </w:rPr>
      </w:pPr>
      <w:bookmarkStart w:id="850" w:name="_Toc467599614"/>
      <w:bookmarkStart w:id="851" w:name="_Toc389065317"/>
      <w:bookmarkStart w:id="852" w:name="_Toc373478399"/>
      <w:bookmarkStart w:id="853" w:name="_Toc373227752"/>
      <w:r>
        <w:rPr>
          <w:color w:val="auto"/>
          <w:highlight w:val="none"/>
        </w:rPr>
        <w:t xml:space="preserve">12.4 </w:t>
      </w:r>
      <w:r>
        <w:rPr>
          <w:rFonts w:hint="eastAsia"/>
          <w:color w:val="auto"/>
          <w:highlight w:val="none"/>
        </w:rPr>
        <w:t>工程进度款支付</w:t>
      </w:r>
      <w:bookmarkEnd w:id="850"/>
      <w:bookmarkEnd w:id="851"/>
      <w:bookmarkEnd w:id="852"/>
      <w:bookmarkEnd w:id="853"/>
    </w:p>
    <w:p w14:paraId="09992AF6">
      <w:pPr>
        <w:pStyle w:val="35"/>
        <w:spacing w:line="360" w:lineRule="auto"/>
        <w:ind w:firstLine="420" w:firstLineChars="200"/>
        <w:jc w:val="left"/>
        <w:rPr>
          <w:color w:val="auto"/>
          <w:szCs w:val="21"/>
          <w:highlight w:val="none"/>
        </w:rPr>
      </w:pPr>
      <w:bookmarkStart w:id="854" w:name="_Toc297123556"/>
      <w:bookmarkStart w:id="855" w:name="_Toc296944550"/>
      <w:bookmarkStart w:id="856" w:name="_Toc296891039"/>
      <w:bookmarkStart w:id="857" w:name="_Toc297048397"/>
      <w:bookmarkStart w:id="858" w:name="_Toc296503211"/>
      <w:bookmarkStart w:id="859" w:name="_Toc296891251"/>
      <w:bookmarkStart w:id="860" w:name="_Toc296347210"/>
      <w:bookmarkStart w:id="861" w:name="_Toc303539163"/>
      <w:bookmarkStart w:id="862" w:name="_Toc296346712"/>
      <w:bookmarkStart w:id="863" w:name="_Toc300935006"/>
      <w:bookmarkStart w:id="864" w:name="_Toc297216215"/>
      <w:bookmarkStart w:id="865" w:name="_Toc297120511"/>
      <w:bookmarkStart w:id="866" w:name="_Toc292559921"/>
      <w:bookmarkStart w:id="867" w:name="_Toc292559416"/>
      <w:r>
        <w:rPr>
          <w:color w:val="auto"/>
          <w:szCs w:val="21"/>
          <w:highlight w:val="none"/>
        </w:rPr>
        <w:t xml:space="preserve">12.4.1 </w:t>
      </w:r>
      <w:r>
        <w:rPr>
          <w:rFonts w:hint="eastAsia" w:hAnsi="宋体"/>
          <w:color w:val="auto"/>
          <w:szCs w:val="21"/>
          <w:highlight w:val="none"/>
        </w:rPr>
        <w:t>付款周期</w:t>
      </w:r>
    </w:p>
    <w:p w14:paraId="54282F91">
      <w:pPr>
        <w:pStyle w:val="35"/>
        <w:numPr>
          <w:ilvl w:val="0"/>
          <w:numId w:val="0"/>
        </w:numPr>
        <w:spacing w:line="360" w:lineRule="auto"/>
        <w:ind w:firstLine="420" w:firstLineChars="200"/>
        <w:jc w:val="left"/>
        <w:rPr>
          <w:rFonts w:hint="eastAsia" w:ascii="宋体" w:hAnsi="宋体" w:eastAsia="宋体" w:cs="宋体"/>
          <w:b w:val="0"/>
          <w:bCs w:val="0"/>
          <w:color w:val="auto"/>
          <w:kern w:val="0"/>
          <w:sz w:val="24"/>
          <w:szCs w:val="24"/>
          <w:highlight w:val="none"/>
          <w:u w:val="single"/>
          <w:lang w:val="en-US" w:eastAsia="zh-CN" w:bidi="ar"/>
        </w:rPr>
      </w:pPr>
      <w:r>
        <w:rPr>
          <w:rFonts w:hint="eastAsia" w:hAnsi="宋体"/>
          <w:color w:val="auto"/>
          <w:szCs w:val="21"/>
          <w:highlight w:val="none"/>
          <w:lang w:eastAsia="zh-CN"/>
        </w:rPr>
        <w:t>（</w:t>
      </w:r>
      <w:r>
        <w:rPr>
          <w:rFonts w:hint="eastAsia" w:hAnsi="宋体"/>
          <w:color w:val="auto"/>
          <w:szCs w:val="21"/>
          <w:highlight w:val="none"/>
          <w:lang w:val="en-US" w:eastAsia="zh-CN"/>
        </w:rPr>
        <w:t>一</w:t>
      </w:r>
      <w:r>
        <w:rPr>
          <w:rFonts w:hint="eastAsia" w:hAnsi="宋体"/>
          <w:color w:val="auto"/>
          <w:szCs w:val="21"/>
          <w:highlight w:val="none"/>
          <w:lang w:eastAsia="zh-CN"/>
        </w:rPr>
        <w:t>）</w:t>
      </w:r>
      <w:r>
        <w:rPr>
          <w:rFonts w:hint="eastAsia" w:hAnsi="宋体"/>
          <w:color w:val="auto"/>
          <w:szCs w:val="21"/>
          <w:highlight w:val="none"/>
        </w:rPr>
        <w:t>关于付款周期的约定：工程全部完工后支付80%进度款；工程完工验收达到质量要求，经审计公司结算审定后，工程款支付至结算总价的97%（含已支付的）；发包人按工程价款结算总额的3%预留工程质量保修金，待工程质量保修期满后返还（无息）。</w:t>
      </w:r>
    </w:p>
    <w:p w14:paraId="27470B85">
      <w:pPr>
        <w:pStyle w:val="35"/>
        <w:numPr>
          <w:ilvl w:val="0"/>
          <w:numId w:val="13"/>
        </w:numPr>
        <w:spacing w:line="360" w:lineRule="auto"/>
        <w:ind w:firstLine="420" w:firstLineChars="200"/>
        <w:jc w:val="left"/>
        <w:rPr>
          <w:color w:val="auto"/>
          <w:szCs w:val="21"/>
          <w:highlight w:val="none"/>
        </w:rPr>
      </w:pPr>
      <w:r>
        <w:rPr>
          <w:color w:val="auto"/>
          <w:szCs w:val="21"/>
          <w:highlight w:val="none"/>
        </w:rPr>
        <w:t xml:space="preserve">12.4.2 </w:t>
      </w:r>
      <w:r>
        <w:rPr>
          <w:rFonts w:hint="eastAsia" w:hAnsi="宋体"/>
          <w:color w:val="auto"/>
          <w:szCs w:val="21"/>
          <w:highlight w:val="none"/>
        </w:rPr>
        <w:t>进度付款申请单的编制</w:t>
      </w:r>
    </w:p>
    <w:p w14:paraId="680886C5">
      <w:pPr>
        <w:pStyle w:val="35"/>
        <w:spacing w:line="360" w:lineRule="auto"/>
        <w:ind w:firstLine="420" w:firstLineChars="200"/>
        <w:jc w:val="left"/>
        <w:rPr>
          <w:color w:val="auto"/>
          <w:szCs w:val="21"/>
          <w:highlight w:val="none"/>
          <w:u w:val="single"/>
        </w:rPr>
      </w:pPr>
      <w:r>
        <w:rPr>
          <w:rFonts w:hint="eastAsia" w:hAnsi="宋体"/>
          <w:color w:val="auto"/>
          <w:szCs w:val="21"/>
          <w:highlight w:val="none"/>
        </w:rPr>
        <w:t>关于进度付款申请单编制的约定：</w:t>
      </w:r>
      <w:r>
        <w:rPr>
          <w:rFonts w:hint="eastAsia" w:hAnsi="宋体"/>
          <w:color w:val="auto"/>
          <w:szCs w:val="21"/>
          <w:highlight w:val="none"/>
          <w:u w:val="single"/>
        </w:rPr>
        <w:t>按投标文件工程量清单内容</w:t>
      </w:r>
      <w:r>
        <w:rPr>
          <w:rFonts w:hint="eastAsia" w:ascii="宋体" w:hAnsi="宋体"/>
          <w:color w:val="auto"/>
          <w:szCs w:val="21"/>
          <w:highlight w:val="none"/>
        </w:rPr>
        <w:t>。</w:t>
      </w:r>
    </w:p>
    <w:p w14:paraId="0BE596A9">
      <w:pPr>
        <w:pStyle w:val="35"/>
        <w:spacing w:line="360" w:lineRule="auto"/>
        <w:ind w:firstLine="420" w:firstLineChars="200"/>
        <w:jc w:val="left"/>
        <w:rPr>
          <w:color w:val="auto"/>
          <w:szCs w:val="21"/>
          <w:highlight w:val="none"/>
        </w:rPr>
      </w:pPr>
      <w:r>
        <w:rPr>
          <w:color w:val="auto"/>
          <w:szCs w:val="21"/>
          <w:highlight w:val="none"/>
        </w:rPr>
        <w:t>1</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Pr>
          <w:color w:val="auto"/>
          <w:szCs w:val="21"/>
          <w:highlight w:val="none"/>
        </w:rPr>
        <w:t xml:space="preserve">2.4.3 </w:t>
      </w:r>
      <w:r>
        <w:rPr>
          <w:rFonts w:hint="eastAsia" w:hAnsi="宋体"/>
          <w:color w:val="auto"/>
          <w:szCs w:val="21"/>
          <w:highlight w:val="none"/>
        </w:rPr>
        <w:t>进度付款申请单的提交</w:t>
      </w:r>
    </w:p>
    <w:p w14:paraId="60C78BC3">
      <w:pPr>
        <w:pStyle w:val="35"/>
        <w:spacing w:line="360" w:lineRule="auto"/>
        <w:ind w:firstLine="420" w:firstLineChars="200"/>
        <w:jc w:val="left"/>
        <w:rPr>
          <w:b/>
          <w:bCs/>
          <w:color w:val="auto"/>
          <w:szCs w:val="21"/>
          <w:highlight w:val="none"/>
          <w:u w:val="single"/>
        </w:rPr>
      </w:pPr>
      <w:r>
        <w:rPr>
          <w:rFonts w:hint="eastAsia" w:hAnsi="宋体"/>
          <w:color w:val="auto"/>
          <w:szCs w:val="21"/>
          <w:highlight w:val="none"/>
        </w:rPr>
        <w:t>（</w:t>
      </w:r>
      <w:r>
        <w:rPr>
          <w:color w:val="auto"/>
          <w:szCs w:val="21"/>
          <w:highlight w:val="none"/>
        </w:rPr>
        <w:t>1</w:t>
      </w:r>
      <w:r>
        <w:rPr>
          <w:rFonts w:hint="eastAsia" w:hAnsi="宋体"/>
          <w:color w:val="auto"/>
          <w:szCs w:val="21"/>
          <w:highlight w:val="none"/>
        </w:rPr>
        <w:t>）单价合同进度付款申请单提交的约定：</w:t>
      </w:r>
    </w:p>
    <w:p w14:paraId="458326B0">
      <w:pPr>
        <w:pStyle w:val="35"/>
        <w:spacing w:line="360" w:lineRule="auto"/>
        <w:jc w:val="left"/>
        <w:rPr>
          <w:color w:val="auto"/>
          <w:szCs w:val="21"/>
          <w:highlight w:val="none"/>
        </w:rPr>
      </w:pPr>
      <w:r>
        <w:rPr>
          <w:rFonts w:hint="eastAsia" w:ascii="宋体" w:hAnsi="宋体"/>
          <w:b/>
          <w:bCs/>
          <w:color w:val="auto"/>
          <w:szCs w:val="21"/>
          <w:highlight w:val="none"/>
          <w:u w:val="single"/>
        </w:rPr>
        <w:t>发包人向财政部门申请工程进度款时，承包人应配合发包人提供以下资料：①《工程用款支付证书》；②《财政性资金投资项目用款核定通知书》；③工程量计量报表（格式按财政局业务科室具体要求）；④其他需要补充说明的材料</w:t>
      </w:r>
      <w:r>
        <w:rPr>
          <w:rFonts w:hint="eastAsia" w:hAnsi="宋体"/>
          <w:color w:val="auto"/>
          <w:szCs w:val="21"/>
          <w:highlight w:val="none"/>
        </w:rPr>
        <w:t>。</w:t>
      </w:r>
    </w:p>
    <w:p w14:paraId="1AC1F419">
      <w:pPr>
        <w:pStyle w:val="35"/>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2</w:t>
      </w:r>
      <w:r>
        <w:rPr>
          <w:rFonts w:hint="eastAsia" w:hAnsi="宋体"/>
          <w:color w:val="auto"/>
          <w:szCs w:val="21"/>
          <w:highlight w:val="none"/>
        </w:rPr>
        <w:t>）总价合同进度付款申请单提交的约定：</w:t>
      </w:r>
      <w:r>
        <w:rPr>
          <w:rFonts w:hint="eastAsia" w:ascii="宋体" w:hAnsi="宋体"/>
          <w:color w:val="auto"/>
          <w:szCs w:val="21"/>
          <w:highlight w:val="none"/>
          <w:u w:val="single"/>
        </w:rPr>
        <w:t>无</w:t>
      </w:r>
      <w:r>
        <w:rPr>
          <w:rFonts w:hint="eastAsia" w:hAnsi="宋体"/>
          <w:color w:val="auto"/>
          <w:szCs w:val="21"/>
          <w:highlight w:val="none"/>
        </w:rPr>
        <w:t>。</w:t>
      </w:r>
    </w:p>
    <w:p w14:paraId="0C527722">
      <w:pPr>
        <w:pStyle w:val="35"/>
        <w:spacing w:line="360" w:lineRule="auto"/>
        <w:ind w:firstLine="420" w:firstLineChars="200"/>
        <w:jc w:val="left"/>
        <w:rPr>
          <w:color w:val="auto"/>
          <w:szCs w:val="21"/>
          <w:highlight w:val="none"/>
          <w:u w:val="single"/>
        </w:rPr>
      </w:pPr>
      <w:r>
        <w:rPr>
          <w:rFonts w:hint="eastAsia" w:hAnsi="宋体"/>
          <w:color w:val="auto"/>
          <w:szCs w:val="21"/>
          <w:highlight w:val="none"/>
        </w:rPr>
        <w:t>（</w:t>
      </w:r>
      <w:r>
        <w:rPr>
          <w:color w:val="auto"/>
          <w:szCs w:val="21"/>
          <w:highlight w:val="none"/>
        </w:rPr>
        <w:t>3</w:t>
      </w:r>
      <w:r>
        <w:rPr>
          <w:rFonts w:hint="eastAsia" w:hAnsi="宋体"/>
          <w:color w:val="auto"/>
          <w:szCs w:val="21"/>
          <w:highlight w:val="none"/>
        </w:rPr>
        <w:t>）其他价格形式合同进度付款申请单提交的约定：</w:t>
      </w:r>
      <w:r>
        <w:rPr>
          <w:rFonts w:hint="eastAsia" w:ascii="宋体" w:hAnsi="宋体"/>
          <w:color w:val="auto"/>
          <w:szCs w:val="21"/>
          <w:highlight w:val="none"/>
          <w:u w:val="single"/>
        </w:rPr>
        <w:t>无</w:t>
      </w:r>
      <w:r>
        <w:rPr>
          <w:rFonts w:hint="eastAsia" w:hAnsi="宋体"/>
          <w:color w:val="auto"/>
          <w:szCs w:val="21"/>
          <w:highlight w:val="none"/>
        </w:rPr>
        <w:t>。</w:t>
      </w:r>
    </w:p>
    <w:p w14:paraId="30D59165">
      <w:pPr>
        <w:pStyle w:val="35"/>
        <w:spacing w:line="360" w:lineRule="auto"/>
        <w:ind w:firstLine="420" w:firstLineChars="200"/>
        <w:jc w:val="left"/>
        <w:rPr>
          <w:color w:val="auto"/>
          <w:szCs w:val="21"/>
          <w:highlight w:val="none"/>
        </w:rPr>
      </w:pPr>
      <w:r>
        <w:rPr>
          <w:color w:val="auto"/>
          <w:szCs w:val="21"/>
          <w:highlight w:val="none"/>
        </w:rPr>
        <w:t xml:space="preserve">12.4.4 </w:t>
      </w:r>
      <w:r>
        <w:rPr>
          <w:rFonts w:hint="eastAsia" w:hAnsi="宋体"/>
          <w:color w:val="auto"/>
          <w:szCs w:val="21"/>
          <w:highlight w:val="none"/>
        </w:rPr>
        <w:t>进度款审核和支付</w:t>
      </w:r>
    </w:p>
    <w:p w14:paraId="3D737D4A">
      <w:pPr>
        <w:pStyle w:val="35"/>
        <w:spacing w:line="360" w:lineRule="auto"/>
        <w:ind w:firstLine="420" w:firstLineChars="200"/>
        <w:jc w:val="left"/>
        <w:rPr>
          <w:color w:val="auto"/>
          <w:szCs w:val="21"/>
          <w:highlight w:val="none"/>
          <w:u w:val="single"/>
        </w:rPr>
      </w:pPr>
      <w:r>
        <w:rPr>
          <w:rFonts w:hint="eastAsia" w:hAnsi="宋体"/>
          <w:color w:val="auto"/>
          <w:szCs w:val="21"/>
          <w:highlight w:val="none"/>
        </w:rPr>
        <w:t>（</w:t>
      </w:r>
      <w:r>
        <w:rPr>
          <w:color w:val="auto"/>
          <w:szCs w:val="21"/>
          <w:highlight w:val="none"/>
        </w:rPr>
        <w:t>1</w:t>
      </w:r>
      <w:r>
        <w:rPr>
          <w:rFonts w:hint="eastAsia" w:hAnsi="宋体"/>
          <w:color w:val="auto"/>
          <w:szCs w:val="21"/>
          <w:highlight w:val="none"/>
        </w:rPr>
        <w:t>）监理人审查并报送发包人的期限：</w:t>
      </w:r>
      <w:r>
        <w:rPr>
          <w:rFonts w:hint="eastAsia" w:ascii="宋体" w:hAnsi="宋体"/>
          <w:color w:val="auto"/>
          <w:szCs w:val="21"/>
          <w:highlight w:val="none"/>
          <w:u w:val="single"/>
        </w:rPr>
        <w:t>监理人应在收到承包人进度付款申请单以及相关资料后7天内完成审查并报送发包人</w:t>
      </w:r>
      <w:r>
        <w:rPr>
          <w:rFonts w:hint="eastAsia" w:hAnsi="宋体"/>
          <w:color w:val="auto"/>
          <w:szCs w:val="21"/>
          <w:highlight w:val="none"/>
        </w:rPr>
        <w:t>。</w:t>
      </w:r>
    </w:p>
    <w:p w14:paraId="336D0564">
      <w:pPr>
        <w:pStyle w:val="35"/>
        <w:spacing w:line="360" w:lineRule="auto"/>
        <w:ind w:firstLine="420" w:firstLineChars="200"/>
        <w:jc w:val="left"/>
        <w:rPr>
          <w:color w:val="auto"/>
          <w:szCs w:val="21"/>
          <w:highlight w:val="none"/>
          <w:u w:val="single"/>
        </w:rPr>
      </w:pPr>
      <w:r>
        <w:rPr>
          <w:rFonts w:hint="eastAsia" w:hAnsi="宋体"/>
          <w:color w:val="auto"/>
          <w:szCs w:val="21"/>
          <w:highlight w:val="none"/>
        </w:rPr>
        <w:t>发包人完成审批并签发进度款支付证书的期限：</w:t>
      </w:r>
      <w:r>
        <w:rPr>
          <w:rFonts w:hint="eastAsia" w:ascii="宋体" w:hAnsi="宋体"/>
          <w:color w:val="auto"/>
          <w:szCs w:val="21"/>
          <w:highlight w:val="none"/>
          <w:u w:val="single"/>
        </w:rPr>
        <w:t>发包人应在收到后7天内完成审批并签发进度款支付证书</w:t>
      </w:r>
      <w:r>
        <w:rPr>
          <w:rFonts w:hint="eastAsia" w:hAnsi="宋体"/>
          <w:color w:val="auto"/>
          <w:szCs w:val="21"/>
          <w:highlight w:val="none"/>
        </w:rPr>
        <w:t>。</w:t>
      </w:r>
    </w:p>
    <w:p w14:paraId="5F39B6A2">
      <w:pPr>
        <w:pStyle w:val="35"/>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2</w:t>
      </w:r>
      <w:r>
        <w:rPr>
          <w:rFonts w:hint="eastAsia" w:hAnsi="宋体"/>
          <w:color w:val="auto"/>
          <w:szCs w:val="21"/>
          <w:highlight w:val="none"/>
        </w:rPr>
        <w:t>）发包人支付进度款的期限：</w:t>
      </w:r>
      <w:r>
        <w:rPr>
          <w:rFonts w:hint="eastAsia" w:ascii="宋体" w:hAnsi="宋体"/>
          <w:color w:val="auto"/>
          <w:szCs w:val="21"/>
          <w:highlight w:val="none"/>
          <w:u w:val="single"/>
        </w:rPr>
        <w:t>发包人应在取得财政拨款后14天内完成支付。</w:t>
      </w:r>
    </w:p>
    <w:p w14:paraId="257F750C">
      <w:pPr>
        <w:pStyle w:val="35"/>
        <w:spacing w:line="360" w:lineRule="auto"/>
        <w:ind w:firstLine="525" w:firstLineChars="250"/>
        <w:jc w:val="left"/>
        <w:rPr>
          <w:color w:val="auto"/>
          <w:szCs w:val="21"/>
          <w:highlight w:val="none"/>
        </w:rPr>
      </w:pPr>
      <w:r>
        <w:rPr>
          <w:rFonts w:hint="eastAsia" w:hAnsi="宋体"/>
          <w:color w:val="auto"/>
          <w:szCs w:val="21"/>
          <w:highlight w:val="none"/>
        </w:rPr>
        <w:t>发包人逾期支付进度款的违约金的计算方式：</w:t>
      </w:r>
      <w:r>
        <w:rPr>
          <w:rFonts w:hint="eastAsia" w:ascii="宋体" w:hAnsi="宋体"/>
          <w:color w:val="auto"/>
          <w:szCs w:val="21"/>
          <w:highlight w:val="none"/>
          <w:u w:val="single"/>
        </w:rPr>
        <w:t>无</w:t>
      </w:r>
      <w:r>
        <w:rPr>
          <w:rFonts w:hint="eastAsia" w:hAnsi="宋体"/>
          <w:color w:val="auto"/>
          <w:szCs w:val="21"/>
          <w:highlight w:val="none"/>
        </w:rPr>
        <w:t>。</w:t>
      </w:r>
    </w:p>
    <w:p w14:paraId="7A6BEF57">
      <w:pPr>
        <w:pStyle w:val="35"/>
        <w:spacing w:line="360" w:lineRule="auto"/>
        <w:ind w:firstLine="525" w:firstLineChars="250"/>
        <w:jc w:val="left"/>
        <w:rPr>
          <w:rFonts w:hAnsi="宋体"/>
          <w:color w:val="auto"/>
          <w:szCs w:val="21"/>
          <w:highlight w:val="none"/>
        </w:rPr>
      </w:pPr>
      <w:r>
        <w:rPr>
          <w:rFonts w:hint="eastAsia" w:hAnsi="宋体"/>
          <w:color w:val="auto"/>
          <w:szCs w:val="21"/>
          <w:highlight w:val="none"/>
        </w:rPr>
        <w:t>进度款支付方式：</w:t>
      </w:r>
      <w:r>
        <w:rPr>
          <w:rFonts w:hint="eastAsia" w:hAnsi="宋体"/>
          <w:color w:val="auto"/>
          <w:szCs w:val="21"/>
          <w:highlight w:val="none"/>
          <w:u w:val="single"/>
        </w:rPr>
        <w:t>银行转账</w:t>
      </w:r>
      <w:r>
        <w:rPr>
          <w:rFonts w:hint="eastAsia" w:hAnsi="宋体"/>
          <w:color w:val="auto"/>
          <w:szCs w:val="21"/>
          <w:highlight w:val="none"/>
        </w:rPr>
        <w:t>。</w:t>
      </w:r>
    </w:p>
    <w:p w14:paraId="4D522935">
      <w:pPr>
        <w:pStyle w:val="24"/>
        <w:spacing w:line="360" w:lineRule="auto"/>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u w:val="single"/>
        </w:rPr>
        <w:t>（3）发包人支付每一笔费用前，承包人应向发包人开具同等金额的正式、合法的增值税发票，</w:t>
      </w:r>
    </w:p>
    <w:p w14:paraId="533EB582">
      <w:pPr>
        <w:pStyle w:val="24"/>
        <w:spacing w:line="360" w:lineRule="auto"/>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u w:val="single"/>
        </w:rPr>
        <w:t>否则，发包人有权拒绝付款。</w:t>
      </w:r>
    </w:p>
    <w:p w14:paraId="3FD017C7">
      <w:pPr>
        <w:pStyle w:val="35"/>
        <w:spacing w:line="360" w:lineRule="auto"/>
        <w:ind w:firstLine="525" w:firstLineChars="250"/>
        <w:jc w:val="left"/>
        <w:rPr>
          <w:rFonts w:hAnsi="宋体"/>
          <w:color w:val="auto"/>
          <w:szCs w:val="21"/>
          <w:highlight w:val="none"/>
        </w:rPr>
      </w:pPr>
      <w:r>
        <w:rPr>
          <w:color w:val="auto"/>
          <w:szCs w:val="21"/>
          <w:highlight w:val="none"/>
        </w:rPr>
        <w:t xml:space="preserve">12.4.6 </w:t>
      </w:r>
      <w:r>
        <w:rPr>
          <w:rFonts w:hint="eastAsia" w:hAnsi="宋体"/>
          <w:color w:val="auto"/>
          <w:szCs w:val="21"/>
          <w:highlight w:val="none"/>
        </w:rPr>
        <w:t>支付分解表的编制</w:t>
      </w:r>
    </w:p>
    <w:p w14:paraId="2751C847">
      <w:pPr>
        <w:pStyle w:val="35"/>
        <w:spacing w:line="360" w:lineRule="auto"/>
        <w:ind w:firstLine="525" w:firstLineChars="250"/>
        <w:jc w:val="left"/>
        <w:rPr>
          <w:color w:val="auto"/>
          <w:szCs w:val="21"/>
          <w:highlight w:val="none"/>
          <w:u w:val="single"/>
        </w:rPr>
      </w:pPr>
      <w:r>
        <w:rPr>
          <w:color w:val="auto"/>
          <w:szCs w:val="21"/>
          <w:highlight w:val="none"/>
        </w:rPr>
        <w:t>2</w:t>
      </w:r>
      <w:r>
        <w:rPr>
          <w:rFonts w:hAnsi="宋体"/>
          <w:color w:val="auto"/>
          <w:szCs w:val="21"/>
          <w:highlight w:val="none"/>
        </w:rPr>
        <w:t xml:space="preserve">. </w:t>
      </w:r>
      <w:r>
        <w:rPr>
          <w:rFonts w:hint="eastAsia" w:hAnsi="宋体"/>
          <w:color w:val="auto"/>
          <w:szCs w:val="21"/>
          <w:highlight w:val="none"/>
        </w:rPr>
        <w:t>总价合同支付分解表的编制与审批：</w:t>
      </w:r>
      <w:r>
        <w:rPr>
          <w:rFonts w:hint="eastAsia" w:ascii="宋体" w:hAnsi="宋体"/>
          <w:color w:val="auto"/>
          <w:szCs w:val="21"/>
          <w:highlight w:val="none"/>
          <w:u w:val="single"/>
        </w:rPr>
        <w:t>无</w:t>
      </w:r>
      <w:r>
        <w:rPr>
          <w:rFonts w:hint="eastAsia" w:hAnsi="宋体"/>
          <w:color w:val="auto"/>
          <w:szCs w:val="21"/>
          <w:highlight w:val="none"/>
        </w:rPr>
        <w:t>。</w:t>
      </w:r>
    </w:p>
    <w:p w14:paraId="28948E15">
      <w:pPr>
        <w:pStyle w:val="35"/>
        <w:spacing w:line="360" w:lineRule="auto"/>
        <w:ind w:firstLine="525" w:firstLineChars="250"/>
        <w:jc w:val="left"/>
        <w:rPr>
          <w:color w:val="auto"/>
          <w:szCs w:val="21"/>
          <w:highlight w:val="none"/>
          <w:u w:val="single"/>
        </w:rPr>
      </w:pPr>
      <w:r>
        <w:rPr>
          <w:color w:val="auto"/>
          <w:szCs w:val="21"/>
          <w:highlight w:val="none"/>
        </w:rPr>
        <w:t>3</w:t>
      </w:r>
      <w:r>
        <w:rPr>
          <w:rFonts w:hAnsi="宋体"/>
          <w:color w:val="auto"/>
          <w:szCs w:val="21"/>
          <w:highlight w:val="none"/>
        </w:rPr>
        <w:t xml:space="preserve">. </w:t>
      </w:r>
      <w:r>
        <w:rPr>
          <w:rFonts w:hint="eastAsia" w:hAnsi="宋体"/>
          <w:color w:val="auto"/>
          <w:szCs w:val="21"/>
          <w:highlight w:val="none"/>
        </w:rPr>
        <w:t>单价合同的总价项目支付分解表的编制与审批：总价项目不采用支付分解表的方式计算，而按《建设工程工程量清单计价规范（</w:t>
      </w:r>
      <w:r>
        <w:rPr>
          <w:rFonts w:hAnsi="宋体"/>
          <w:color w:val="auto"/>
          <w:szCs w:val="21"/>
          <w:highlight w:val="none"/>
        </w:rPr>
        <w:t>GB50500-2013</w:t>
      </w:r>
      <w:r>
        <w:rPr>
          <w:rFonts w:hint="eastAsia" w:hAnsi="宋体"/>
          <w:color w:val="auto"/>
          <w:szCs w:val="21"/>
          <w:highlight w:val="none"/>
        </w:rPr>
        <w:t>）广西壮族自治区实施细则》的规定执行。</w:t>
      </w:r>
    </w:p>
    <w:bookmarkEnd w:id="649"/>
    <w:p w14:paraId="4C0EC90A">
      <w:pPr>
        <w:pStyle w:val="23"/>
        <w:rPr>
          <w:color w:val="auto"/>
          <w:highlight w:val="none"/>
        </w:rPr>
      </w:pPr>
      <w:bookmarkStart w:id="868" w:name="_Toc467599615"/>
      <w:bookmarkStart w:id="869" w:name="_Toc373227753"/>
      <w:bookmarkStart w:id="870" w:name="_Toc351203645"/>
      <w:bookmarkStart w:id="871" w:name="_Toc389065318"/>
      <w:bookmarkStart w:id="872" w:name="_Toc373478400"/>
      <w:bookmarkStart w:id="873" w:name="_Toc297216223"/>
      <w:bookmarkStart w:id="874" w:name="_Toc296503219"/>
      <w:bookmarkStart w:id="875" w:name="_Toc296944558"/>
      <w:bookmarkStart w:id="876" w:name="_Toc297120519"/>
      <w:bookmarkStart w:id="877" w:name="_Toc296891259"/>
      <w:bookmarkStart w:id="878" w:name="_Toc312678053"/>
      <w:bookmarkStart w:id="879" w:name="_Toc292559424"/>
      <w:bookmarkStart w:id="880" w:name="_Toc303539172"/>
      <w:bookmarkStart w:id="881" w:name="_Toc300935015"/>
      <w:bookmarkStart w:id="882" w:name="_Toc296346720"/>
      <w:bookmarkStart w:id="883" w:name="_Toc296891047"/>
      <w:bookmarkStart w:id="884" w:name="_Toc296347218"/>
      <w:bookmarkStart w:id="885" w:name="_Toc297048405"/>
      <w:bookmarkStart w:id="886" w:name="_Toc297123564"/>
      <w:bookmarkStart w:id="887" w:name="_Toc292559929"/>
      <w:bookmarkStart w:id="888" w:name="_Toc304295593"/>
      <w:r>
        <w:rPr>
          <w:color w:val="auto"/>
          <w:highlight w:val="none"/>
        </w:rPr>
        <w:t xml:space="preserve">13. </w:t>
      </w:r>
      <w:r>
        <w:rPr>
          <w:rFonts w:hint="eastAsia"/>
          <w:color w:val="auto"/>
          <w:highlight w:val="none"/>
        </w:rPr>
        <w:t>验收和工程试车</w:t>
      </w:r>
      <w:bookmarkEnd w:id="868"/>
      <w:bookmarkEnd w:id="869"/>
      <w:bookmarkEnd w:id="870"/>
      <w:bookmarkEnd w:id="871"/>
      <w:bookmarkEnd w:id="872"/>
    </w:p>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14:paraId="30D48A4F">
      <w:pPr>
        <w:pStyle w:val="33"/>
        <w:rPr>
          <w:rFonts w:ascii="Calibri" w:hAnsi="Calibri"/>
          <w:color w:val="auto"/>
          <w:highlight w:val="none"/>
        </w:rPr>
      </w:pPr>
      <w:bookmarkStart w:id="889" w:name="_Toc373478401"/>
      <w:bookmarkStart w:id="890" w:name="_Toc389065319"/>
      <w:bookmarkStart w:id="891" w:name="_Toc373227754"/>
      <w:bookmarkStart w:id="892" w:name="_Toc467599616"/>
      <w:r>
        <w:rPr>
          <w:rFonts w:ascii="Calibri" w:hAnsi="Calibri"/>
          <w:color w:val="auto"/>
          <w:highlight w:val="none"/>
        </w:rPr>
        <w:t xml:space="preserve">13.1 </w:t>
      </w:r>
      <w:r>
        <w:rPr>
          <w:rFonts w:hint="eastAsia" w:ascii="Calibri" w:hAnsi="Calibri"/>
          <w:color w:val="auto"/>
          <w:highlight w:val="none"/>
        </w:rPr>
        <w:t>分部分项工程验收</w:t>
      </w:r>
      <w:bookmarkEnd w:id="889"/>
      <w:bookmarkEnd w:id="890"/>
      <w:bookmarkEnd w:id="891"/>
      <w:bookmarkEnd w:id="892"/>
    </w:p>
    <w:p w14:paraId="7E6A8701">
      <w:pPr>
        <w:pStyle w:val="35"/>
        <w:spacing w:line="360" w:lineRule="auto"/>
        <w:ind w:firstLine="420" w:firstLineChars="200"/>
        <w:jc w:val="left"/>
        <w:rPr>
          <w:color w:val="auto"/>
          <w:szCs w:val="21"/>
          <w:highlight w:val="none"/>
        </w:rPr>
      </w:pPr>
      <w:r>
        <w:rPr>
          <w:color w:val="auto"/>
          <w:szCs w:val="21"/>
          <w:highlight w:val="none"/>
        </w:rPr>
        <w:t>13.1.2</w:t>
      </w:r>
      <w:r>
        <w:rPr>
          <w:rFonts w:hint="eastAsia" w:hAnsi="宋体"/>
          <w:color w:val="auto"/>
          <w:szCs w:val="21"/>
          <w:highlight w:val="none"/>
        </w:rPr>
        <w:t>监理人不能按时进行验收时，应提前</w:t>
      </w:r>
      <w:r>
        <w:rPr>
          <w:color w:val="auto"/>
          <w:szCs w:val="21"/>
          <w:highlight w:val="none"/>
          <w:u w:val="single"/>
        </w:rPr>
        <w:t xml:space="preserve">  24   </w:t>
      </w:r>
      <w:r>
        <w:rPr>
          <w:rFonts w:hint="eastAsia" w:hAnsi="宋体"/>
          <w:color w:val="auto"/>
          <w:szCs w:val="21"/>
          <w:highlight w:val="none"/>
        </w:rPr>
        <w:t>小时提交书面延期要求。</w:t>
      </w:r>
    </w:p>
    <w:p w14:paraId="3881DF18">
      <w:pPr>
        <w:pStyle w:val="35"/>
        <w:spacing w:line="360" w:lineRule="auto"/>
        <w:ind w:firstLine="420" w:firstLineChars="200"/>
        <w:jc w:val="left"/>
        <w:rPr>
          <w:b/>
          <w:color w:val="auto"/>
          <w:szCs w:val="21"/>
          <w:highlight w:val="none"/>
        </w:rPr>
      </w:pPr>
      <w:r>
        <w:rPr>
          <w:rFonts w:hint="eastAsia" w:hAnsi="宋体"/>
          <w:color w:val="auto"/>
          <w:szCs w:val="21"/>
          <w:highlight w:val="none"/>
        </w:rPr>
        <w:t>关于延期最长不得超过：</w:t>
      </w:r>
      <w:r>
        <w:rPr>
          <w:color w:val="auto"/>
          <w:szCs w:val="21"/>
          <w:highlight w:val="none"/>
          <w:u w:val="single"/>
        </w:rPr>
        <w:t xml:space="preserve">   48   </w:t>
      </w:r>
      <w:r>
        <w:rPr>
          <w:rFonts w:hint="eastAsia" w:hAnsi="宋体"/>
          <w:color w:val="auto"/>
          <w:szCs w:val="21"/>
          <w:highlight w:val="none"/>
        </w:rPr>
        <w:t>小时。</w:t>
      </w:r>
    </w:p>
    <w:p w14:paraId="05C27AC6">
      <w:pPr>
        <w:pStyle w:val="33"/>
        <w:rPr>
          <w:rFonts w:ascii="Calibri" w:hAnsi="Calibri"/>
          <w:color w:val="auto"/>
          <w:highlight w:val="none"/>
        </w:rPr>
      </w:pPr>
      <w:bookmarkStart w:id="893" w:name="_Toc389065320"/>
      <w:bookmarkStart w:id="894" w:name="_Toc467599617"/>
      <w:bookmarkStart w:id="895" w:name="_Toc373478402"/>
      <w:bookmarkStart w:id="896" w:name="_Toc373227755"/>
      <w:bookmarkStart w:id="897" w:name="_Toc292559933"/>
      <w:bookmarkStart w:id="898" w:name="_Toc312678056"/>
      <w:bookmarkStart w:id="899" w:name="_Toc303539173"/>
      <w:bookmarkStart w:id="900" w:name="_Toc296944562"/>
      <w:bookmarkStart w:id="901" w:name="_Toc296503223"/>
      <w:bookmarkStart w:id="902" w:name="_Toc296891263"/>
      <w:bookmarkStart w:id="903" w:name="_Toc292559428"/>
      <w:bookmarkStart w:id="904" w:name="_Toc304295596"/>
      <w:bookmarkStart w:id="905" w:name="_Toc296347222"/>
      <w:bookmarkStart w:id="906" w:name="_Toc297120523"/>
      <w:bookmarkStart w:id="907" w:name="_Toc297048409"/>
      <w:bookmarkStart w:id="908" w:name="_Toc296346724"/>
      <w:bookmarkStart w:id="909" w:name="_Toc297216224"/>
      <w:bookmarkStart w:id="910" w:name="_Toc296891051"/>
      <w:bookmarkStart w:id="911" w:name="_Toc297123565"/>
      <w:bookmarkStart w:id="912" w:name="_Toc300935016"/>
      <w:r>
        <w:rPr>
          <w:rFonts w:ascii="Calibri" w:hAnsi="Calibri"/>
          <w:color w:val="auto"/>
          <w:highlight w:val="none"/>
        </w:rPr>
        <w:t xml:space="preserve">13.2 </w:t>
      </w:r>
      <w:r>
        <w:rPr>
          <w:rFonts w:hint="eastAsia" w:ascii="Calibri" w:hAnsi="宋体"/>
          <w:color w:val="auto"/>
          <w:highlight w:val="none"/>
        </w:rPr>
        <w:t>竣工验收</w:t>
      </w:r>
      <w:bookmarkEnd w:id="893"/>
      <w:bookmarkEnd w:id="894"/>
      <w:bookmarkEnd w:id="895"/>
      <w:bookmarkEnd w:id="896"/>
    </w:p>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14:paraId="60AFC4F9">
      <w:pPr>
        <w:pStyle w:val="35"/>
        <w:spacing w:line="360" w:lineRule="auto"/>
        <w:ind w:firstLine="420" w:firstLineChars="200"/>
        <w:jc w:val="left"/>
        <w:rPr>
          <w:color w:val="auto"/>
          <w:szCs w:val="21"/>
          <w:highlight w:val="none"/>
        </w:rPr>
      </w:pPr>
      <w:bookmarkStart w:id="913" w:name="_Toc280868704"/>
      <w:bookmarkStart w:id="914" w:name="_Toc280868705"/>
      <w:bookmarkStart w:id="915" w:name="_Toc280868706"/>
      <w:bookmarkStart w:id="916" w:name="_Toc280868707"/>
      <w:bookmarkStart w:id="917" w:name="_Toc280868708"/>
      <w:r>
        <w:rPr>
          <w:color w:val="auto"/>
          <w:szCs w:val="21"/>
          <w:highlight w:val="none"/>
        </w:rPr>
        <w:t>13.2.1</w:t>
      </w:r>
      <w:r>
        <w:rPr>
          <w:rFonts w:hint="eastAsia" w:hAnsi="宋体"/>
          <w:color w:val="auto"/>
          <w:szCs w:val="21"/>
          <w:highlight w:val="none"/>
        </w:rPr>
        <w:t>竣工验收条件</w:t>
      </w:r>
    </w:p>
    <w:p w14:paraId="0B72A1D7">
      <w:pPr>
        <w:pStyle w:val="35"/>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w:t>
      </w:r>
      <w:r>
        <w:rPr>
          <w:rFonts w:hint="eastAsia" w:hAnsi="宋体"/>
          <w:color w:val="auto"/>
          <w:szCs w:val="21"/>
          <w:highlight w:val="none"/>
        </w:rPr>
        <w:t>承包人负责整理和提交的竣工验收资料应当符合工程所在地建设行政主管部门和</w:t>
      </w:r>
      <w:r>
        <w:rPr>
          <w:color w:val="auto"/>
          <w:szCs w:val="21"/>
          <w:highlight w:val="none"/>
        </w:rPr>
        <w:t>(</w:t>
      </w:r>
      <w:r>
        <w:rPr>
          <w:rFonts w:hint="eastAsia" w:hAnsi="宋体"/>
          <w:color w:val="auto"/>
          <w:szCs w:val="21"/>
          <w:highlight w:val="none"/>
        </w:rPr>
        <w:t>或</w:t>
      </w:r>
      <w:r>
        <w:rPr>
          <w:color w:val="auto"/>
          <w:szCs w:val="21"/>
          <w:highlight w:val="none"/>
        </w:rPr>
        <w:t>)</w:t>
      </w:r>
      <w:r>
        <w:rPr>
          <w:rFonts w:hint="eastAsia" w:hAnsi="宋体"/>
          <w:color w:val="auto"/>
          <w:szCs w:val="21"/>
          <w:highlight w:val="none"/>
        </w:rPr>
        <w:t>城市建设档案管理机构有关施工资料的要求，具体内容包括：</w:t>
      </w:r>
      <w:r>
        <w:rPr>
          <w:rFonts w:hint="eastAsia" w:ascii="宋体" w:hAnsi="宋体" w:cs="宋体"/>
          <w:b/>
          <w:bCs/>
          <w:color w:val="auto"/>
          <w:szCs w:val="21"/>
          <w:highlight w:val="none"/>
          <w:u w:val="single"/>
        </w:rPr>
        <w:t>按通用条款13.2.1条执行并满足发包人要求</w:t>
      </w:r>
      <w:r>
        <w:rPr>
          <w:rFonts w:hint="eastAsia" w:hAnsi="宋体"/>
          <w:color w:val="auto"/>
          <w:szCs w:val="21"/>
          <w:highlight w:val="none"/>
        </w:rPr>
        <w:t>。</w:t>
      </w:r>
    </w:p>
    <w:p w14:paraId="15CBDB2D">
      <w:pPr>
        <w:pStyle w:val="35"/>
        <w:spacing w:line="360" w:lineRule="auto"/>
        <w:ind w:firstLine="420" w:firstLineChars="200"/>
        <w:rPr>
          <w:color w:val="auto"/>
          <w:szCs w:val="21"/>
          <w:highlight w:val="none"/>
        </w:rPr>
      </w:pPr>
      <w:r>
        <w:rPr>
          <w:rFonts w:hint="eastAsia" w:hAnsi="宋体"/>
          <w:color w:val="auto"/>
          <w:szCs w:val="21"/>
          <w:highlight w:val="none"/>
        </w:rPr>
        <w:t>竣工验收资料的份数：</w:t>
      </w:r>
      <w:r>
        <w:rPr>
          <w:rFonts w:hint="eastAsia" w:ascii="新宋体" w:hAnsi="新宋体" w:eastAsia="新宋体" w:cs="新宋体"/>
          <w:color w:val="auto"/>
          <w:spacing w:val="2"/>
          <w:szCs w:val="21"/>
          <w:highlight w:val="none"/>
          <w:u w:val="single"/>
        </w:rPr>
        <w:t>一式伍份</w:t>
      </w:r>
      <w:r>
        <w:rPr>
          <w:rFonts w:hint="eastAsia" w:hAnsi="宋体"/>
          <w:color w:val="auto"/>
          <w:szCs w:val="21"/>
          <w:highlight w:val="none"/>
        </w:rPr>
        <w:t>。</w:t>
      </w:r>
    </w:p>
    <w:p w14:paraId="102FCEA0">
      <w:pPr>
        <w:pStyle w:val="35"/>
        <w:spacing w:line="360" w:lineRule="auto"/>
        <w:ind w:firstLine="420" w:firstLineChars="200"/>
        <w:jc w:val="left"/>
        <w:rPr>
          <w:color w:val="auto"/>
          <w:szCs w:val="21"/>
          <w:highlight w:val="none"/>
        </w:rPr>
      </w:pPr>
      <w:r>
        <w:rPr>
          <w:rFonts w:hint="eastAsia" w:hAnsi="宋体"/>
          <w:bCs/>
          <w:color w:val="auto"/>
          <w:szCs w:val="21"/>
          <w:highlight w:val="none"/>
        </w:rPr>
        <w:t>承包人提供竣工图的约定：</w:t>
      </w:r>
      <w:r>
        <w:rPr>
          <w:rFonts w:hint="eastAsia" w:hAnsi="宋体"/>
          <w:bCs/>
          <w:color w:val="auto"/>
          <w:szCs w:val="21"/>
          <w:highlight w:val="none"/>
          <w:u w:val="single"/>
        </w:rPr>
        <w:t>竣工验收正式通过后</w:t>
      </w:r>
      <w:r>
        <w:rPr>
          <w:bCs/>
          <w:color w:val="auto"/>
          <w:szCs w:val="21"/>
          <w:highlight w:val="none"/>
          <w:u w:val="single"/>
        </w:rPr>
        <w:t>5</w:t>
      </w:r>
      <w:r>
        <w:rPr>
          <w:rFonts w:hint="eastAsia" w:hAnsi="宋体"/>
          <w:bCs/>
          <w:color w:val="auto"/>
          <w:szCs w:val="21"/>
          <w:highlight w:val="none"/>
          <w:u w:val="single"/>
        </w:rPr>
        <w:t>天（工程造价在</w:t>
      </w:r>
      <w:r>
        <w:rPr>
          <w:bCs/>
          <w:color w:val="auto"/>
          <w:szCs w:val="21"/>
          <w:highlight w:val="none"/>
          <w:u w:val="single"/>
        </w:rPr>
        <w:t>500</w:t>
      </w:r>
      <w:r>
        <w:rPr>
          <w:rFonts w:hint="eastAsia" w:hAnsi="宋体"/>
          <w:bCs/>
          <w:color w:val="auto"/>
          <w:szCs w:val="21"/>
          <w:highlight w:val="none"/>
          <w:u w:val="single"/>
        </w:rPr>
        <w:t>万元以下含</w:t>
      </w:r>
      <w:r>
        <w:rPr>
          <w:bCs/>
          <w:color w:val="auto"/>
          <w:szCs w:val="21"/>
          <w:highlight w:val="none"/>
          <w:u w:val="single"/>
        </w:rPr>
        <w:t>500</w:t>
      </w:r>
      <w:r>
        <w:rPr>
          <w:rFonts w:hint="eastAsia" w:hAnsi="宋体"/>
          <w:bCs/>
          <w:color w:val="auto"/>
          <w:szCs w:val="21"/>
          <w:highlight w:val="none"/>
          <w:u w:val="single"/>
        </w:rPr>
        <w:t>万元）、</w:t>
      </w:r>
      <w:r>
        <w:rPr>
          <w:bCs/>
          <w:color w:val="auto"/>
          <w:szCs w:val="21"/>
          <w:highlight w:val="none"/>
          <w:u w:val="single"/>
        </w:rPr>
        <w:t>10</w:t>
      </w:r>
      <w:r>
        <w:rPr>
          <w:rFonts w:hint="eastAsia" w:hAnsi="宋体"/>
          <w:bCs/>
          <w:color w:val="auto"/>
          <w:szCs w:val="21"/>
          <w:highlight w:val="none"/>
          <w:u w:val="single"/>
        </w:rPr>
        <w:t>天（工程造价在</w:t>
      </w:r>
      <w:r>
        <w:rPr>
          <w:bCs/>
          <w:color w:val="auto"/>
          <w:szCs w:val="21"/>
          <w:highlight w:val="none"/>
          <w:u w:val="single"/>
        </w:rPr>
        <w:t>500</w:t>
      </w:r>
      <w:r>
        <w:rPr>
          <w:rFonts w:hint="eastAsia" w:hAnsi="宋体"/>
          <w:bCs/>
          <w:color w:val="auto"/>
          <w:szCs w:val="21"/>
          <w:highlight w:val="none"/>
          <w:u w:val="single"/>
        </w:rPr>
        <w:t>万元至</w:t>
      </w:r>
      <w:r>
        <w:rPr>
          <w:bCs/>
          <w:color w:val="auto"/>
          <w:szCs w:val="21"/>
          <w:highlight w:val="none"/>
          <w:u w:val="single"/>
        </w:rPr>
        <w:t>1000</w:t>
      </w:r>
      <w:r>
        <w:rPr>
          <w:rFonts w:hint="eastAsia" w:hAnsi="宋体"/>
          <w:bCs/>
          <w:color w:val="auto"/>
          <w:szCs w:val="21"/>
          <w:highlight w:val="none"/>
          <w:u w:val="single"/>
        </w:rPr>
        <w:t>万元之间含</w:t>
      </w:r>
      <w:r>
        <w:rPr>
          <w:bCs/>
          <w:color w:val="auto"/>
          <w:szCs w:val="21"/>
          <w:highlight w:val="none"/>
          <w:u w:val="single"/>
        </w:rPr>
        <w:t>1000</w:t>
      </w:r>
      <w:r>
        <w:rPr>
          <w:rFonts w:hint="eastAsia" w:hAnsi="宋体"/>
          <w:bCs/>
          <w:color w:val="auto"/>
          <w:szCs w:val="21"/>
          <w:highlight w:val="none"/>
          <w:u w:val="single"/>
        </w:rPr>
        <w:t>万元）、</w:t>
      </w:r>
      <w:r>
        <w:rPr>
          <w:bCs/>
          <w:color w:val="auto"/>
          <w:szCs w:val="21"/>
          <w:highlight w:val="none"/>
          <w:u w:val="single"/>
        </w:rPr>
        <w:t>15</w:t>
      </w:r>
      <w:r>
        <w:rPr>
          <w:rFonts w:hint="eastAsia" w:hAnsi="宋体"/>
          <w:bCs/>
          <w:color w:val="auto"/>
          <w:szCs w:val="21"/>
          <w:highlight w:val="none"/>
          <w:u w:val="single"/>
        </w:rPr>
        <w:t>天（工程造价在</w:t>
      </w:r>
      <w:r>
        <w:rPr>
          <w:bCs/>
          <w:color w:val="auto"/>
          <w:szCs w:val="21"/>
          <w:highlight w:val="none"/>
          <w:u w:val="single"/>
        </w:rPr>
        <w:t>1000</w:t>
      </w:r>
      <w:r>
        <w:rPr>
          <w:rFonts w:hint="eastAsia" w:hAnsi="宋体"/>
          <w:bCs/>
          <w:color w:val="auto"/>
          <w:szCs w:val="21"/>
          <w:highlight w:val="none"/>
          <w:u w:val="single"/>
        </w:rPr>
        <w:t>万元以上），提供竣工图的数量分别为</w:t>
      </w:r>
      <w:r>
        <w:rPr>
          <w:bCs/>
          <w:color w:val="auto"/>
          <w:szCs w:val="21"/>
          <w:highlight w:val="none"/>
          <w:u w:val="single"/>
        </w:rPr>
        <w:t>2</w:t>
      </w:r>
      <w:r>
        <w:rPr>
          <w:rFonts w:hint="eastAsia" w:hAnsi="宋体"/>
          <w:bCs/>
          <w:color w:val="auto"/>
          <w:szCs w:val="21"/>
          <w:highlight w:val="none"/>
          <w:u w:val="single"/>
        </w:rPr>
        <w:t>套、</w:t>
      </w:r>
      <w:r>
        <w:rPr>
          <w:bCs/>
          <w:color w:val="auto"/>
          <w:szCs w:val="21"/>
          <w:highlight w:val="none"/>
          <w:u w:val="single"/>
        </w:rPr>
        <w:t>4</w:t>
      </w:r>
      <w:r>
        <w:rPr>
          <w:rFonts w:hint="eastAsia" w:hAnsi="宋体"/>
          <w:bCs/>
          <w:color w:val="auto"/>
          <w:szCs w:val="21"/>
          <w:highlight w:val="none"/>
          <w:u w:val="single"/>
        </w:rPr>
        <w:t>套、</w:t>
      </w:r>
      <w:r>
        <w:rPr>
          <w:bCs/>
          <w:color w:val="auto"/>
          <w:szCs w:val="21"/>
          <w:highlight w:val="none"/>
          <w:u w:val="single"/>
        </w:rPr>
        <w:t>6</w:t>
      </w:r>
      <w:r>
        <w:rPr>
          <w:rFonts w:hint="eastAsia" w:hAnsi="宋体"/>
          <w:bCs/>
          <w:color w:val="auto"/>
          <w:szCs w:val="21"/>
          <w:highlight w:val="none"/>
          <w:u w:val="single"/>
        </w:rPr>
        <w:t>套。</w:t>
      </w:r>
    </w:p>
    <w:p w14:paraId="5FEBDC31">
      <w:pPr>
        <w:pStyle w:val="35"/>
        <w:spacing w:line="360" w:lineRule="auto"/>
        <w:ind w:firstLine="420" w:firstLineChars="200"/>
        <w:jc w:val="left"/>
        <w:rPr>
          <w:color w:val="auto"/>
          <w:szCs w:val="21"/>
          <w:highlight w:val="none"/>
        </w:rPr>
      </w:pPr>
      <w:r>
        <w:rPr>
          <w:color w:val="auto"/>
          <w:szCs w:val="21"/>
          <w:highlight w:val="none"/>
        </w:rPr>
        <w:t>13.2.2</w:t>
      </w:r>
      <w:r>
        <w:rPr>
          <w:rFonts w:hint="eastAsia" w:hAnsi="宋体"/>
          <w:color w:val="auto"/>
          <w:szCs w:val="21"/>
          <w:highlight w:val="none"/>
        </w:rPr>
        <w:t>竣工验收程序</w:t>
      </w:r>
    </w:p>
    <w:bookmarkEnd w:id="913"/>
    <w:p w14:paraId="6B6C2452">
      <w:pPr>
        <w:pStyle w:val="35"/>
        <w:spacing w:line="360" w:lineRule="auto"/>
        <w:ind w:firstLine="420" w:firstLineChars="200"/>
        <w:jc w:val="left"/>
        <w:rPr>
          <w:color w:val="auto"/>
          <w:szCs w:val="21"/>
          <w:highlight w:val="none"/>
          <w:u w:val="single"/>
        </w:rPr>
      </w:pPr>
      <w:r>
        <w:rPr>
          <w:rFonts w:hint="eastAsia" w:hAnsi="宋体"/>
          <w:color w:val="auto"/>
          <w:kern w:val="0"/>
          <w:szCs w:val="21"/>
          <w:highlight w:val="none"/>
        </w:rPr>
        <w:t>关于竣工验收程序的约定：</w:t>
      </w:r>
      <w:r>
        <w:rPr>
          <w:rFonts w:hint="eastAsia" w:ascii="新宋体" w:hAnsi="新宋体" w:eastAsia="新宋体" w:cs="新宋体"/>
          <w:color w:val="auto"/>
          <w:spacing w:val="2"/>
          <w:szCs w:val="21"/>
          <w:highlight w:val="none"/>
          <w:u w:val="single"/>
        </w:rPr>
        <w:t>按通用条款 13.2.2 执行</w:t>
      </w:r>
      <w:r>
        <w:rPr>
          <w:rFonts w:hint="eastAsia" w:hAnsi="宋体"/>
          <w:color w:val="auto"/>
          <w:szCs w:val="21"/>
          <w:highlight w:val="none"/>
        </w:rPr>
        <w:t>。</w:t>
      </w:r>
    </w:p>
    <w:p w14:paraId="315F9005">
      <w:pPr>
        <w:pStyle w:val="35"/>
        <w:spacing w:line="360" w:lineRule="auto"/>
        <w:ind w:firstLine="420" w:firstLineChars="200"/>
        <w:jc w:val="left"/>
        <w:rPr>
          <w:color w:val="auto"/>
          <w:szCs w:val="21"/>
          <w:highlight w:val="none"/>
        </w:rPr>
      </w:pPr>
      <w:r>
        <w:rPr>
          <w:rFonts w:hint="eastAsia" w:hAnsi="宋体"/>
          <w:color w:val="auto"/>
          <w:kern w:val="0"/>
          <w:szCs w:val="21"/>
          <w:highlight w:val="none"/>
        </w:rPr>
        <w:t>发包人不按照本项约定组织竣工验收、颁发工程接收证书的违约金的计算方法：</w:t>
      </w:r>
      <w:r>
        <w:rPr>
          <w:rFonts w:hint="eastAsia" w:ascii="宋体" w:hAnsi="宋体"/>
          <w:color w:val="auto"/>
          <w:szCs w:val="21"/>
          <w:highlight w:val="none"/>
          <w:u w:val="single"/>
        </w:rPr>
        <w:t>按通用条款13.2.2条执行</w:t>
      </w:r>
      <w:r>
        <w:rPr>
          <w:rFonts w:hint="eastAsia" w:hAnsi="宋体"/>
          <w:color w:val="auto"/>
          <w:szCs w:val="21"/>
          <w:highlight w:val="none"/>
        </w:rPr>
        <w:t>。</w:t>
      </w:r>
    </w:p>
    <w:bookmarkEnd w:id="914"/>
    <w:p w14:paraId="1C1C09E9">
      <w:pPr>
        <w:pStyle w:val="35"/>
        <w:spacing w:line="360" w:lineRule="auto"/>
        <w:ind w:firstLine="420" w:firstLineChars="200"/>
        <w:jc w:val="left"/>
        <w:rPr>
          <w:color w:val="auto"/>
          <w:szCs w:val="21"/>
          <w:highlight w:val="none"/>
        </w:rPr>
      </w:pPr>
      <w:r>
        <w:rPr>
          <w:color w:val="auto"/>
          <w:szCs w:val="21"/>
          <w:highlight w:val="none"/>
        </w:rPr>
        <w:t>13.2.5</w:t>
      </w:r>
      <w:r>
        <w:rPr>
          <w:rFonts w:hint="eastAsia" w:hAnsi="宋体"/>
          <w:color w:val="auto"/>
          <w:szCs w:val="21"/>
          <w:highlight w:val="none"/>
        </w:rPr>
        <w:t>移交、接收全部与部分工程</w:t>
      </w:r>
    </w:p>
    <w:bookmarkEnd w:id="915"/>
    <w:p w14:paraId="584207AF">
      <w:pPr>
        <w:pStyle w:val="35"/>
        <w:spacing w:line="360" w:lineRule="auto"/>
        <w:ind w:firstLine="420" w:firstLineChars="200"/>
        <w:jc w:val="left"/>
        <w:rPr>
          <w:color w:val="auto"/>
          <w:kern w:val="0"/>
          <w:szCs w:val="21"/>
          <w:highlight w:val="none"/>
        </w:rPr>
      </w:pPr>
      <w:r>
        <w:rPr>
          <w:rFonts w:hint="eastAsia" w:hAnsi="宋体"/>
          <w:color w:val="auto"/>
          <w:kern w:val="0"/>
          <w:szCs w:val="21"/>
          <w:highlight w:val="none"/>
        </w:rPr>
        <w:t>承包人向发包人移交工程的期限：</w:t>
      </w:r>
      <w:r>
        <w:rPr>
          <w:rFonts w:hint="eastAsia" w:ascii="新宋体" w:hAnsi="新宋体" w:eastAsia="新宋体" w:cs="新宋体"/>
          <w:color w:val="auto"/>
          <w:spacing w:val="2"/>
          <w:szCs w:val="21"/>
          <w:highlight w:val="none"/>
          <w:u w:val="single"/>
        </w:rPr>
        <w:t>合同当事人应当在颁发工程接收证书后 7 天内完成工程的移交。</w:t>
      </w:r>
      <w:r>
        <w:rPr>
          <w:rFonts w:hint="eastAsia" w:hAnsi="宋体"/>
          <w:color w:val="auto"/>
          <w:szCs w:val="21"/>
          <w:highlight w:val="none"/>
        </w:rPr>
        <w:t>。</w:t>
      </w:r>
    </w:p>
    <w:p w14:paraId="33B67AF0">
      <w:pPr>
        <w:pStyle w:val="35"/>
        <w:spacing w:line="360" w:lineRule="auto"/>
        <w:ind w:firstLine="420" w:firstLineChars="200"/>
        <w:jc w:val="left"/>
        <w:rPr>
          <w:color w:val="auto"/>
          <w:szCs w:val="21"/>
          <w:highlight w:val="none"/>
          <w:u w:val="single"/>
        </w:rPr>
      </w:pPr>
      <w:r>
        <w:rPr>
          <w:rFonts w:hint="eastAsia" w:hAnsi="宋体"/>
          <w:color w:val="auto"/>
          <w:kern w:val="0"/>
          <w:szCs w:val="21"/>
          <w:highlight w:val="none"/>
        </w:rPr>
        <w:t>发包人未按本合同约定接收全部或部分工程的，违约金的计算方法为：</w:t>
      </w:r>
      <w:r>
        <w:rPr>
          <w:rFonts w:hint="eastAsia"/>
          <w:color w:val="auto"/>
          <w:szCs w:val="21"/>
          <w:highlight w:val="none"/>
          <w:u w:val="single"/>
        </w:rPr>
        <w:t>无</w:t>
      </w:r>
      <w:r>
        <w:rPr>
          <w:rFonts w:hint="eastAsia" w:hAnsi="宋体"/>
          <w:color w:val="auto"/>
          <w:szCs w:val="21"/>
          <w:highlight w:val="none"/>
        </w:rPr>
        <w:t>。</w:t>
      </w:r>
    </w:p>
    <w:bookmarkEnd w:id="916"/>
    <w:p w14:paraId="133156A3">
      <w:pPr>
        <w:pStyle w:val="35"/>
        <w:spacing w:line="360" w:lineRule="auto"/>
        <w:ind w:firstLine="420" w:firstLineChars="200"/>
        <w:jc w:val="left"/>
        <w:rPr>
          <w:color w:val="auto"/>
          <w:szCs w:val="21"/>
          <w:highlight w:val="none"/>
          <w:u w:val="single"/>
        </w:rPr>
      </w:pPr>
      <w:r>
        <w:rPr>
          <w:rFonts w:hint="eastAsia" w:hAnsi="宋体"/>
          <w:color w:val="auto"/>
          <w:szCs w:val="21"/>
          <w:highlight w:val="none"/>
        </w:rPr>
        <w:t>承包人未按时移交工程的，违约金的计算方法为：</w:t>
      </w:r>
      <w:r>
        <w:rPr>
          <w:rFonts w:hint="eastAsia" w:ascii="宋体" w:hAnsi="宋体"/>
          <w:color w:val="auto"/>
          <w:szCs w:val="21"/>
          <w:highlight w:val="none"/>
          <w:u w:val="single"/>
        </w:rPr>
        <w:t>按通用条款第13.2.5条执行</w:t>
      </w:r>
      <w:r>
        <w:rPr>
          <w:rFonts w:hint="eastAsia" w:hAnsi="宋体"/>
          <w:color w:val="auto"/>
          <w:szCs w:val="21"/>
          <w:highlight w:val="none"/>
        </w:rPr>
        <w:t>。</w:t>
      </w:r>
    </w:p>
    <w:p w14:paraId="4CA0FCB9">
      <w:pPr>
        <w:pStyle w:val="33"/>
        <w:rPr>
          <w:rFonts w:ascii="Calibri" w:hAnsi="Calibri"/>
          <w:color w:val="auto"/>
          <w:highlight w:val="none"/>
        </w:rPr>
      </w:pPr>
      <w:bookmarkStart w:id="918" w:name="_Toc467599618"/>
      <w:bookmarkStart w:id="919" w:name="_Toc389065321"/>
      <w:bookmarkStart w:id="920" w:name="_Toc373478403"/>
      <w:bookmarkStart w:id="921" w:name="_Toc373227756"/>
      <w:r>
        <w:rPr>
          <w:rFonts w:ascii="Calibri" w:hAnsi="Calibri"/>
          <w:color w:val="auto"/>
          <w:highlight w:val="none"/>
        </w:rPr>
        <w:t xml:space="preserve">13.3 </w:t>
      </w:r>
      <w:r>
        <w:rPr>
          <w:rFonts w:hint="eastAsia" w:ascii="Calibri" w:hAnsi="宋体"/>
          <w:color w:val="auto"/>
          <w:highlight w:val="none"/>
        </w:rPr>
        <w:t>工程试车</w:t>
      </w:r>
      <w:bookmarkEnd w:id="918"/>
      <w:bookmarkEnd w:id="919"/>
      <w:bookmarkEnd w:id="920"/>
      <w:bookmarkEnd w:id="921"/>
    </w:p>
    <w:bookmarkEnd w:id="917"/>
    <w:p w14:paraId="2F231D82">
      <w:pPr>
        <w:pStyle w:val="35"/>
        <w:spacing w:line="360" w:lineRule="auto"/>
        <w:ind w:firstLine="420" w:firstLineChars="200"/>
        <w:jc w:val="left"/>
        <w:rPr>
          <w:color w:val="auto"/>
          <w:kern w:val="0"/>
          <w:szCs w:val="21"/>
          <w:highlight w:val="none"/>
        </w:rPr>
      </w:pPr>
      <w:r>
        <w:rPr>
          <w:color w:val="auto"/>
          <w:kern w:val="0"/>
          <w:szCs w:val="21"/>
          <w:highlight w:val="none"/>
        </w:rPr>
        <w:t xml:space="preserve">13.3.1 </w:t>
      </w:r>
      <w:r>
        <w:rPr>
          <w:rFonts w:hint="eastAsia" w:hAnsi="宋体"/>
          <w:color w:val="auto"/>
          <w:kern w:val="0"/>
          <w:szCs w:val="21"/>
          <w:highlight w:val="none"/>
        </w:rPr>
        <w:t>试车程序</w:t>
      </w:r>
    </w:p>
    <w:p w14:paraId="00A70FED">
      <w:pPr>
        <w:pStyle w:val="35"/>
        <w:spacing w:line="360" w:lineRule="auto"/>
        <w:ind w:firstLine="420" w:firstLineChars="200"/>
        <w:jc w:val="left"/>
        <w:rPr>
          <w:color w:val="auto"/>
          <w:szCs w:val="21"/>
          <w:highlight w:val="none"/>
          <w:u w:val="single"/>
        </w:rPr>
      </w:pPr>
      <w:r>
        <w:rPr>
          <w:rFonts w:hint="eastAsia" w:hAnsi="宋体"/>
          <w:color w:val="auto"/>
          <w:kern w:val="0"/>
          <w:szCs w:val="21"/>
          <w:highlight w:val="none"/>
        </w:rPr>
        <w:t>工程试车内容：</w:t>
      </w:r>
      <w:r>
        <w:rPr>
          <w:rFonts w:hint="eastAsia" w:ascii="新宋体" w:hAnsi="新宋体" w:eastAsia="新宋体" w:cs="新宋体"/>
          <w:color w:val="auto"/>
          <w:spacing w:val="2"/>
          <w:szCs w:val="21"/>
          <w:highlight w:val="none"/>
          <w:u w:val="single"/>
        </w:rPr>
        <w:t>按通用条款第 13.3.1 条执行</w:t>
      </w:r>
      <w:r>
        <w:rPr>
          <w:rFonts w:hint="eastAsia" w:hAnsi="宋体"/>
          <w:color w:val="auto"/>
          <w:szCs w:val="21"/>
          <w:highlight w:val="none"/>
        </w:rPr>
        <w:t>。</w:t>
      </w:r>
    </w:p>
    <w:p w14:paraId="53564B92">
      <w:pPr>
        <w:pStyle w:val="35"/>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1</w:t>
      </w:r>
      <w:r>
        <w:rPr>
          <w:rFonts w:hint="eastAsia" w:hAnsi="宋体"/>
          <w:color w:val="auto"/>
          <w:kern w:val="0"/>
          <w:szCs w:val="21"/>
          <w:highlight w:val="none"/>
        </w:rPr>
        <w:t>）单机无负荷试车费用由</w:t>
      </w:r>
      <w:r>
        <w:rPr>
          <w:rFonts w:hint="eastAsia" w:ascii="新宋体" w:hAnsi="新宋体" w:eastAsia="新宋体" w:cs="新宋体"/>
          <w:color w:val="auto"/>
          <w:spacing w:val="2"/>
          <w:szCs w:val="21"/>
          <w:highlight w:val="none"/>
        </w:rPr>
        <w:t>承包人</w:t>
      </w:r>
      <w:r>
        <w:rPr>
          <w:rFonts w:hint="eastAsia" w:hAnsi="宋体"/>
          <w:color w:val="auto"/>
          <w:kern w:val="0"/>
          <w:szCs w:val="21"/>
          <w:highlight w:val="none"/>
        </w:rPr>
        <w:t>承担；</w:t>
      </w:r>
    </w:p>
    <w:p w14:paraId="009F457B">
      <w:pPr>
        <w:pStyle w:val="35"/>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2</w:t>
      </w:r>
      <w:r>
        <w:rPr>
          <w:rFonts w:hint="eastAsia" w:hAnsi="宋体"/>
          <w:color w:val="auto"/>
          <w:kern w:val="0"/>
          <w:szCs w:val="21"/>
          <w:highlight w:val="none"/>
        </w:rPr>
        <w:t>）无负荷联动试车费用由</w:t>
      </w:r>
      <w:r>
        <w:rPr>
          <w:rFonts w:hint="eastAsia" w:ascii="新宋体" w:hAnsi="新宋体" w:eastAsia="新宋体" w:cs="新宋体"/>
          <w:color w:val="auto"/>
          <w:spacing w:val="2"/>
          <w:szCs w:val="21"/>
          <w:highlight w:val="none"/>
        </w:rPr>
        <w:t>承包人</w:t>
      </w:r>
      <w:r>
        <w:rPr>
          <w:rFonts w:hint="eastAsia" w:hAnsi="宋体"/>
          <w:color w:val="auto"/>
          <w:kern w:val="0"/>
          <w:szCs w:val="21"/>
          <w:highlight w:val="none"/>
        </w:rPr>
        <w:t>承担。</w:t>
      </w:r>
    </w:p>
    <w:p w14:paraId="33BC671D">
      <w:pPr>
        <w:pStyle w:val="35"/>
        <w:spacing w:line="360" w:lineRule="auto"/>
        <w:ind w:firstLine="420" w:firstLineChars="200"/>
        <w:jc w:val="left"/>
        <w:rPr>
          <w:color w:val="auto"/>
          <w:kern w:val="0"/>
          <w:szCs w:val="21"/>
          <w:highlight w:val="none"/>
        </w:rPr>
      </w:pPr>
      <w:r>
        <w:rPr>
          <w:color w:val="auto"/>
          <w:kern w:val="0"/>
          <w:szCs w:val="21"/>
          <w:highlight w:val="none"/>
        </w:rPr>
        <w:t xml:space="preserve">13.3.3 </w:t>
      </w:r>
      <w:r>
        <w:rPr>
          <w:rFonts w:hint="eastAsia" w:hAnsi="宋体"/>
          <w:color w:val="auto"/>
          <w:kern w:val="0"/>
          <w:szCs w:val="21"/>
          <w:highlight w:val="none"/>
        </w:rPr>
        <w:t>投料试车</w:t>
      </w:r>
    </w:p>
    <w:p w14:paraId="3B1D7AE3">
      <w:pPr>
        <w:pStyle w:val="35"/>
        <w:spacing w:line="360" w:lineRule="auto"/>
        <w:ind w:firstLine="420" w:firstLineChars="200"/>
        <w:jc w:val="left"/>
        <w:rPr>
          <w:color w:val="auto"/>
          <w:szCs w:val="21"/>
          <w:highlight w:val="none"/>
          <w:u w:val="single"/>
        </w:rPr>
      </w:pPr>
      <w:r>
        <w:rPr>
          <w:rFonts w:hint="eastAsia" w:hAnsi="宋体"/>
          <w:color w:val="auto"/>
          <w:kern w:val="0"/>
          <w:szCs w:val="21"/>
          <w:highlight w:val="none"/>
        </w:rPr>
        <w:t>关于投料试车相关事项的约定：</w:t>
      </w:r>
      <w:r>
        <w:rPr>
          <w:rFonts w:hint="eastAsia" w:ascii="宋体" w:hAnsi="宋体"/>
          <w:color w:val="auto"/>
          <w:szCs w:val="21"/>
          <w:highlight w:val="none"/>
          <w:u w:val="single"/>
        </w:rPr>
        <w:t>按通用条款第13.3.3条执行</w:t>
      </w:r>
      <w:r>
        <w:rPr>
          <w:rFonts w:hint="eastAsia" w:hAnsi="宋体"/>
          <w:color w:val="auto"/>
          <w:szCs w:val="21"/>
          <w:highlight w:val="none"/>
        </w:rPr>
        <w:t>。</w:t>
      </w:r>
    </w:p>
    <w:p w14:paraId="1ABCD914">
      <w:pPr>
        <w:pStyle w:val="33"/>
        <w:rPr>
          <w:rFonts w:ascii="Calibri" w:hAnsi="Calibri"/>
          <w:color w:val="auto"/>
          <w:highlight w:val="none"/>
        </w:rPr>
      </w:pPr>
      <w:bookmarkStart w:id="922" w:name="_Toc389065322"/>
      <w:bookmarkStart w:id="923" w:name="_Toc467599619"/>
      <w:bookmarkStart w:id="924" w:name="_Toc373478404"/>
      <w:bookmarkStart w:id="925" w:name="_Toc373227757"/>
      <w:r>
        <w:rPr>
          <w:rFonts w:ascii="Calibri" w:hAnsi="Calibri"/>
          <w:color w:val="auto"/>
          <w:highlight w:val="none"/>
        </w:rPr>
        <w:t xml:space="preserve">13.6 </w:t>
      </w:r>
      <w:r>
        <w:rPr>
          <w:rFonts w:hint="eastAsia" w:ascii="Calibri" w:hAnsi="宋体"/>
          <w:color w:val="auto"/>
          <w:highlight w:val="none"/>
        </w:rPr>
        <w:t>竣工退场</w:t>
      </w:r>
      <w:bookmarkEnd w:id="922"/>
      <w:bookmarkEnd w:id="923"/>
      <w:bookmarkEnd w:id="924"/>
      <w:bookmarkEnd w:id="925"/>
    </w:p>
    <w:p w14:paraId="61182788">
      <w:pPr>
        <w:pStyle w:val="35"/>
        <w:spacing w:line="360" w:lineRule="auto"/>
        <w:ind w:firstLine="420" w:firstLineChars="200"/>
        <w:jc w:val="left"/>
        <w:outlineLvl w:val="0"/>
        <w:rPr>
          <w:color w:val="auto"/>
          <w:kern w:val="0"/>
          <w:szCs w:val="21"/>
          <w:highlight w:val="none"/>
        </w:rPr>
      </w:pPr>
      <w:r>
        <w:rPr>
          <w:color w:val="auto"/>
          <w:kern w:val="0"/>
          <w:szCs w:val="21"/>
          <w:highlight w:val="none"/>
        </w:rPr>
        <w:t xml:space="preserve">13.6.1 </w:t>
      </w:r>
      <w:r>
        <w:rPr>
          <w:rFonts w:hint="eastAsia" w:hAnsi="宋体"/>
          <w:color w:val="auto"/>
          <w:kern w:val="0"/>
          <w:szCs w:val="21"/>
          <w:highlight w:val="none"/>
        </w:rPr>
        <w:t>竣工退场</w:t>
      </w:r>
    </w:p>
    <w:p w14:paraId="06A631BB">
      <w:pPr>
        <w:pStyle w:val="35"/>
        <w:spacing w:line="360" w:lineRule="auto"/>
        <w:ind w:firstLine="420" w:firstLineChars="200"/>
        <w:jc w:val="left"/>
        <w:rPr>
          <w:color w:val="auto"/>
          <w:kern w:val="0"/>
          <w:szCs w:val="21"/>
          <w:highlight w:val="none"/>
        </w:rPr>
      </w:pPr>
      <w:r>
        <w:rPr>
          <w:rFonts w:hint="eastAsia" w:hAnsi="宋体"/>
          <w:color w:val="auto"/>
          <w:kern w:val="0"/>
          <w:szCs w:val="21"/>
          <w:highlight w:val="none"/>
        </w:rPr>
        <w:t>承包人完成竣工退场的期限：</w:t>
      </w:r>
      <w:r>
        <w:rPr>
          <w:rFonts w:hint="eastAsia" w:ascii="宋体" w:hAnsi="宋体"/>
          <w:color w:val="auto"/>
          <w:kern w:val="0"/>
          <w:szCs w:val="21"/>
          <w:highlight w:val="none"/>
          <w:u w:val="single"/>
        </w:rPr>
        <w:t>监理人</w:t>
      </w:r>
      <w:r>
        <w:rPr>
          <w:rFonts w:hint="eastAsia" w:ascii="宋体" w:hAnsi="宋体"/>
          <w:color w:val="auto"/>
          <w:szCs w:val="21"/>
          <w:highlight w:val="none"/>
          <w:u w:val="single"/>
        </w:rPr>
        <w:t>颁发（出具）工程接收证书后，承包人负责按照通用条款本项目约定的要求对施工场地进行清理并承担相关费用，直至监理人检验合格为止</w:t>
      </w:r>
      <w:r>
        <w:rPr>
          <w:rFonts w:hint="eastAsia" w:hAnsi="宋体"/>
          <w:color w:val="auto"/>
          <w:kern w:val="0"/>
          <w:szCs w:val="21"/>
          <w:highlight w:val="none"/>
        </w:rPr>
        <w:t>。</w:t>
      </w:r>
    </w:p>
    <w:p w14:paraId="49AADDE4">
      <w:pPr>
        <w:pStyle w:val="23"/>
        <w:rPr>
          <w:color w:val="auto"/>
          <w:highlight w:val="none"/>
        </w:rPr>
      </w:pPr>
      <w:bookmarkStart w:id="926" w:name="_Toc373227758"/>
      <w:bookmarkStart w:id="927" w:name="_Toc389065323"/>
      <w:bookmarkStart w:id="928" w:name="_Toc467599620"/>
      <w:bookmarkStart w:id="929" w:name="_Toc373478405"/>
      <w:bookmarkStart w:id="930" w:name="_Toc351203646"/>
      <w:r>
        <w:rPr>
          <w:color w:val="auto"/>
          <w:highlight w:val="none"/>
        </w:rPr>
        <w:t xml:space="preserve">14. </w:t>
      </w:r>
      <w:r>
        <w:rPr>
          <w:rFonts w:hint="eastAsia" w:hAnsi="宋体"/>
          <w:color w:val="auto"/>
          <w:highlight w:val="none"/>
        </w:rPr>
        <w:t>竣工结算</w:t>
      </w:r>
      <w:bookmarkEnd w:id="926"/>
      <w:bookmarkEnd w:id="927"/>
      <w:bookmarkEnd w:id="928"/>
      <w:bookmarkEnd w:id="929"/>
      <w:bookmarkEnd w:id="930"/>
    </w:p>
    <w:p w14:paraId="2DBFA1F0">
      <w:pPr>
        <w:pStyle w:val="33"/>
        <w:rPr>
          <w:color w:val="auto"/>
          <w:highlight w:val="none"/>
        </w:rPr>
      </w:pPr>
      <w:bookmarkStart w:id="931" w:name="_Toc389065324"/>
      <w:bookmarkStart w:id="932" w:name="_Toc467599621"/>
      <w:bookmarkStart w:id="933" w:name="_Toc373478406"/>
      <w:bookmarkStart w:id="934" w:name="_Toc373227759"/>
      <w:r>
        <w:rPr>
          <w:color w:val="auto"/>
          <w:highlight w:val="none"/>
        </w:rPr>
        <w:t xml:space="preserve">14.1 </w:t>
      </w:r>
      <w:r>
        <w:rPr>
          <w:rFonts w:hint="eastAsia" w:hAnsi="宋体"/>
          <w:color w:val="auto"/>
          <w:highlight w:val="none"/>
        </w:rPr>
        <w:t>竣工付款申请</w:t>
      </w:r>
      <w:bookmarkEnd w:id="931"/>
      <w:bookmarkEnd w:id="932"/>
      <w:bookmarkEnd w:id="933"/>
      <w:bookmarkEnd w:id="934"/>
    </w:p>
    <w:p w14:paraId="6C86A780">
      <w:pPr>
        <w:pStyle w:val="35"/>
        <w:spacing w:line="360" w:lineRule="auto"/>
        <w:ind w:firstLine="420" w:firstLineChars="200"/>
        <w:jc w:val="left"/>
        <w:rPr>
          <w:color w:val="auto"/>
          <w:szCs w:val="21"/>
          <w:highlight w:val="none"/>
        </w:rPr>
      </w:pPr>
      <w:r>
        <w:rPr>
          <w:rFonts w:hint="eastAsia" w:hAnsi="宋体"/>
          <w:color w:val="auto"/>
          <w:szCs w:val="21"/>
          <w:highlight w:val="none"/>
        </w:rPr>
        <w:t>承包人提交竣工付款申请单的期限：</w:t>
      </w:r>
      <w:r>
        <w:rPr>
          <w:rFonts w:hint="eastAsia" w:ascii="宋体" w:hAnsi="宋体" w:cs="宋体"/>
          <w:color w:val="auto"/>
          <w:szCs w:val="21"/>
          <w:highlight w:val="none"/>
          <w:u w:val="single"/>
        </w:rPr>
        <w:t>按通用条款执行</w:t>
      </w:r>
      <w:r>
        <w:rPr>
          <w:rFonts w:hint="eastAsia" w:hAnsi="宋体"/>
          <w:color w:val="auto"/>
          <w:szCs w:val="21"/>
          <w:highlight w:val="none"/>
        </w:rPr>
        <w:t>。</w:t>
      </w:r>
    </w:p>
    <w:p w14:paraId="1B125D48">
      <w:pPr>
        <w:pStyle w:val="24"/>
        <w:spacing w:line="360" w:lineRule="auto"/>
        <w:ind w:firstLine="420" w:firstLineChars="200"/>
        <w:jc w:val="left"/>
        <w:rPr>
          <w:rFonts w:hAnsi="宋体"/>
          <w:color w:val="auto"/>
          <w:szCs w:val="21"/>
          <w:highlight w:val="none"/>
        </w:rPr>
      </w:pPr>
      <w:r>
        <w:rPr>
          <w:rFonts w:hint="eastAsia" w:hAnsi="宋体"/>
          <w:color w:val="auto"/>
          <w:szCs w:val="21"/>
          <w:highlight w:val="none"/>
        </w:rPr>
        <w:t>竣工付款申请单应包括的内容：</w:t>
      </w:r>
      <w:r>
        <w:rPr>
          <w:rFonts w:hint="eastAsia" w:ascii="宋体" w:hAnsi="宋体"/>
          <w:color w:val="auto"/>
          <w:szCs w:val="21"/>
          <w:highlight w:val="none"/>
          <w:u w:val="single"/>
        </w:rPr>
        <w:t>按通用条款执行。</w:t>
      </w:r>
    </w:p>
    <w:p w14:paraId="0C6445E1">
      <w:pPr>
        <w:pStyle w:val="33"/>
        <w:rPr>
          <w:color w:val="auto"/>
          <w:highlight w:val="none"/>
        </w:rPr>
      </w:pPr>
      <w:bookmarkStart w:id="935" w:name="_Toc467599622"/>
      <w:bookmarkStart w:id="936" w:name="_Toc373227760"/>
      <w:bookmarkStart w:id="937" w:name="_Toc373478407"/>
      <w:bookmarkStart w:id="938" w:name="_Toc389065325"/>
      <w:r>
        <w:rPr>
          <w:color w:val="auto"/>
          <w:highlight w:val="none"/>
        </w:rPr>
        <w:t xml:space="preserve">14.2 </w:t>
      </w:r>
      <w:r>
        <w:rPr>
          <w:rFonts w:hint="eastAsia" w:hAnsi="宋体"/>
          <w:color w:val="auto"/>
          <w:highlight w:val="none"/>
        </w:rPr>
        <w:t>竣工结算审核</w:t>
      </w:r>
      <w:bookmarkEnd w:id="935"/>
      <w:bookmarkEnd w:id="936"/>
      <w:bookmarkEnd w:id="937"/>
      <w:bookmarkEnd w:id="938"/>
    </w:p>
    <w:p w14:paraId="7C8C4CAC">
      <w:pPr>
        <w:pStyle w:val="35"/>
        <w:spacing w:line="360" w:lineRule="auto"/>
        <w:ind w:firstLine="420" w:firstLineChars="200"/>
        <w:jc w:val="left"/>
        <w:rPr>
          <w:color w:val="auto"/>
          <w:szCs w:val="21"/>
          <w:highlight w:val="none"/>
        </w:rPr>
      </w:pPr>
      <w:r>
        <w:rPr>
          <w:rFonts w:hint="eastAsia" w:hAnsi="宋体"/>
          <w:color w:val="auto"/>
          <w:szCs w:val="21"/>
          <w:highlight w:val="none"/>
        </w:rPr>
        <w:t>发包人审批竣工付款申请单的期限：</w:t>
      </w:r>
    </w:p>
    <w:tbl>
      <w:tblPr>
        <w:tblStyle w:val="1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7C02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7AF23BEE">
            <w:pPr>
              <w:pStyle w:val="35"/>
              <w:spacing w:line="360" w:lineRule="auto"/>
              <w:rPr>
                <w:bCs/>
                <w:color w:val="auto"/>
                <w:szCs w:val="21"/>
                <w:highlight w:val="none"/>
              </w:rPr>
            </w:pPr>
          </w:p>
        </w:tc>
        <w:tc>
          <w:tcPr>
            <w:tcW w:w="2466" w:type="dxa"/>
            <w:tcBorders>
              <w:top w:val="single" w:color="auto" w:sz="4" w:space="0"/>
              <w:left w:val="single" w:color="auto" w:sz="4" w:space="0"/>
              <w:bottom w:val="single" w:color="auto" w:sz="4" w:space="0"/>
              <w:right w:val="single" w:color="auto" w:sz="4" w:space="0"/>
            </w:tcBorders>
            <w:noWrap w:val="0"/>
            <w:vAlign w:val="center"/>
          </w:tcPr>
          <w:p w14:paraId="687D1616">
            <w:pPr>
              <w:pStyle w:val="35"/>
              <w:spacing w:line="360" w:lineRule="auto"/>
              <w:ind w:firstLine="27" w:firstLineChars="13"/>
              <w:jc w:val="center"/>
              <w:rPr>
                <w:bCs/>
                <w:color w:val="auto"/>
                <w:szCs w:val="21"/>
                <w:highlight w:val="none"/>
              </w:rPr>
            </w:pPr>
            <w:r>
              <w:rPr>
                <w:rFonts w:hint="eastAsia" w:hAnsi="宋体"/>
                <w:bCs/>
                <w:color w:val="auto"/>
                <w:szCs w:val="21"/>
                <w:highlight w:val="none"/>
              </w:rPr>
              <w:t>工程竣工结算报告金额</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45130789">
            <w:pPr>
              <w:pStyle w:val="35"/>
              <w:spacing w:line="360" w:lineRule="auto"/>
              <w:ind w:firstLine="441" w:firstLineChars="210"/>
              <w:jc w:val="center"/>
              <w:rPr>
                <w:bCs/>
                <w:color w:val="auto"/>
                <w:szCs w:val="21"/>
                <w:highlight w:val="none"/>
              </w:rPr>
            </w:pPr>
            <w:r>
              <w:rPr>
                <w:rFonts w:hint="eastAsia" w:hAnsi="宋体"/>
                <w:bCs/>
                <w:color w:val="auto"/>
                <w:szCs w:val="21"/>
                <w:highlight w:val="none"/>
              </w:rPr>
              <w:t>发包人审查时间</w:t>
            </w:r>
          </w:p>
        </w:tc>
      </w:tr>
      <w:tr w14:paraId="7051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004A3163">
            <w:pPr>
              <w:pStyle w:val="35"/>
              <w:spacing w:line="360" w:lineRule="auto"/>
              <w:jc w:val="center"/>
              <w:rPr>
                <w:bCs/>
                <w:color w:val="auto"/>
                <w:szCs w:val="21"/>
                <w:highlight w:val="none"/>
              </w:rPr>
            </w:pPr>
            <w:r>
              <w:rPr>
                <w:bCs/>
                <w:color w:val="auto"/>
                <w:szCs w:val="21"/>
                <w:highlight w:val="none"/>
              </w:rPr>
              <w:t>1</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72E65A85">
            <w:pPr>
              <w:pStyle w:val="35"/>
              <w:spacing w:line="360" w:lineRule="auto"/>
              <w:ind w:firstLine="27" w:firstLineChars="13"/>
              <w:jc w:val="center"/>
              <w:rPr>
                <w:bCs/>
                <w:color w:val="auto"/>
                <w:szCs w:val="21"/>
                <w:highlight w:val="none"/>
              </w:rPr>
            </w:pPr>
            <w:r>
              <w:rPr>
                <w:bCs/>
                <w:color w:val="auto"/>
                <w:szCs w:val="21"/>
                <w:highlight w:val="none"/>
              </w:rPr>
              <w:t>500</w:t>
            </w:r>
            <w:r>
              <w:rPr>
                <w:rFonts w:hint="eastAsia" w:hAnsi="宋体"/>
                <w:bCs/>
                <w:color w:val="auto"/>
                <w:szCs w:val="21"/>
                <w:highlight w:val="none"/>
              </w:rPr>
              <w:t>万元以下</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156F9742">
            <w:pPr>
              <w:pStyle w:val="35"/>
              <w:spacing w:line="360" w:lineRule="auto"/>
              <w:ind w:firstLine="441" w:firstLineChars="210"/>
              <w:jc w:val="center"/>
              <w:rPr>
                <w:bCs/>
                <w:color w:val="auto"/>
                <w:szCs w:val="21"/>
                <w:highlight w:val="none"/>
              </w:rPr>
            </w:pPr>
            <w:r>
              <w:rPr>
                <w:rFonts w:hint="eastAsia" w:hAnsi="宋体"/>
                <w:bCs/>
                <w:color w:val="auto"/>
                <w:szCs w:val="21"/>
                <w:highlight w:val="none"/>
              </w:rPr>
              <w:t>从接到竣工结算报告和完整的竣工结算资料之日起</w:t>
            </w:r>
            <w:r>
              <w:rPr>
                <w:bCs/>
                <w:color w:val="auto"/>
                <w:szCs w:val="21"/>
                <w:highlight w:val="none"/>
              </w:rPr>
              <w:t>20</w:t>
            </w:r>
            <w:r>
              <w:rPr>
                <w:rFonts w:hint="eastAsia" w:hAnsi="宋体"/>
                <w:bCs/>
                <w:color w:val="auto"/>
                <w:szCs w:val="21"/>
                <w:highlight w:val="none"/>
              </w:rPr>
              <w:t>天</w:t>
            </w:r>
          </w:p>
        </w:tc>
      </w:tr>
      <w:tr w14:paraId="026D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303A319D">
            <w:pPr>
              <w:pStyle w:val="35"/>
              <w:spacing w:line="360" w:lineRule="auto"/>
              <w:jc w:val="center"/>
              <w:rPr>
                <w:bCs/>
                <w:color w:val="auto"/>
                <w:szCs w:val="21"/>
                <w:highlight w:val="none"/>
              </w:rPr>
            </w:pPr>
            <w:r>
              <w:rPr>
                <w:bCs/>
                <w:color w:val="auto"/>
                <w:szCs w:val="21"/>
                <w:highlight w:val="none"/>
              </w:rPr>
              <w:t>2</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2F1A474D">
            <w:pPr>
              <w:pStyle w:val="35"/>
              <w:spacing w:line="360" w:lineRule="auto"/>
              <w:ind w:firstLine="27" w:firstLineChars="13"/>
              <w:jc w:val="center"/>
              <w:rPr>
                <w:bCs/>
                <w:color w:val="auto"/>
                <w:szCs w:val="21"/>
                <w:highlight w:val="none"/>
              </w:rPr>
            </w:pPr>
            <w:r>
              <w:rPr>
                <w:bCs/>
                <w:color w:val="auto"/>
                <w:szCs w:val="21"/>
                <w:highlight w:val="none"/>
              </w:rPr>
              <w:t>500</w:t>
            </w:r>
            <w:r>
              <w:rPr>
                <w:rFonts w:hint="eastAsia" w:hAnsi="宋体"/>
                <w:bCs/>
                <w:color w:val="auto"/>
                <w:szCs w:val="21"/>
                <w:highlight w:val="none"/>
              </w:rPr>
              <w:t>万元</w:t>
            </w:r>
            <w:r>
              <w:rPr>
                <w:bCs/>
                <w:color w:val="auto"/>
                <w:szCs w:val="21"/>
                <w:highlight w:val="none"/>
              </w:rPr>
              <w:t>-2000</w:t>
            </w:r>
            <w:r>
              <w:rPr>
                <w:rFonts w:hint="eastAsia" w:hAnsi="宋体"/>
                <w:bCs/>
                <w:color w:val="auto"/>
                <w:szCs w:val="21"/>
                <w:highlight w:val="none"/>
              </w:rPr>
              <w:t>万元</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08BFB345">
            <w:pPr>
              <w:pStyle w:val="35"/>
              <w:spacing w:line="360" w:lineRule="auto"/>
              <w:ind w:firstLine="441" w:firstLineChars="210"/>
              <w:jc w:val="center"/>
              <w:rPr>
                <w:bCs/>
                <w:color w:val="auto"/>
                <w:szCs w:val="21"/>
                <w:highlight w:val="none"/>
              </w:rPr>
            </w:pPr>
            <w:r>
              <w:rPr>
                <w:rFonts w:hint="eastAsia" w:hAnsi="宋体"/>
                <w:bCs/>
                <w:color w:val="auto"/>
                <w:szCs w:val="21"/>
                <w:highlight w:val="none"/>
              </w:rPr>
              <w:t>从接到竣工结算报告和完整的竣工结算资料之日起</w:t>
            </w:r>
            <w:r>
              <w:rPr>
                <w:bCs/>
                <w:color w:val="auto"/>
                <w:szCs w:val="21"/>
                <w:highlight w:val="none"/>
              </w:rPr>
              <w:t>30</w:t>
            </w:r>
            <w:r>
              <w:rPr>
                <w:rFonts w:hint="eastAsia" w:hAnsi="宋体"/>
                <w:bCs/>
                <w:color w:val="auto"/>
                <w:szCs w:val="21"/>
                <w:highlight w:val="none"/>
              </w:rPr>
              <w:t>天</w:t>
            </w:r>
          </w:p>
        </w:tc>
      </w:tr>
      <w:tr w14:paraId="7BCE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544F5EFA">
            <w:pPr>
              <w:pStyle w:val="35"/>
              <w:spacing w:line="360" w:lineRule="auto"/>
              <w:jc w:val="center"/>
              <w:rPr>
                <w:bCs/>
                <w:color w:val="auto"/>
                <w:szCs w:val="21"/>
                <w:highlight w:val="none"/>
              </w:rPr>
            </w:pPr>
            <w:r>
              <w:rPr>
                <w:bCs/>
                <w:color w:val="auto"/>
                <w:szCs w:val="21"/>
                <w:highlight w:val="none"/>
              </w:rPr>
              <w:t>3</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7E11C997">
            <w:pPr>
              <w:pStyle w:val="35"/>
              <w:spacing w:line="360" w:lineRule="auto"/>
              <w:ind w:firstLine="27" w:firstLineChars="13"/>
              <w:jc w:val="center"/>
              <w:rPr>
                <w:bCs/>
                <w:color w:val="auto"/>
                <w:szCs w:val="21"/>
                <w:highlight w:val="none"/>
              </w:rPr>
            </w:pPr>
            <w:r>
              <w:rPr>
                <w:bCs/>
                <w:color w:val="auto"/>
                <w:szCs w:val="21"/>
                <w:highlight w:val="none"/>
              </w:rPr>
              <w:t>2000</w:t>
            </w:r>
            <w:r>
              <w:rPr>
                <w:rFonts w:hint="eastAsia" w:hAnsi="宋体"/>
                <w:bCs/>
                <w:color w:val="auto"/>
                <w:szCs w:val="21"/>
                <w:highlight w:val="none"/>
              </w:rPr>
              <w:t>万元</w:t>
            </w:r>
            <w:r>
              <w:rPr>
                <w:bCs/>
                <w:color w:val="auto"/>
                <w:szCs w:val="21"/>
                <w:highlight w:val="none"/>
              </w:rPr>
              <w:t>-5000</w:t>
            </w:r>
            <w:r>
              <w:rPr>
                <w:rFonts w:hint="eastAsia" w:hAnsi="宋体"/>
                <w:bCs/>
                <w:color w:val="auto"/>
                <w:szCs w:val="21"/>
                <w:highlight w:val="none"/>
              </w:rPr>
              <w:t>万元</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57AFB93D">
            <w:pPr>
              <w:pStyle w:val="35"/>
              <w:spacing w:line="360" w:lineRule="auto"/>
              <w:ind w:firstLine="441" w:firstLineChars="210"/>
              <w:jc w:val="center"/>
              <w:rPr>
                <w:bCs/>
                <w:color w:val="auto"/>
                <w:szCs w:val="21"/>
                <w:highlight w:val="none"/>
              </w:rPr>
            </w:pPr>
            <w:r>
              <w:rPr>
                <w:rFonts w:hint="eastAsia" w:hAnsi="宋体"/>
                <w:bCs/>
                <w:color w:val="auto"/>
                <w:szCs w:val="21"/>
                <w:highlight w:val="none"/>
              </w:rPr>
              <w:t>从接到竣工结算报告和完整的竣工结算资料之日起</w:t>
            </w:r>
            <w:r>
              <w:rPr>
                <w:bCs/>
                <w:color w:val="auto"/>
                <w:szCs w:val="21"/>
                <w:highlight w:val="none"/>
              </w:rPr>
              <w:t>45</w:t>
            </w:r>
            <w:r>
              <w:rPr>
                <w:rFonts w:hint="eastAsia" w:hAnsi="宋体"/>
                <w:bCs/>
                <w:color w:val="auto"/>
                <w:szCs w:val="21"/>
                <w:highlight w:val="none"/>
              </w:rPr>
              <w:t>天</w:t>
            </w:r>
          </w:p>
        </w:tc>
      </w:tr>
      <w:tr w14:paraId="593C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4A3135F1">
            <w:pPr>
              <w:pStyle w:val="35"/>
              <w:spacing w:line="360" w:lineRule="auto"/>
              <w:jc w:val="center"/>
              <w:rPr>
                <w:bCs/>
                <w:color w:val="auto"/>
                <w:szCs w:val="21"/>
                <w:highlight w:val="none"/>
              </w:rPr>
            </w:pPr>
            <w:r>
              <w:rPr>
                <w:bCs/>
                <w:color w:val="auto"/>
                <w:szCs w:val="21"/>
                <w:highlight w:val="none"/>
              </w:rPr>
              <w:t>4</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55A31D1C">
            <w:pPr>
              <w:pStyle w:val="35"/>
              <w:spacing w:line="360" w:lineRule="auto"/>
              <w:ind w:firstLine="27" w:firstLineChars="13"/>
              <w:jc w:val="center"/>
              <w:rPr>
                <w:bCs/>
                <w:color w:val="auto"/>
                <w:szCs w:val="21"/>
                <w:highlight w:val="none"/>
              </w:rPr>
            </w:pPr>
            <w:r>
              <w:rPr>
                <w:bCs/>
                <w:color w:val="auto"/>
                <w:szCs w:val="21"/>
                <w:highlight w:val="none"/>
              </w:rPr>
              <w:t>5000</w:t>
            </w:r>
            <w:r>
              <w:rPr>
                <w:rFonts w:hint="eastAsia" w:hAnsi="宋体"/>
                <w:bCs/>
                <w:color w:val="auto"/>
                <w:szCs w:val="21"/>
                <w:highlight w:val="none"/>
              </w:rPr>
              <w:t>万元以上</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2DD1E7F5">
            <w:pPr>
              <w:pStyle w:val="35"/>
              <w:spacing w:line="360" w:lineRule="auto"/>
              <w:ind w:firstLine="441" w:firstLineChars="210"/>
              <w:jc w:val="center"/>
              <w:rPr>
                <w:bCs/>
                <w:color w:val="auto"/>
                <w:szCs w:val="21"/>
                <w:highlight w:val="none"/>
              </w:rPr>
            </w:pPr>
            <w:r>
              <w:rPr>
                <w:rFonts w:hint="eastAsia" w:hAnsi="宋体"/>
                <w:bCs/>
                <w:color w:val="auto"/>
                <w:szCs w:val="21"/>
                <w:highlight w:val="none"/>
              </w:rPr>
              <w:t>从接到竣工结算报告和完整的竣工结算资料之日起</w:t>
            </w:r>
            <w:r>
              <w:rPr>
                <w:bCs/>
                <w:color w:val="auto"/>
                <w:szCs w:val="21"/>
                <w:highlight w:val="none"/>
              </w:rPr>
              <w:t>60</w:t>
            </w:r>
            <w:r>
              <w:rPr>
                <w:rFonts w:hint="eastAsia" w:hAnsi="宋体"/>
                <w:bCs/>
                <w:color w:val="auto"/>
                <w:szCs w:val="21"/>
                <w:highlight w:val="none"/>
              </w:rPr>
              <w:t>天</w:t>
            </w:r>
          </w:p>
        </w:tc>
      </w:tr>
    </w:tbl>
    <w:p w14:paraId="1BE5DCED">
      <w:pPr>
        <w:pStyle w:val="34"/>
        <w:spacing w:line="440" w:lineRule="exact"/>
        <w:ind w:right="-20"/>
        <w:contextualSpacing/>
        <w:rPr>
          <w:rFonts w:ascii="新宋体" w:hAnsi="新宋体" w:eastAsia="新宋体" w:cs="新宋体"/>
          <w:bCs/>
          <w:color w:val="auto"/>
          <w:spacing w:val="2"/>
          <w:szCs w:val="21"/>
          <w:highlight w:val="none"/>
        </w:rPr>
      </w:pPr>
      <w:r>
        <w:rPr>
          <w:rFonts w:ascii="Times New Roman" w:hAnsi="Times New Roman"/>
          <w:color w:val="auto"/>
          <w:highlight w:val="none"/>
        </w:rPr>
        <mc:AlternateContent>
          <mc:Choice Requires="wps">
            <w:drawing>
              <wp:anchor distT="0" distB="0" distL="114300" distR="114300" simplePos="0" relativeHeight="251665408" behindDoc="1" locked="0" layoutInCell="1" allowOverlap="1">
                <wp:simplePos x="0" y="0"/>
                <wp:positionH relativeFrom="page">
                  <wp:posOffset>5408295</wp:posOffset>
                </wp:positionH>
                <wp:positionV relativeFrom="paragraph">
                  <wp:posOffset>0</wp:posOffset>
                </wp:positionV>
                <wp:extent cx="1143000" cy="23495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3000" cy="234950"/>
                        </a:xfrm>
                        <a:prstGeom prst="rect">
                          <a:avLst/>
                        </a:prstGeom>
                        <a:noFill/>
                        <a:ln>
                          <a:noFill/>
                        </a:ln>
                        <a:effectLst/>
                      </wps:spPr>
                      <wps:txbx>
                        <w:txbxContent>
                          <w:p w14:paraId="1B956FE4">
                            <w:pPr>
                              <w:pStyle w:val="34"/>
                              <w:spacing w:before="5"/>
                              <w:ind w:right="-20"/>
                              <w:rPr>
                                <w:rFonts w:ascii="微软雅黑" w:hAnsi="微软雅黑" w:eastAsia="微软雅黑" w:cs="微软雅黑"/>
                                <w:szCs w:val="21"/>
                              </w:rPr>
                            </w:pPr>
                            <w:r>
                              <w:rPr>
                                <w:rFonts w:hint="eastAsia" w:ascii="微软雅黑" w:hAnsi="微软雅黑" w:eastAsia="微软雅黑" w:cs="微软雅黑"/>
                                <w:color w:val="0000FF"/>
                                <w:szCs w:val="21"/>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25.85pt;margin-top:0pt;height:18.5pt;width:90pt;mso-position-horizontal-relative:page;z-index:-251651072;mso-width-relative:page;mso-height-relative:page;" filled="f" stroked="f" coordsize="21600,21600" o:gfxdata="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w0futYAAAAIAQAADwAAAAAAAAAB&#10;ACAAAAAiAAAAZHJzL2Rvd25yZXYueG1sUEsBAhQAFAAAAAgAh07iQO4k2ogSAgAAEwQAAA4AAAAA&#10;AAAAAQAgAAAAJQEAAGRycy9lMm9Eb2MueG1sUEsFBgAAAAAGAAYAWQEAAKkFAAAAAA==&#10;">
                <v:fill on="f" focussize="0,0"/>
                <v:stroke on="f"/>
                <v:imagedata o:title=""/>
                <o:lock v:ext="edit" aspectratio="f"/>
                <v:textbox inset="0mm,0mm,0mm,0mm">
                  <w:txbxContent>
                    <w:p w14:paraId="1B956FE4">
                      <w:pPr>
                        <w:pStyle w:val="34"/>
                        <w:spacing w:before="5"/>
                        <w:ind w:right="-20"/>
                        <w:rPr>
                          <w:rFonts w:ascii="微软雅黑" w:hAnsi="微软雅黑" w:eastAsia="微软雅黑" w:cs="微软雅黑"/>
                          <w:szCs w:val="21"/>
                        </w:rPr>
                      </w:pPr>
                      <w:r>
                        <w:rPr>
                          <w:rFonts w:hint="eastAsia" w:ascii="微软雅黑" w:hAnsi="微软雅黑" w:eastAsia="微软雅黑" w:cs="微软雅黑"/>
                          <w:color w:val="0000FF"/>
                          <w:szCs w:val="21"/>
                        </w:rPr>
                        <w:t>，</w:t>
                      </w:r>
                    </w:p>
                  </w:txbxContent>
                </v:textbox>
              </v:shape>
            </w:pict>
          </mc:Fallback>
        </mc:AlternateContent>
      </w:r>
      <w:r>
        <w:rPr>
          <w:rFonts w:ascii="Times New Roman" w:hAnsi="Times New Roman"/>
          <w:color w:val="auto"/>
          <w:highlight w:val="none"/>
        </w:rPr>
        <mc:AlternateContent>
          <mc:Choice Requires="wpg">
            <w:drawing>
              <wp:anchor distT="0" distB="0" distL="114300" distR="114300" simplePos="0" relativeHeight="251666432" behindDoc="1" locked="0" layoutInCell="1" allowOverlap="1">
                <wp:simplePos x="0" y="0"/>
                <wp:positionH relativeFrom="page">
                  <wp:posOffset>5484495</wp:posOffset>
                </wp:positionH>
                <wp:positionV relativeFrom="paragraph">
                  <wp:posOffset>0</wp:posOffset>
                </wp:positionV>
                <wp:extent cx="1066800" cy="234950"/>
                <wp:effectExtent l="0" t="0" r="5485130" b="203200"/>
                <wp:wrapNone/>
                <wp:docPr id="12" name="组合 12"/>
                <wp:cNvGraphicFramePr/>
                <a:graphic xmlns:a="http://schemas.openxmlformats.org/drawingml/2006/main">
                  <a:graphicData uri="http://schemas.microsoft.com/office/word/2010/wordprocessingGroup">
                    <wpg:wgp>
                      <wpg:cNvGrpSpPr/>
                      <wpg:grpSpPr>
                        <a:xfrm>
                          <a:off x="0" y="0"/>
                          <a:ext cx="1066800" cy="234950"/>
                          <a:chOff x="0" y="0"/>
                          <a:chExt cx="0" cy="203"/>
                        </a:xfrm>
                      </wpg:grpSpPr>
                      <wps:wsp>
                        <wps:cNvPr id="9" name="任意多边形 9"/>
                        <wps:cNvSpPr/>
                        <wps:spPr>
                          <a:xfrm>
                            <a:off x="8638" y="0"/>
                            <a:ext cx="1680" cy="370"/>
                          </a:xfrm>
                          <a:custGeom>
                            <a:avLst/>
                            <a:gdLst/>
                            <a:ahLst/>
                            <a:cxnLst>
                              <a:cxn ang="0">
                                <a:pos x="0" y="0"/>
                              </a:cxn>
                              <a:cxn ang="0">
                                <a:pos x="1680" y="0"/>
                              </a:cxn>
                              <a:cxn ang="0">
                                <a:pos x="1680" y="370"/>
                              </a:cxn>
                              <a:cxn ang="0">
                                <a:pos x="0" y="370"/>
                              </a:cxn>
                              <a:cxn ang="0">
                                <a:pos x="0" y="0"/>
                              </a:cxn>
                            </a:cxnLst>
                            <a:pathLst>
                              <a:path w="1680" h="370">
                                <a:moveTo>
                                  <a:pt x="0" y="0"/>
                                </a:moveTo>
                                <a:lnTo>
                                  <a:pt x="1680" y="0"/>
                                </a:lnTo>
                                <a:lnTo>
                                  <a:pt x="1680" y="370"/>
                                </a:lnTo>
                                <a:lnTo>
                                  <a:pt x="0" y="370"/>
                                </a:lnTo>
                                <a:lnTo>
                                  <a:pt x="0" y="0"/>
                                </a:lnTo>
                              </a:path>
                            </a:pathLst>
                          </a:custGeom>
                          <a:solidFill>
                            <a:srgbClr val="FFFFFF"/>
                          </a:solidFill>
                          <a:ln>
                            <a:noFill/>
                          </a:ln>
                        </wps:spPr>
                        <wps:bodyPr upright="1"/>
                      </wps:wsp>
                    </wpg:wgp>
                  </a:graphicData>
                </a:graphic>
              </wp:anchor>
            </w:drawing>
          </mc:Choice>
          <mc:Fallback>
            <w:pict>
              <v:group id="_x0000_s1026" o:spid="_x0000_s1026" o:spt="203" style="position:absolute;left:0pt;margin-left:431.85pt;margin-top:0pt;height:18.5pt;width:84pt;mso-position-horizontal-relative:page;z-index:-251650048;mso-width-relative:page;mso-height-relative:page;" coordsize="0,203" o:gfxdata="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FrnDGnX&#10;AAAACAEAAA8AAAAAAAAAAQAgAAAAIgAAAGRycy9kb3ducmV2LnhtbFBLAQIUABQAAAAIAIdO4kAx&#10;WAyhkwIAAIYGAAAOAAAAAAAAAAEAIAAAACYBAABkcnMvZTJvRG9jLnhtbFBLBQYAAAAABgAGAFkB&#10;AAArBgAAAAA=&#10;">
                <o:lock v:ext="edit" aspectratio="f"/>
                <v:shape id="_x0000_s1026" o:spid="_x0000_s1026" o:spt="100" style="position:absolute;left:8638;top:0;height:370;width:1680;" fillcolor="#FFFFFF" filled="t" stroked="f" coordsize="1680,370" o:gfxdata="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ZN8vQAA&#10;ANoAAAAPAAAAAAAAAAEAIAAAACIAAABkcnMvZG93bnJldi54bWxQSwECFAAUAAAACACHTuJAMy8F&#10;njsAAAA5AAAAEAAAAAAAAAABACAAAAAMAQAAZHJzL3NoYXBleG1sLnhtbFBLBQYAAAAABgAGAFsB&#10;AAC2AwAAAAA=&#10;" path="m0,0l1680,0,1680,370,0,370,0,0e">
                  <v:path o:connectlocs="0,0;1680,0;1680,370;0,370;0,0" o:connectangles="0,0,0,0,0"/>
                  <v:fill on="t" focussize="0,0"/>
                  <v:stroke on="f"/>
                  <v:imagedata o:title=""/>
                  <o:lock v:ext="edit" aspectratio="f"/>
                </v:shape>
              </v:group>
            </w:pict>
          </mc:Fallback>
        </mc:AlternateContent>
      </w:r>
      <w:r>
        <w:rPr>
          <w:rFonts w:hint="eastAsia" w:ascii="新宋体" w:hAnsi="新宋体" w:eastAsia="新宋体" w:cs="新宋体"/>
          <w:color w:val="auto"/>
          <w:spacing w:val="2"/>
          <w:szCs w:val="21"/>
          <w:highlight w:val="none"/>
        </w:rPr>
        <w:t>因承包人提供的结算资料不完整而需要补充或承包人不按时对账耽误时间时，审查时间应相应顺延</w:t>
      </w:r>
      <w:r>
        <w:rPr>
          <w:rFonts w:hint="eastAsia" w:ascii="新宋体" w:hAnsi="新宋体" w:eastAsia="新宋体" w:cs="新宋体"/>
          <w:bCs/>
          <w:color w:val="auto"/>
          <w:spacing w:val="2"/>
          <w:szCs w:val="21"/>
          <w:highlight w:val="none"/>
        </w:rPr>
        <w:t>结算审核约定：</w:t>
      </w:r>
    </w:p>
    <w:p w14:paraId="5F019E6D">
      <w:pPr>
        <w:pStyle w:val="34"/>
        <w:spacing w:line="440" w:lineRule="exact"/>
        <w:ind w:right="-20"/>
        <w:contextualSpacing/>
        <w:rPr>
          <w:rFonts w:ascii="新宋体" w:hAnsi="新宋体" w:eastAsia="新宋体" w:cs="新宋体"/>
          <w:bCs/>
          <w:color w:val="auto"/>
          <w:spacing w:val="2"/>
          <w:szCs w:val="21"/>
          <w:highlight w:val="none"/>
          <w:u w:val="single"/>
        </w:rPr>
      </w:pPr>
      <w:r>
        <w:rPr>
          <w:rFonts w:hint="eastAsia" w:ascii="新宋体" w:hAnsi="新宋体" w:eastAsia="新宋体" w:cs="新宋体"/>
          <w:bCs/>
          <w:color w:val="auto"/>
          <w:spacing w:val="2"/>
          <w:szCs w:val="21"/>
          <w:highlight w:val="none"/>
        </w:rPr>
        <w:t>非国有投资项目：</w:t>
      </w:r>
      <w:r>
        <w:rPr>
          <w:rFonts w:hint="eastAsia" w:ascii="新宋体" w:hAnsi="新宋体" w:eastAsia="新宋体" w:cs="新宋体"/>
          <w:bCs/>
          <w:color w:val="auto"/>
          <w:spacing w:val="2"/>
          <w:szCs w:val="21"/>
          <w:highlight w:val="none"/>
          <w:u w:val="single"/>
        </w:rPr>
        <w:t>1、工程竣工验收报告经发包人认可后 10天内，承包人向发包人递交竣工验收合格资料及完整的结算资料和报告，双方按照协议书约定的合同价款及专用条款约定的合同价调整内容，进行工程竣工结算。2、发包人收到承包人递交的竣工结算报告及结算资料之日起 10天内进行审核，给予确认或者提出初审意见。发包人逾期不予审定结算的视为发包人已同意上述竣工结算报告及结算资料，并以此作为最终结算的依据。发包人初审竣工结算完毕之日起 10天内，按审定后的结算价款，通知经办银行向承包人支付工程竣工结算价款。承包人应根据发包人的需要随时将竣工工程交付发包人。</w:t>
      </w:r>
    </w:p>
    <w:p w14:paraId="0B7DC427">
      <w:pPr>
        <w:pStyle w:val="35"/>
        <w:spacing w:line="360" w:lineRule="auto"/>
        <w:ind w:firstLine="428" w:firstLineChars="200"/>
        <w:jc w:val="left"/>
        <w:rPr>
          <w:rFonts w:hAnsi="宋体"/>
          <w:color w:val="auto"/>
          <w:szCs w:val="21"/>
          <w:highlight w:val="none"/>
        </w:rPr>
      </w:pPr>
      <w:r>
        <w:rPr>
          <w:rFonts w:hint="eastAsia" w:ascii="新宋体" w:hAnsi="新宋体" w:eastAsia="新宋体" w:cs="新宋体"/>
          <w:bCs/>
          <w:color w:val="auto"/>
          <w:spacing w:val="2"/>
          <w:szCs w:val="21"/>
          <w:highlight w:val="none"/>
          <w:u w:val="single"/>
        </w:rPr>
        <w:t>国有投资项目：（双方结合各地政府或有关部门出台的管理规定进行约定）</w:t>
      </w:r>
      <w:r>
        <w:rPr>
          <w:rFonts w:hint="eastAsia" w:hAnsi="宋体"/>
          <w:color w:val="auto"/>
          <w:szCs w:val="21"/>
          <w:highlight w:val="none"/>
        </w:rPr>
        <w:t>发包人完成竣工付款的期限：</w:t>
      </w:r>
      <w:r>
        <w:rPr>
          <w:rFonts w:hint="eastAsia" w:ascii="宋体" w:hAnsi="宋体"/>
          <w:color w:val="auto"/>
          <w:szCs w:val="21"/>
          <w:highlight w:val="none"/>
          <w:u w:val="single"/>
        </w:rPr>
        <w:t xml:space="preserve"> 无 </w:t>
      </w:r>
      <w:r>
        <w:rPr>
          <w:rFonts w:hint="eastAsia" w:hAnsi="宋体"/>
          <w:color w:val="auto"/>
          <w:szCs w:val="21"/>
          <w:highlight w:val="none"/>
        </w:rPr>
        <w:t>。</w:t>
      </w:r>
    </w:p>
    <w:p w14:paraId="3AB4B2BD">
      <w:pPr>
        <w:pStyle w:val="35"/>
        <w:spacing w:line="360" w:lineRule="auto"/>
        <w:ind w:firstLine="420" w:firstLineChars="200"/>
        <w:jc w:val="left"/>
        <w:rPr>
          <w:rFonts w:hAnsi="宋体"/>
          <w:color w:val="auto"/>
          <w:szCs w:val="21"/>
          <w:highlight w:val="none"/>
        </w:rPr>
      </w:pPr>
      <w:r>
        <w:rPr>
          <w:rFonts w:hint="eastAsia" w:hAnsi="宋体"/>
          <w:color w:val="auto"/>
          <w:szCs w:val="21"/>
          <w:highlight w:val="none"/>
        </w:rPr>
        <w:t>关于竣工付款证书异议部分复核的方式和程序：</w:t>
      </w:r>
      <w:r>
        <w:rPr>
          <w:rFonts w:hint="eastAsia" w:ascii="宋体" w:hAnsi="宋体"/>
          <w:color w:val="auto"/>
          <w:szCs w:val="21"/>
          <w:highlight w:val="none"/>
          <w:u w:val="single"/>
        </w:rPr>
        <w:t xml:space="preserve"> 无 </w:t>
      </w:r>
      <w:r>
        <w:rPr>
          <w:rFonts w:hint="eastAsia" w:hAnsi="宋体"/>
          <w:color w:val="auto"/>
          <w:szCs w:val="21"/>
          <w:highlight w:val="none"/>
        </w:rPr>
        <w:t>。</w:t>
      </w:r>
    </w:p>
    <w:p w14:paraId="1702B72B">
      <w:pPr>
        <w:pStyle w:val="35"/>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承包人必须在工程竣工验收合格后7个日历天内按南宁市政府相关审核部门的要求，提交完整的竣工结算资料,超时限提交结算资料造成的后果承包人自行承担。</w:t>
      </w:r>
    </w:p>
    <w:p w14:paraId="73E22CDB">
      <w:pPr>
        <w:pStyle w:val="25"/>
        <w:spacing w:line="440" w:lineRule="exact"/>
        <w:ind w:firstLine="420" w:firstLineChars="200"/>
        <w:jc w:val="left"/>
        <w:rPr>
          <w:rFonts w:hAnsi="宋体"/>
          <w:color w:val="auto"/>
          <w:szCs w:val="21"/>
          <w:highlight w:val="none"/>
        </w:rPr>
      </w:pPr>
      <w:r>
        <w:rPr>
          <w:rFonts w:hint="eastAsia" w:ascii="宋体" w:hAnsi="宋体"/>
          <w:color w:val="auto"/>
          <w:szCs w:val="21"/>
          <w:highlight w:val="none"/>
        </w:rPr>
        <w:t>承包人在结算审计过程中，如出现审定金额与承包人报审金额误差率（核减率）超过南宁市财政投资评审中心规定的费率时，由承包人全额承担审核费用（审核费以相关行业标准计算为准）。</w:t>
      </w:r>
    </w:p>
    <w:p w14:paraId="4609F9F6">
      <w:pPr>
        <w:pStyle w:val="33"/>
        <w:rPr>
          <w:color w:val="auto"/>
          <w:highlight w:val="none"/>
        </w:rPr>
      </w:pPr>
      <w:bookmarkStart w:id="939" w:name="_Toc389065326"/>
      <w:bookmarkStart w:id="940" w:name="_Toc467599623"/>
      <w:bookmarkStart w:id="941" w:name="_Toc373227761"/>
      <w:bookmarkStart w:id="942" w:name="_Toc373478408"/>
      <w:r>
        <w:rPr>
          <w:color w:val="auto"/>
          <w:highlight w:val="none"/>
        </w:rPr>
        <w:t xml:space="preserve">14.4 </w:t>
      </w:r>
      <w:r>
        <w:rPr>
          <w:rFonts w:hint="eastAsia" w:hAnsi="宋体"/>
          <w:color w:val="auto"/>
          <w:highlight w:val="none"/>
        </w:rPr>
        <w:t>最终结清</w:t>
      </w:r>
      <w:bookmarkEnd w:id="939"/>
      <w:bookmarkEnd w:id="940"/>
      <w:bookmarkEnd w:id="941"/>
      <w:bookmarkEnd w:id="942"/>
    </w:p>
    <w:p w14:paraId="64E72302">
      <w:pPr>
        <w:pStyle w:val="35"/>
        <w:spacing w:line="360" w:lineRule="auto"/>
        <w:ind w:firstLine="420" w:firstLineChars="200"/>
        <w:jc w:val="left"/>
        <w:rPr>
          <w:color w:val="auto"/>
          <w:kern w:val="0"/>
          <w:szCs w:val="21"/>
          <w:highlight w:val="none"/>
        </w:rPr>
      </w:pPr>
      <w:r>
        <w:rPr>
          <w:color w:val="auto"/>
          <w:kern w:val="0"/>
          <w:szCs w:val="21"/>
          <w:highlight w:val="none"/>
        </w:rPr>
        <w:t xml:space="preserve">14.4.1 </w:t>
      </w:r>
      <w:r>
        <w:rPr>
          <w:rFonts w:hint="eastAsia" w:hAnsi="宋体"/>
          <w:color w:val="auto"/>
          <w:kern w:val="0"/>
          <w:szCs w:val="21"/>
          <w:highlight w:val="none"/>
        </w:rPr>
        <w:t>最终结清申请单</w:t>
      </w:r>
    </w:p>
    <w:p w14:paraId="798C51BB">
      <w:pPr>
        <w:pStyle w:val="35"/>
        <w:spacing w:line="360" w:lineRule="auto"/>
        <w:ind w:firstLine="420" w:firstLineChars="200"/>
        <w:jc w:val="left"/>
        <w:rPr>
          <w:color w:val="auto"/>
          <w:kern w:val="0"/>
          <w:szCs w:val="21"/>
          <w:highlight w:val="none"/>
        </w:rPr>
      </w:pPr>
      <w:r>
        <w:rPr>
          <w:rFonts w:hint="eastAsia" w:hAnsi="宋体"/>
          <w:color w:val="auto"/>
          <w:kern w:val="0"/>
          <w:szCs w:val="21"/>
          <w:highlight w:val="none"/>
        </w:rPr>
        <w:t>承包人提交最终结清申请单的份数：</w:t>
      </w:r>
      <w:r>
        <w:rPr>
          <w:rFonts w:hint="eastAsia" w:ascii="宋体" w:hAnsi="宋体"/>
          <w:color w:val="auto"/>
          <w:szCs w:val="21"/>
          <w:highlight w:val="none"/>
          <w:u w:val="single"/>
        </w:rPr>
        <w:t>一式五份</w:t>
      </w:r>
      <w:r>
        <w:rPr>
          <w:rFonts w:hint="eastAsia" w:hAnsi="宋体"/>
          <w:color w:val="auto"/>
          <w:szCs w:val="21"/>
          <w:highlight w:val="none"/>
        </w:rPr>
        <w:t>。</w:t>
      </w:r>
    </w:p>
    <w:p w14:paraId="346DC9A5">
      <w:pPr>
        <w:pStyle w:val="35"/>
        <w:spacing w:line="360" w:lineRule="auto"/>
        <w:ind w:firstLine="420" w:firstLineChars="200"/>
        <w:jc w:val="left"/>
        <w:rPr>
          <w:color w:val="auto"/>
          <w:szCs w:val="21"/>
          <w:highlight w:val="none"/>
        </w:rPr>
      </w:pPr>
      <w:r>
        <w:rPr>
          <w:rFonts w:hint="eastAsia" w:hAnsi="宋体"/>
          <w:color w:val="auto"/>
          <w:kern w:val="0"/>
          <w:szCs w:val="21"/>
          <w:highlight w:val="none"/>
        </w:rPr>
        <w:t>承包人提交最终结算申请单的期限：</w:t>
      </w:r>
      <w:r>
        <w:rPr>
          <w:rFonts w:hint="eastAsia" w:ascii="宋体" w:hAnsi="宋体"/>
          <w:color w:val="auto"/>
          <w:szCs w:val="21"/>
          <w:highlight w:val="none"/>
          <w:u w:val="single"/>
        </w:rPr>
        <w:t>按通用条款执行</w:t>
      </w:r>
      <w:r>
        <w:rPr>
          <w:rFonts w:hint="eastAsia" w:hAnsi="宋体"/>
          <w:color w:val="auto"/>
          <w:szCs w:val="21"/>
          <w:highlight w:val="none"/>
        </w:rPr>
        <w:t>。</w:t>
      </w:r>
    </w:p>
    <w:p w14:paraId="5776D5F0">
      <w:pPr>
        <w:pStyle w:val="35"/>
        <w:spacing w:line="360" w:lineRule="auto"/>
        <w:ind w:firstLine="420" w:firstLineChars="200"/>
        <w:jc w:val="left"/>
        <w:rPr>
          <w:color w:val="auto"/>
          <w:szCs w:val="21"/>
          <w:highlight w:val="none"/>
        </w:rPr>
      </w:pPr>
      <w:r>
        <w:rPr>
          <w:color w:val="auto"/>
          <w:szCs w:val="21"/>
          <w:highlight w:val="none"/>
        </w:rPr>
        <w:t xml:space="preserve">14.4.2 </w:t>
      </w:r>
      <w:r>
        <w:rPr>
          <w:rFonts w:hint="eastAsia" w:hAnsi="宋体"/>
          <w:color w:val="auto"/>
          <w:szCs w:val="21"/>
          <w:highlight w:val="none"/>
        </w:rPr>
        <w:t>最终结清证书和支付</w:t>
      </w:r>
    </w:p>
    <w:p w14:paraId="03D53842">
      <w:pPr>
        <w:pStyle w:val="35"/>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1</w:t>
      </w:r>
      <w:r>
        <w:rPr>
          <w:rFonts w:hint="eastAsia" w:hAnsi="宋体"/>
          <w:color w:val="auto"/>
          <w:szCs w:val="21"/>
          <w:highlight w:val="none"/>
        </w:rPr>
        <w:t>）发包人完成最终结清申请单的审批并颁发最终结清证书的期限：</w:t>
      </w:r>
      <w:r>
        <w:rPr>
          <w:rFonts w:hint="eastAsia" w:ascii="宋体" w:hAnsi="宋体"/>
          <w:color w:val="auto"/>
          <w:szCs w:val="21"/>
          <w:highlight w:val="none"/>
          <w:u w:val="single"/>
        </w:rPr>
        <w:t>按通用条款执行</w:t>
      </w:r>
      <w:r>
        <w:rPr>
          <w:rFonts w:hint="eastAsia" w:hAnsi="宋体"/>
          <w:color w:val="auto"/>
          <w:szCs w:val="21"/>
          <w:highlight w:val="none"/>
        </w:rPr>
        <w:t>。</w:t>
      </w:r>
    </w:p>
    <w:p w14:paraId="76F9AD1C">
      <w:pPr>
        <w:pStyle w:val="35"/>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2</w:t>
      </w:r>
      <w:r>
        <w:rPr>
          <w:rFonts w:hint="eastAsia" w:hAnsi="宋体"/>
          <w:color w:val="auto"/>
          <w:szCs w:val="21"/>
          <w:highlight w:val="none"/>
        </w:rPr>
        <w:t>）发包人完成支付的期限：</w:t>
      </w:r>
      <w:r>
        <w:rPr>
          <w:rFonts w:hint="eastAsia" w:ascii="宋体" w:hAnsi="宋体"/>
          <w:color w:val="auto"/>
          <w:szCs w:val="21"/>
          <w:highlight w:val="none"/>
          <w:u w:val="single"/>
        </w:rPr>
        <w:t>按通用条款执行</w:t>
      </w:r>
      <w:r>
        <w:rPr>
          <w:rFonts w:hint="eastAsia" w:hAnsi="宋体"/>
          <w:color w:val="auto"/>
          <w:szCs w:val="21"/>
          <w:highlight w:val="none"/>
        </w:rPr>
        <w:t>。</w:t>
      </w:r>
    </w:p>
    <w:p w14:paraId="6401C951">
      <w:pPr>
        <w:pStyle w:val="23"/>
        <w:rPr>
          <w:color w:val="auto"/>
          <w:highlight w:val="none"/>
        </w:rPr>
      </w:pPr>
      <w:bookmarkStart w:id="943" w:name="_Toc373227762"/>
      <w:bookmarkStart w:id="944" w:name="_Toc467599624"/>
      <w:bookmarkStart w:id="945" w:name="_Toc389065327"/>
      <w:bookmarkStart w:id="946" w:name="_Toc351203647"/>
      <w:bookmarkStart w:id="947" w:name="_Toc373478409"/>
      <w:bookmarkStart w:id="948" w:name="_Toc267251483"/>
      <w:bookmarkStart w:id="949" w:name="_Toc267251484"/>
      <w:bookmarkStart w:id="950" w:name="_Toc267251482"/>
      <w:bookmarkStart w:id="951" w:name="_Toc267251485"/>
      <w:bookmarkStart w:id="952" w:name="_Toc267251489"/>
      <w:bookmarkStart w:id="953" w:name="_Toc267251486"/>
      <w:bookmarkStart w:id="954" w:name="_Toc267251488"/>
      <w:bookmarkStart w:id="955" w:name="_Toc267251490"/>
      <w:r>
        <w:rPr>
          <w:color w:val="auto"/>
          <w:highlight w:val="none"/>
        </w:rPr>
        <w:t xml:space="preserve">15. </w:t>
      </w:r>
      <w:r>
        <w:rPr>
          <w:rFonts w:hint="eastAsia"/>
          <w:color w:val="auto"/>
          <w:highlight w:val="none"/>
        </w:rPr>
        <w:t>缺陷责任期与保修</w:t>
      </w:r>
      <w:bookmarkEnd w:id="943"/>
      <w:bookmarkEnd w:id="944"/>
      <w:bookmarkEnd w:id="945"/>
      <w:bookmarkEnd w:id="946"/>
      <w:bookmarkEnd w:id="947"/>
    </w:p>
    <w:p w14:paraId="167FC238">
      <w:pPr>
        <w:pStyle w:val="33"/>
        <w:rPr>
          <w:color w:val="auto"/>
          <w:highlight w:val="none"/>
        </w:rPr>
      </w:pPr>
      <w:bookmarkStart w:id="956" w:name="_Toc467599625"/>
      <w:bookmarkStart w:id="957" w:name="_Toc373227763"/>
      <w:bookmarkStart w:id="958" w:name="_Toc373478410"/>
      <w:bookmarkStart w:id="959" w:name="_Toc389065328"/>
      <w:r>
        <w:rPr>
          <w:color w:val="auto"/>
          <w:highlight w:val="none"/>
        </w:rPr>
        <w:t xml:space="preserve">15.2 </w:t>
      </w:r>
      <w:r>
        <w:rPr>
          <w:rFonts w:hint="eastAsia" w:hAnsi="宋体"/>
          <w:color w:val="auto"/>
          <w:highlight w:val="none"/>
        </w:rPr>
        <w:t>缺陷责任期</w:t>
      </w:r>
      <w:bookmarkEnd w:id="948"/>
      <w:bookmarkEnd w:id="956"/>
      <w:bookmarkEnd w:id="957"/>
      <w:bookmarkEnd w:id="958"/>
      <w:bookmarkEnd w:id="959"/>
    </w:p>
    <w:p w14:paraId="06B056E3">
      <w:pPr>
        <w:pStyle w:val="35"/>
        <w:spacing w:line="360" w:lineRule="auto"/>
        <w:ind w:firstLine="420" w:firstLineChars="200"/>
        <w:jc w:val="left"/>
        <w:rPr>
          <w:color w:val="auto"/>
          <w:szCs w:val="21"/>
          <w:highlight w:val="none"/>
          <w:u w:val="single"/>
        </w:rPr>
      </w:pPr>
      <w:r>
        <w:rPr>
          <w:rFonts w:hint="eastAsia" w:hAnsi="宋体"/>
          <w:color w:val="auto"/>
          <w:szCs w:val="21"/>
          <w:highlight w:val="none"/>
        </w:rPr>
        <w:t>缺陷责任期的具体期限：</w:t>
      </w:r>
      <w:r>
        <w:rPr>
          <w:rFonts w:hint="eastAsia" w:ascii="宋体" w:hAnsi="宋体"/>
          <w:color w:val="auto"/>
          <w:szCs w:val="21"/>
          <w:highlight w:val="none"/>
          <w:u w:val="single"/>
        </w:rPr>
        <w:t>质量保修期从工程实际竣工之日算起。分单项竣工验收的工程，按单项工程分别计算质量保修期</w:t>
      </w:r>
      <w:r>
        <w:rPr>
          <w:rFonts w:hint="eastAsia" w:ascii="宋体" w:hAnsi="宋体"/>
          <w:color w:val="auto"/>
          <w:kern w:val="0"/>
          <w:szCs w:val="21"/>
          <w:highlight w:val="none"/>
          <w:u w:val="single"/>
        </w:rPr>
        <w:t>。</w:t>
      </w:r>
    </w:p>
    <w:p w14:paraId="3DD6D43B">
      <w:pPr>
        <w:pStyle w:val="33"/>
        <w:rPr>
          <w:color w:val="auto"/>
          <w:highlight w:val="none"/>
        </w:rPr>
      </w:pPr>
      <w:bookmarkStart w:id="960" w:name="_Toc373478411"/>
      <w:bookmarkStart w:id="961" w:name="_Toc467599626"/>
      <w:bookmarkStart w:id="962" w:name="_Toc373227764"/>
      <w:bookmarkStart w:id="963" w:name="_Toc389065329"/>
      <w:r>
        <w:rPr>
          <w:color w:val="auto"/>
          <w:highlight w:val="none"/>
        </w:rPr>
        <w:t xml:space="preserve">15.3 </w:t>
      </w:r>
      <w:r>
        <w:rPr>
          <w:rFonts w:hint="eastAsia" w:hAnsi="宋体"/>
          <w:color w:val="auto"/>
          <w:highlight w:val="none"/>
        </w:rPr>
        <w:t>质量保证金</w:t>
      </w:r>
      <w:bookmarkEnd w:id="960"/>
      <w:bookmarkEnd w:id="961"/>
      <w:bookmarkEnd w:id="962"/>
      <w:bookmarkEnd w:id="963"/>
    </w:p>
    <w:p w14:paraId="547D26B8">
      <w:pPr>
        <w:pStyle w:val="35"/>
        <w:spacing w:line="360" w:lineRule="auto"/>
        <w:ind w:firstLine="420" w:firstLineChars="200"/>
        <w:jc w:val="left"/>
        <w:rPr>
          <w:color w:val="auto"/>
          <w:szCs w:val="21"/>
          <w:highlight w:val="none"/>
        </w:rPr>
      </w:pPr>
      <w:r>
        <w:rPr>
          <w:rFonts w:hint="eastAsia" w:hAnsi="宋体"/>
          <w:color w:val="auto"/>
          <w:szCs w:val="21"/>
          <w:highlight w:val="none"/>
        </w:rPr>
        <w:t>关于是否扣留质量保证金的约定：</w:t>
      </w:r>
      <w:r>
        <w:rPr>
          <w:rFonts w:hint="eastAsia" w:ascii="宋体" w:hAnsi="宋体"/>
          <w:color w:val="auto"/>
          <w:szCs w:val="21"/>
          <w:highlight w:val="none"/>
          <w:u w:val="single"/>
        </w:rPr>
        <w:t xml:space="preserve">   是  </w:t>
      </w:r>
      <w:r>
        <w:rPr>
          <w:rFonts w:hint="eastAsia" w:hAnsi="宋体"/>
          <w:color w:val="auto"/>
          <w:szCs w:val="21"/>
          <w:highlight w:val="none"/>
        </w:rPr>
        <w:t>。</w:t>
      </w:r>
    </w:p>
    <w:p w14:paraId="2C3CA2DA">
      <w:pPr>
        <w:pStyle w:val="35"/>
        <w:spacing w:line="360" w:lineRule="auto"/>
        <w:ind w:firstLine="420" w:firstLineChars="200"/>
        <w:jc w:val="left"/>
        <w:outlineLvl w:val="0"/>
        <w:rPr>
          <w:color w:val="auto"/>
          <w:szCs w:val="21"/>
          <w:highlight w:val="none"/>
        </w:rPr>
      </w:pPr>
      <w:r>
        <w:rPr>
          <w:color w:val="auto"/>
          <w:szCs w:val="21"/>
          <w:highlight w:val="none"/>
        </w:rPr>
        <w:t xml:space="preserve">15.3.1 </w:t>
      </w:r>
      <w:r>
        <w:rPr>
          <w:rFonts w:hint="eastAsia" w:hAnsi="宋体"/>
          <w:color w:val="auto"/>
          <w:szCs w:val="21"/>
          <w:highlight w:val="none"/>
        </w:rPr>
        <w:t>承包人提供质量保证金的方式</w:t>
      </w:r>
    </w:p>
    <w:p w14:paraId="7BB7EE5B">
      <w:pPr>
        <w:pStyle w:val="35"/>
        <w:spacing w:line="360" w:lineRule="auto"/>
        <w:ind w:firstLine="420" w:firstLineChars="200"/>
        <w:jc w:val="left"/>
        <w:rPr>
          <w:color w:val="auto"/>
          <w:szCs w:val="21"/>
          <w:highlight w:val="none"/>
        </w:rPr>
      </w:pPr>
      <w:r>
        <w:rPr>
          <w:rFonts w:hint="eastAsia" w:hAnsi="宋体"/>
          <w:color w:val="auto"/>
          <w:szCs w:val="21"/>
          <w:highlight w:val="none"/>
        </w:rPr>
        <w:t>质量保证金采用以下第</w:t>
      </w:r>
      <w:r>
        <w:rPr>
          <w:rFonts w:hint="eastAsia" w:ascii="宋体" w:hAnsi="宋体"/>
          <w:color w:val="auto"/>
          <w:szCs w:val="21"/>
          <w:highlight w:val="none"/>
          <w:u w:val="single"/>
        </w:rPr>
        <w:t>3</w:t>
      </w:r>
      <w:r>
        <w:rPr>
          <w:rFonts w:hint="eastAsia" w:hAnsi="宋体"/>
          <w:color w:val="auto"/>
          <w:szCs w:val="21"/>
          <w:highlight w:val="none"/>
        </w:rPr>
        <w:t>种方式：</w:t>
      </w:r>
    </w:p>
    <w:p w14:paraId="43692845">
      <w:pPr>
        <w:pStyle w:val="35"/>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1</w:t>
      </w:r>
      <w:r>
        <w:rPr>
          <w:rFonts w:hint="eastAsia" w:hAnsi="宋体"/>
          <w:color w:val="auto"/>
          <w:kern w:val="0"/>
          <w:szCs w:val="21"/>
          <w:highlight w:val="none"/>
        </w:rPr>
        <w:t>）质量保证金保函，保证金额为：</w:t>
      </w:r>
      <w:r>
        <w:rPr>
          <w:rFonts w:hint="eastAsia" w:ascii="宋体" w:hAnsi="宋体"/>
          <w:color w:val="auto"/>
          <w:kern w:val="0"/>
          <w:szCs w:val="21"/>
          <w:highlight w:val="none"/>
          <w:u w:val="single"/>
        </w:rPr>
        <w:t>/</w:t>
      </w:r>
      <w:r>
        <w:rPr>
          <w:rFonts w:hint="eastAsia" w:hAnsi="宋体"/>
          <w:color w:val="auto"/>
          <w:kern w:val="0"/>
          <w:szCs w:val="21"/>
          <w:highlight w:val="none"/>
        </w:rPr>
        <w:t>；</w:t>
      </w:r>
    </w:p>
    <w:p w14:paraId="3DCC55C9">
      <w:pPr>
        <w:pStyle w:val="35"/>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2</w:t>
      </w:r>
      <w:r>
        <w:rPr>
          <w:rFonts w:hint="eastAsia" w:hAnsi="宋体"/>
          <w:color w:val="auto"/>
          <w:kern w:val="0"/>
          <w:szCs w:val="21"/>
          <w:highlight w:val="none"/>
        </w:rPr>
        <w:t>）</w:t>
      </w:r>
      <w:r>
        <w:rPr>
          <w:rFonts w:hint="eastAsia" w:hAnsi="宋体"/>
          <w:bCs/>
          <w:color w:val="auto"/>
          <w:szCs w:val="21"/>
          <w:highlight w:val="none"/>
        </w:rPr>
        <w:t>发包人按工程价款结算总额的</w:t>
      </w:r>
      <w:r>
        <w:rPr>
          <w:rFonts w:hint="eastAsia" w:ascii="宋体" w:hAnsi="宋体"/>
          <w:color w:val="auto"/>
          <w:kern w:val="0"/>
          <w:szCs w:val="21"/>
          <w:highlight w:val="none"/>
          <w:u w:val="single"/>
        </w:rPr>
        <w:t>3</w:t>
      </w:r>
      <w:r>
        <w:rPr>
          <w:bCs/>
          <w:color w:val="auto"/>
          <w:szCs w:val="21"/>
          <w:highlight w:val="none"/>
        </w:rPr>
        <w:t>%</w:t>
      </w:r>
      <w:r>
        <w:rPr>
          <w:rFonts w:hint="eastAsia" w:hAnsi="宋体"/>
          <w:bCs/>
          <w:color w:val="auto"/>
          <w:szCs w:val="21"/>
          <w:highlight w:val="none"/>
        </w:rPr>
        <w:t>预留工程质量保修金，待缺陷责任期满后返还（无息）</w:t>
      </w:r>
      <w:r>
        <w:rPr>
          <w:rFonts w:hint="eastAsia" w:hAnsi="宋体"/>
          <w:color w:val="auto"/>
          <w:kern w:val="0"/>
          <w:szCs w:val="21"/>
          <w:highlight w:val="none"/>
        </w:rPr>
        <w:t>；</w:t>
      </w:r>
    </w:p>
    <w:p w14:paraId="302FE379">
      <w:pPr>
        <w:pStyle w:val="24"/>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hAnsi="宋体"/>
          <w:color w:val="auto"/>
          <w:kern w:val="0"/>
          <w:szCs w:val="21"/>
          <w:highlight w:val="none"/>
        </w:rPr>
        <w:t>（</w:t>
      </w:r>
      <w:r>
        <w:rPr>
          <w:color w:val="auto"/>
          <w:kern w:val="0"/>
          <w:szCs w:val="21"/>
          <w:highlight w:val="none"/>
        </w:rPr>
        <w:t>3</w:t>
      </w:r>
      <w:r>
        <w:rPr>
          <w:rFonts w:hint="eastAsia" w:hAnsi="宋体"/>
          <w:color w:val="auto"/>
          <w:kern w:val="0"/>
          <w:szCs w:val="21"/>
          <w:highlight w:val="none"/>
        </w:rPr>
        <w:t>）其他方式</w:t>
      </w:r>
      <w:r>
        <w:rPr>
          <w:rFonts w:hint="eastAsia"/>
          <w:color w:val="auto"/>
          <w:kern w:val="0"/>
          <w:szCs w:val="21"/>
          <w:highlight w:val="none"/>
        </w:rPr>
        <w:t>：</w:t>
      </w:r>
      <w:r>
        <w:rPr>
          <w:rFonts w:hint="eastAsia" w:ascii="宋体" w:hAnsi="宋体"/>
          <w:b/>
          <w:bCs/>
          <w:color w:val="auto"/>
          <w:szCs w:val="21"/>
          <w:highlight w:val="none"/>
          <w:u w:val="single"/>
        </w:rPr>
        <w:t>发包人按工程价款结算总额的3%预留工程质量保修金，待工程质量保修期满后返还（无息）。</w:t>
      </w:r>
    </w:p>
    <w:p w14:paraId="50758F54">
      <w:pPr>
        <w:pStyle w:val="35"/>
        <w:spacing w:line="360" w:lineRule="auto"/>
        <w:ind w:firstLine="420" w:firstLineChars="200"/>
        <w:jc w:val="left"/>
        <w:rPr>
          <w:color w:val="auto"/>
          <w:szCs w:val="21"/>
          <w:highlight w:val="none"/>
        </w:rPr>
      </w:pPr>
      <w:r>
        <w:rPr>
          <w:color w:val="auto"/>
          <w:szCs w:val="21"/>
          <w:highlight w:val="none"/>
        </w:rPr>
        <w:t xml:space="preserve">15.3.2 </w:t>
      </w:r>
      <w:r>
        <w:rPr>
          <w:rFonts w:hint="eastAsia" w:hAnsi="宋体"/>
          <w:color w:val="auto"/>
          <w:szCs w:val="21"/>
          <w:highlight w:val="none"/>
        </w:rPr>
        <w:t>质量保证金的扣留</w:t>
      </w:r>
    </w:p>
    <w:bookmarkEnd w:id="949"/>
    <w:bookmarkEnd w:id="950"/>
    <w:p w14:paraId="0397D824">
      <w:pPr>
        <w:pStyle w:val="24"/>
        <w:spacing w:line="360" w:lineRule="auto"/>
        <w:ind w:firstLine="420" w:firstLineChars="200"/>
        <w:jc w:val="left"/>
        <w:rPr>
          <w:rFonts w:ascii="宋体" w:hAnsi="宋体"/>
          <w:color w:val="auto"/>
          <w:szCs w:val="21"/>
          <w:highlight w:val="none"/>
        </w:rPr>
      </w:pPr>
      <w:bookmarkStart w:id="964" w:name="_Toc467599627"/>
      <w:bookmarkStart w:id="965" w:name="_Toc373478412"/>
      <w:bookmarkStart w:id="966" w:name="_Toc389065330"/>
      <w:bookmarkStart w:id="967" w:name="_Toc373227765"/>
      <w:r>
        <w:rPr>
          <w:rFonts w:hint="eastAsia" w:ascii="宋体" w:hAnsi="宋体"/>
          <w:color w:val="auto"/>
          <w:szCs w:val="21"/>
          <w:highlight w:val="none"/>
        </w:rPr>
        <w:t>质量保证金的扣留采取以下第</w:t>
      </w:r>
      <w:r>
        <w:rPr>
          <w:rFonts w:hint="eastAsia" w:ascii="宋体" w:hAnsi="宋体"/>
          <w:color w:val="auto"/>
          <w:szCs w:val="21"/>
          <w:highlight w:val="none"/>
          <w:u w:val="single"/>
        </w:rPr>
        <w:t xml:space="preserve"> 2   </w:t>
      </w:r>
      <w:r>
        <w:rPr>
          <w:rFonts w:hint="eastAsia" w:ascii="宋体" w:hAnsi="宋体"/>
          <w:color w:val="auto"/>
          <w:szCs w:val="21"/>
          <w:highlight w:val="none"/>
        </w:rPr>
        <w:t>种方式：</w:t>
      </w:r>
    </w:p>
    <w:p w14:paraId="5DBDFF97">
      <w:pPr>
        <w:pStyle w:val="24"/>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（1）在支付工程进度款时逐次扣留，在此情形下，质量保证金的计算基数不包括预付款的支付、扣回以及价格调整的金额；</w:t>
      </w:r>
    </w:p>
    <w:p w14:paraId="5389D1C2">
      <w:pPr>
        <w:pStyle w:val="24"/>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（2）工程竣工结算时一次性扣留质量保证金；</w:t>
      </w:r>
    </w:p>
    <w:p w14:paraId="671AEE60">
      <w:pPr>
        <w:pStyle w:val="24"/>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（3）其他扣留方式:</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7331E370">
      <w:pPr>
        <w:pStyle w:val="24"/>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szCs w:val="21"/>
          <w:highlight w:val="none"/>
        </w:rPr>
        <w:t>关于质量保证金的补充约定：</w:t>
      </w:r>
      <w:r>
        <w:rPr>
          <w:rFonts w:hint="eastAsia" w:ascii="宋体" w:hAnsi="宋体"/>
          <w:color w:val="auto"/>
          <w:kern w:val="0"/>
          <w:szCs w:val="21"/>
          <w:highlight w:val="none"/>
          <w:u w:val="single"/>
        </w:rPr>
        <w:t xml:space="preserve">         无                 </w:t>
      </w:r>
      <w:r>
        <w:rPr>
          <w:rFonts w:hint="eastAsia" w:ascii="宋体" w:hAnsi="宋体"/>
          <w:color w:val="auto"/>
          <w:kern w:val="0"/>
          <w:szCs w:val="21"/>
          <w:highlight w:val="none"/>
        </w:rPr>
        <w:t>。</w:t>
      </w:r>
    </w:p>
    <w:p w14:paraId="626152D8">
      <w:pPr>
        <w:pStyle w:val="33"/>
        <w:rPr>
          <w:color w:val="auto"/>
          <w:highlight w:val="none"/>
        </w:rPr>
      </w:pPr>
      <w:r>
        <w:rPr>
          <w:color w:val="auto"/>
          <w:highlight w:val="none"/>
        </w:rPr>
        <w:t xml:space="preserve">15.4 </w:t>
      </w:r>
      <w:r>
        <w:rPr>
          <w:rFonts w:hint="eastAsia" w:hAnsi="宋体"/>
          <w:color w:val="auto"/>
          <w:highlight w:val="none"/>
        </w:rPr>
        <w:t>保修</w:t>
      </w:r>
      <w:bookmarkEnd w:id="964"/>
      <w:bookmarkEnd w:id="965"/>
      <w:bookmarkEnd w:id="966"/>
      <w:bookmarkEnd w:id="967"/>
    </w:p>
    <w:bookmarkEnd w:id="951"/>
    <w:p w14:paraId="3AE8EFC9">
      <w:pPr>
        <w:pStyle w:val="35"/>
        <w:spacing w:line="360" w:lineRule="auto"/>
        <w:ind w:firstLine="409" w:firstLineChars="195"/>
        <w:jc w:val="left"/>
        <w:outlineLvl w:val="0"/>
        <w:rPr>
          <w:color w:val="auto"/>
          <w:szCs w:val="21"/>
          <w:highlight w:val="none"/>
        </w:rPr>
      </w:pPr>
      <w:r>
        <w:rPr>
          <w:color w:val="auto"/>
          <w:szCs w:val="21"/>
          <w:highlight w:val="none"/>
        </w:rPr>
        <w:t xml:space="preserve">15.4.1 </w:t>
      </w:r>
      <w:r>
        <w:rPr>
          <w:rFonts w:hint="eastAsia" w:hAnsi="宋体"/>
          <w:color w:val="auto"/>
          <w:szCs w:val="21"/>
          <w:highlight w:val="none"/>
        </w:rPr>
        <w:t>保修责任</w:t>
      </w:r>
    </w:p>
    <w:p w14:paraId="36FC39F3">
      <w:pPr>
        <w:pStyle w:val="35"/>
        <w:spacing w:line="360" w:lineRule="auto"/>
        <w:ind w:firstLine="409" w:firstLineChars="195"/>
        <w:jc w:val="left"/>
        <w:rPr>
          <w:rFonts w:ascii="宋体" w:hAnsi="宋体"/>
          <w:color w:val="auto"/>
          <w:kern w:val="0"/>
          <w:szCs w:val="21"/>
          <w:highlight w:val="none"/>
        </w:rPr>
      </w:pPr>
      <w:r>
        <w:rPr>
          <w:rFonts w:hint="eastAsia" w:hAnsi="宋体"/>
          <w:color w:val="auto"/>
          <w:szCs w:val="21"/>
          <w:highlight w:val="none"/>
        </w:rPr>
        <w:t>工程保修期为：</w:t>
      </w:r>
      <w:r>
        <w:rPr>
          <w:rFonts w:hint="eastAsia" w:ascii="宋体" w:hAnsi="宋体"/>
          <w:color w:val="auto"/>
          <w:szCs w:val="21"/>
          <w:highlight w:val="none"/>
          <w:u w:val="single"/>
        </w:rPr>
        <w:t>属于保修范围和内容的项目，在保修期内由承包人承担保修责任</w:t>
      </w:r>
      <w:r>
        <w:rPr>
          <w:rFonts w:hint="eastAsia" w:ascii="宋体" w:hAnsi="宋体"/>
          <w:color w:val="auto"/>
          <w:kern w:val="0"/>
          <w:szCs w:val="21"/>
          <w:highlight w:val="none"/>
        </w:rPr>
        <w:t>。</w:t>
      </w:r>
    </w:p>
    <w:p w14:paraId="4DD881DC">
      <w:pPr>
        <w:pStyle w:val="34"/>
        <w:spacing w:line="44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工程保修书具体内容见合同附件8。</w:t>
      </w:r>
    </w:p>
    <w:p w14:paraId="03A65705">
      <w:pPr>
        <w:pStyle w:val="35"/>
        <w:spacing w:line="360" w:lineRule="auto"/>
        <w:ind w:firstLine="409" w:firstLineChars="195"/>
        <w:jc w:val="left"/>
        <w:rPr>
          <w:color w:val="auto"/>
          <w:szCs w:val="21"/>
          <w:highlight w:val="none"/>
        </w:rPr>
      </w:pPr>
      <w:r>
        <w:rPr>
          <w:color w:val="auto"/>
          <w:szCs w:val="21"/>
          <w:highlight w:val="none"/>
        </w:rPr>
        <w:t xml:space="preserve">15.4.3 </w:t>
      </w:r>
      <w:r>
        <w:rPr>
          <w:rFonts w:hint="eastAsia" w:hAnsi="宋体"/>
          <w:color w:val="auto"/>
          <w:szCs w:val="21"/>
          <w:highlight w:val="none"/>
        </w:rPr>
        <w:t>修复通知</w:t>
      </w:r>
    </w:p>
    <w:p w14:paraId="5D91D0C5">
      <w:pPr>
        <w:pStyle w:val="35"/>
        <w:spacing w:line="360" w:lineRule="auto"/>
        <w:ind w:firstLine="409" w:firstLineChars="195"/>
        <w:jc w:val="left"/>
        <w:rPr>
          <w:rFonts w:hAnsi="宋体"/>
          <w:color w:val="auto"/>
          <w:kern w:val="0"/>
          <w:szCs w:val="21"/>
          <w:highlight w:val="none"/>
        </w:rPr>
      </w:pPr>
      <w:r>
        <w:rPr>
          <w:rFonts w:hint="eastAsia" w:hAnsi="宋体"/>
          <w:color w:val="auto"/>
          <w:kern w:val="0"/>
          <w:szCs w:val="21"/>
          <w:highlight w:val="none"/>
        </w:rPr>
        <w:t>承包人收到保修通知并到达工程现场的合理时间</w:t>
      </w:r>
      <w:r>
        <w:rPr>
          <w:rFonts w:hint="eastAsia" w:hAnsi="宋体"/>
          <w:color w:val="auto"/>
          <w:kern w:val="0"/>
          <w:szCs w:val="21"/>
          <w:highlight w:val="none"/>
          <w:u w:val="single"/>
        </w:rPr>
        <w:t>：</w:t>
      </w:r>
      <w:r>
        <w:rPr>
          <w:rFonts w:hint="eastAsia" w:ascii="宋体" w:hAnsi="宋体"/>
          <w:color w:val="auto"/>
          <w:kern w:val="0"/>
          <w:szCs w:val="21"/>
          <w:highlight w:val="none"/>
          <w:u w:val="single"/>
        </w:rPr>
        <w:t>24小时内</w:t>
      </w:r>
      <w:r>
        <w:rPr>
          <w:rFonts w:hint="eastAsia" w:hAnsi="宋体"/>
          <w:color w:val="auto"/>
          <w:kern w:val="0"/>
          <w:szCs w:val="21"/>
          <w:highlight w:val="none"/>
        </w:rPr>
        <w:t>。</w:t>
      </w:r>
      <w:bookmarkEnd w:id="952"/>
      <w:bookmarkEnd w:id="953"/>
      <w:bookmarkEnd w:id="954"/>
      <w:bookmarkEnd w:id="955"/>
    </w:p>
    <w:p w14:paraId="5C5CA075">
      <w:pPr>
        <w:pStyle w:val="23"/>
        <w:rPr>
          <w:color w:val="auto"/>
          <w:highlight w:val="none"/>
        </w:rPr>
      </w:pPr>
      <w:bookmarkStart w:id="968" w:name="_Toc467599628"/>
      <w:bookmarkStart w:id="969" w:name="_Toc373227766"/>
      <w:bookmarkStart w:id="970" w:name="_Toc373478413"/>
      <w:bookmarkStart w:id="971" w:name="_Toc351203648"/>
      <w:bookmarkStart w:id="972" w:name="_Toc389065331"/>
      <w:bookmarkStart w:id="973" w:name="_Toc280868717"/>
      <w:bookmarkStart w:id="974" w:name="_Toc280868718"/>
      <w:r>
        <w:rPr>
          <w:color w:val="auto"/>
          <w:highlight w:val="none"/>
        </w:rPr>
        <w:t xml:space="preserve">16. </w:t>
      </w:r>
      <w:r>
        <w:rPr>
          <w:rFonts w:hint="eastAsia" w:hAnsi="宋体"/>
          <w:color w:val="auto"/>
          <w:highlight w:val="none"/>
        </w:rPr>
        <w:t>违约</w:t>
      </w:r>
      <w:bookmarkEnd w:id="968"/>
      <w:bookmarkEnd w:id="969"/>
      <w:bookmarkEnd w:id="970"/>
      <w:bookmarkEnd w:id="971"/>
      <w:bookmarkEnd w:id="972"/>
    </w:p>
    <w:p w14:paraId="52A4356D">
      <w:pPr>
        <w:pStyle w:val="33"/>
        <w:rPr>
          <w:rFonts w:ascii="Calibri" w:hAnsi="Calibri"/>
          <w:color w:val="auto"/>
          <w:highlight w:val="none"/>
        </w:rPr>
      </w:pPr>
      <w:bookmarkStart w:id="975" w:name="_Toc389065332"/>
      <w:bookmarkStart w:id="976" w:name="_Toc373478414"/>
      <w:bookmarkStart w:id="977" w:name="_Toc373227767"/>
      <w:bookmarkStart w:id="978" w:name="_Toc467599629"/>
      <w:r>
        <w:rPr>
          <w:rFonts w:ascii="Calibri" w:hAnsi="Calibri"/>
          <w:color w:val="auto"/>
          <w:highlight w:val="none"/>
        </w:rPr>
        <w:t xml:space="preserve">16.1 </w:t>
      </w:r>
      <w:r>
        <w:rPr>
          <w:rFonts w:hint="eastAsia" w:ascii="Calibri" w:hAnsi="宋体"/>
          <w:color w:val="auto"/>
          <w:highlight w:val="none"/>
        </w:rPr>
        <w:t>发包人违约</w:t>
      </w:r>
      <w:bookmarkEnd w:id="975"/>
      <w:bookmarkEnd w:id="976"/>
      <w:bookmarkEnd w:id="977"/>
      <w:bookmarkEnd w:id="978"/>
    </w:p>
    <w:p w14:paraId="3A141EA8">
      <w:pPr>
        <w:pStyle w:val="35"/>
        <w:spacing w:line="360" w:lineRule="auto"/>
        <w:ind w:firstLine="420" w:firstLineChars="200"/>
        <w:jc w:val="left"/>
        <w:rPr>
          <w:color w:val="auto"/>
          <w:szCs w:val="21"/>
          <w:highlight w:val="none"/>
        </w:rPr>
      </w:pPr>
      <w:r>
        <w:rPr>
          <w:color w:val="auto"/>
          <w:szCs w:val="21"/>
          <w:highlight w:val="none"/>
        </w:rPr>
        <w:t>16.1.1</w:t>
      </w:r>
      <w:r>
        <w:rPr>
          <w:rFonts w:hint="eastAsia" w:hAnsi="宋体"/>
          <w:color w:val="auto"/>
          <w:szCs w:val="21"/>
          <w:highlight w:val="none"/>
        </w:rPr>
        <w:t>发包人违约的情形</w:t>
      </w:r>
    </w:p>
    <w:p w14:paraId="07234A92">
      <w:pPr>
        <w:pStyle w:val="35"/>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发包人违约的其他情形：</w:t>
      </w:r>
      <w:r>
        <w:rPr>
          <w:rFonts w:hint="eastAsia"/>
          <w:color w:val="auto"/>
          <w:kern w:val="0"/>
          <w:szCs w:val="21"/>
          <w:highlight w:val="none"/>
          <w:u w:val="single"/>
        </w:rPr>
        <w:t>无</w:t>
      </w:r>
      <w:r>
        <w:rPr>
          <w:rFonts w:hint="eastAsia" w:hAnsi="宋体"/>
          <w:color w:val="auto"/>
          <w:kern w:val="0"/>
          <w:szCs w:val="21"/>
          <w:highlight w:val="none"/>
        </w:rPr>
        <w:t>。</w:t>
      </w:r>
    </w:p>
    <w:p w14:paraId="71BA7011">
      <w:pPr>
        <w:pStyle w:val="35"/>
        <w:spacing w:line="360" w:lineRule="auto"/>
        <w:ind w:firstLine="420" w:firstLineChars="200"/>
        <w:jc w:val="left"/>
        <w:outlineLvl w:val="0"/>
        <w:rPr>
          <w:color w:val="auto"/>
          <w:kern w:val="0"/>
          <w:szCs w:val="21"/>
          <w:highlight w:val="none"/>
        </w:rPr>
      </w:pPr>
      <w:r>
        <w:rPr>
          <w:color w:val="auto"/>
          <w:kern w:val="0"/>
          <w:szCs w:val="21"/>
          <w:highlight w:val="none"/>
        </w:rPr>
        <w:t xml:space="preserve">16.1.2 </w:t>
      </w:r>
      <w:r>
        <w:rPr>
          <w:rFonts w:hint="eastAsia" w:hAnsi="宋体"/>
          <w:color w:val="auto"/>
          <w:kern w:val="0"/>
          <w:szCs w:val="21"/>
          <w:highlight w:val="none"/>
        </w:rPr>
        <w:t>发包人违约的责任</w:t>
      </w:r>
    </w:p>
    <w:p w14:paraId="111FF8C9">
      <w:pPr>
        <w:pStyle w:val="35"/>
        <w:spacing w:line="360" w:lineRule="auto"/>
        <w:ind w:firstLine="420" w:firstLineChars="200"/>
        <w:jc w:val="left"/>
        <w:rPr>
          <w:color w:val="auto"/>
          <w:kern w:val="0"/>
          <w:szCs w:val="21"/>
          <w:highlight w:val="none"/>
        </w:rPr>
      </w:pPr>
      <w:r>
        <w:rPr>
          <w:rFonts w:hint="eastAsia" w:hAnsi="宋体"/>
          <w:color w:val="auto"/>
          <w:kern w:val="0"/>
          <w:szCs w:val="21"/>
          <w:highlight w:val="none"/>
        </w:rPr>
        <w:t>发包人违约责任的承担方式和计算方法：</w:t>
      </w:r>
    </w:p>
    <w:p w14:paraId="1F6B654F">
      <w:pPr>
        <w:pStyle w:val="35"/>
        <w:spacing w:line="360" w:lineRule="auto"/>
        <w:ind w:firstLine="420" w:firstLineChars="200"/>
        <w:jc w:val="left"/>
        <w:rPr>
          <w:color w:val="auto"/>
          <w:kern w:val="0"/>
          <w:szCs w:val="21"/>
          <w:highlight w:val="none"/>
          <w:u w:val="single"/>
        </w:rPr>
      </w:pPr>
      <w:r>
        <w:rPr>
          <w:rFonts w:hint="eastAsia" w:hAnsi="宋体"/>
          <w:color w:val="auto"/>
          <w:kern w:val="0"/>
          <w:szCs w:val="21"/>
          <w:highlight w:val="none"/>
        </w:rPr>
        <w:t>（</w:t>
      </w:r>
      <w:r>
        <w:rPr>
          <w:color w:val="auto"/>
          <w:kern w:val="0"/>
          <w:szCs w:val="21"/>
          <w:highlight w:val="none"/>
        </w:rPr>
        <w:t>1</w:t>
      </w:r>
      <w:r>
        <w:rPr>
          <w:rFonts w:hint="eastAsia" w:hAnsi="宋体"/>
          <w:color w:val="auto"/>
          <w:kern w:val="0"/>
          <w:szCs w:val="21"/>
          <w:highlight w:val="none"/>
        </w:rPr>
        <w:t>）因发包人原因未能在计划开工日期前</w:t>
      </w:r>
      <w:r>
        <w:rPr>
          <w:color w:val="auto"/>
          <w:kern w:val="0"/>
          <w:szCs w:val="21"/>
          <w:highlight w:val="none"/>
        </w:rPr>
        <w:t>7</w:t>
      </w:r>
      <w:r>
        <w:rPr>
          <w:rFonts w:hint="eastAsia" w:hAnsi="宋体"/>
          <w:color w:val="auto"/>
          <w:kern w:val="0"/>
          <w:szCs w:val="21"/>
          <w:highlight w:val="none"/>
        </w:rPr>
        <w:t>天内下达开工通知的违约责任：</w:t>
      </w:r>
      <w:r>
        <w:rPr>
          <w:rFonts w:hint="eastAsia"/>
          <w:color w:val="auto"/>
          <w:kern w:val="0"/>
          <w:szCs w:val="21"/>
          <w:highlight w:val="none"/>
          <w:u w:val="single"/>
        </w:rPr>
        <w:t>无</w:t>
      </w:r>
      <w:r>
        <w:rPr>
          <w:rFonts w:hint="eastAsia" w:hAnsi="宋体"/>
          <w:color w:val="auto"/>
          <w:kern w:val="0"/>
          <w:szCs w:val="21"/>
          <w:highlight w:val="none"/>
        </w:rPr>
        <w:t>。</w:t>
      </w:r>
    </w:p>
    <w:p w14:paraId="3361E172">
      <w:pPr>
        <w:pStyle w:val="35"/>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2</w:t>
      </w:r>
      <w:r>
        <w:rPr>
          <w:rFonts w:hint="eastAsia" w:hAnsi="宋体"/>
          <w:color w:val="auto"/>
          <w:kern w:val="0"/>
          <w:szCs w:val="21"/>
          <w:highlight w:val="none"/>
        </w:rPr>
        <w:t>）因发包人原因未能按合同约定支付合同价款的违约责任：</w:t>
      </w:r>
      <w:r>
        <w:rPr>
          <w:rFonts w:hint="eastAsia" w:ascii="新宋体" w:hAnsi="新宋体" w:eastAsia="新宋体" w:cs="新宋体"/>
          <w:color w:val="auto"/>
          <w:kern w:val="0"/>
          <w:szCs w:val="21"/>
          <w:highlight w:val="none"/>
        </w:rPr>
        <w:t>承包人与发包人签订延期付款协议，延期付款协议须经财政部门认可</w:t>
      </w:r>
      <w:r>
        <w:rPr>
          <w:rFonts w:hint="eastAsia" w:hAnsi="宋体"/>
          <w:color w:val="auto"/>
          <w:kern w:val="0"/>
          <w:szCs w:val="21"/>
          <w:highlight w:val="none"/>
        </w:rPr>
        <w:t>。</w:t>
      </w:r>
    </w:p>
    <w:p w14:paraId="6F304CA2">
      <w:pPr>
        <w:pStyle w:val="35"/>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3</w:t>
      </w:r>
      <w:r>
        <w:rPr>
          <w:rFonts w:hint="eastAsia" w:hAnsi="宋体"/>
          <w:color w:val="auto"/>
          <w:kern w:val="0"/>
          <w:szCs w:val="21"/>
          <w:highlight w:val="none"/>
        </w:rPr>
        <w:t>）发包人违反第</w:t>
      </w:r>
      <w:r>
        <w:rPr>
          <w:color w:val="auto"/>
          <w:kern w:val="0"/>
          <w:szCs w:val="21"/>
          <w:highlight w:val="none"/>
        </w:rPr>
        <w:t>10.1</w:t>
      </w:r>
      <w:r>
        <w:rPr>
          <w:rFonts w:hint="eastAsia" w:hAnsi="宋体"/>
          <w:color w:val="auto"/>
          <w:kern w:val="0"/>
          <w:szCs w:val="21"/>
          <w:highlight w:val="none"/>
        </w:rPr>
        <w:t>款〔变更的范围〕第（</w:t>
      </w:r>
      <w:r>
        <w:rPr>
          <w:color w:val="auto"/>
          <w:kern w:val="0"/>
          <w:szCs w:val="21"/>
          <w:highlight w:val="none"/>
        </w:rPr>
        <w:t>2</w:t>
      </w:r>
      <w:r>
        <w:rPr>
          <w:rFonts w:hint="eastAsia" w:hAnsi="宋体"/>
          <w:color w:val="auto"/>
          <w:kern w:val="0"/>
          <w:szCs w:val="21"/>
          <w:highlight w:val="none"/>
        </w:rPr>
        <w:t>）项约定，自行实施被取消的工作或转由他人实施的违约责任：</w:t>
      </w:r>
      <w:r>
        <w:rPr>
          <w:rFonts w:hint="eastAsia"/>
          <w:color w:val="auto"/>
          <w:kern w:val="0"/>
          <w:szCs w:val="21"/>
          <w:highlight w:val="none"/>
          <w:u w:val="single"/>
        </w:rPr>
        <w:t>无</w:t>
      </w:r>
      <w:r>
        <w:rPr>
          <w:rFonts w:hint="eastAsia" w:hAnsi="宋体"/>
          <w:color w:val="auto"/>
          <w:kern w:val="0"/>
          <w:szCs w:val="21"/>
          <w:highlight w:val="none"/>
        </w:rPr>
        <w:t>。</w:t>
      </w:r>
    </w:p>
    <w:p w14:paraId="08FCF2BB">
      <w:pPr>
        <w:pStyle w:val="35"/>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4</w:t>
      </w:r>
      <w:r>
        <w:rPr>
          <w:rFonts w:hint="eastAsia" w:hAnsi="宋体"/>
          <w:color w:val="auto"/>
          <w:kern w:val="0"/>
          <w:szCs w:val="21"/>
          <w:highlight w:val="none"/>
        </w:rPr>
        <w:t>）发包人提供的材料、工程设备的规格、数量或质量不符合合同约定，或因发包人原因导致交货日期延误或交货地点变更等情况的违约责任：</w:t>
      </w:r>
      <w:r>
        <w:rPr>
          <w:rFonts w:hint="eastAsia"/>
          <w:color w:val="auto"/>
          <w:kern w:val="0"/>
          <w:szCs w:val="21"/>
          <w:highlight w:val="none"/>
          <w:u w:val="single"/>
        </w:rPr>
        <w:t>无</w:t>
      </w:r>
      <w:r>
        <w:rPr>
          <w:rFonts w:hint="eastAsia" w:hAnsi="宋体"/>
          <w:color w:val="auto"/>
          <w:kern w:val="0"/>
          <w:szCs w:val="21"/>
          <w:highlight w:val="none"/>
        </w:rPr>
        <w:t>。</w:t>
      </w:r>
    </w:p>
    <w:p w14:paraId="57454B69">
      <w:pPr>
        <w:pStyle w:val="35"/>
        <w:spacing w:line="360" w:lineRule="auto"/>
        <w:ind w:firstLine="420" w:firstLineChars="200"/>
        <w:jc w:val="left"/>
        <w:rPr>
          <w:color w:val="auto"/>
          <w:kern w:val="0"/>
          <w:szCs w:val="21"/>
          <w:highlight w:val="none"/>
          <w:u w:val="single"/>
        </w:rPr>
      </w:pPr>
      <w:r>
        <w:rPr>
          <w:rFonts w:hint="eastAsia" w:hAnsi="宋体"/>
          <w:color w:val="auto"/>
          <w:kern w:val="0"/>
          <w:szCs w:val="21"/>
          <w:highlight w:val="none"/>
        </w:rPr>
        <w:t>（</w:t>
      </w:r>
      <w:r>
        <w:rPr>
          <w:color w:val="auto"/>
          <w:kern w:val="0"/>
          <w:szCs w:val="21"/>
          <w:highlight w:val="none"/>
        </w:rPr>
        <w:t>5</w:t>
      </w:r>
      <w:r>
        <w:rPr>
          <w:rFonts w:hint="eastAsia" w:hAnsi="宋体"/>
          <w:color w:val="auto"/>
          <w:kern w:val="0"/>
          <w:szCs w:val="21"/>
          <w:highlight w:val="none"/>
        </w:rPr>
        <w:t>）因发包人违反合同约定造成暂停施工的违约责任：</w:t>
      </w:r>
      <w:r>
        <w:rPr>
          <w:rFonts w:hint="eastAsia"/>
          <w:color w:val="auto"/>
          <w:kern w:val="0"/>
          <w:szCs w:val="21"/>
          <w:highlight w:val="none"/>
          <w:u w:val="single"/>
        </w:rPr>
        <w:t>无</w:t>
      </w:r>
      <w:r>
        <w:rPr>
          <w:rFonts w:hint="eastAsia" w:hAnsi="宋体"/>
          <w:color w:val="auto"/>
          <w:kern w:val="0"/>
          <w:szCs w:val="21"/>
          <w:highlight w:val="none"/>
        </w:rPr>
        <w:t>。</w:t>
      </w:r>
    </w:p>
    <w:p w14:paraId="4BD7229A">
      <w:pPr>
        <w:pStyle w:val="35"/>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6</w:t>
      </w:r>
      <w:r>
        <w:rPr>
          <w:rFonts w:hint="eastAsia" w:hAnsi="宋体"/>
          <w:color w:val="auto"/>
          <w:kern w:val="0"/>
          <w:szCs w:val="21"/>
          <w:highlight w:val="none"/>
        </w:rPr>
        <w:t>）发包人无正当理由没有在约定期限内发出复工指示，导致承包人无法复工的违约责任：</w:t>
      </w:r>
      <w:r>
        <w:rPr>
          <w:rFonts w:hint="eastAsia"/>
          <w:color w:val="auto"/>
          <w:kern w:val="0"/>
          <w:szCs w:val="21"/>
          <w:highlight w:val="none"/>
          <w:u w:val="single"/>
        </w:rPr>
        <w:t>无</w:t>
      </w:r>
      <w:r>
        <w:rPr>
          <w:rFonts w:hint="eastAsia" w:hAnsi="宋体"/>
          <w:color w:val="auto"/>
          <w:kern w:val="0"/>
          <w:szCs w:val="21"/>
          <w:highlight w:val="none"/>
        </w:rPr>
        <w:t>。</w:t>
      </w:r>
    </w:p>
    <w:p w14:paraId="0D281283">
      <w:pPr>
        <w:pStyle w:val="35"/>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7</w:t>
      </w:r>
      <w:r>
        <w:rPr>
          <w:rFonts w:hint="eastAsia" w:hAnsi="宋体"/>
          <w:color w:val="auto"/>
          <w:kern w:val="0"/>
          <w:szCs w:val="21"/>
          <w:highlight w:val="none"/>
        </w:rPr>
        <w:t>）其他：</w:t>
      </w:r>
      <w:r>
        <w:rPr>
          <w:rFonts w:hint="eastAsia"/>
          <w:color w:val="auto"/>
          <w:kern w:val="0"/>
          <w:szCs w:val="21"/>
          <w:highlight w:val="none"/>
          <w:u w:val="single"/>
        </w:rPr>
        <w:t>无</w:t>
      </w:r>
      <w:r>
        <w:rPr>
          <w:rFonts w:hint="eastAsia" w:hAnsi="宋体"/>
          <w:color w:val="auto"/>
          <w:kern w:val="0"/>
          <w:szCs w:val="21"/>
          <w:highlight w:val="none"/>
        </w:rPr>
        <w:t>。</w:t>
      </w:r>
    </w:p>
    <w:p w14:paraId="5C0D65B1">
      <w:pPr>
        <w:pStyle w:val="35"/>
        <w:spacing w:line="360" w:lineRule="auto"/>
        <w:ind w:firstLine="420" w:firstLineChars="200"/>
        <w:jc w:val="left"/>
        <w:rPr>
          <w:color w:val="auto"/>
          <w:szCs w:val="21"/>
          <w:highlight w:val="none"/>
        </w:rPr>
      </w:pPr>
      <w:r>
        <w:rPr>
          <w:color w:val="auto"/>
          <w:szCs w:val="21"/>
          <w:highlight w:val="none"/>
        </w:rPr>
        <w:t xml:space="preserve">16.1.3 </w:t>
      </w:r>
      <w:r>
        <w:rPr>
          <w:rFonts w:hint="eastAsia" w:hAnsi="宋体"/>
          <w:color w:val="auto"/>
          <w:szCs w:val="21"/>
          <w:highlight w:val="none"/>
        </w:rPr>
        <w:t>因发包人违约解除合同</w:t>
      </w:r>
    </w:p>
    <w:p w14:paraId="44B680EE">
      <w:pPr>
        <w:pStyle w:val="35"/>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承包人按</w:t>
      </w:r>
      <w:r>
        <w:rPr>
          <w:color w:val="auto"/>
          <w:kern w:val="0"/>
          <w:szCs w:val="21"/>
          <w:highlight w:val="none"/>
        </w:rPr>
        <w:t>16.1.1</w:t>
      </w:r>
      <w:r>
        <w:rPr>
          <w:rFonts w:hint="eastAsia" w:hAnsi="宋体"/>
          <w:color w:val="auto"/>
          <w:kern w:val="0"/>
          <w:szCs w:val="21"/>
          <w:highlight w:val="none"/>
        </w:rPr>
        <w:t>项〔发包人违约的情形〕约定暂停施工满</w:t>
      </w:r>
      <w:r>
        <w:rPr>
          <w:color w:val="auto"/>
          <w:kern w:val="0"/>
          <w:szCs w:val="21"/>
          <w:highlight w:val="none"/>
          <w:u w:val="single"/>
        </w:rPr>
        <w:t xml:space="preserve"> / </w:t>
      </w:r>
      <w:r>
        <w:rPr>
          <w:rFonts w:hint="eastAsia" w:hAnsi="宋体"/>
          <w:color w:val="auto"/>
          <w:kern w:val="0"/>
          <w:szCs w:val="21"/>
          <w:highlight w:val="none"/>
        </w:rPr>
        <w:t>天后发包人仍不纠正其违约行为并致使合同目的不能实现的，承包人有权解除合同。</w:t>
      </w:r>
    </w:p>
    <w:p w14:paraId="31DB40B5">
      <w:pPr>
        <w:pStyle w:val="33"/>
        <w:rPr>
          <w:rFonts w:ascii="Calibri" w:hAnsi="Calibri"/>
          <w:color w:val="auto"/>
          <w:highlight w:val="none"/>
        </w:rPr>
      </w:pPr>
      <w:bookmarkStart w:id="979" w:name="_Toc389065333"/>
      <w:bookmarkStart w:id="980" w:name="_Toc467599630"/>
      <w:bookmarkStart w:id="981" w:name="_Toc373478415"/>
      <w:bookmarkStart w:id="982" w:name="_Toc373227768"/>
      <w:r>
        <w:rPr>
          <w:rFonts w:ascii="Calibri" w:hAnsi="Calibri"/>
          <w:color w:val="auto"/>
          <w:highlight w:val="none"/>
        </w:rPr>
        <w:t xml:space="preserve">16.2 </w:t>
      </w:r>
      <w:r>
        <w:rPr>
          <w:rFonts w:hint="eastAsia" w:ascii="Calibri" w:hAnsi="宋体"/>
          <w:color w:val="auto"/>
          <w:highlight w:val="none"/>
        </w:rPr>
        <w:t>承包人违约</w:t>
      </w:r>
      <w:bookmarkEnd w:id="979"/>
      <w:bookmarkEnd w:id="980"/>
      <w:bookmarkEnd w:id="981"/>
      <w:bookmarkEnd w:id="982"/>
    </w:p>
    <w:p w14:paraId="45970534">
      <w:pPr>
        <w:pStyle w:val="35"/>
        <w:spacing w:line="360" w:lineRule="auto"/>
        <w:ind w:firstLine="420" w:firstLineChars="200"/>
        <w:jc w:val="left"/>
        <w:rPr>
          <w:color w:val="auto"/>
          <w:kern w:val="0"/>
          <w:szCs w:val="21"/>
          <w:highlight w:val="none"/>
        </w:rPr>
      </w:pPr>
      <w:r>
        <w:rPr>
          <w:color w:val="auto"/>
          <w:kern w:val="0"/>
          <w:szCs w:val="21"/>
          <w:highlight w:val="none"/>
        </w:rPr>
        <w:t xml:space="preserve">16.2.1 </w:t>
      </w:r>
      <w:r>
        <w:rPr>
          <w:rFonts w:hint="eastAsia" w:hAnsi="宋体"/>
          <w:color w:val="auto"/>
          <w:kern w:val="0"/>
          <w:szCs w:val="21"/>
          <w:highlight w:val="none"/>
        </w:rPr>
        <w:t>承包人违约的情形</w:t>
      </w:r>
    </w:p>
    <w:p w14:paraId="33F04FF9">
      <w:pPr>
        <w:pStyle w:val="35"/>
        <w:spacing w:line="360" w:lineRule="auto"/>
        <w:ind w:firstLine="420" w:firstLineChars="200"/>
        <w:jc w:val="left"/>
        <w:rPr>
          <w:color w:val="auto"/>
          <w:kern w:val="0"/>
          <w:szCs w:val="21"/>
          <w:highlight w:val="none"/>
          <w:u w:val="single"/>
        </w:rPr>
      </w:pPr>
      <w:r>
        <w:rPr>
          <w:rFonts w:hint="eastAsia" w:hAnsi="宋体"/>
          <w:color w:val="auto"/>
          <w:kern w:val="0"/>
          <w:szCs w:val="21"/>
          <w:highlight w:val="none"/>
        </w:rPr>
        <w:t>承包人违约的其他情形：</w:t>
      </w:r>
      <w:r>
        <w:rPr>
          <w:rFonts w:hint="eastAsia" w:ascii="新宋体" w:hAnsi="新宋体" w:eastAsia="新宋体" w:cs="新宋体"/>
          <w:color w:val="auto"/>
          <w:szCs w:val="21"/>
          <w:highlight w:val="none"/>
          <w:u w:val="single"/>
        </w:rPr>
        <w:t>承包人有违反《南宁市建设工程造价管理办法》规定的，按规定给予处罚。</w:t>
      </w:r>
      <w:r>
        <w:rPr>
          <w:rFonts w:hint="eastAsia" w:hAnsi="宋体"/>
          <w:color w:val="auto"/>
          <w:kern w:val="0"/>
          <w:szCs w:val="21"/>
          <w:highlight w:val="none"/>
        </w:rPr>
        <w:t>。</w:t>
      </w:r>
    </w:p>
    <w:p w14:paraId="3492C500">
      <w:pPr>
        <w:pStyle w:val="35"/>
        <w:spacing w:line="360" w:lineRule="auto"/>
        <w:ind w:firstLine="420" w:firstLineChars="200"/>
        <w:jc w:val="left"/>
        <w:outlineLvl w:val="0"/>
        <w:rPr>
          <w:color w:val="auto"/>
          <w:kern w:val="0"/>
          <w:szCs w:val="21"/>
          <w:highlight w:val="none"/>
        </w:rPr>
      </w:pPr>
      <w:r>
        <w:rPr>
          <w:color w:val="auto"/>
          <w:kern w:val="0"/>
          <w:szCs w:val="21"/>
          <w:highlight w:val="none"/>
        </w:rPr>
        <w:t>16.2.2</w:t>
      </w:r>
      <w:r>
        <w:rPr>
          <w:rFonts w:hint="eastAsia" w:hAnsi="宋体"/>
          <w:color w:val="auto"/>
          <w:kern w:val="0"/>
          <w:szCs w:val="21"/>
          <w:highlight w:val="none"/>
        </w:rPr>
        <w:t>承包人违约的责任</w:t>
      </w:r>
    </w:p>
    <w:p w14:paraId="438EECAD">
      <w:pPr>
        <w:pStyle w:val="35"/>
        <w:spacing w:line="360" w:lineRule="auto"/>
        <w:ind w:firstLine="420" w:firstLineChars="200"/>
        <w:jc w:val="left"/>
        <w:rPr>
          <w:color w:val="auto"/>
          <w:kern w:val="0"/>
          <w:szCs w:val="21"/>
          <w:highlight w:val="none"/>
        </w:rPr>
      </w:pPr>
      <w:r>
        <w:rPr>
          <w:rFonts w:hint="eastAsia" w:hAnsi="宋体"/>
          <w:color w:val="auto"/>
          <w:kern w:val="0"/>
          <w:szCs w:val="21"/>
          <w:highlight w:val="none"/>
        </w:rPr>
        <w:t>承包人违约责任的承担方式和计算方法：</w:t>
      </w:r>
    </w:p>
    <w:p w14:paraId="3D25AF63">
      <w:pPr>
        <w:pStyle w:val="35"/>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w:t>
      </w:r>
      <w:r>
        <w:rPr>
          <w:color w:val="auto"/>
          <w:kern w:val="0"/>
          <w:szCs w:val="21"/>
          <w:highlight w:val="none"/>
        </w:rPr>
        <w:t>1</w:t>
      </w:r>
      <w:r>
        <w:rPr>
          <w:rFonts w:hint="eastAsia" w:hAnsi="宋体"/>
          <w:color w:val="auto"/>
          <w:kern w:val="0"/>
          <w:szCs w:val="21"/>
          <w:highlight w:val="none"/>
        </w:rPr>
        <w:t>）承包人未按本合同通用条款第</w:t>
      </w:r>
      <w:r>
        <w:rPr>
          <w:color w:val="auto"/>
          <w:kern w:val="0"/>
          <w:szCs w:val="21"/>
          <w:highlight w:val="none"/>
        </w:rPr>
        <w:t>16.2.1</w:t>
      </w:r>
      <w:r>
        <w:rPr>
          <w:rFonts w:hint="eastAsia" w:hAnsi="宋体"/>
          <w:color w:val="auto"/>
          <w:kern w:val="0"/>
          <w:szCs w:val="21"/>
          <w:highlight w:val="none"/>
        </w:rPr>
        <w:t>（</w:t>
      </w:r>
      <w:r>
        <w:rPr>
          <w:color w:val="auto"/>
          <w:kern w:val="0"/>
          <w:szCs w:val="21"/>
          <w:highlight w:val="none"/>
        </w:rPr>
        <w:t>2</w:t>
      </w:r>
      <w:r>
        <w:rPr>
          <w:rFonts w:hint="eastAsia" w:hAnsi="宋体"/>
          <w:color w:val="auto"/>
          <w:kern w:val="0"/>
          <w:szCs w:val="21"/>
          <w:highlight w:val="none"/>
        </w:rPr>
        <w:t>）、（</w:t>
      </w:r>
      <w:r>
        <w:rPr>
          <w:color w:val="auto"/>
          <w:kern w:val="0"/>
          <w:szCs w:val="21"/>
          <w:highlight w:val="none"/>
        </w:rPr>
        <w:t>3</w:t>
      </w:r>
      <w:r>
        <w:rPr>
          <w:rFonts w:hint="eastAsia" w:hAnsi="宋体"/>
          <w:color w:val="auto"/>
          <w:kern w:val="0"/>
          <w:szCs w:val="21"/>
          <w:highlight w:val="none"/>
        </w:rPr>
        <w:t>）条内容完成的，承包人无条件返工处理，修复至工程质量要求并承担相关费用，并在发包人规定的时间内完成返工，否则发包人有权扣罚该分项工程</w:t>
      </w:r>
      <w:r>
        <w:rPr>
          <w:color w:val="auto"/>
          <w:kern w:val="0"/>
          <w:szCs w:val="21"/>
          <w:highlight w:val="none"/>
        </w:rPr>
        <w:t>10%</w:t>
      </w:r>
      <w:r>
        <w:rPr>
          <w:rFonts w:hint="eastAsia" w:hAnsi="宋体"/>
          <w:color w:val="auto"/>
          <w:kern w:val="0"/>
          <w:szCs w:val="21"/>
          <w:highlight w:val="none"/>
        </w:rPr>
        <w:t>的工程款作为处罚。</w:t>
      </w:r>
    </w:p>
    <w:p w14:paraId="611015B3">
      <w:pPr>
        <w:pStyle w:val="35"/>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w:t>
      </w:r>
      <w:r>
        <w:rPr>
          <w:color w:val="auto"/>
          <w:kern w:val="0"/>
          <w:szCs w:val="21"/>
          <w:highlight w:val="none"/>
        </w:rPr>
        <w:t>2</w:t>
      </w:r>
      <w:r>
        <w:rPr>
          <w:rFonts w:hint="eastAsia" w:hAnsi="宋体"/>
          <w:color w:val="auto"/>
          <w:kern w:val="0"/>
          <w:szCs w:val="21"/>
          <w:highlight w:val="none"/>
        </w:rPr>
        <w:t>）承包人有本合同通用条款第</w:t>
      </w:r>
      <w:r>
        <w:rPr>
          <w:color w:val="auto"/>
          <w:kern w:val="0"/>
          <w:szCs w:val="21"/>
          <w:highlight w:val="none"/>
        </w:rPr>
        <w:t>16.2.1</w:t>
      </w:r>
      <w:r>
        <w:rPr>
          <w:rFonts w:hint="eastAsia" w:hAnsi="宋体"/>
          <w:color w:val="auto"/>
          <w:kern w:val="0"/>
          <w:szCs w:val="21"/>
          <w:highlight w:val="none"/>
        </w:rPr>
        <w:t>（</w:t>
      </w:r>
      <w:r>
        <w:rPr>
          <w:color w:val="auto"/>
          <w:kern w:val="0"/>
          <w:szCs w:val="21"/>
          <w:highlight w:val="none"/>
        </w:rPr>
        <w:t>6</w:t>
      </w:r>
      <w:r>
        <w:rPr>
          <w:rFonts w:hint="eastAsia" w:hAnsi="宋体"/>
          <w:color w:val="auto"/>
          <w:kern w:val="0"/>
          <w:szCs w:val="21"/>
          <w:highlight w:val="none"/>
        </w:rPr>
        <w:t>）条情形的，或经监理人检验认为修复质量不合格而承包人拒绝再进行修补的，发包人将扣除承包人全部质量保修金。</w:t>
      </w:r>
    </w:p>
    <w:p w14:paraId="1031BF17">
      <w:pPr>
        <w:pStyle w:val="35"/>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w:t>
      </w:r>
      <w:r>
        <w:rPr>
          <w:color w:val="auto"/>
          <w:kern w:val="0"/>
          <w:szCs w:val="21"/>
          <w:highlight w:val="none"/>
        </w:rPr>
        <w:t>3</w:t>
      </w:r>
      <w:r>
        <w:rPr>
          <w:rFonts w:hint="eastAsia" w:hAnsi="宋体"/>
          <w:color w:val="auto"/>
          <w:kern w:val="0"/>
          <w:szCs w:val="21"/>
          <w:highlight w:val="none"/>
        </w:rPr>
        <w:t>）承包人有本专用合同条款</w:t>
      </w:r>
      <w:r>
        <w:rPr>
          <w:color w:val="auto"/>
          <w:kern w:val="0"/>
          <w:szCs w:val="21"/>
          <w:highlight w:val="none"/>
        </w:rPr>
        <w:t>3.2</w:t>
      </w:r>
      <w:r>
        <w:rPr>
          <w:rFonts w:hint="eastAsia" w:hAnsi="宋体"/>
          <w:color w:val="auto"/>
          <w:kern w:val="0"/>
          <w:szCs w:val="21"/>
          <w:highlight w:val="none"/>
        </w:rPr>
        <w:t>、</w:t>
      </w:r>
      <w:r>
        <w:rPr>
          <w:color w:val="auto"/>
          <w:kern w:val="0"/>
          <w:szCs w:val="21"/>
          <w:highlight w:val="none"/>
        </w:rPr>
        <w:t>3.3</w:t>
      </w:r>
      <w:r>
        <w:rPr>
          <w:rFonts w:hint="eastAsia" w:hAnsi="宋体"/>
          <w:color w:val="auto"/>
          <w:kern w:val="0"/>
          <w:szCs w:val="21"/>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554EF2FC">
      <w:pPr>
        <w:pStyle w:val="35"/>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4</w:t>
      </w:r>
      <w:r>
        <w:rPr>
          <w:rFonts w:hint="eastAsia" w:hAnsi="宋体"/>
          <w:color w:val="auto"/>
          <w:kern w:val="0"/>
          <w:szCs w:val="21"/>
          <w:highlight w:val="none"/>
        </w:rPr>
        <w:t>）因承包人原因的月度计划欠产，按欠产部分提留</w:t>
      </w:r>
      <w:r>
        <w:rPr>
          <w:rFonts w:hAnsi="宋体"/>
          <w:color w:val="auto"/>
          <w:kern w:val="0"/>
          <w:szCs w:val="21"/>
          <w:highlight w:val="none"/>
        </w:rPr>
        <w:t>5%</w:t>
      </w:r>
      <w:r>
        <w:rPr>
          <w:rFonts w:hint="eastAsia" w:hAnsi="宋体"/>
          <w:color w:val="auto"/>
          <w:kern w:val="0"/>
          <w:szCs w:val="21"/>
          <w:highlight w:val="none"/>
        </w:rPr>
        <w:t>作为促进该欠产部分施工进度的保证金，在实施赶工计划后方可进行工程款的计量，下月度计划按时完成后退还以前提留的保证金。</w:t>
      </w:r>
    </w:p>
    <w:p w14:paraId="4EC3056A">
      <w:pPr>
        <w:pStyle w:val="35"/>
        <w:spacing w:line="360" w:lineRule="auto"/>
        <w:ind w:firstLine="420" w:firstLineChars="200"/>
        <w:jc w:val="left"/>
        <w:rPr>
          <w:rFonts w:hAnsi="宋体"/>
          <w:color w:val="auto"/>
          <w:szCs w:val="21"/>
          <w:highlight w:val="none"/>
        </w:rPr>
      </w:pPr>
      <w:r>
        <w:rPr>
          <w:color w:val="auto"/>
          <w:szCs w:val="21"/>
          <w:highlight w:val="none"/>
        </w:rPr>
        <w:t xml:space="preserve">16.2.3 </w:t>
      </w:r>
      <w:r>
        <w:rPr>
          <w:rFonts w:hint="eastAsia" w:hAnsi="宋体"/>
          <w:color w:val="auto"/>
          <w:szCs w:val="21"/>
          <w:highlight w:val="none"/>
        </w:rPr>
        <w:t>因承包人违约解除合同</w:t>
      </w:r>
    </w:p>
    <w:p w14:paraId="7B7906A3">
      <w:pPr>
        <w:pStyle w:val="35"/>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关于承包人违约解除合同的特别约定：</w:t>
      </w:r>
      <w:r>
        <w:rPr>
          <w:rFonts w:hint="eastAsia" w:hAnsi="宋体"/>
          <w:color w:val="auto"/>
          <w:kern w:val="0"/>
          <w:szCs w:val="21"/>
          <w:highlight w:val="none"/>
          <w:u w:val="single"/>
        </w:rPr>
        <w:t>承包人有违反以下情况之一的，发包人有权解除合同，并没收其全部履约保证金</w:t>
      </w:r>
      <w:r>
        <w:rPr>
          <w:rFonts w:hint="eastAsia" w:hAnsi="宋体"/>
          <w:color w:val="auto"/>
          <w:kern w:val="0"/>
          <w:szCs w:val="21"/>
          <w:highlight w:val="none"/>
        </w:rPr>
        <w:t>。</w:t>
      </w:r>
    </w:p>
    <w:p w14:paraId="5E004D44">
      <w:pPr>
        <w:pStyle w:val="35"/>
        <w:spacing w:line="360" w:lineRule="auto"/>
        <w:ind w:firstLine="420" w:firstLineChars="200"/>
        <w:jc w:val="left"/>
        <w:rPr>
          <w:rFonts w:hAnsi="宋体"/>
          <w:color w:val="auto"/>
          <w:kern w:val="0"/>
          <w:szCs w:val="21"/>
          <w:highlight w:val="none"/>
        </w:rPr>
      </w:pPr>
      <w:r>
        <w:rPr>
          <w:color w:val="auto"/>
          <w:kern w:val="0"/>
          <w:szCs w:val="21"/>
          <w:highlight w:val="none"/>
        </w:rPr>
        <w:t>(1)</w:t>
      </w:r>
      <w:r>
        <w:rPr>
          <w:rFonts w:hint="eastAsia" w:hAnsi="宋体"/>
          <w:color w:val="auto"/>
          <w:kern w:val="0"/>
          <w:szCs w:val="21"/>
          <w:highlight w:val="none"/>
        </w:rPr>
        <w:t>承包人无正当理由不按开工通知的要求及时进场组织施工和不按签订协议书时商定的进度计划有效地开展施工准备，造成工期延误的；</w:t>
      </w:r>
    </w:p>
    <w:p w14:paraId="063BADAA">
      <w:pPr>
        <w:pStyle w:val="35"/>
        <w:spacing w:line="360" w:lineRule="auto"/>
        <w:ind w:firstLine="420" w:firstLineChars="200"/>
        <w:jc w:val="left"/>
        <w:rPr>
          <w:rFonts w:hAnsi="宋体"/>
          <w:color w:val="auto"/>
          <w:kern w:val="0"/>
          <w:szCs w:val="21"/>
          <w:highlight w:val="none"/>
        </w:rPr>
      </w:pPr>
      <w:r>
        <w:rPr>
          <w:color w:val="auto"/>
          <w:kern w:val="0"/>
          <w:szCs w:val="21"/>
          <w:highlight w:val="none"/>
        </w:rPr>
        <w:t>(2)</w:t>
      </w:r>
      <w:r>
        <w:rPr>
          <w:rFonts w:hint="eastAsia" w:hAnsi="宋体"/>
          <w:color w:val="auto"/>
          <w:kern w:val="0"/>
          <w:szCs w:val="21"/>
          <w:highlight w:val="none"/>
        </w:rPr>
        <w:t>承包人违反本合同通用条款第</w:t>
      </w:r>
      <w:r>
        <w:rPr>
          <w:color w:val="auto"/>
          <w:kern w:val="0"/>
          <w:szCs w:val="21"/>
          <w:highlight w:val="none"/>
        </w:rPr>
        <w:t>3.5</w:t>
      </w:r>
      <w:r>
        <w:rPr>
          <w:rFonts w:hint="eastAsia" w:hAnsi="宋体"/>
          <w:color w:val="auto"/>
          <w:kern w:val="0"/>
          <w:szCs w:val="21"/>
          <w:highlight w:val="none"/>
        </w:rPr>
        <w:t>条规定私自将合同或合同的任何部分或任何权利转让给其他人，或私自将工程或工程的一部分分包出去的；</w:t>
      </w:r>
    </w:p>
    <w:p w14:paraId="53B3F376">
      <w:pPr>
        <w:pStyle w:val="35"/>
        <w:spacing w:line="360" w:lineRule="auto"/>
        <w:ind w:firstLine="420" w:firstLineChars="200"/>
        <w:jc w:val="left"/>
        <w:rPr>
          <w:rFonts w:hAnsi="宋体"/>
          <w:color w:val="auto"/>
          <w:kern w:val="0"/>
          <w:szCs w:val="21"/>
          <w:highlight w:val="none"/>
        </w:rPr>
      </w:pPr>
      <w:r>
        <w:rPr>
          <w:color w:val="auto"/>
          <w:kern w:val="0"/>
          <w:szCs w:val="21"/>
          <w:highlight w:val="none"/>
        </w:rPr>
        <w:t>(3)</w:t>
      </w:r>
      <w:r>
        <w:rPr>
          <w:rFonts w:hint="eastAsia" w:hAnsi="宋体"/>
          <w:color w:val="auto"/>
          <w:kern w:val="0"/>
          <w:szCs w:val="21"/>
          <w:highlight w:val="none"/>
        </w:rPr>
        <w:t>未经监理人批准，承包人私自将已按投标文件承诺进入工地的工程设备、施工设备、临时工程或材料撤离工地的；</w:t>
      </w:r>
    </w:p>
    <w:p w14:paraId="5B3774FB">
      <w:pPr>
        <w:pStyle w:val="35"/>
        <w:spacing w:line="360" w:lineRule="auto"/>
        <w:ind w:firstLine="420" w:firstLineChars="200"/>
        <w:jc w:val="left"/>
        <w:rPr>
          <w:color w:val="auto"/>
          <w:kern w:val="0"/>
          <w:szCs w:val="21"/>
          <w:highlight w:val="none"/>
        </w:rPr>
      </w:pPr>
      <w:r>
        <w:rPr>
          <w:color w:val="auto"/>
          <w:kern w:val="0"/>
          <w:szCs w:val="21"/>
          <w:highlight w:val="none"/>
        </w:rPr>
        <w:t>(4)</w:t>
      </w:r>
      <w:r>
        <w:rPr>
          <w:rFonts w:hint="eastAsia" w:hAnsi="宋体"/>
          <w:color w:val="auto"/>
          <w:kern w:val="0"/>
          <w:szCs w:val="21"/>
          <w:highlight w:val="none"/>
        </w:rPr>
        <w:t>由于承包人原因拒绝按合同进度计划及时完成合同规定的工程，而又未采取有效措施赶上进度，造成工期严重延误的；</w:t>
      </w:r>
    </w:p>
    <w:p w14:paraId="5DFC73D3">
      <w:pPr>
        <w:pStyle w:val="35"/>
        <w:spacing w:line="360" w:lineRule="auto"/>
        <w:ind w:firstLine="420" w:firstLineChars="200"/>
        <w:rPr>
          <w:color w:val="auto"/>
          <w:kern w:val="0"/>
          <w:szCs w:val="21"/>
          <w:highlight w:val="none"/>
        </w:rPr>
      </w:pPr>
      <w:r>
        <w:rPr>
          <w:color w:val="auto"/>
          <w:kern w:val="0"/>
          <w:szCs w:val="21"/>
          <w:highlight w:val="none"/>
        </w:rPr>
        <w:t>(5)</w:t>
      </w:r>
      <w:r>
        <w:rPr>
          <w:rFonts w:hint="eastAsia" w:hAnsi="宋体"/>
          <w:color w:val="auto"/>
          <w:kern w:val="0"/>
          <w:szCs w:val="21"/>
          <w:highlight w:val="none"/>
        </w:rPr>
        <w:t>承包人否认合同有效或拒绝履行合同规定的承包人义务，或由于法律、财务等原因导致承包人无法继续履行或实质上已停止履行合同的义务的；</w:t>
      </w:r>
    </w:p>
    <w:p w14:paraId="286C696C">
      <w:pPr>
        <w:pStyle w:val="35"/>
        <w:spacing w:line="360" w:lineRule="auto"/>
        <w:ind w:firstLine="420" w:firstLineChars="200"/>
        <w:rPr>
          <w:color w:val="auto"/>
          <w:kern w:val="0"/>
          <w:szCs w:val="21"/>
          <w:highlight w:val="none"/>
        </w:rPr>
      </w:pPr>
      <w:r>
        <w:rPr>
          <w:color w:val="auto"/>
          <w:kern w:val="0"/>
          <w:szCs w:val="21"/>
          <w:highlight w:val="none"/>
        </w:rPr>
        <w:t>(6)</w:t>
      </w:r>
      <w:r>
        <w:rPr>
          <w:rFonts w:hint="eastAsia" w:hAnsi="宋体"/>
          <w:color w:val="auto"/>
          <w:kern w:val="0"/>
          <w:szCs w:val="21"/>
          <w:highlight w:val="none"/>
        </w:rPr>
        <w:t>合同签订之日起十五日内，承包人无法按合同规定及投标文件的承诺进场经监理工程师认可的全部人员和机械的。</w:t>
      </w:r>
    </w:p>
    <w:p w14:paraId="73319238">
      <w:pPr>
        <w:pStyle w:val="35"/>
        <w:spacing w:line="360" w:lineRule="auto"/>
        <w:ind w:firstLine="420" w:firstLineChars="200"/>
        <w:rPr>
          <w:color w:val="auto"/>
          <w:kern w:val="0"/>
          <w:szCs w:val="21"/>
          <w:highlight w:val="none"/>
        </w:rPr>
      </w:pPr>
      <w:r>
        <w:rPr>
          <w:rFonts w:hint="eastAsia" w:hAnsi="宋体"/>
          <w:color w:val="auto"/>
          <w:kern w:val="0"/>
          <w:szCs w:val="21"/>
          <w:highlight w:val="none"/>
        </w:rPr>
        <w:t>发包人继续使用承包人在施工现场的材料、设备、临时工程、承包人文件和由承包人或以其名义编制的其他文件的费用承担方式：</w:t>
      </w:r>
      <w:r>
        <w:rPr>
          <w:rFonts w:hint="eastAsia"/>
          <w:color w:val="auto"/>
          <w:kern w:val="0"/>
          <w:szCs w:val="21"/>
          <w:highlight w:val="none"/>
          <w:u w:val="single"/>
        </w:rPr>
        <w:t>无</w:t>
      </w:r>
      <w:r>
        <w:rPr>
          <w:rFonts w:hint="eastAsia" w:hAnsi="宋体"/>
          <w:color w:val="auto"/>
          <w:kern w:val="0"/>
          <w:szCs w:val="21"/>
          <w:highlight w:val="none"/>
        </w:rPr>
        <w:t>。</w:t>
      </w:r>
    </w:p>
    <w:p w14:paraId="61108A89">
      <w:pPr>
        <w:pStyle w:val="23"/>
        <w:rPr>
          <w:color w:val="auto"/>
          <w:highlight w:val="none"/>
        </w:rPr>
      </w:pPr>
      <w:bookmarkStart w:id="983" w:name="_Toc467599631"/>
      <w:bookmarkStart w:id="984" w:name="_Toc373227769"/>
      <w:bookmarkStart w:id="985" w:name="_Toc373478416"/>
      <w:bookmarkStart w:id="986" w:name="_Toc389065334"/>
      <w:bookmarkStart w:id="987" w:name="_Toc351203649"/>
      <w:r>
        <w:rPr>
          <w:color w:val="auto"/>
          <w:highlight w:val="none"/>
        </w:rPr>
        <w:t xml:space="preserve">17. </w:t>
      </w:r>
      <w:r>
        <w:rPr>
          <w:rFonts w:hint="eastAsia" w:hAnsi="宋体"/>
          <w:color w:val="auto"/>
          <w:highlight w:val="none"/>
        </w:rPr>
        <w:t>不可抗力</w:t>
      </w:r>
      <w:bookmarkEnd w:id="973"/>
      <w:bookmarkEnd w:id="983"/>
      <w:bookmarkEnd w:id="984"/>
      <w:bookmarkEnd w:id="985"/>
      <w:bookmarkEnd w:id="986"/>
      <w:bookmarkEnd w:id="987"/>
    </w:p>
    <w:p w14:paraId="2FB11BA2">
      <w:pPr>
        <w:pStyle w:val="33"/>
        <w:rPr>
          <w:rFonts w:ascii="Calibri" w:hAnsi="Calibri"/>
          <w:color w:val="auto"/>
          <w:highlight w:val="none"/>
        </w:rPr>
      </w:pPr>
      <w:bookmarkStart w:id="988" w:name="_Toc389065335"/>
      <w:bookmarkStart w:id="989" w:name="_Toc467599632"/>
      <w:bookmarkStart w:id="990" w:name="_Toc373478417"/>
      <w:bookmarkStart w:id="991" w:name="_Toc373227770"/>
      <w:r>
        <w:rPr>
          <w:rFonts w:ascii="Calibri" w:hAnsi="Calibri"/>
          <w:color w:val="auto"/>
          <w:highlight w:val="none"/>
        </w:rPr>
        <w:t xml:space="preserve">17.1 </w:t>
      </w:r>
      <w:r>
        <w:rPr>
          <w:rFonts w:hint="eastAsia" w:ascii="Calibri" w:hAnsi="Calibri"/>
          <w:color w:val="auto"/>
          <w:highlight w:val="none"/>
        </w:rPr>
        <w:t>不可抗力的确认</w:t>
      </w:r>
      <w:bookmarkEnd w:id="988"/>
      <w:bookmarkEnd w:id="989"/>
      <w:bookmarkEnd w:id="990"/>
      <w:bookmarkEnd w:id="991"/>
    </w:p>
    <w:p w14:paraId="15FE875B">
      <w:pPr>
        <w:pStyle w:val="35"/>
        <w:spacing w:line="360" w:lineRule="auto"/>
        <w:ind w:firstLine="420" w:firstLineChars="200"/>
        <w:jc w:val="left"/>
        <w:rPr>
          <w:color w:val="auto"/>
          <w:kern w:val="0"/>
          <w:szCs w:val="21"/>
          <w:highlight w:val="none"/>
          <w:u w:val="single"/>
        </w:rPr>
      </w:pPr>
      <w:r>
        <w:rPr>
          <w:rFonts w:hint="eastAsia" w:hAnsi="宋体"/>
          <w:color w:val="auto"/>
          <w:szCs w:val="21"/>
          <w:highlight w:val="none"/>
        </w:rPr>
        <w:t>除通用合同条款约定的不可抗力事件之外，视为不可抗力的其他情形：</w:t>
      </w:r>
      <w:r>
        <w:rPr>
          <w:rFonts w:hint="eastAsia"/>
          <w:color w:val="auto"/>
          <w:kern w:val="0"/>
          <w:szCs w:val="21"/>
          <w:highlight w:val="none"/>
          <w:u w:val="single"/>
        </w:rPr>
        <w:t>无</w:t>
      </w:r>
      <w:r>
        <w:rPr>
          <w:rFonts w:hint="eastAsia" w:hAnsi="宋体"/>
          <w:color w:val="auto"/>
          <w:kern w:val="0"/>
          <w:szCs w:val="21"/>
          <w:highlight w:val="none"/>
        </w:rPr>
        <w:t>。</w:t>
      </w:r>
    </w:p>
    <w:p w14:paraId="20DDF8AB">
      <w:pPr>
        <w:pStyle w:val="33"/>
        <w:rPr>
          <w:rFonts w:ascii="Calibri" w:hAnsi="Calibri"/>
          <w:color w:val="auto"/>
          <w:highlight w:val="none"/>
        </w:rPr>
      </w:pPr>
      <w:bookmarkStart w:id="992" w:name="_Toc389065336"/>
      <w:bookmarkStart w:id="993" w:name="_Toc373478418"/>
      <w:bookmarkStart w:id="994" w:name="_Toc373227771"/>
      <w:bookmarkStart w:id="995" w:name="_Toc467599633"/>
      <w:r>
        <w:rPr>
          <w:rFonts w:ascii="Calibri" w:hAnsi="Calibri"/>
          <w:color w:val="auto"/>
          <w:highlight w:val="none"/>
        </w:rPr>
        <w:t xml:space="preserve">17.4 </w:t>
      </w:r>
      <w:r>
        <w:rPr>
          <w:rFonts w:hint="eastAsia" w:ascii="Calibri" w:hAnsi="Calibri"/>
          <w:color w:val="auto"/>
          <w:highlight w:val="none"/>
        </w:rPr>
        <w:t>因不可抗力解除合同</w:t>
      </w:r>
      <w:bookmarkEnd w:id="992"/>
      <w:bookmarkEnd w:id="993"/>
      <w:bookmarkEnd w:id="994"/>
      <w:bookmarkEnd w:id="995"/>
    </w:p>
    <w:p w14:paraId="73A41AFA">
      <w:pPr>
        <w:pStyle w:val="35"/>
        <w:spacing w:line="360" w:lineRule="auto"/>
        <w:ind w:firstLine="420" w:firstLineChars="200"/>
        <w:jc w:val="left"/>
        <w:rPr>
          <w:color w:val="auto"/>
          <w:szCs w:val="21"/>
          <w:highlight w:val="none"/>
        </w:rPr>
      </w:pPr>
      <w:r>
        <w:rPr>
          <w:rFonts w:hint="eastAsia" w:hAnsi="宋体"/>
          <w:color w:val="auto"/>
          <w:szCs w:val="21"/>
          <w:highlight w:val="none"/>
        </w:rPr>
        <w:t>合同解除后，发包人应在商定或确定发包人应支付款项后</w:t>
      </w:r>
      <w:r>
        <w:rPr>
          <w:color w:val="auto"/>
          <w:szCs w:val="21"/>
          <w:highlight w:val="none"/>
          <w:u w:val="single"/>
        </w:rPr>
        <w:t xml:space="preserve"> / </w:t>
      </w:r>
      <w:r>
        <w:rPr>
          <w:rFonts w:hint="eastAsia" w:hAnsi="宋体"/>
          <w:color w:val="auto"/>
          <w:szCs w:val="21"/>
          <w:highlight w:val="none"/>
        </w:rPr>
        <w:t>天内完成款项的支付。</w:t>
      </w:r>
    </w:p>
    <w:p w14:paraId="7CE7E22F">
      <w:pPr>
        <w:pStyle w:val="23"/>
        <w:rPr>
          <w:color w:val="auto"/>
          <w:highlight w:val="none"/>
        </w:rPr>
      </w:pPr>
      <w:bookmarkStart w:id="996" w:name="_Toc467599634"/>
      <w:bookmarkStart w:id="997" w:name="_Toc351203650"/>
      <w:bookmarkStart w:id="998" w:name="_Toc389065337"/>
      <w:bookmarkStart w:id="999" w:name="_Toc373227772"/>
      <w:bookmarkStart w:id="1000" w:name="_Toc373478419"/>
      <w:r>
        <w:rPr>
          <w:color w:val="auto"/>
          <w:highlight w:val="none"/>
        </w:rPr>
        <w:t xml:space="preserve">18. </w:t>
      </w:r>
      <w:r>
        <w:rPr>
          <w:rFonts w:hint="eastAsia" w:hAnsi="宋体"/>
          <w:color w:val="auto"/>
          <w:highlight w:val="none"/>
        </w:rPr>
        <w:t>保险</w:t>
      </w:r>
      <w:bookmarkEnd w:id="996"/>
      <w:bookmarkEnd w:id="997"/>
      <w:bookmarkEnd w:id="998"/>
      <w:bookmarkEnd w:id="999"/>
      <w:bookmarkEnd w:id="1000"/>
    </w:p>
    <w:bookmarkEnd w:id="974"/>
    <w:p w14:paraId="0D08284D">
      <w:pPr>
        <w:pStyle w:val="33"/>
        <w:rPr>
          <w:rFonts w:ascii="Calibri" w:hAnsi="Calibri"/>
          <w:color w:val="auto"/>
          <w:highlight w:val="none"/>
        </w:rPr>
      </w:pPr>
      <w:bookmarkStart w:id="1001" w:name="_Toc373478420"/>
      <w:bookmarkStart w:id="1002" w:name="_Toc389065338"/>
      <w:bookmarkStart w:id="1003" w:name="_Toc467599635"/>
      <w:bookmarkStart w:id="1004" w:name="_Toc373227773"/>
      <w:r>
        <w:rPr>
          <w:rFonts w:ascii="Calibri" w:hAnsi="Calibri"/>
          <w:color w:val="auto"/>
          <w:highlight w:val="none"/>
        </w:rPr>
        <w:t xml:space="preserve">18.1 </w:t>
      </w:r>
      <w:r>
        <w:rPr>
          <w:rFonts w:hint="eastAsia" w:ascii="Calibri" w:hAnsi="宋体"/>
          <w:color w:val="auto"/>
          <w:highlight w:val="none"/>
        </w:rPr>
        <w:t>工程保险</w:t>
      </w:r>
      <w:bookmarkEnd w:id="1001"/>
      <w:bookmarkEnd w:id="1002"/>
      <w:bookmarkEnd w:id="1003"/>
      <w:bookmarkEnd w:id="1004"/>
    </w:p>
    <w:p w14:paraId="43880980">
      <w:pPr>
        <w:pStyle w:val="35"/>
        <w:spacing w:line="360" w:lineRule="auto"/>
        <w:ind w:firstLine="420" w:firstLineChars="200"/>
        <w:jc w:val="left"/>
        <w:rPr>
          <w:color w:val="auto"/>
          <w:sz w:val="21"/>
          <w:szCs w:val="21"/>
          <w:highlight w:val="none"/>
        </w:rPr>
      </w:pPr>
      <w:bookmarkStart w:id="1005" w:name="_Toc467599636"/>
      <w:bookmarkStart w:id="1006" w:name="_Toc373478421"/>
      <w:bookmarkStart w:id="1007" w:name="_Toc373227774"/>
      <w:bookmarkStart w:id="1008" w:name="_Toc389065339"/>
      <w:r>
        <w:rPr>
          <w:rFonts w:hint="eastAsia" w:hAnsi="宋体"/>
          <w:color w:val="auto"/>
          <w:szCs w:val="21"/>
          <w:highlight w:val="none"/>
        </w:rPr>
        <w:t>关于工程保险的特别约定：</w:t>
      </w:r>
      <w:r>
        <w:rPr>
          <w:rFonts w:ascii="宋体" w:hAnsi="宋体" w:eastAsia="宋体" w:cs="宋体"/>
          <w:color w:val="auto"/>
          <w:sz w:val="21"/>
          <w:szCs w:val="21"/>
          <w:highlight w:val="none"/>
          <w:u w:val="single"/>
        </w:rPr>
        <w:t>承包人应根据项目特点需要，投保建筑工程一切险或安装工程一切险，投保产生的保险费和其他费用由承包人承担</w:t>
      </w:r>
      <w:r>
        <w:rPr>
          <w:rFonts w:hint="eastAsia" w:hAnsi="宋体"/>
          <w:color w:val="auto"/>
          <w:kern w:val="0"/>
          <w:sz w:val="21"/>
          <w:szCs w:val="21"/>
          <w:highlight w:val="none"/>
        </w:rPr>
        <w:t>。</w:t>
      </w:r>
    </w:p>
    <w:p w14:paraId="6DEE4912">
      <w:pPr>
        <w:pStyle w:val="33"/>
        <w:rPr>
          <w:rFonts w:ascii="Calibri" w:hAnsi="Calibri"/>
          <w:color w:val="auto"/>
          <w:highlight w:val="none"/>
        </w:rPr>
      </w:pPr>
      <w:r>
        <w:rPr>
          <w:rFonts w:ascii="Calibri" w:hAnsi="Calibri"/>
          <w:color w:val="auto"/>
          <w:highlight w:val="none"/>
        </w:rPr>
        <w:t xml:space="preserve">18.3 </w:t>
      </w:r>
      <w:r>
        <w:rPr>
          <w:rFonts w:hint="eastAsia" w:ascii="Calibri" w:hAnsi="宋体"/>
          <w:color w:val="auto"/>
          <w:highlight w:val="none"/>
        </w:rPr>
        <w:t>其他保险</w:t>
      </w:r>
      <w:bookmarkEnd w:id="1005"/>
      <w:bookmarkEnd w:id="1006"/>
      <w:bookmarkEnd w:id="1007"/>
      <w:bookmarkEnd w:id="1008"/>
    </w:p>
    <w:p w14:paraId="2F8BE031">
      <w:pPr>
        <w:pStyle w:val="35"/>
        <w:spacing w:line="360" w:lineRule="auto"/>
        <w:ind w:firstLine="420" w:firstLineChars="200"/>
        <w:jc w:val="left"/>
        <w:rPr>
          <w:color w:val="auto"/>
          <w:kern w:val="0"/>
          <w:szCs w:val="21"/>
          <w:highlight w:val="none"/>
        </w:rPr>
      </w:pPr>
      <w:r>
        <w:rPr>
          <w:rFonts w:hint="eastAsia" w:hAnsi="宋体"/>
          <w:color w:val="auto"/>
          <w:szCs w:val="21"/>
          <w:highlight w:val="none"/>
        </w:rPr>
        <w:t>关于其他保险的约定：</w:t>
      </w:r>
      <w:r>
        <w:rPr>
          <w:rFonts w:hint="eastAsia" w:hAnsi="宋体"/>
          <w:bCs/>
          <w:color w:val="auto"/>
          <w:szCs w:val="21"/>
          <w:highlight w:val="none"/>
          <w:u w:val="single"/>
        </w:rPr>
        <w:t>承包人必须为施工现场从事施工的所有作业人员和管理人员办理意外伤害保险，并支付保险费</w:t>
      </w:r>
      <w:r>
        <w:rPr>
          <w:rFonts w:hint="eastAsia" w:hAnsi="宋体"/>
          <w:bCs/>
          <w:color w:val="auto"/>
          <w:szCs w:val="21"/>
          <w:highlight w:val="none"/>
        </w:rPr>
        <w:t>。</w:t>
      </w:r>
    </w:p>
    <w:p w14:paraId="29EA72E6">
      <w:pPr>
        <w:pStyle w:val="35"/>
        <w:spacing w:line="360" w:lineRule="auto"/>
        <w:ind w:firstLine="420" w:firstLineChars="200"/>
        <w:jc w:val="left"/>
        <w:rPr>
          <w:color w:val="auto"/>
          <w:szCs w:val="21"/>
          <w:highlight w:val="none"/>
          <w:u w:val="single"/>
        </w:rPr>
      </w:pPr>
      <w:r>
        <w:rPr>
          <w:rFonts w:hint="eastAsia" w:hAnsi="宋体"/>
          <w:color w:val="auto"/>
          <w:szCs w:val="21"/>
          <w:highlight w:val="none"/>
        </w:rPr>
        <w:t>承包人是否应为其施工设备等办理财产保险：</w:t>
      </w:r>
      <w:r>
        <w:rPr>
          <w:rFonts w:hint="eastAsia"/>
          <w:color w:val="auto"/>
          <w:szCs w:val="21"/>
          <w:highlight w:val="none"/>
          <w:u w:val="single"/>
        </w:rPr>
        <w:t>承包人自行商定</w:t>
      </w:r>
      <w:r>
        <w:rPr>
          <w:rFonts w:hint="eastAsia" w:hAnsi="宋体"/>
          <w:color w:val="auto"/>
          <w:szCs w:val="21"/>
          <w:highlight w:val="none"/>
        </w:rPr>
        <w:t>。</w:t>
      </w:r>
    </w:p>
    <w:p w14:paraId="075593E7">
      <w:pPr>
        <w:pStyle w:val="33"/>
        <w:rPr>
          <w:rFonts w:ascii="Calibri" w:hAnsi="Calibri"/>
          <w:color w:val="auto"/>
          <w:highlight w:val="none"/>
        </w:rPr>
      </w:pPr>
      <w:bookmarkStart w:id="1009" w:name="_Toc373227775"/>
      <w:bookmarkStart w:id="1010" w:name="_Toc467599637"/>
      <w:bookmarkStart w:id="1011" w:name="_Toc373478422"/>
      <w:bookmarkStart w:id="1012" w:name="_Toc389065340"/>
      <w:r>
        <w:rPr>
          <w:rFonts w:ascii="Calibri" w:hAnsi="Calibri"/>
          <w:color w:val="auto"/>
          <w:highlight w:val="none"/>
        </w:rPr>
        <w:t xml:space="preserve">18.7 </w:t>
      </w:r>
      <w:r>
        <w:rPr>
          <w:rFonts w:hint="eastAsia" w:ascii="Calibri" w:hAnsi="宋体"/>
          <w:color w:val="auto"/>
          <w:highlight w:val="none"/>
        </w:rPr>
        <w:t>通知义务</w:t>
      </w:r>
      <w:bookmarkEnd w:id="1009"/>
      <w:bookmarkEnd w:id="1010"/>
      <w:bookmarkEnd w:id="1011"/>
      <w:bookmarkEnd w:id="1012"/>
    </w:p>
    <w:p w14:paraId="24AE7504">
      <w:pPr>
        <w:pStyle w:val="35"/>
        <w:spacing w:line="360" w:lineRule="auto"/>
        <w:ind w:firstLine="420" w:firstLineChars="200"/>
        <w:jc w:val="left"/>
        <w:rPr>
          <w:color w:val="auto"/>
          <w:szCs w:val="21"/>
          <w:highlight w:val="none"/>
          <w:u w:val="single"/>
        </w:rPr>
      </w:pPr>
      <w:r>
        <w:rPr>
          <w:rFonts w:hint="eastAsia" w:hAnsi="宋体"/>
          <w:color w:val="auto"/>
          <w:kern w:val="0"/>
          <w:szCs w:val="21"/>
          <w:highlight w:val="none"/>
        </w:rPr>
        <w:t>关于变更保险合同时的通知义务的约定：</w:t>
      </w:r>
      <w:r>
        <w:rPr>
          <w:rFonts w:hint="eastAsia"/>
          <w:color w:val="auto"/>
          <w:szCs w:val="21"/>
          <w:highlight w:val="none"/>
          <w:u w:val="single"/>
        </w:rPr>
        <w:t>无</w:t>
      </w:r>
      <w:r>
        <w:rPr>
          <w:rFonts w:hint="eastAsia" w:hAnsi="宋体"/>
          <w:color w:val="auto"/>
          <w:szCs w:val="21"/>
          <w:highlight w:val="none"/>
        </w:rPr>
        <w:t>。</w:t>
      </w:r>
    </w:p>
    <w:p w14:paraId="26D90FB1">
      <w:pPr>
        <w:pStyle w:val="23"/>
        <w:rPr>
          <w:color w:val="auto"/>
          <w:highlight w:val="none"/>
        </w:rPr>
      </w:pPr>
      <w:bookmarkStart w:id="1013" w:name="_Toc351203651"/>
      <w:bookmarkStart w:id="1014" w:name="_Toc373478423"/>
      <w:bookmarkStart w:id="1015" w:name="_Toc373227776"/>
      <w:bookmarkStart w:id="1016" w:name="_Toc467599638"/>
      <w:bookmarkStart w:id="1017" w:name="_Toc389065341"/>
      <w:r>
        <w:rPr>
          <w:color w:val="auto"/>
          <w:highlight w:val="none"/>
        </w:rPr>
        <w:t xml:space="preserve">20. </w:t>
      </w:r>
      <w:r>
        <w:rPr>
          <w:rFonts w:hint="eastAsia" w:hAnsi="宋体"/>
          <w:color w:val="auto"/>
          <w:highlight w:val="none"/>
        </w:rPr>
        <w:t>争议解决</w:t>
      </w:r>
      <w:bookmarkEnd w:id="1013"/>
      <w:bookmarkEnd w:id="1014"/>
      <w:bookmarkEnd w:id="1015"/>
      <w:bookmarkEnd w:id="1016"/>
      <w:bookmarkEnd w:id="1017"/>
    </w:p>
    <w:p w14:paraId="14CB59B2">
      <w:pPr>
        <w:pStyle w:val="33"/>
        <w:rPr>
          <w:rFonts w:ascii="Calibri" w:hAnsi="Calibri"/>
          <w:color w:val="auto"/>
          <w:highlight w:val="none"/>
        </w:rPr>
      </w:pPr>
      <w:bookmarkStart w:id="1018" w:name="_Toc373478424"/>
      <w:bookmarkStart w:id="1019" w:name="_Toc467599639"/>
      <w:bookmarkStart w:id="1020" w:name="_Toc389065342"/>
      <w:bookmarkStart w:id="1021" w:name="_Toc373227777"/>
      <w:r>
        <w:rPr>
          <w:rFonts w:ascii="Calibri" w:hAnsi="Calibri"/>
          <w:color w:val="auto"/>
          <w:highlight w:val="none"/>
        </w:rPr>
        <w:t xml:space="preserve">20.3 </w:t>
      </w:r>
      <w:r>
        <w:rPr>
          <w:rFonts w:hint="eastAsia" w:ascii="Calibri" w:hAnsi="宋体"/>
          <w:color w:val="auto"/>
          <w:highlight w:val="none"/>
        </w:rPr>
        <w:t>争议评审</w:t>
      </w:r>
      <w:bookmarkEnd w:id="1018"/>
      <w:bookmarkEnd w:id="1019"/>
      <w:bookmarkEnd w:id="1020"/>
      <w:bookmarkEnd w:id="1021"/>
    </w:p>
    <w:p w14:paraId="0CEC1AE4">
      <w:pPr>
        <w:pStyle w:val="35"/>
        <w:spacing w:line="360" w:lineRule="auto"/>
        <w:ind w:left="149" w:leftChars="71" w:firstLine="315" w:firstLineChars="150"/>
        <w:jc w:val="left"/>
        <w:rPr>
          <w:color w:val="auto"/>
          <w:szCs w:val="21"/>
          <w:highlight w:val="none"/>
          <w:u w:val="single"/>
        </w:rPr>
      </w:pPr>
      <w:r>
        <w:rPr>
          <w:rFonts w:hint="eastAsia" w:hAnsi="宋体"/>
          <w:color w:val="auto"/>
          <w:szCs w:val="21"/>
          <w:highlight w:val="none"/>
        </w:rPr>
        <w:t>合同当事人是否同意将工程争议提交争议评审小组决定：</w:t>
      </w:r>
      <w:r>
        <w:rPr>
          <w:rFonts w:hint="eastAsia"/>
          <w:color w:val="auto"/>
          <w:szCs w:val="21"/>
          <w:highlight w:val="none"/>
          <w:u w:val="single"/>
        </w:rPr>
        <w:t>是</w:t>
      </w:r>
      <w:r>
        <w:rPr>
          <w:rFonts w:hint="eastAsia" w:hAnsi="宋体"/>
          <w:color w:val="auto"/>
          <w:szCs w:val="21"/>
          <w:highlight w:val="none"/>
        </w:rPr>
        <w:t>。</w:t>
      </w:r>
    </w:p>
    <w:p w14:paraId="4EE25113">
      <w:pPr>
        <w:pStyle w:val="35"/>
        <w:spacing w:line="360" w:lineRule="auto"/>
        <w:ind w:firstLine="420" w:firstLineChars="200"/>
        <w:jc w:val="left"/>
        <w:outlineLvl w:val="0"/>
        <w:rPr>
          <w:color w:val="auto"/>
          <w:szCs w:val="21"/>
          <w:highlight w:val="none"/>
        </w:rPr>
      </w:pPr>
      <w:r>
        <w:rPr>
          <w:color w:val="auto"/>
          <w:szCs w:val="21"/>
          <w:highlight w:val="none"/>
        </w:rPr>
        <w:t xml:space="preserve">20.3.1 </w:t>
      </w:r>
      <w:r>
        <w:rPr>
          <w:rFonts w:hint="eastAsia" w:hAnsi="宋体"/>
          <w:color w:val="auto"/>
          <w:szCs w:val="21"/>
          <w:highlight w:val="none"/>
        </w:rPr>
        <w:t>争议评审小组的确定</w:t>
      </w:r>
    </w:p>
    <w:p w14:paraId="5A8BAD95">
      <w:pPr>
        <w:pStyle w:val="35"/>
        <w:spacing w:line="360" w:lineRule="auto"/>
        <w:ind w:firstLine="420" w:firstLineChars="200"/>
        <w:jc w:val="left"/>
        <w:rPr>
          <w:color w:val="auto"/>
          <w:szCs w:val="21"/>
          <w:highlight w:val="none"/>
          <w:u w:val="single"/>
        </w:rPr>
      </w:pPr>
      <w:r>
        <w:rPr>
          <w:rFonts w:hint="eastAsia" w:hAnsi="宋体"/>
          <w:color w:val="auto"/>
          <w:szCs w:val="21"/>
          <w:highlight w:val="none"/>
        </w:rPr>
        <w:t>争议评审小组成员的确定：</w:t>
      </w:r>
      <w:r>
        <w:rPr>
          <w:rFonts w:hint="eastAsia" w:ascii="新宋体" w:hAnsi="新宋体" w:eastAsia="新宋体" w:cs="新宋体"/>
          <w:color w:val="auto"/>
          <w:szCs w:val="21"/>
          <w:highlight w:val="none"/>
          <w:u w:val="single"/>
        </w:rPr>
        <w:t>按通用条款20.3.1条执行</w:t>
      </w:r>
      <w:r>
        <w:rPr>
          <w:rFonts w:hint="eastAsia" w:hAnsi="宋体"/>
          <w:color w:val="auto"/>
          <w:szCs w:val="21"/>
          <w:highlight w:val="none"/>
        </w:rPr>
        <w:t>。</w:t>
      </w:r>
    </w:p>
    <w:p w14:paraId="47EE7AC2">
      <w:pPr>
        <w:pStyle w:val="35"/>
        <w:spacing w:line="360" w:lineRule="auto"/>
        <w:ind w:firstLine="420" w:firstLineChars="200"/>
        <w:jc w:val="left"/>
        <w:rPr>
          <w:color w:val="auto"/>
          <w:szCs w:val="21"/>
          <w:highlight w:val="none"/>
        </w:rPr>
      </w:pPr>
      <w:r>
        <w:rPr>
          <w:rFonts w:hint="eastAsia" w:hAnsi="宋体"/>
          <w:color w:val="auto"/>
          <w:szCs w:val="21"/>
          <w:highlight w:val="none"/>
        </w:rPr>
        <w:t>选定争议评审员的期限：</w:t>
      </w:r>
      <w:r>
        <w:rPr>
          <w:rFonts w:hint="eastAsia" w:ascii="新宋体" w:hAnsi="新宋体" w:eastAsia="新宋体" w:cs="新宋体"/>
          <w:color w:val="auto"/>
          <w:szCs w:val="21"/>
          <w:highlight w:val="none"/>
          <w:u w:val="single"/>
        </w:rPr>
        <w:t xml:space="preserve">按通用条款20.3.1条执行 </w:t>
      </w:r>
      <w:r>
        <w:rPr>
          <w:rFonts w:hint="eastAsia" w:hAnsi="宋体"/>
          <w:color w:val="auto"/>
          <w:szCs w:val="21"/>
          <w:highlight w:val="none"/>
        </w:rPr>
        <w:t>。</w:t>
      </w:r>
    </w:p>
    <w:p w14:paraId="579BB8BA">
      <w:pPr>
        <w:pStyle w:val="35"/>
        <w:spacing w:line="360" w:lineRule="auto"/>
        <w:ind w:firstLine="420" w:firstLineChars="200"/>
        <w:jc w:val="left"/>
        <w:rPr>
          <w:color w:val="auto"/>
          <w:szCs w:val="21"/>
          <w:highlight w:val="none"/>
        </w:rPr>
      </w:pPr>
      <w:r>
        <w:rPr>
          <w:rFonts w:hint="eastAsia" w:hAnsi="宋体"/>
          <w:color w:val="auto"/>
          <w:szCs w:val="21"/>
          <w:highlight w:val="none"/>
        </w:rPr>
        <w:t>争议评审小组成员的报酬承担方式：</w:t>
      </w:r>
      <w:r>
        <w:rPr>
          <w:rFonts w:hint="eastAsia" w:ascii="新宋体" w:hAnsi="新宋体" w:eastAsia="新宋体" w:cs="新宋体"/>
          <w:color w:val="auto"/>
          <w:szCs w:val="21"/>
          <w:highlight w:val="none"/>
          <w:u w:val="single"/>
        </w:rPr>
        <w:t>按通用条款20.3.1条执行</w:t>
      </w:r>
      <w:r>
        <w:rPr>
          <w:rFonts w:hint="eastAsia" w:hAnsi="宋体"/>
          <w:color w:val="auto"/>
          <w:szCs w:val="21"/>
          <w:highlight w:val="none"/>
        </w:rPr>
        <w:t>。</w:t>
      </w:r>
    </w:p>
    <w:p w14:paraId="36B36717">
      <w:pPr>
        <w:pStyle w:val="35"/>
        <w:spacing w:line="360" w:lineRule="auto"/>
        <w:ind w:firstLine="420" w:firstLineChars="200"/>
        <w:jc w:val="left"/>
        <w:rPr>
          <w:color w:val="auto"/>
          <w:szCs w:val="21"/>
          <w:highlight w:val="none"/>
        </w:rPr>
      </w:pPr>
      <w:r>
        <w:rPr>
          <w:rFonts w:hint="eastAsia" w:hAnsi="宋体"/>
          <w:color w:val="auto"/>
          <w:szCs w:val="21"/>
          <w:highlight w:val="none"/>
        </w:rPr>
        <w:t>其他事项的约定：</w:t>
      </w:r>
      <w:r>
        <w:rPr>
          <w:rFonts w:hint="eastAsia"/>
          <w:color w:val="auto"/>
          <w:szCs w:val="21"/>
          <w:highlight w:val="none"/>
          <w:u w:val="single"/>
        </w:rPr>
        <w:t>无</w:t>
      </w:r>
      <w:r>
        <w:rPr>
          <w:rFonts w:hint="eastAsia" w:hAnsi="宋体"/>
          <w:color w:val="auto"/>
          <w:szCs w:val="21"/>
          <w:highlight w:val="none"/>
        </w:rPr>
        <w:t>。</w:t>
      </w:r>
    </w:p>
    <w:p w14:paraId="227EEF6A">
      <w:pPr>
        <w:pStyle w:val="35"/>
        <w:autoSpaceDE w:val="0"/>
        <w:autoSpaceDN w:val="0"/>
        <w:adjustRightInd w:val="0"/>
        <w:spacing w:line="360" w:lineRule="auto"/>
        <w:ind w:firstLine="420" w:firstLineChars="200"/>
        <w:jc w:val="left"/>
        <w:rPr>
          <w:color w:val="auto"/>
          <w:kern w:val="0"/>
          <w:szCs w:val="21"/>
          <w:highlight w:val="none"/>
        </w:rPr>
      </w:pPr>
      <w:r>
        <w:rPr>
          <w:color w:val="auto"/>
          <w:kern w:val="0"/>
          <w:szCs w:val="21"/>
          <w:highlight w:val="none"/>
        </w:rPr>
        <w:t xml:space="preserve">20.3.2 </w:t>
      </w:r>
      <w:r>
        <w:rPr>
          <w:rFonts w:hint="eastAsia" w:hAnsi="宋体"/>
          <w:color w:val="auto"/>
          <w:kern w:val="0"/>
          <w:szCs w:val="21"/>
          <w:highlight w:val="none"/>
        </w:rPr>
        <w:t>争议评审小组的决定</w:t>
      </w:r>
    </w:p>
    <w:p w14:paraId="74D9C211">
      <w:pPr>
        <w:pStyle w:val="35"/>
        <w:spacing w:line="360" w:lineRule="auto"/>
        <w:ind w:firstLine="420" w:firstLineChars="200"/>
        <w:jc w:val="left"/>
        <w:rPr>
          <w:color w:val="auto"/>
          <w:szCs w:val="21"/>
          <w:highlight w:val="none"/>
        </w:rPr>
      </w:pPr>
      <w:r>
        <w:rPr>
          <w:rFonts w:hint="eastAsia" w:hAnsi="宋体"/>
          <w:color w:val="auto"/>
          <w:szCs w:val="21"/>
          <w:highlight w:val="none"/>
        </w:rPr>
        <w:t>合同当事人关于本项的约定：</w:t>
      </w:r>
      <w:r>
        <w:rPr>
          <w:rFonts w:hint="eastAsia"/>
          <w:color w:val="auto"/>
          <w:szCs w:val="21"/>
          <w:highlight w:val="none"/>
          <w:u w:val="single"/>
        </w:rPr>
        <w:t>无</w:t>
      </w:r>
      <w:r>
        <w:rPr>
          <w:rFonts w:hint="eastAsia" w:hAnsi="宋体"/>
          <w:color w:val="auto"/>
          <w:szCs w:val="21"/>
          <w:highlight w:val="none"/>
        </w:rPr>
        <w:t>。</w:t>
      </w:r>
    </w:p>
    <w:p w14:paraId="125D7119">
      <w:pPr>
        <w:pStyle w:val="33"/>
        <w:rPr>
          <w:rFonts w:ascii="Calibri" w:hAnsi="Calibri"/>
          <w:color w:val="auto"/>
          <w:highlight w:val="none"/>
        </w:rPr>
      </w:pPr>
      <w:bookmarkStart w:id="1022" w:name="_Toc389065343"/>
      <w:bookmarkStart w:id="1023" w:name="_Toc467599640"/>
      <w:bookmarkStart w:id="1024" w:name="_Toc373227778"/>
      <w:bookmarkStart w:id="1025" w:name="_Toc373478425"/>
      <w:r>
        <w:rPr>
          <w:rFonts w:ascii="Calibri" w:hAnsi="Calibri"/>
          <w:color w:val="auto"/>
          <w:highlight w:val="none"/>
        </w:rPr>
        <w:t xml:space="preserve">20.4 </w:t>
      </w:r>
      <w:r>
        <w:rPr>
          <w:rFonts w:hint="eastAsia" w:ascii="Calibri" w:hAnsi="宋体"/>
          <w:color w:val="auto"/>
          <w:highlight w:val="none"/>
        </w:rPr>
        <w:t>仲裁或诉讼</w:t>
      </w:r>
      <w:bookmarkEnd w:id="1022"/>
      <w:bookmarkEnd w:id="1023"/>
      <w:bookmarkEnd w:id="1024"/>
      <w:bookmarkEnd w:id="1025"/>
    </w:p>
    <w:p w14:paraId="35215995">
      <w:pPr>
        <w:pStyle w:val="35"/>
        <w:spacing w:line="360" w:lineRule="auto"/>
        <w:ind w:firstLine="420" w:firstLineChars="200"/>
        <w:rPr>
          <w:color w:val="auto"/>
          <w:szCs w:val="21"/>
          <w:highlight w:val="none"/>
        </w:rPr>
      </w:pPr>
      <w:r>
        <w:rPr>
          <w:rFonts w:hint="eastAsia" w:hAnsi="宋体"/>
          <w:color w:val="auto"/>
          <w:szCs w:val="21"/>
          <w:highlight w:val="none"/>
        </w:rPr>
        <w:t>因合同及合同有关事项发生的争议，按下列第（</w:t>
      </w:r>
      <w:r>
        <w:rPr>
          <w:color w:val="auto"/>
          <w:szCs w:val="21"/>
          <w:highlight w:val="none"/>
        </w:rPr>
        <w:t>1</w:t>
      </w:r>
      <w:r>
        <w:rPr>
          <w:rFonts w:hint="eastAsia" w:hAnsi="宋体"/>
          <w:color w:val="auto"/>
          <w:szCs w:val="21"/>
          <w:highlight w:val="none"/>
        </w:rPr>
        <w:t>）种方式解决：</w:t>
      </w:r>
    </w:p>
    <w:p w14:paraId="5B473D9F">
      <w:pPr>
        <w:pStyle w:val="35"/>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1</w:t>
      </w:r>
      <w:r>
        <w:rPr>
          <w:rFonts w:hint="eastAsia" w:hAnsi="宋体"/>
          <w:color w:val="auto"/>
          <w:szCs w:val="21"/>
          <w:highlight w:val="none"/>
        </w:rPr>
        <w:t>）提请</w:t>
      </w:r>
      <w:r>
        <w:rPr>
          <w:rFonts w:hint="eastAsia"/>
          <w:color w:val="auto"/>
          <w:szCs w:val="21"/>
          <w:highlight w:val="none"/>
          <w:u w:val="single"/>
        </w:rPr>
        <w:t>南宁</w:t>
      </w:r>
      <w:r>
        <w:rPr>
          <w:rFonts w:hint="eastAsia" w:hAnsi="宋体"/>
          <w:color w:val="auto"/>
          <w:szCs w:val="21"/>
          <w:highlight w:val="none"/>
        </w:rPr>
        <w:t>仲裁委员会按照该会仲裁规则进行仲裁，仲裁裁决是终局的，对合同双方均有约束力。</w:t>
      </w:r>
    </w:p>
    <w:p w14:paraId="5E8182D6">
      <w:pPr>
        <w:pStyle w:val="35"/>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2</w:t>
      </w:r>
      <w:r>
        <w:rPr>
          <w:rFonts w:hint="eastAsia" w:hAnsi="宋体"/>
          <w:color w:val="auto"/>
          <w:szCs w:val="21"/>
          <w:highlight w:val="none"/>
        </w:rPr>
        <w:t>）向</w:t>
      </w:r>
      <w:r>
        <w:rPr>
          <w:color w:val="auto"/>
          <w:szCs w:val="21"/>
          <w:highlight w:val="none"/>
          <w:u w:val="single"/>
        </w:rPr>
        <w:t xml:space="preserve">      /      </w:t>
      </w:r>
      <w:r>
        <w:rPr>
          <w:rFonts w:hint="eastAsia" w:hAnsi="宋体"/>
          <w:color w:val="auto"/>
          <w:szCs w:val="21"/>
          <w:highlight w:val="none"/>
        </w:rPr>
        <w:t>人民法院起诉。</w:t>
      </w:r>
    </w:p>
    <w:p w14:paraId="2BBAC547">
      <w:pPr>
        <w:pStyle w:val="23"/>
        <w:rPr>
          <w:color w:val="auto"/>
          <w:highlight w:val="none"/>
        </w:rPr>
      </w:pPr>
      <w:bookmarkStart w:id="1026" w:name="_Toc389065344"/>
      <w:bookmarkStart w:id="1027" w:name="_Toc373227779"/>
      <w:bookmarkStart w:id="1028" w:name="_Toc467599641"/>
      <w:bookmarkStart w:id="1029" w:name="_Toc373478426"/>
      <w:r>
        <w:rPr>
          <w:color w:val="auto"/>
          <w:highlight w:val="none"/>
        </w:rPr>
        <w:t xml:space="preserve">21. </w:t>
      </w:r>
      <w:r>
        <w:rPr>
          <w:rFonts w:hint="eastAsia" w:hAnsi="宋体"/>
          <w:color w:val="auto"/>
          <w:highlight w:val="none"/>
        </w:rPr>
        <w:t>补充条款</w:t>
      </w:r>
      <w:bookmarkEnd w:id="1026"/>
      <w:bookmarkEnd w:id="1027"/>
      <w:bookmarkEnd w:id="1028"/>
      <w:bookmarkEnd w:id="1029"/>
    </w:p>
    <w:p w14:paraId="0EEEE0EC">
      <w:pPr>
        <w:pStyle w:val="35"/>
        <w:spacing w:line="360" w:lineRule="auto"/>
        <w:ind w:firstLine="420" w:firstLineChars="200"/>
        <w:rPr>
          <w:rFonts w:hAnsi="宋体"/>
          <w:color w:val="auto"/>
          <w:szCs w:val="21"/>
          <w:highlight w:val="none"/>
          <w:u w:val="single"/>
        </w:rPr>
      </w:pPr>
      <w:r>
        <w:rPr>
          <w:rFonts w:hAnsi="宋体"/>
          <w:color w:val="auto"/>
          <w:szCs w:val="21"/>
          <w:highlight w:val="none"/>
          <w:u w:val="single"/>
        </w:rPr>
        <w:t xml:space="preserve">21. </w:t>
      </w:r>
      <w:r>
        <w:rPr>
          <w:rFonts w:hint="eastAsia" w:hAnsi="宋体"/>
          <w:color w:val="auto"/>
          <w:szCs w:val="21"/>
          <w:highlight w:val="none"/>
          <w:u w:val="single"/>
        </w:rPr>
        <w:t>补充条款</w:t>
      </w:r>
    </w:p>
    <w:p w14:paraId="6270C5C6">
      <w:pPr>
        <w:pStyle w:val="35"/>
        <w:spacing w:line="360" w:lineRule="auto"/>
        <w:ind w:firstLine="420" w:firstLineChars="200"/>
        <w:rPr>
          <w:rFonts w:hAnsi="宋体"/>
          <w:color w:val="auto"/>
          <w:szCs w:val="21"/>
          <w:highlight w:val="none"/>
          <w:u w:val="single"/>
        </w:rPr>
      </w:pPr>
      <w:r>
        <w:rPr>
          <w:rFonts w:hAnsi="宋体"/>
          <w:color w:val="auto"/>
          <w:szCs w:val="21"/>
          <w:highlight w:val="none"/>
          <w:u w:val="single"/>
        </w:rPr>
        <w:t xml:space="preserve">21.1 </w:t>
      </w:r>
      <w:r>
        <w:rPr>
          <w:rFonts w:hint="eastAsia" w:hAnsi="宋体"/>
          <w:color w:val="auto"/>
          <w:szCs w:val="21"/>
          <w:highlight w:val="none"/>
          <w:u w:val="single"/>
        </w:rPr>
        <w:t>凡进入本工程工作的妇女应持有计生证、否则不准安排工作，禁止使用童工。</w:t>
      </w:r>
    </w:p>
    <w:p w14:paraId="2AF7C3AC">
      <w:pPr>
        <w:pStyle w:val="35"/>
        <w:spacing w:line="360" w:lineRule="auto"/>
        <w:ind w:firstLine="420" w:firstLineChars="200"/>
        <w:rPr>
          <w:rFonts w:hAnsi="宋体"/>
          <w:color w:val="auto"/>
          <w:szCs w:val="21"/>
          <w:highlight w:val="none"/>
          <w:u w:val="single"/>
        </w:rPr>
      </w:pPr>
      <w:r>
        <w:rPr>
          <w:rFonts w:hAnsi="宋体"/>
          <w:color w:val="auto"/>
          <w:szCs w:val="21"/>
          <w:highlight w:val="none"/>
          <w:u w:val="single"/>
        </w:rPr>
        <w:t>21.2</w:t>
      </w:r>
      <w:r>
        <w:rPr>
          <w:rFonts w:hint="eastAsia" w:hAnsi="宋体"/>
          <w:color w:val="auto"/>
          <w:szCs w:val="21"/>
          <w:highlight w:val="none"/>
          <w:u w:val="single"/>
        </w:rPr>
        <w:t>关于项目管理人员（含项目经理）到岗约定：无论何种原因，派驻现场人员与投标承诺不一致，均视为承包人违约，违约标准按</w:t>
      </w:r>
      <w:r>
        <w:rPr>
          <w:rFonts w:hAnsi="宋体"/>
          <w:color w:val="auto"/>
          <w:szCs w:val="21"/>
          <w:highlight w:val="none"/>
          <w:u w:val="single"/>
        </w:rPr>
        <w:t>3.2</w:t>
      </w:r>
      <w:r>
        <w:rPr>
          <w:rFonts w:hint="eastAsia" w:hAnsi="宋体"/>
          <w:color w:val="auto"/>
          <w:szCs w:val="21"/>
          <w:highlight w:val="none"/>
          <w:u w:val="single"/>
        </w:rPr>
        <w:t>、</w:t>
      </w:r>
      <w:r>
        <w:rPr>
          <w:rFonts w:hAnsi="宋体"/>
          <w:color w:val="auto"/>
          <w:szCs w:val="21"/>
          <w:highlight w:val="none"/>
          <w:u w:val="single"/>
        </w:rPr>
        <w:t>3.3</w:t>
      </w:r>
      <w:r>
        <w:rPr>
          <w:rFonts w:hint="eastAsia" w:hAnsi="宋体"/>
          <w:color w:val="auto"/>
          <w:szCs w:val="21"/>
          <w:highlight w:val="none"/>
          <w:u w:val="single"/>
        </w:rPr>
        <w:t>条款执行。</w:t>
      </w:r>
    </w:p>
    <w:p w14:paraId="173EF778">
      <w:pPr>
        <w:pStyle w:val="35"/>
        <w:spacing w:line="360" w:lineRule="auto"/>
        <w:ind w:firstLine="420" w:firstLineChars="200"/>
        <w:rPr>
          <w:rFonts w:hAnsi="宋体"/>
          <w:color w:val="auto"/>
          <w:szCs w:val="21"/>
          <w:highlight w:val="none"/>
          <w:u w:val="single"/>
        </w:rPr>
      </w:pPr>
      <w:r>
        <w:rPr>
          <w:rFonts w:hAnsi="宋体"/>
          <w:color w:val="auto"/>
          <w:szCs w:val="21"/>
          <w:highlight w:val="none"/>
          <w:u w:val="single"/>
        </w:rPr>
        <w:t>21.3</w:t>
      </w:r>
      <w:r>
        <w:rPr>
          <w:rFonts w:hint="eastAsia" w:hAnsi="宋体"/>
          <w:color w:val="auto"/>
          <w:szCs w:val="21"/>
          <w:highlight w:val="none"/>
          <w:u w:val="single"/>
        </w:rPr>
        <w:t>当发包人认为承包人无正当理由而又未履行承包义务时，并在发包人发出要求履约义务通知</w:t>
      </w:r>
      <w:r>
        <w:rPr>
          <w:rFonts w:hAnsi="宋体"/>
          <w:color w:val="auto"/>
          <w:szCs w:val="21"/>
          <w:highlight w:val="none"/>
          <w:u w:val="single"/>
        </w:rPr>
        <w:t>7</w:t>
      </w:r>
      <w:r>
        <w:rPr>
          <w:rFonts w:hint="eastAsia" w:hAnsi="宋体"/>
          <w:color w:val="auto"/>
          <w:szCs w:val="21"/>
          <w:highlight w:val="none"/>
          <w:u w:val="single"/>
        </w:rPr>
        <w:t>日后仍未履行的，每逾期一天，承包人应当承担承包合同总额</w:t>
      </w:r>
      <w:r>
        <w:rPr>
          <w:rFonts w:hAnsi="宋体"/>
          <w:color w:val="auto"/>
          <w:szCs w:val="21"/>
          <w:highlight w:val="none"/>
          <w:u w:val="single"/>
        </w:rPr>
        <w:t>0.1%</w:t>
      </w:r>
      <w:r>
        <w:rPr>
          <w:rFonts w:hint="eastAsia" w:hAnsi="宋体"/>
          <w:color w:val="auto"/>
          <w:szCs w:val="21"/>
          <w:highlight w:val="none"/>
          <w:u w:val="single"/>
        </w:rPr>
        <w:t>作为违约金，逾期达</w:t>
      </w:r>
      <w:r>
        <w:rPr>
          <w:rFonts w:hAnsi="宋体"/>
          <w:color w:val="auto"/>
          <w:szCs w:val="21"/>
          <w:highlight w:val="none"/>
          <w:u w:val="single"/>
        </w:rPr>
        <w:t>15</w:t>
      </w:r>
      <w:r>
        <w:rPr>
          <w:rFonts w:hint="eastAsia" w:hAnsi="宋体"/>
          <w:color w:val="auto"/>
          <w:szCs w:val="21"/>
          <w:highlight w:val="none"/>
          <w:u w:val="single"/>
        </w:rPr>
        <w:t>天发包人可单方面通知承包人后解除合同，承包人除返还发包人已支付的费用外，还应承担承包合同总额</w:t>
      </w:r>
      <w:r>
        <w:rPr>
          <w:rFonts w:hAnsi="宋体"/>
          <w:color w:val="auto"/>
          <w:szCs w:val="21"/>
          <w:highlight w:val="none"/>
          <w:u w:val="single"/>
        </w:rPr>
        <w:t>1%</w:t>
      </w:r>
      <w:r>
        <w:rPr>
          <w:rFonts w:hint="eastAsia" w:hAnsi="宋体"/>
          <w:color w:val="auto"/>
          <w:szCs w:val="21"/>
          <w:highlight w:val="none"/>
          <w:u w:val="single"/>
        </w:rPr>
        <w:t>的违约金，若违约金不足以弥补发包人损失的，承包人还应承担赔偿责任。</w:t>
      </w:r>
    </w:p>
    <w:p w14:paraId="0CDE23CF">
      <w:pPr>
        <w:pStyle w:val="35"/>
        <w:spacing w:line="360" w:lineRule="auto"/>
        <w:ind w:firstLine="420" w:firstLineChars="200"/>
        <w:rPr>
          <w:rFonts w:hAnsi="宋体"/>
          <w:color w:val="auto"/>
          <w:szCs w:val="21"/>
          <w:highlight w:val="none"/>
          <w:u w:val="single"/>
        </w:rPr>
      </w:pPr>
      <w:r>
        <w:rPr>
          <w:rFonts w:hAnsi="宋体"/>
          <w:color w:val="auto"/>
          <w:szCs w:val="21"/>
          <w:highlight w:val="none"/>
          <w:u w:val="single"/>
        </w:rPr>
        <w:t>21.4</w:t>
      </w:r>
      <w:r>
        <w:rPr>
          <w:rFonts w:hint="eastAsia" w:hAnsi="宋体"/>
          <w:color w:val="auto"/>
          <w:szCs w:val="21"/>
          <w:highlight w:val="none"/>
          <w:u w:val="single"/>
        </w:rPr>
        <w:t>发包人需召开会议时，重要会议至少提前</w:t>
      </w:r>
      <w:r>
        <w:rPr>
          <w:rFonts w:hAnsi="宋体"/>
          <w:color w:val="auto"/>
          <w:szCs w:val="21"/>
          <w:highlight w:val="none"/>
          <w:u w:val="single"/>
        </w:rPr>
        <w:t>12</w:t>
      </w:r>
      <w:r>
        <w:rPr>
          <w:rFonts w:hint="eastAsia" w:hAnsi="宋体"/>
          <w:color w:val="auto"/>
          <w:szCs w:val="21"/>
          <w:highlight w:val="none"/>
          <w:u w:val="single"/>
        </w:rPr>
        <w:t>个小时、临时会议至少提前</w:t>
      </w:r>
      <w:r>
        <w:rPr>
          <w:rFonts w:hAnsi="宋体"/>
          <w:color w:val="auto"/>
          <w:szCs w:val="21"/>
          <w:highlight w:val="none"/>
          <w:u w:val="single"/>
        </w:rPr>
        <w:t>3</w:t>
      </w:r>
      <w:r>
        <w:rPr>
          <w:rFonts w:hint="eastAsia" w:hAnsi="宋体"/>
          <w:color w:val="auto"/>
          <w:szCs w:val="21"/>
          <w:highlight w:val="none"/>
          <w:u w:val="single"/>
        </w:rPr>
        <w:t>个小时通知承包人，重要会议要求承包人的项目经理应参加且按时到达，若承包人未经发包人同意不参加或不按时参加会议累计达三次的，视承包人违约，按</w:t>
      </w:r>
      <w:r>
        <w:rPr>
          <w:rFonts w:hAnsi="宋体"/>
          <w:color w:val="auto"/>
          <w:szCs w:val="21"/>
          <w:highlight w:val="none"/>
          <w:u w:val="single"/>
        </w:rPr>
        <w:t>2000</w:t>
      </w:r>
      <w:r>
        <w:rPr>
          <w:rFonts w:hint="eastAsia" w:hAnsi="宋体"/>
          <w:color w:val="auto"/>
          <w:szCs w:val="21"/>
          <w:highlight w:val="none"/>
          <w:u w:val="single"/>
        </w:rPr>
        <w:t>元</w:t>
      </w:r>
      <w:r>
        <w:rPr>
          <w:rFonts w:hAnsi="宋体"/>
          <w:color w:val="auto"/>
          <w:szCs w:val="21"/>
          <w:highlight w:val="none"/>
          <w:u w:val="single"/>
        </w:rPr>
        <w:t>/</w:t>
      </w:r>
      <w:r>
        <w:rPr>
          <w:rFonts w:hint="eastAsia" w:hAnsi="宋体"/>
          <w:color w:val="auto"/>
          <w:szCs w:val="21"/>
          <w:highlight w:val="none"/>
          <w:u w:val="single"/>
        </w:rPr>
        <w:t>人·次追究承包人违约责任，承包人不得因此向发包人提出任何索赔。</w:t>
      </w:r>
    </w:p>
    <w:p w14:paraId="4844EB65">
      <w:pPr>
        <w:spacing w:line="360" w:lineRule="auto"/>
        <w:ind w:firstLine="420" w:firstLineChars="200"/>
        <w:jc w:val="left"/>
        <w:rPr>
          <w:rFonts w:ascii="宋体" w:hAnsi="宋体" w:eastAsia="宋体"/>
          <w:color w:val="auto"/>
          <w:szCs w:val="21"/>
          <w:highlight w:val="none"/>
          <w:u w:val="single"/>
        </w:rPr>
      </w:pPr>
      <w:r>
        <w:rPr>
          <w:rFonts w:hint="eastAsia" w:ascii="宋体" w:hAnsi="宋体" w:eastAsia="宋体"/>
          <w:color w:val="auto"/>
          <w:szCs w:val="21"/>
          <w:highlight w:val="none"/>
          <w:u w:val="single"/>
        </w:rPr>
        <w:t>21.5 发包人派给承包人处置的数字城管案件、扬尘污染治理投诉、督办函、市长热线投诉（以下称“大行动”案件）等，属于承包人责任范围的，承包人不得拖延、推诿，原则上应在案件处置截止时间前完成处置。任务处理结束后，应收集影像、记录等结案依据资料，呈发包人统一回复。若确实无法按时完成处置，及时以书面形式申请延期，详细说明延期理由、期限并采取相应措施，并将相关材料呈发包人统一上报。不属于承包人责任范围的，及时应收集影像、记录等驳回依据资料，呈发包人统一驳回。承包人接到紧急“大行动”案件，确实无法在规定时间内完成处置工作，应在</w:t>
      </w:r>
      <w:r>
        <w:rPr>
          <w:rFonts w:hint="eastAsia" w:ascii="宋体" w:hAnsi="宋体" w:eastAsia="宋体"/>
          <w:color w:val="auto"/>
          <w:szCs w:val="21"/>
          <w:highlight w:val="none"/>
          <w:u w:val="single"/>
          <w:lang w:val="en-GB"/>
        </w:rPr>
        <w:t>案件</w:t>
      </w:r>
      <w:r>
        <w:rPr>
          <w:rFonts w:hint="eastAsia" w:ascii="宋体" w:hAnsi="宋体" w:eastAsia="宋体"/>
          <w:color w:val="auto"/>
          <w:szCs w:val="21"/>
          <w:highlight w:val="none"/>
          <w:u w:val="single"/>
        </w:rPr>
        <w:t>现场采取安全措施，确保安全。承包人接到属于自己责任范围的“大行动”案件后，如已超过整改完成时限的70％仍未整改的，发包人有权组织应急队伍进行整改，产生费用由承包人负责，费用按如下方式暂扣：（一）项目建设期间，应急抢修费用从承包人安措费中暂扣，待结清款项后支付安措费，剩余安措费不足部分，从工程款中暂扣相应费用，待结清剩余款项后支付工程款。（二）项目在移交期间的，应急抢修费用从承包人质保金、履约保证金中暂扣除相应费用。暂扣的应急抢修费用承包人需在5个工作日内结清款，超期拒不结清款项的，发包人可从暂扣款项以委托代付形式支付应急抢修费用，承包人需出具同意发包人从其安措费、工程款、质保金、履约保证金等款项代付应急抢修费用的委托授权书给发包人。</w:t>
      </w:r>
    </w:p>
    <w:p w14:paraId="446A0686">
      <w:pPr>
        <w:spacing w:line="360" w:lineRule="auto"/>
        <w:ind w:firstLine="420" w:firstLineChars="200"/>
        <w:jc w:val="left"/>
        <w:rPr>
          <w:rFonts w:ascii="宋体" w:hAnsi="宋体" w:eastAsia="宋体"/>
          <w:color w:val="auto"/>
          <w:szCs w:val="21"/>
          <w:highlight w:val="none"/>
          <w:u w:val="single"/>
        </w:rPr>
      </w:pPr>
      <w:r>
        <w:rPr>
          <w:rFonts w:hint="eastAsia" w:ascii="宋体" w:hAnsi="宋体" w:eastAsia="宋体"/>
          <w:color w:val="auto"/>
          <w:szCs w:val="21"/>
          <w:highlight w:val="none"/>
          <w:u w:val="single"/>
        </w:rPr>
        <w:t>承包人未按南宁市委市政府有关扬尘治理专项整治活动、美丽南宁·整洁畅通有序大行动等相关规定，要求执行不到位或未履行其职责和义务的，视为承包人违约。按以下方式向承包人追偿违约金：</w:t>
      </w:r>
    </w:p>
    <w:p w14:paraId="4762B75C">
      <w:pPr>
        <w:spacing w:line="360" w:lineRule="auto"/>
        <w:ind w:firstLine="420" w:firstLineChars="200"/>
        <w:jc w:val="left"/>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（1）承包人处置“大行动”案件应实事求是，不得虚报瞒报，不得出现“假完成”的情况。出现1次“假完成”不合格的，发包人有权追究承包人向发包人交纳</w:t>
      </w:r>
      <w:r>
        <w:rPr>
          <w:rFonts w:hint="eastAsia" w:ascii="宋体" w:hAnsi="宋体"/>
          <w:color w:val="auto"/>
          <w:szCs w:val="21"/>
          <w:highlight w:val="none"/>
          <w:u w:val="single"/>
          <w:lang w:val="en-US" w:eastAsia="zh-CN"/>
        </w:rPr>
        <w:t>1</w:t>
      </w:r>
      <w:r>
        <w:rPr>
          <w:rFonts w:hint="eastAsia" w:ascii="宋体" w:hAnsi="宋体" w:eastAsia="宋体"/>
          <w:color w:val="auto"/>
          <w:szCs w:val="21"/>
          <w:highlight w:val="none"/>
          <w:u w:val="single"/>
        </w:rPr>
        <w:t>万元～</w:t>
      </w:r>
      <w:r>
        <w:rPr>
          <w:rFonts w:hint="eastAsia" w:ascii="宋体" w:hAnsi="宋体"/>
          <w:color w:val="auto"/>
          <w:szCs w:val="21"/>
          <w:highlight w:val="none"/>
          <w:u w:val="single"/>
          <w:lang w:val="en-US" w:eastAsia="zh-CN"/>
        </w:rPr>
        <w:t>3</w:t>
      </w:r>
      <w:r>
        <w:rPr>
          <w:rFonts w:hint="eastAsia" w:ascii="宋体" w:hAnsi="宋体" w:eastAsia="宋体"/>
          <w:color w:val="auto"/>
          <w:szCs w:val="21"/>
          <w:highlight w:val="none"/>
          <w:u w:val="single"/>
        </w:rPr>
        <w:t>万元不等违约金外，并对项目经理进行警告。出现2次（含2次以上）“假完成”不合格的，发包人有权追究承包人向发包人交纳</w:t>
      </w:r>
      <w:r>
        <w:rPr>
          <w:rFonts w:hint="eastAsia" w:ascii="宋体" w:hAnsi="宋体"/>
          <w:color w:val="auto"/>
          <w:szCs w:val="21"/>
          <w:highlight w:val="none"/>
          <w:u w:val="single"/>
          <w:lang w:val="en-US" w:eastAsia="zh-CN"/>
        </w:rPr>
        <w:t>3</w:t>
      </w:r>
      <w:r>
        <w:rPr>
          <w:rFonts w:hint="eastAsia" w:ascii="宋体" w:hAnsi="宋体" w:eastAsia="宋体"/>
          <w:color w:val="auto"/>
          <w:szCs w:val="21"/>
          <w:highlight w:val="none"/>
          <w:u w:val="single"/>
        </w:rPr>
        <w:t>万元～</w:t>
      </w:r>
      <w:r>
        <w:rPr>
          <w:rFonts w:hint="eastAsia" w:ascii="宋体" w:hAnsi="宋体"/>
          <w:color w:val="auto"/>
          <w:szCs w:val="21"/>
          <w:highlight w:val="none"/>
          <w:u w:val="single"/>
          <w:lang w:val="en-US" w:eastAsia="zh-CN"/>
        </w:rPr>
        <w:t>5</w:t>
      </w:r>
      <w:r>
        <w:rPr>
          <w:rFonts w:hint="eastAsia" w:ascii="宋体" w:hAnsi="宋体" w:eastAsia="宋体"/>
          <w:color w:val="auto"/>
          <w:szCs w:val="21"/>
          <w:highlight w:val="none"/>
          <w:u w:val="single"/>
        </w:rPr>
        <w:t>万元不等的违约金外，要求承包人撤销项目经理，并约谈承包人主要负责人。</w:t>
      </w:r>
    </w:p>
    <w:p w14:paraId="60AB6989">
      <w:pPr>
        <w:spacing w:line="360" w:lineRule="auto"/>
        <w:ind w:firstLine="420" w:firstLineChars="200"/>
        <w:jc w:val="left"/>
        <w:rPr>
          <w:color w:val="auto"/>
          <w:highlight w:val="none"/>
        </w:rPr>
      </w:pPr>
      <w:r>
        <w:rPr>
          <w:rFonts w:hint="eastAsia" w:ascii="宋体" w:hAnsi="宋体" w:eastAsia="宋体"/>
          <w:color w:val="auto"/>
          <w:szCs w:val="21"/>
          <w:highlight w:val="none"/>
          <w:u w:val="single"/>
        </w:rPr>
        <w:t>（2）承包人处置“大行动”“创文明城市、卫生城市”案件不力，造成案件未按期整改完成的，发包人有权追究承包人向发包人交纳</w:t>
      </w:r>
      <w:r>
        <w:rPr>
          <w:rFonts w:hint="eastAsia" w:ascii="宋体" w:hAnsi="宋体"/>
          <w:color w:val="auto"/>
          <w:szCs w:val="21"/>
          <w:highlight w:val="none"/>
          <w:u w:val="single"/>
          <w:lang w:val="en-US" w:eastAsia="zh-CN"/>
        </w:rPr>
        <w:t>2</w:t>
      </w:r>
      <w:r>
        <w:rPr>
          <w:rFonts w:hint="eastAsia" w:ascii="宋体" w:hAnsi="宋体" w:eastAsia="宋体"/>
          <w:color w:val="auto"/>
          <w:szCs w:val="21"/>
          <w:highlight w:val="none"/>
          <w:u w:val="single"/>
        </w:rPr>
        <w:t>000元/次违约金，同类问题出现2次（含2次以上）未按期整改完成的，发包人有权追究承包人向发包人交纳</w:t>
      </w:r>
      <w:r>
        <w:rPr>
          <w:rFonts w:hint="eastAsia" w:ascii="宋体" w:hAnsi="宋体"/>
          <w:color w:val="auto"/>
          <w:szCs w:val="21"/>
          <w:highlight w:val="none"/>
          <w:u w:val="single"/>
          <w:lang w:val="en-US" w:eastAsia="zh-CN"/>
        </w:rPr>
        <w:t>1</w:t>
      </w:r>
      <w:r>
        <w:rPr>
          <w:rFonts w:hint="eastAsia" w:ascii="宋体" w:hAnsi="宋体" w:eastAsia="宋体"/>
          <w:color w:val="auto"/>
          <w:szCs w:val="21"/>
          <w:highlight w:val="none"/>
          <w:u w:val="single"/>
        </w:rPr>
        <w:t>万元～</w:t>
      </w:r>
      <w:r>
        <w:rPr>
          <w:rFonts w:hint="eastAsia" w:ascii="宋体" w:hAnsi="宋体"/>
          <w:color w:val="auto"/>
          <w:szCs w:val="21"/>
          <w:highlight w:val="none"/>
          <w:u w:val="single"/>
          <w:lang w:val="en-US" w:eastAsia="zh-CN"/>
        </w:rPr>
        <w:t>3</w:t>
      </w:r>
      <w:r>
        <w:rPr>
          <w:rFonts w:hint="eastAsia" w:ascii="宋体" w:hAnsi="宋体" w:eastAsia="宋体"/>
          <w:color w:val="auto"/>
          <w:szCs w:val="21"/>
          <w:highlight w:val="none"/>
          <w:u w:val="single"/>
        </w:rPr>
        <w:t>万元/次不等的违约金。</w:t>
      </w:r>
    </w:p>
    <w:p w14:paraId="4057CA8A">
      <w:pPr>
        <w:pStyle w:val="35"/>
        <w:spacing w:line="360" w:lineRule="auto"/>
        <w:ind w:firstLine="420" w:firstLineChars="200"/>
        <w:rPr>
          <w:rFonts w:hAnsi="宋体"/>
          <w:color w:val="auto"/>
          <w:szCs w:val="21"/>
          <w:highlight w:val="none"/>
          <w:u w:val="single"/>
        </w:rPr>
      </w:pPr>
      <w:r>
        <w:rPr>
          <w:rFonts w:hAnsi="宋体"/>
          <w:color w:val="auto"/>
          <w:szCs w:val="21"/>
          <w:highlight w:val="none"/>
          <w:u w:val="single"/>
        </w:rPr>
        <w:t>21.6</w:t>
      </w:r>
      <w:r>
        <w:rPr>
          <w:rFonts w:hint="eastAsia" w:hAnsi="宋体"/>
          <w:color w:val="auto"/>
          <w:szCs w:val="21"/>
          <w:highlight w:val="none"/>
          <w:u w:val="single"/>
        </w:rPr>
        <w:t>设立专职项目书记，做好党务及宣传同时，协助发包人征地拆迁。</w:t>
      </w:r>
    </w:p>
    <w:p w14:paraId="11408F83">
      <w:pPr>
        <w:pStyle w:val="35"/>
        <w:spacing w:line="360" w:lineRule="auto"/>
        <w:ind w:firstLine="420" w:firstLineChars="200"/>
        <w:rPr>
          <w:rFonts w:hAnsi="宋体"/>
          <w:color w:val="auto"/>
          <w:szCs w:val="21"/>
          <w:highlight w:val="none"/>
          <w:u w:val="single"/>
        </w:rPr>
      </w:pPr>
      <w:r>
        <w:rPr>
          <w:rFonts w:hAnsi="宋体"/>
          <w:color w:val="auto"/>
          <w:szCs w:val="21"/>
          <w:highlight w:val="none"/>
          <w:u w:val="single"/>
        </w:rPr>
        <w:t>21.7</w:t>
      </w:r>
      <w:r>
        <w:rPr>
          <w:rFonts w:hint="eastAsia" w:hAnsi="宋体"/>
          <w:color w:val="auto"/>
          <w:szCs w:val="21"/>
          <w:highlight w:val="none"/>
          <w:u w:val="single"/>
        </w:rPr>
        <w:t>发包人仅接受承包人书面授权的唯一代理人，办理相关支付手续。承包人如果在项目施工工作中需另使用项目经理部印章的，需出具法定授权委托书，对受托人、范围、时间、权限作出明确约定并承担法律责任。</w:t>
      </w:r>
    </w:p>
    <w:p w14:paraId="08586787">
      <w:pPr>
        <w:pStyle w:val="35"/>
        <w:spacing w:line="360" w:lineRule="auto"/>
        <w:ind w:firstLine="420" w:firstLineChars="200"/>
        <w:rPr>
          <w:rFonts w:hAnsi="宋体"/>
          <w:color w:val="auto"/>
          <w:szCs w:val="21"/>
          <w:highlight w:val="none"/>
          <w:u w:val="single"/>
        </w:rPr>
      </w:pPr>
      <w:r>
        <w:rPr>
          <w:rFonts w:hAnsi="宋体"/>
          <w:color w:val="auto"/>
          <w:szCs w:val="21"/>
          <w:highlight w:val="none"/>
          <w:u w:val="single"/>
        </w:rPr>
        <w:t>21.8</w:t>
      </w:r>
      <w:r>
        <w:rPr>
          <w:rFonts w:hint="eastAsia" w:hAnsi="宋体"/>
          <w:color w:val="auto"/>
          <w:szCs w:val="21"/>
          <w:highlight w:val="none"/>
          <w:u w:val="single"/>
        </w:rPr>
        <w:t>合同履行期间，承包人不按核批的进度计划组织施工（或政府相关部门及发包人下达的建设节点任务），经监理书面通知整改而未满足要求，经发包人书面通知3日内仍未能有效整改的，发包人有权对无进度履约能力的部位或部分进行强制分割，组织其他满足行政法规规定的其它单位或组织负责赶工作业，但不免除承包人的合同责任，</w:t>
      </w:r>
      <w:r>
        <w:rPr>
          <w:rFonts w:hint="eastAsia" w:ascii="宋体" w:hAnsi="宋体" w:eastAsia="宋体"/>
          <w:color w:val="auto"/>
          <w:szCs w:val="21"/>
          <w:highlight w:val="none"/>
          <w:u w:val="single"/>
        </w:rPr>
        <w:t>发包人有权追究承包人向发包人交纳5万元～</w:t>
      </w:r>
      <w:r>
        <w:rPr>
          <w:rFonts w:hint="eastAsia" w:ascii="宋体" w:hAnsi="宋体"/>
          <w:color w:val="auto"/>
          <w:szCs w:val="21"/>
          <w:highlight w:val="none"/>
          <w:u w:val="single"/>
          <w:lang w:val="en-US" w:eastAsia="zh-CN"/>
        </w:rPr>
        <w:t>1</w:t>
      </w:r>
      <w:r>
        <w:rPr>
          <w:rFonts w:hint="eastAsia" w:ascii="宋体" w:hAnsi="宋体" w:eastAsia="宋体"/>
          <w:color w:val="auto"/>
          <w:szCs w:val="21"/>
          <w:highlight w:val="none"/>
          <w:u w:val="single"/>
        </w:rPr>
        <w:t>0万元/次不等的违约金</w:t>
      </w:r>
      <w:r>
        <w:rPr>
          <w:rFonts w:hint="eastAsia" w:hAnsi="宋体"/>
          <w:color w:val="auto"/>
          <w:szCs w:val="21"/>
          <w:highlight w:val="none"/>
          <w:u w:val="single"/>
        </w:rPr>
        <w:t>。</w:t>
      </w:r>
    </w:p>
    <w:p w14:paraId="04753706">
      <w:pPr>
        <w:pStyle w:val="35"/>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21.9发包人对承包人无进度履约能力的部位和部分进行强制分割而形成的相关费用，</w:t>
      </w:r>
      <w:r>
        <w:rPr>
          <w:rFonts w:hint="eastAsia" w:ascii="宋体" w:hAnsi="宋体" w:eastAsia="宋体"/>
          <w:color w:val="auto"/>
          <w:szCs w:val="21"/>
          <w:highlight w:val="none"/>
          <w:u w:val="single"/>
          <w:lang w:eastAsia="zh-CN"/>
        </w:rPr>
        <w:t>承包人必须开具委托代付函给发包人，并对此部分费用开具正规税务发票</w:t>
      </w:r>
      <w:r>
        <w:rPr>
          <w:rFonts w:hint="eastAsia" w:ascii="宋体" w:hAnsi="宋体" w:eastAsia="宋体"/>
          <w:color w:val="auto"/>
          <w:szCs w:val="21"/>
          <w:highlight w:val="none"/>
          <w:u w:val="single"/>
        </w:rPr>
        <w:t>。发包人需及时组织监理，实施分割作业的队组负责人、承包人代表等对现场形成的费用等共同确认，但承包人为或故意对此现场费用的缺席确认，并不能免除乙方责任。”</w:t>
      </w:r>
    </w:p>
    <w:p w14:paraId="64EDBD4B">
      <w:pPr>
        <w:pStyle w:val="35"/>
        <w:spacing w:line="360" w:lineRule="auto"/>
        <w:ind w:firstLine="420" w:firstLineChars="200"/>
        <w:rPr>
          <w:color w:val="auto"/>
          <w:highlight w:val="none"/>
        </w:rPr>
      </w:pPr>
      <w:r>
        <w:rPr>
          <w:rFonts w:hAnsi="宋体"/>
          <w:color w:val="auto"/>
          <w:szCs w:val="21"/>
          <w:highlight w:val="none"/>
          <w:u w:val="single"/>
        </w:rPr>
        <w:t>21.10</w:t>
      </w:r>
      <w:r>
        <w:rPr>
          <w:rFonts w:hint="eastAsia" w:hAnsi="宋体"/>
          <w:color w:val="auto"/>
          <w:szCs w:val="21"/>
          <w:highlight w:val="none"/>
          <w:u w:val="single"/>
        </w:rPr>
        <w:t>由于施工造成的环境污染，其责任和费用均由承包人承担。</w:t>
      </w:r>
    </w:p>
    <w:bookmarkEnd w:id="208"/>
    <w:p w14:paraId="5E37142A">
      <w:pPr>
        <w:widowControl/>
        <w:jc w:val="left"/>
        <w:rPr>
          <w:rFonts w:hint="eastAsia" w:ascii="宋体" w:hAnsi="宋体" w:cs="宋体"/>
          <w:bCs/>
          <w:color w:val="auto"/>
          <w:sz w:val="24"/>
        </w:rPr>
      </w:pPr>
    </w:p>
    <w:p w14:paraId="677A4B99">
      <w:pPr>
        <w:rPr>
          <w:rFonts w:hint="eastAsia" w:ascii="宋体" w:hAnsi="宋体" w:cs="宋体"/>
          <w:color w:val="auto"/>
          <w:sz w:val="24"/>
          <w:u w:val="single"/>
        </w:rPr>
      </w:pPr>
      <w:r>
        <w:rPr>
          <w:rFonts w:hint="eastAsia" w:ascii="宋体" w:hAnsi="宋体" w:cs="宋体"/>
          <w:color w:val="auto"/>
          <w:sz w:val="24"/>
          <w:u w:val="single"/>
        </w:rPr>
        <w:br w:type="page"/>
      </w:r>
    </w:p>
    <w:p w14:paraId="558380F5">
      <w:pPr>
        <w:spacing w:line="360" w:lineRule="auto"/>
        <w:ind w:firstLine="480" w:firstLineChars="200"/>
        <w:rPr>
          <w:rFonts w:hint="eastAsia" w:ascii="宋体" w:hAnsi="宋体" w:cs="宋体"/>
          <w:color w:val="auto"/>
          <w:sz w:val="24"/>
          <w:u w:val="single"/>
        </w:rPr>
      </w:pPr>
    </w:p>
    <w:p w14:paraId="6F413F6C">
      <w:pPr>
        <w:tabs>
          <w:tab w:val="left" w:pos="7380"/>
        </w:tabs>
        <w:spacing w:line="360" w:lineRule="auto"/>
        <w:jc w:val="center"/>
        <w:rPr>
          <w:rFonts w:hint="eastAsia" w:ascii="宋体" w:hAnsi="宋体" w:cs="宋体"/>
          <w:b/>
          <w:color w:val="auto"/>
          <w:sz w:val="44"/>
          <w:szCs w:val="44"/>
        </w:rPr>
      </w:pPr>
    </w:p>
    <w:p w14:paraId="6626A545">
      <w:pPr>
        <w:rPr>
          <w:rFonts w:hint="eastAsia"/>
        </w:rPr>
      </w:pPr>
    </w:p>
    <w:p w14:paraId="79108C3B">
      <w:pPr>
        <w:snapToGrid w:val="0"/>
        <w:spacing w:line="360" w:lineRule="auto"/>
        <w:rPr>
          <w:rFonts w:hint="eastAsia" w:ascii="宋体" w:hAnsi="宋体"/>
          <w:color w:val="auto"/>
          <w:sz w:val="24"/>
          <w:highlight w:val="none"/>
        </w:rPr>
      </w:pPr>
    </w:p>
    <w:p w14:paraId="19B4492C">
      <w:pPr>
        <w:pStyle w:val="21"/>
        <w:rPr>
          <w:rFonts w:hint="eastAsia" w:ascii="宋体" w:hAnsi="宋体"/>
          <w:color w:val="auto"/>
          <w:sz w:val="24"/>
          <w:highlight w:val="none"/>
        </w:rPr>
      </w:pPr>
    </w:p>
    <w:p w14:paraId="44690946">
      <w:pPr>
        <w:pStyle w:val="21"/>
        <w:rPr>
          <w:rFonts w:hint="eastAsia" w:ascii="宋体" w:hAnsi="宋体"/>
          <w:color w:val="auto"/>
          <w:sz w:val="24"/>
          <w:highlight w:val="none"/>
        </w:rPr>
      </w:pPr>
    </w:p>
    <w:p w14:paraId="3BE75681">
      <w:pPr>
        <w:pStyle w:val="21"/>
        <w:rPr>
          <w:rFonts w:hint="eastAsia" w:ascii="宋体" w:hAnsi="宋体"/>
          <w:color w:val="auto"/>
          <w:sz w:val="24"/>
          <w:highlight w:val="none"/>
        </w:rPr>
      </w:pPr>
    </w:p>
    <w:p w14:paraId="14CA57C2">
      <w:pPr>
        <w:pStyle w:val="21"/>
        <w:rPr>
          <w:rFonts w:hint="eastAsia" w:ascii="宋体" w:hAnsi="宋体"/>
          <w:color w:val="auto"/>
          <w:sz w:val="24"/>
          <w:highlight w:val="none"/>
        </w:rPr>
      </w:pPr>
    </w:p>
    <w:p w14:paraId="034506DC">
      <w:pPr>
        <w:pStyle w:val="21"/>
        <w:rPr>
          <w:rFonts w:hint="eastAsia" w:ascii="宋体" w:hAnsi="宋体"/>
          <w:color w:val="auto"/>
          <w:sz w:val="24"/>
          <w:highlight w:val="none"/>
        </w:rPr>
      </w:pPr>
    </w:p>
    <w:p w14:paraId="39A8C00D">
      <w:pPr>
        <w:pStyle w:val="21"/>
        <w:rPr>
          <w:rFonts w:hint="eastAsia" w:ascii="宋体" w:hAnsi="宋体"/>
          <w:color w:val="auto"/>
          <w:sz w:val="24"/>
          <w:highlight w:val="none"/>
        </w:rPr>
      </w:pPr>
    </w:p>
    <w:p w14:paraId="48742BE4">
      <w:pPr>
        <w:pStyle w:val="21"/>
        <w:rPr>
          <w:rFonts w:hint="eastAsia" w:ascii="宋体" w:hAnsi="宋体"/>
          <w:color w:val="auto"/>
          <w:sz w:val="24"/>
          <w:highlight w:val="none"/>
        </w:rPr>
      </w:pPr>
    </w:p>
    <w:p w14:paraId="03986DAA">
      <w:pPr>
        <w:pStyle w:val="21"/>
        <w:rPr>
          <w:rFonts w:hint="eastAsia" w:ascii="宋体" w:hAnsi="宋体"/>
          <w:color w:val="auto"/>
          <w:sz w:val="24"/>
          <w:highlight w:val="none"/>
        </w:rPr>
      </w:pPr>
    </w:p>
    <w:p w14:paraId="6ABA2724">
      <w:pPr>
        <w:pStyle w:val="21"/>
        <w:rPr>
          <w:rFonts w:hint="eastAsia" w:ascii="宋体" w:hAnsi="宋体"/>
          <w:color w:val="auto"/>
          <w:sz w:val="24"/>
          <w:highlight w:val="none"/>
        </w:rPr>
      </w:pPr>
    </w:p>
    <w:p w14:paraId="5BA2A982">
      <w:pPr>
        <w:pStyle w:val="21"/>
        <w:rPr>
          <w:rFonts w:hint="eastAsia" w:ascii="宋体" w:hAnsi="宋体"/>
          <w:color w:val="auto"/>
          <w:sz w:val="24"/>
          <w:highlight w:val="none"/>
        </w:rPr>
      </w:pPr>
    </w:p>
    <w:p w14:paraId="486DFE2C">
      <w:pPr>
        <w:pStyle w:val="21"/>
        <w:rPr>
          <w:rFonts w:hint="eastAsia" w:ascii="宋体" w:hAnsi="宋体"/>
          <w:color w:val="auto"/>
          <w:sz w:val="24"/>
          <w:highlight w:val="none"/>
        </w:rPr>
      </w:pPr>
    </w:p>
    <w:p w14:paraId="07101E88">
      <w:pPr>
        <w:pStyle w:val="2"/>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第七章 质疑、投诉材料格式</w:t>
      </w:r>
    </w:p>
    <w:p w14:paraId="2450E1F8">
      <w:pPr>
        <w:widowControl/>
        <w:spacing w:line="576" w:lineRule="auto"/>
        <w:jc w:val="left"/>
        <w:rPr>
          <w:rFonts w:hint="eastAsia" w:ascii="宋体" w:hAnsi="宋体" w:cs="宋体"/>
          <w:b/>
          <w:bCs/>
          <w:color w:val="auto"/>
          <w:kern w:val="44"/>
          <w:sz w:val="44"/>
          <w:szCs w:val="44"/>
        </w:rPr>
        <w:sectPr>
          <w:pgSz w:w="11910" w:h="16840"/>
          <w:pgMar w:top="1340" w:right="1500" w:bottom="280" w:left="1680" w:header="720" w:footer="720" w:gutter="0"/>
          <w:pgNumType w:fmt="decimal"/>
          <w:cols w:space="720" w:num="1"/>
        </w:sectPr>
      </w:pPr>
    </w:p>
    <w:p w14:paraId="573EA0A0">
      <w:pPr>
        <w:spacing w:line="360" w:lineRule="auto"/>
        <w:jc w:val="center"/>
        <w:rPr>
          <w:rFonts w:hint="eastAsia" w:ascii="宋体" w:hAnsi="宋体" w:cs="宋体"/>
          <w:b/>
          <w:bCs/>
          <w:color w:val="auto"/>
          <w:sz w:val="32"/>
          <w:szCs w:val="32"/>
        </w:rPr>
      </w:pPr>
      <w:r>
        <w:rPr>
          <w:rFonts w:hint="eastAsia" w:ascii="宋体" w:hAnsi="宋体" w:cs="宋体"/>
          <w:b/>
          <w:bCs/>
          <w:color w:val="auto"/>
          <w:sz w:val="32"/>
          <w:szCs w:val="32"/>
        </w:rPr>
        <w:t>质疑函（格式）</w:t>
      </w:r>
    </w:p>
    <w:p w14:paraId="786DECAA">
      <w:pPr>
        <w:spacing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rPr>
        <w:t>一、质疑供应商基本信息：</w:t>
      </w:r>
    </w:p>
    <w:p w14:paraId="744DC3BC">
      <w:pPr>
        <w:spacing w:line="360" w:lineRule="auto"/>
        <w:ind w:firstLine="480" w:firstLineChars="200"/>
        <w:rPr>
          <w:rFonts w:hint="eastAsia" w:ascii="宋体" w:hAnsi="宋体" w:cs="宋体"/>
          <w:bCs/>
          <w:color w:val="auto"/>
          <w:kern w:val="0"/>
          <w:sz w:val="24"/>
          <w:u w:val="single"/>
        </w:rPr>
      </w:pPr>
      <w:r>
        <w:rPr>
          <w:rFonts w:hint="eastAsia" w:ascii="宋体" w:hAnsi="宋体" w:cs="宋体"/>
          <w:bCs/>
          <w:color w:val="auto"/>
          <w:kern w:val="0"/>
          <w:sz w:val="24"/>
        </w:rPr>
        <w:t>质疑供应商：</w:t>
      </w:r>
    </w:p>
    <w:p w14:paraId="7A426576">
      <w:pPr>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地址：邮编：</w:t>
      </w:r>
    </w:p>
    <w:p w14:paraId="3CABA9B9">
      <w:pPr>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联系人：联系电话：</w:t>
      </w:r>
    </w:p>
    <w:p w14:paraId="26F98BDB">
      <w:pPr>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授权代表：</w:t>
      </w:r>
    </w:p>
    <w:p w14:paraId="6139ACB2">
      <w:pPr>
        <w:spacing w:line="360" w:lineRule="auto"/>
        <w:ind w:firstLine="480" w:firstLineChars="200"/>
        <w:rPr>
          <w:rFonts w:hint="eastAsia" w:ascii="宋体" w:hAnsi="宋体" w:cs="宋体"/>
          <w:bCs/>
          <w:color w:val="auto"/>
          <w:kern w:val="0"/>
          <w:sz w:val="24"/>
          <w:u w:val="single"/>
        </w:rPr>
      </w:pPr>
      <w:r>
        <w:rPr>
          <w:rFonts w:hint="eastAsia" w:ascii="宋体" w:hAnsi="宋体" w:cs="宋体"/>
          <w:bCs/>
          <w:color w:val="auto"/>
          <w:kern w:val="0"/>
          <w:sz w:val="24"/>
        </w:rPr>
        <w:t>联系电话：</w:t>
      </w:r>
    </w:p>
    <w:p w14:paraId="1B63833C">
      <w:pPr>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地址：邮编：</w:t>
      </w:r>
    </w:p>
    <w:p w14:paraId="37196F33">
      <w:pPr>
        <w:spacing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rPr>
        <w:t>二、质疑项目基本情况：</w:t>
      </w:r>
    </w:p>
    <w:p w14:paraId="1AE75A0C">
      <w:pPr>
        <w:spacing w:line="360" w:lineRule="auto"/>
        <w:ind w:left="25" w:leftChars="12" w:firstLine="472" w:firstLineChars="197"/>
        <w:contextualSpacing/>
        <w:rPr>
          <w:rFonts w:hint="eastAsia"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项目的名称：</w:t>
      </w:r>
      <w:bookmarkStart w:id="1030" w:name="PO_3000001871_PM002_15"/>
      <w:r>
        <w:rPr>
          <w:rFonts w:hint="eastAsia" w:ascii="宋体" w:hAnsi="宋体" w:cs="宋体"/>
          <w:bCs/>
          <w:color w:val="auto"/>
          <w:kern w:val="0"/>
          <w:sz w:val="24"/>
          <w:u w:val="single"/>
        </w:rPr>
        <w:t>[项目采购-项目名称_]</w:t>
      </w:r>
      <w:bookmarkEnd w:id="1030"/>
    </w:p>
    <w:p w14:paraId="1C690E06">
      <w:pPr>
        <w:spacing w:line="360" w:lineRule="auto"/>
        <w:ind w:left="25" w:leftChars="12" w:firstLine="472" w:firstLineChars="197"/>
        <w:contextualSpacing/>
        <w:rPr>
          <w:rFonts w:hint="eastAsia"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项目的编号：</w:t>
      </w:r>
      <w:bookmarkStart w:id="1031" w:name="PO_3000001871_PM001_9"/>
      <w:r>
        <w:rPr>
          <w:rFonts w:hint="eastAsia" w:ascii="宋体" w:hAnsi="宋体" w:cs="宋体"/>
          <w:bCs/>
          <w:color w:val="auto"/>
          <w:kern w:val="0"/>
          <w:sz w:val="24"/>
          <w:u w:val="single"/>
        </w:rPr>
        <w:t>[项目采购-项目编号_]</w:t>
      </w:r>
      <w:bookmarkEnd w:id="1031"/>
    </w:p>
    <w:p w14:paraId="11740963">
      <w:pPr>
        <w:spacing w:line="360" w:lineRule="auto"/>
        <w:ind w:left="25" w:leftChars="12" w:firstLine="472" w:firstLineChars="197"/>
        <w:contextualSpacing/>
        <w:rPr>
          <w:rFonts w:hint="eastAsia" w:ascii="宋体" w:hAnsi="宋体" w:cs="宋体"/>
          <w:color w:val="auto"/>
          <w:kern w:val="0"/>
          <w:sz w:val="24"/>
        </w:rPr>
      </w:pPr>
      <w:r>
        <w:rPr>
          <w:rFonts w:hint="eastAsia" w:ascii="宋体" w:hAnsi="宋体" w:cs="宋体"/>
          <w:color w:val="auto"/>
          <w:kern w:val="0"/>
          <w:sz w:val="24"/>
        </w:rPr>
        <w:t>采购人名称：</w:t>
      </w:r>
      <w:bookmarkStart w:id="1032" w:name="PO_3000001871_PM026_8"/>
      <w:r>
        <w:rPr>
          <w:rFonts w:hint="eastAsia" w:ascii="宋体" w:hAnsi="宋体" w:cs="宋体"/>
          <w:bCs/>
          <w:color w:val="auto"/>
          <w:kern w:val="0"/>
          <w:sz w:val="24"/>
          <w:u w:val="single"/>
        </w:rPr>
        <w:t>[项目采购-采购人_]</w:t>
      </w:r>
      <w:bookmarkEnd w:id="1032"/>
    </w:p>
    <w:p w14:paraId="3006A24B">
      <w:pPr>
        <w:spacing w:line="360" w:lineRule="auto"/>
        <w:ind w:left="25" w:leftChars="12" w:firstLine="472" w:firstLineChars="197"/>
        <w:contextualSpacing/>
        <w:rPr>
          <w:rFonts w:hint="eastAsia" w:ascii="宋体" w:hAnsi="宋体" w:cs="宋体"/>
          <w:color w:val="auto"/>
          <w:kern w:val="0"/>
          <w:sz w:val="24"/>
        </w:rPr>
      </w:pPr>
      <w:r>
        <w:rPr>
          <w:rFonts w:hint="eastAsia" w:ascii="宋体" w:hAnsi="宋体" w:cs="宋体"/>
          <w:color w:val="auto"/>
          <w:kern w:val="0"/>
          <w:sz w:val="24"/>
        </w:rPr>
        <w:t>质疑事项：</w:t>
      </w:r>
    </w:p>
    <w:p w14:paraId="3E628DDC">
      <w:pPr>
        <w:spacing w:line="360" w:lineRule="auto"/>
        <w:ind w:left="25" w:leftChars="12" w:firstLine="352" w:firstLineChars="147"/>
        <w:contextualSpacing/>
        <w:rPr>
          <w:rFonts w:hint="eastAsia" w:ascii="宋体" w:hAnsi="宋体" w:cs="宋体"/>
          <w:color w:val="auto"/>
          <w:kern w:val="0"/>
          <w:sz w:val="24"/>
        </w:rPr>
      </w:pPr>
      <w:r>
        <w:rPr>
          <w:rFonts w:hint="eastAsia" w:ascii="宋体" w:hAnsi="宋体" w:cs="宋体"/>
          <w:color w:val="auto"/>
          <w:kern w:val="0"/>
          <w:sz w:val="24"/>
        </w:rPr>
        <w:t>□采购文件   采购文件获取日期：</w:t>
      </w:r>
    </w:p>
    <w:p w14:paraId="7231FB9A">
      <w:pPr>
        <w:spacing w:line="360" w:lineRule="auto"/>
        <w:ind w:left="25" w:leftChars="12" w:firstLine="352" w:firstLineChars="147"/>
        <w:contextualSpacing/>
        <w:rPr>
          <w:rFonts w:hint="eastAsia" w:ascii="宋体" w:hAnsi="宋体" w:cs="宋体"/>
          <w:color w:val="auto"/>
          <w:kern w:val="0"/>
          <w:sz w:val="24"/>
        </w:rPr>
      </w:pPr>
      <w:r>
        <w:rPr>
          <w:rFonts w:hint="eastAsia" w:ascii="宋体" w:hAnsi="宋体" w:cs="宋体"/>
          <w:color w:val="auto"/>
          <w:kern w:val="0"/>
          <w:sz w:val="24"/>
        </w:rPr>
        <w:t xml:space="preserve">□采购过程   </w:t>
      </w:r>
    </w:p>
    <w:p w14:paraId="3478418E">
      <w:pPr>
        <w:spacing w:line="360" w:lineRule="auto"/>
        <w:ind w:left="25" w:leftChars="12" w:firstLine="352" w:firstLineChars="147"/>
        <w:contextualSpacing/>
        <w:rPr>
          <w:rFonts w:hint="eastAsia" w:ascii="宋体" w:hAnsi="宋体" w:cs="宋体"/>
          <w:bCs/>
          <w:color w:val="auto"/>
          <w:kern w:val="0"/>
          <w:sz w:val="24"/>
          <w:u w:val="single"/>
        </w:rPr>
      </w:pPr>
      <w:r>
        <w:rPr>
          <w:rFonts w:hint="eastAsia" w:ascii="宋体" w:hAnsi="宋体" w:cs="宋体"/>
          <w:color w:val="auto"/>
          <w:kern w:val="0"/>
          <w:sz w:val="24"/>
        </w:rPr>
        <w:t xml:space="preserve">□成交结果   </w:t>
      </w:r>
    </w:p>
    <w:p w14:paraId="42D410EC">
      <w:pPr>
        <w:spacing w:line="360" w:lineRule="auto"/>
        <w:ind w:left="25" w:leftChars="12" w:firstLine="472" w:firstLineChars="196"/>
        <w:contextualSpacing/>
        <w:rPr>
          <w:rFonts w:hint="eastAsia" w:ascii="宋体" w:hAnsi="宋体" w:cs="宋体"/>
          <w:b/>
          <w:color w:val="auto"/>
          <w:kern w:val="0"/>
          <w:sz w:val="24"/>
        </w:rPr>
      </w:pPr>
      <w:r>
        <w:rPr>
          <w:rFonts w:hint="eastAsia" w:ascii="宋体" w:hAnsi="宋体" w:cs="宋体"/>
          <w:b/>
          <w:color w:val="auto"/>
          <w:kern w:val="0"/>
          <w:sz w:val="24"/>
        </w:rPr>
        <w:t>三、质疑事项具体内容</w:t>
      </w:r>
    </w:p>
    <w:p w14:paraId="1CA6F8C0">
      <w:pPr>
        <w:spacing w:line="360" w:lineRule="auto"/>
        <w:ind w:left="25" w:leftChars="12" w:firstLine="472" w:firstLineChars="197"/>
        <w:contextualSpacing/>
        <w:rPr>
          <w:rFonts w:hint="eastAsia" w:ascii="宋体" w:hAnsi="宋体" w:cs="宋体"/>
          <w:color w:val="auto"/>
          <w:kern w:val="0"/>
          <w:sz w:val="24"/>
        </w:rPr>
      </w:pPr>
      <w:r>
        <w:rPr>
          <w:rFonts w:hint="eastAsia" w:ascii="宋体" w:hAnsi="宋体" w:cs="宋体"/>
          <w:color w:val="auto"/>
          <w:kern w:val="0"/>
          <w:sz w:val="24"/>
        </w:rPr>
        <w:t>质疑事项1：</w:t>
      </w:r>
    </w:p>
    <w:p w14:paraId="1DC02149">
      <w:pPr>
        <w:spacing w:line="360" w:lineRule="auto"/>
        <w:ind w:left="25" w:leftChars="12" w:firstLine="472" w:firstLineChars="197"/>
        <w:contextualSpacing/>
        <w:rPr>
          <w:rFonts w:hint="eastAsia" w:ascii="宋体" w:hAnsi="宋体" w:cs="宋体"/>
          <w:color w:val="auto"/>
          <w:kern w:val="0"/>
          <w:sz w:val="24"/>
        </w:rPr>
      </w:pPr>
      <w:r>
        <w:rPr>
          <w:rFonts w:hint="eastAsia" w:ascii="宋体" w:hAnsi="宋体" w:cs="宋体"/>
          <w:color w:val="auto"/>
          <w:kern w:val="0"/>
          <w:sz w:val="24"/>
        </w:rPr>
        <w:t>事实依据：</w:t>
      </w:r>
    </w:p>
    <w:p w14:paraId="1837214E">
      <w:pPr>
        <w:spacing w:line="360" w:lineRule="auto"/>
        <w:ind w:left="25" w:leftChars="12" w:firstLine="472" w:firstLineChars="197"/>
        <w:contextualSpacing/>
        <w:rPr>
          <w:rFonts w:hint="eastAsia" w:ascii="宋体" w:hAnsi="宋体" w:cs="宋体"/>
          <w:color w:val="auto"/>
          <w:kern w:val="0"/>
          <w:sz w:val="24"/>
        </w:rPr>
      </w:pPr>
      <w:r>
        <w:rPr>
          <w:rFonts w:hint="eastAsia" w:ascii="宋体" w:hAnsi="宋体" w:cs="宋体"/>
          <w:color w:val="auto"/>
          <w:kern w:val="0"/>
          <w:sz w:val="24"/>
        </w:rPr>
        <w:t>法律依据：</w:t>
      </w:r>
    </w:p>
    <w:p w14:paraId="147A6D37">
      <w:pPr>
        <w:spacing w:line="360" w:lineRule="auto"/>
        <w:ind w:left="25" w:leftChars="12" w:firstLine="472" w:firstLineChars="197"/>
        <w:contextualSpacing/>
        <w:rPr>
          <w:rFonts w:hint="eastAsia" w:ascii="宋体" w:hAnsi="宋体" w:cs="宋体"/>
          <w:color w:val="auto"/>
          <w:kern w:val="0"/>
          <w:sz w:val="24"/>
        </w:rPr>
      </w:pPr>
      <w:r>
        <w:rPr>
          <w:rFonts w:hint="eastAsia" w:ascii="宋体" w:hAnsi="宋体" w:cs="宋体"/>
          <w:color w:val="auto"/>
          <w:kern w:val="0"/>
          <w:sz w:val="24"/>
        </w:rPr>
        <w:t>质疑事项2</w:t>
      </w:r>
    </w:p>
    <w:p w14:paraId="6A6BC382">
      <w:pPr>
        <w:spacing w:line="360" w:lineRule="auto"/>
        <w:ind w:left="25" w:leftChars="12" w:firstLine="472" w:firstLineChars="197"/>
        <w:contextualSpacing/>
        <w:rPr>
          <w:rFonts w:hint="eastAsia" w:ascii="宋体" w:hAnsi="宋体" w:cs="宋体"/>
          <w:color w:val="auto"/>
          <w:kern w:val="0"/>
          <w:sz w:val="24"/>
        </w:rPr>
      </w:pPr>
      <w:r>
        <w:rPr>
          <w:rFonts w:hint="eastAsia" w:ascii="宋体" w:hAnsi="宋体" w:cs="宋体"/>
          <w:color w:val="auto"/>
          <w:kern w:val="0"/>
          <w:sz w:val="24"/>
        </w:rPr>
        <w:t>……</w:t>
      </w:r>
    </w:p>
    <w:p w14:paraId="3A7B7853">
      <w:pPr>
        <w:spacing w:line="360" w:lineRule="auto"/>
        <w:ind w:left="25" w:leftChars="12" w:firstLine="472" w:firstLineChars="197"/>
        <w:contextualSpacing/>
        <w:rPr>
          <w:rFonts w:hint="eastAsia" w:ascii="宋体" w:hAnsi="宋体" w:cs="宋体"/>
          <w:color w:val="auto"/>
          <w:kern w:val="0"/>
          <w:sz w:val="24"/>
        </w:rPr>
      </w:pPr>
      <w:r>
        <w:rPr>
          <w:rFonts w:hint="eastAsia" w:ascii="宋体" w:hAnsi="宋体" w:cs="宋体"/>
          <w:color w:val="auto"/>
          <w:kern w:val="0"/>
          <w:sz w:val="24"/>
        </w:rPr>
        <w:t>四、与质疑事项相关的质疑请求：</w:t>
      </w:r>
    </w:p>
    <w:p w14:paraId="57A30DF5">
      <w:pPr>
        <w:spacing w:line="360" w:lineRule="auto"/>
        <w:ind w:left="25" w:leftChars="12" w:firstLine="472" w:firstLineChars="197"/>
        <w:contextualSpacing/>
        <w:rPr>
          <w:rFonts w:hint="eastAsia" w:ascii="宋体" w:hAnsi="宋体" w:cs="宋体"/>
          <w:color w:val="auto"/>
          <w:kern w:val="0"/>
          <w:sz w:val="24"/>
        </w:rPr>
      </w:pPr>
      <w:r>
        <w:rPr>
          <w:rFonts w:hint="eastAsia" w:ascii="宋体" w:hAnsi="宋体" w:cs="宋体"/>
          <w:color w:val="auto"/>
          <w:kern w:val="0"/>
          <w:sz w:val="24"/>
        </w:rPr>
        <w:t>请求：</w:t>
      </w:r>
    </w:p>
    <w:p w14:paraId="73EED7C8">
      <w:pPr>
        <w:spacing w:line="360" w:lineRule="auto"/>
        <w:ind w:left="25" w:leftChars="12" w:firstLine="352" w:firstLineChars="147"/>
        <w:contextualSpacing/>
        <w:rPr>
          <w:rFonts w:hint="eastAsia" w:ascii="宋体" w:hAnsi="宋体" w:cs="宋体"/>
          <w:color w:val="auto"/>
          <w:kern w:val="0"/>
          <w:sz w:val="24"/>
        </w:rPr>
      </w:pPr>
    </w:p>
    <w:p w14:paraId="345F6C83">
      <w:pPr>
        <w:spacing w:line="360" w:lineRule="auto"/>
        <w:ind w:left="25" w:leftChars="12" w:firstLine="472" w:firstLineChars="197"/>
        <w:contextualSpacing/>
        <w:rPr>
          <w:rFonts w:hint="eastAsia" w:ascii="宋体" w:hAnsi="宋体" w:cs="宋体"/>
          <w:color w:val="auto"/>
          <w:kern w:val="0"/>
          <w:sz w:val="24"/>
        </w:rPr>
      </w:pPr>
      <w:r>
        <w:rPr>
          <w:rFonts w:hint="eastAsia" w:ascii="宋体" w:hAnsi="宋体" w:cs="宋体"/>
          <w:color w:val="auto"/>
          <w:kern w:val="0"/>
          <w:sz w:val="24"/>
        </w:rPr>
        <w:t>签字（签章）：                                       公章：</w:t>
      </w:r>
    </w:p>
    <w:p w14:paraId="4B165BFD">
      <w:pPr>
        <w:spacing w:line="360" w:lineRule="auto"/>
        <w:ind w:left="25" w:leftChars="12" w:firstLine="352" w:firstLineChars="147"/>
        <w:contextualSpacing/>
        <w:rPr>
          <w:rFonts w:hint="eastAsia" w:ascii="宋体" w:hAnsi="宋体" w:cs="宋体"/>
          <w:color w:val="auto"/>
          <w:kern w:val="0"/>
          <w:sz w:val="24"/>
        </w:rPr>
      </w:pPr>
    </w:p>
    <w:p w14:paraId="58E09CC8">
      <w:pPr>
        <w:spacing w:line="360" w:lineRule="auto"/>
        <w:ind w:left="25" w:leftChars="12" w:firstLine="472" w:firstLineChars="197"/>
        <w:contextualSpacing/>
        <w:rPr>
          <w:rFonts w:hint="eastAsia" w:ascii="宋体" w:hAnsi="宋体" w:cs="宋体"/>
          <w:color w:val="auto"/>
          <w:kern w:val="0"/>
          <w:sz w:val="24"/>
        </w:rPr>
      </w:pPr>
      <w:r>
        <w:rPr>
          <w:rFonts w:hint="eastAsia" w:ascii="宋体" w:hAnsi="宋体" w:cs="宋体"/>
          <w:color w:val="auto"/>
          <w:kern w:val="0"/>
          <w:sz w:val="24"/>
        </w:rPr>
        <w:t>日期：</w:t>
      </w:r>
    </w:p>
    <w:p w14:paraId="5944513C">
      <w:pPr>
        <w:spacing w:line="360" w:lineRule="auto"/>
        <w:ind w:firstLine="482"/>
        <w:rPr>
          <w:rFonts w:hint="eastAsia" w:ascii="宋体" w:hAnsi="宋体" w:cs="宋体"/>
          <w:b/>
          <w:color w:val="auto"/>
          <w:kern w:val="0"/>
          <w:sz w:val="24"/>
        </w:rPr>
      </w:pPr>
    </w:p>
    <w:p w14:paraId="22045074">
      <w:pPr>
        <w:spacing w:line="360" w:lineRule="auto"/>
        <w:ind w:firstLine="482"/>
        <w:rPr>
          <w:rFonts w:hint="eastAsia" w:ascii="宋体" w:hAnsi="宋体" w:cs="宋体"/>
          <w:b/>
          <w:color w:val="auto"/>
          <w:kern w:val="0"/>
          <w:sz w:val="24"/>
        </w:rPr>
      </w:pPr>
    </w:p>
    <w:p w14:paraId="08B16064">
      <w:pPr>
        <w:spacing w:line="360" w:lineRule="auto"/>
        <w:ind w:firstLine="482"/>
        <w:rPr>
          <w:rFonts w:hint="eastAsia" w:ascii="宋体" w:hAnsi="宋体" w:cs="宋体"/>
          <w:b/>
          <w:color w:val="auto"/>
          <w:kern w:val="0"/>
          <w:sz w:val="24"/>
        </w:rPr>
      </w:pPr>
      <w:r>
        <w:rPr>
          <w:rFonts w:hint="eastAsia" w:ascii="宋体" w:hAnsi="宋体" w:cs="宋体"/>
          <w:b/>
          <w:color w:val="auto"/>
          <w:kern w:val="0"/>
          <w:sz w:val="24"/>
        </w:rPr>
        <w:t>说明：</w:t>
      </w:r>
    </w:p>
    <w:p w14:paraId="59A1FAB5">
      <w:pPr>
        <w:spacing w:line="360" w:lineRule="auto"/>
        <w:ind w:left="25" w:leftChars="12" w:firstLine="354" w:firstLineChars="147"/>
        <w:contextualSpacing/>
        <w:rPr>
          <w:rFonts w:hint="eastAsia" w:ascii="宋体" w:hAnsi="宋体" w:cs="宋体"/>
          <w:b/>
          <w:bCs/>
          <w:color w:val="auto"/>
          <w:kern w:val="0"/>
          <w:sz w:val="24"/>
        </w:rPr>
      </w:pPr>
      <w:r>
        <w:rPr>
          <w:rFonts w:hint="eastAsia" w:ascii="宋体" w:hAnsi="宋体" w:cs="宋体"/>
          <w:b/>
          <w:color w:val="auto"/>
          <w:kern w:val="0"/>
          <w:sz w:val="24"/>
        </w:rPr>
        <w:t>1.供应商提出质疑时，应提交质疑函和必要的证明材料</w:t>
      </w:r>
      <w:r>
        <w:rPr>
          <w:rFonts w:hint="eastAsia" w:ascii="宋体" w:hAnsi="宋体" w:cs="宋体"/>
          <w:b/>
          <w:bCs/>
          <w:color w:val="auto"/>
          <w:kern w:val="0"/>
          <w:sz w:val="24"/>
        </w:rPr>
        <w:t>。</w:t>
      </w:r>
    </w:p>
    <w:p w14:paraId="3EB12F30">
      <w:pPr>
        <w:spacing w:line="360" w:lineRule="auto"/>
        <w:ind w:left="25" w:leftChars="12" w:firstLine="354" w:firstLineChars="147"/>
        <w:contextualSpacing/>
        <w:rPr>
          <w:rFonts w:hint="eastAsia" w:ascii="宋体" w:hAnsi="宋体" w:cs="宋体"/>
          <w:b/>
          <w:color w:val="auto"/>
          <w:kern w:val="0"/>
          <w:sz w:val="24"/>
        </w:rPr>
      </w:pPr>
      <w:r>
        <w:rPr>
          <w:rFonts w:hint="eastAsia" w:ascii="宋体" w:hAnsi="宋体" w:cs="宋体"/>
          <w:b/>
          <w:color w:val="auto"/>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8378B2E">
      <w:pPr>
        <w:spacing w:line="360" w:lineRule="auto"/>
        <w:ind w:left="25" w:leftChars="12" w:firstLine="354" w:firstLineChars="147"/>
        <w:contextualSpacing/>
        <w:rPr>
          <w:rFonts w:hint="eastAsia" w:ascii="宋体" w:hAnsi="宋体" w:cs="宋体"/>
          <w:b/>
          <w:color w:val="auto"/>
          <w:kern w:val="0"/>
          <w:sz w:val="24"/>
        </w:rPr>
      </w:pPr>
      <w:r>
        <w:rPr>
          <w:rFonts w:hint="eastAsia" w:ascii="宋体" w:hAnsi="宋体" w:cs="宋体"/>
          <w:b/>
          <w:color w:val="auto"/>
          <w:kern w:val="0"/>
          <w:sz w:val="24"/>
        </w:rPr>
        <w:t>3.质疑函的质疑事项应具体、明确，并有必要的事实依据和法律依据。</w:t>
      </w:r>
    </w:p>
    <w:p w14:paraId="4BAEF6C2">
      <w:pPr>
        <w:spacing w:line="360" w:lineRule="auto"/>
        <w:ind w:left="25" w:leftChars="12" w:firstLine="354" w:firstLineChars="147"/>
        <w:contextualSpacing/>
        <w:rPr>
          <w:rFonts w:hint="eastAsia" w:ascii="宋体" w:hAnsi="宋体" w:cs="宋体"/>
          <w:b/>
          <w:color w:val="auto"/>
          <w:kern w:val="0"/>
          <w:sz w:val="24"/>
        </w:rPr>
      </w:pPr>
      <w:r>
        <w:rPr>
          <w:rFonts w:hint="eastAsia" w:ascii="宋体" w:hAnsi="宋体" w:cs="宋体"/>
          <w:b/>
          <w:color w:val="auto"/>
          <w:kern w:val="0"/>
          <w:sz w:val="24"/>
        </w:rPr>
        <w:t>4.质疑函的质疑请求应与质疑事项相关。</w:t>
      </w:r>
    </w:p>
    <w:p w14:paraId="0AB19856">
      <w:pPr>
        <w:spacing w:line="360" w:lineRule="auto"/>
        <w:ind w:left="25" w:leftChars="12" w:firstLine="354" w:firstLineChars="147"/>
        <w:contextualSpacing/>
        <w:rPr>
          <w:rFonts w:hint="eastAsia" w:ascii="宋体" w:hAnsi="宋体" w:cs="宋体"/>
          <w:b/>
          <w:color w:val="auto"/>
          <w:kern w:val="0"/>
          <w:sz w:val="20"/>
          <w:szCs w:val="21"/>
        </w:rPr>
      </w:pPr>
      <w:r>
        <w:rPr>
          <w:rFonts w:hint="eastAsia" w:ascii="宋体" w:hAnsi="宋体" w:cs="宋体"/>
          <w:b/>
          <w:color w:val="auto"/>
          <w:kern w:val="0"/>
          <w:sz w:val="24"/>
        </w:rPr>
        <w:t>5.质疑供应商为法人或者其他组织的，质疑函应由法定代表人、主要负责人，或者其授权代表签字或者盖章，并加盖公章。</w:t>
      </w:r>
    </w:p>
    <w:p w14:paraId="006833CA">
      <w:pPr>
        <w:snapToGrid w:val="0"/>
        <w:ind w:firstLine="482"/>
        <w:rPr>
          <w:rFonts w:hint="eastAsia" w:ascii="宋体" w:hAnsi="宋体" w:cs="宋体"/>
          <w:b/>
          <w:color w:val="auto"/>
          <w:kern w:val="0"/>
          <w:sz w:val="24"/>
        </w:rPr>
      </w:pPr>
    </w:p>
    <w:p w14:paraId="3BBEFF56">
      <w:pPr>
        <w:spacing w:line="460" w:lineRule="exact"/>
        <w:jc w:val="center"/>
        <w:rPr>
          <w:rFonts w:hint="eastAsia" w:ascii="宋体" w:hAnsi="宋体" w:cs="宋体"/>
          <w:color w:val="auto"/>
          <w:sz w:val="44"/>
        </w:rPr>
      </w:pPr>
      <w:r>
        <w:rPr>
          <w:rFonts w:hint="eastAsia" w:ascii="宋体" w:hAnsi="宋体" w:cs="宋体"/>
          <w:color w:val="auto"/>
          <w:sz w:val="44"/>
        </w:rPr>
        <w:br w:type="page"/>
      </w:r>
    </w:p>
    <w:p w14:paraId="7E069848">
      <w:pPr>
        <w:spacing w:line="360" w:lineRule="auto"/>
        <w:jc w:val="center"/>
        <w:rPr>
          <w:rFonts w:hint="eastAsia" w:ascii="宋体" w:hAnsi="宋体" w:cs="宋体"/>
          <w:b/>
          <w:bCs/>
          <w:color w:val="auto"/>
          <w:sz w:val="32"/>
          <w:szCs w:val="32"/>
        </w:rPr>
      </w:pPr>
      <w:r>
        <w:rPr>
          <w:rFonts w:hint="eastAsia" w:ascii="宋体" w:hAnsi="宋体" w:cs="宋体"/>
          <w:b/>
          <w:bCs/>
          <w:color w:val="auto"/>
          <w:sz w:val="32"/>
          <w:szCs w:val="32"/>
        </w:rPr>
        <w:t>投诉书（格式）</w:t>
      </w:r>
    </w:p>
    <w:p w14:paraId="7900CE36">
      <w:pPr>
        <w:snapToGrid w:val="0"/>
        <w:spacing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rPr>
        <w:t>一、投诉相关主体基本情况：</w:t>
      </w:r>
    </w:p>
    <w:p w14:paraId="551BA85A">
      <w:pPr>
        <w:snapToGrid w:val="0"/>
        <w:spacing w:line="360" w:lineRule="auto"/>
        <w:ind w:firstLine="480" w:firstLineChars="200"/>
        <w:rPr>
          <w:rFonts w:hint="eastAsia" w:ascii="宋体" w:hAnsi="宋体" w:cs="宋体"/>
          <w:bCs/>
          <w:color w:val="auto"/>
          <w:kern w:val="0"/>
          <w:sz w:val="24"/>
          <w:u w:val="single"/>
        </w:rPr>
      </w:pPr>
      <w:r>
        <w:rPr>
          <w:rFonts w:hint="eastAsia" w:ascii="宋体" w:hAnsi="宋体" w:cs="宋体"/>
          <w:bCs/>
          <w:color w:val="auto"/>
          <w:kern w:val="0"/>
          <w:sz w:val="24"/>
        </w:rPr>
        <w:t>供应商：</w:t>
      </w:r>
    </w:p>
    <w:p w14:paraId="15112D0A">
      <w:pPr>
        <w:snapToGrid w:val="0"/>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地址：邮编：</w:t>
      </w:r>
    </w:p>
    <w:p w14:paraId="233B24C8">
      <w:pPr>
        <w:snapToGrid w:val="0"/>
        <w:spacing w:line="360" w:lineRule="auto"/>
        <w:ind w:firstLine="480" w:firstLineChars="200"/>
        <w:rPr>
          <w:rFonts w:hint="eastAsia" w:ascii="宋体" w:hAnsi="宋体" w:cs="宋体"/>
          <w:bCs/>
          <w:color w:val="auto"/>
          <w:kern w:val="0"/>
          <w:sz w:val="24"/>
          <w:u w:val="single"/>
        </w:rPr>
      </w:pPr>
      <w:r>
        <w:rPr>
          <w:rFonts w:hint="eastAsia" w:ascii="宋体" w:hAnsi="宋体" w:cs="宋体"/>
          <w:bCs/>
          <w:color w:val="auto"/>
          <w:kern w:val="0"/>
          <w:sz w:val="24"/>
        </w:rPr>
        <w:t>法定代表人/主要负责人：</w:t>
      </w:r>
    </w:p>
    <w:p w14:paraId="175181F5">
      <w:pPr>
        <w:snapToGrid w:val="0"/>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联系电话：</w:t>
      </w:r>
    </w:p>
    <w:p w14:paraId="642A4776">
      <w:pPr>
        <w:snapToGrid w:val="0"/>
        <w:spacing w:line="360" w:lineRule="auto"/>
        <w:ind w:firstLine="480" w:firstLineChars="200"/>
        <w:rPr>
          <w:rFonts w:hint="eastAsia" w:ascii="宋体" w:hAnsi="宋体" w:cs="宋体"/>
          <w:bCs/>
          <w:color w:val="auto"/>
          <w:kern w:val="0"/>
          <w:sz w:val="24"/>
          <w:u w:val="single"/>
        </w:rPr>
      </w:pPr>
      <w:r>
        <w:rPr>
          <w:rFonts w:hint="eastAsia" w:ascii="宋体" w:hAnsi="宋体" w:cs="宋体"/>
          <w:bCs/>
          <w:color w:val="auto"/>
          <w:kern w:val="0"/>
          <w:sz w:val="24"/>
        </w:rPr>
        <w:t>授权代表：联系电话：</w:t>
      </w:r>
    </w:p>
    <w:p w14:paraId="3A3DEE8E">
      <w:pPr>
        <w:snapToGrid w:val="0"/>
        <w:spacing w:line="360" w:lineRule="auto"/>
        <w:ind w:firstLine="480" w:firstLineChars="200"/>
        <w:rPr>
          <w:rFonts w:hint="eastAsia" w:ascii="宋体" w:hAnsi="宋体" w:cs="宋体"/>
          <w:bCs/>
          <w:color w:val="auto"/>
          <w:kern w:val="0"/>
          <w:sz w:val="24"/>
          <w:u w:val="single"/>
        </w:rPr>
      </w:pPr>
      <w:r>
        <w:rPr>
          <w:rFonts w:hint="eastAsia" w:ascii="宋体" w:hAnsi="宋体" w:cs="宋体"/>
          <w:bCs/>
          <w:color w:val="auto"/>
          <w:kern w:val="0"/>
          <w:sz w:val="24"/>
        </w:rPr>
        <w:t>地址：</w:t>
      </w:r>
    </w:p>
    <w:p w14:paraId="13772D3E">
      <w:pPr>
        <w:snapToGrid w:val="0"/>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邮编：</w:t>
      </w:r>
    </w:p>
    <w:p w14:paraId="605BD97B">
      <w:pPr>
        <w:snapToGrid w:val="0"/>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被投诉人1：</w:t>
      </w:r>
    </w:p>
    <w:p w14:paraId="2AAB17F6">
      <w:pPr>
        <w:snapToGrid w:val="0"/>
        <w:spacing w:line="360" w:lineRule="auto"/>
        <w:ind w:firstLine="480" w:firstLineChars="200"/>
        <w:rPr>
          <w:rFonts w:hint="eastAsia" w:ascii="宋体" w:hAnsi="宋体" w:cs="宋体"/>
          <w:bCs/>
          <w:color w:val="auto"/>
          <w:kern w:val="0"/>
          <w:sz w:val="24"/>
          <w:u w:val="single"/>
        </w:rPr>
      </w:pPr>
      <w:r>
        <w:rPr>
          <w:rFonts w:hint="eastAsia" w:ascii="宋体" w:hAnsi="宋体" w:cs="宋体"/>
          <w:bCs/>
          <w:color w:val="auto"/>
          <w:kern w:val="0"/>
          <w:sz w:val="24"/>
        </w:rPr>
        <w:t>地址：</w:t>
      </w:r>
    </w:p>
    <w:p w14:paraId="38BCF7C0">
      <w:pPr>
        <w:snapToGrid w:val="0"/>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邮编：</w:t>
      </w:r>
    </w:p>
    <w:p w14:paraId="53ACC94D">
      <w:pPr>
        <w:snapToGrid w:val="0"/>
        <w:spacing w:line="360" w:lineRule="auto"/>
        <w:ind w:firstLine="480" w:firstLineChars="200"/>
        <w:rPr>
          <w:rFonts w:hint="eastAsia" w:ascii="宋体" w:hAnsi="宋体" w:cs="宋体"/>
          <w:bCs/>
          <w:color w:val="auto"/>
          <w:kern w:val="0"/>
          <w:sz w:val="24"/>
          <w:u w:val="single"/>
        </w:rPr>
      </w:pPr>
      <w:r>
        <w:rPr>
          <w:rFonts w:hint="eastAsia" w:ascii="宋体" w:hAnsi="宋体" w:cs="宋体"/>
          <w:bCs/>
          <w:color w:val="auto"/>
          <w:kern w:val="0"/>
          <w:sz w:val="24"/>
        </w:rPr>
        <w:t>联系人：联系电话：</w:t>
      </w:r>
    </w:p>
    <w:p w14:paraId="0D255169">
      <w:pPr>
        <w:snapToGrid w:val="0"/>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被投诉人2：</w:t>
      </w:r>
    </w:p>
    <w:p w14:paraId="39602A40">
      <w:pPr>
        <w:snapToGrid w:val="0"/>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w:t>
      </w:r>
    </w:p>
    <w:p w14:paraId="1AA23896">
      <w:pPr>
        <w:snapToGrid w:val="0"/>
        <w:spacing w:line="360" w:lineRule="auto"/>
        <w:ind w:firstLine="480" w:firstLineChars="200"/>
        <w:rPr>
          <w:rFonts w:hint="eastAsia" w:ascii="宋体" w:hAnsi="宋体" w:cs="宋体"/>
          <w:bCs/>
          <w:color w:val="auto"/>
          <w:kern w:val="0"/>
          <w:sz w:val="24"/>
          <w:u w:val="single"/>
        </w:rPr>
      </w:pPr>
      <w:r>
        <w:rPr>
          <w:rFonts w:hint="eastAsia" w:ascii="宋体" w:hAnsi="宋体" w:cs="宋体"/>
          <w:bCs/>
          <w:color w:val="auto"/>
          <w:kern w:val="0"/>
          <w:sz w:val="24"/>
        </w:rPr>
        <w:t>相关供应商：</w:t>
      </w:r>
    </w:p>
    <w:p w14:paraId="777E2B4A">
      <w:pPr>
        <w:snapToGrid w:val="0"/>
        <w:spacing w:line="360" w:lineRule="auto"/>
        <w:ind w:firstLine="480" w:firstLineChars="200"/>
        <w:rPr>
          <w:rFonts w:hint="eastAsia" w:ascii="宋体" w:hAnsi="宋体" w:cs="宋体"/>
          <w:bCs/>
          <w:color w:val="auto"/>
          <w:kern w:val="0"/>
          <w:sz w:val="24"/>
          <w:u w:val="single"/>
        </w:rPr>
      </w:pPr>
      <w:r>
        <w:rPr>
          <w:rFonts w:hint="eastAsia" w:ascii="宋体" w:hAnsi="宋体" w:cs="宋体"/>
          <w:bCs/>
          <w:color w:val="auto"/>
          <w:kern w:val="0"/>
          <w:sz w:val="24"/>
        </w:rPr>
        <w:t>地址：邮编：</w:t>
      </w:r>
    </w:p>
    <w:p w14:paraId="6B40A90B">
      <w:pPr>
        <w:snapToGrid w:val="0"/>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联系人：联系电话：</w:t>
      </w:r>
    </w:p>
    <w:p w14:paraId="03420532">
      <w:pPr>
        <w:snapToGrid w:val="0"/>
        <w:spacing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rPr>
        <w:t>二、投诉项目基本情况：</w:t>
      </w:r>
    </w:p>
    <w:p w14:paraId="133D8F1F">
      <w:pPr>
        <w:spacing w:line="360" w:lineRule="auto"/>
        <w:ind w:left="25" w:leftChars="12" w:firstLine="472" w:firstLineChars="197"/>
        <w:rPr>
          <w:rFonts w:hint="eastAsia"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项目的名称：</w:t>
      </w:r>
      <w:bookmarkStart w:id="1033" w:name="PO_3000001871_PM002_16"/>
      <w:r>
        <w:rPr>
          <w:rFonts w:hint="eastAsia" w:ascii="宋体" w:hAnsi="宋体" w:cs="宋体"/>
          <w:bCs/>
          <w:color w:val="auto"/>
          <w:kern w:val="0"/>
          <w:sz w:val="24"/>
          <w:u w:val="single"/>
        </w:rPr>
        <w:t>[项目采购-项目名称_]</w:t>
      </w:r>
      <w:bookmarkEnd w:id="1033"/>
    </w:p>
    <w:p w14:paraId="67904441">
      <w:pPr>
        <w:spacing w:line="360" w:lineRule="auto"/>
        <w:ind w:left="25" w:leftChars="12" w:firstLine="472" w:firstLineChars="197"/>
        <w:rPr>
          <w:rFonts w:hint="eastAsia"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项目的编号：</w:t>
      </w:r>
      <w:bookmarkStart w:id="1034" w:name="PO_3000001871_PM001_10"/>
      <w:r>
        <w:rPr>
          <w:rFonts w:hint="eastAsia" w:ascii="宋体" w:hAnsi="宋体" w:cs="宋体"/>
          <w:bCs/>
          <w:color w:val="auto"/>
          <w:kern w:val="0"/>
          <w:sz w:val="24"/>
          <w:u w:val="single"/>
        </w:rPr>
        <w:t>[项目采购-项目编号_]</w:t>
      </w:r>
      <w:bookmarkEnd w:id="1034"/>
    </w:p>
    <w:p w14:paraId="616ECF44">
      <w:pPr>
        <w:spacing w:line="360" w:lineRule="auto"/>
        <w:ind w:left="25" w:leftChars="12" w:firstLine="472" w:firstLineChars="197"/>
        <w:rPr>
          <w:rFonts w:hint="eastAsia" w:ascii="宋体" w:hAnsi="宋体" w:cs="宋体"/>
          <w:bCs/>
          <w:color w:val="auto"/>
          <w:kern w:val="0"/>
          <w:sz w:val="24"/>
          <w:u w:val="single"/>
        </w:rPr>
      </w:pPr>
      <w:r>
        <w:rPr>
          <w:rFonts w:hint="eastAsia" w:ascii="宋体" w:hAnsi="宋体" w:cs="宋体"/>
          <w:color w:val="auto"/>
          <w:kern w:val="0"/>
          <w:sz w:val="24"/>
        </w:rPr>
        <w:t>采购人名称：</w:t>
      </w:r>
      <w:bookmarkStart w:id="1035" w:name="PO_3000001871_PM026_9"/>
      <w:r>
        <w:rPr>
          <w:rFonts w:hint="eastAsia" w:ascii="宋体" w:hAnsi="宋体" w:cs="宋体"/>
          <w:bCs/>
          <w:color w:val="auto"/>
          <w:kern w:val="0"/>
          <w:sz w:val="24"/>
          <w:u w:val="single"/>
        </w:rPr>
        <w:t>[项目采购-采购人_]</w:t>
      </w:r>
      <w:bookmarkEnd w:id="1035"/>
    </w:p>
    <w:p w14:paraId="561FAABD">
      <w:pPr>
        <w:spacing w:line="360" w:lineRule="auto"/>
        <w:ind w:left="25" w:leftChars="12" w:firstLine="472" w:firstLineChars="197"/>
        <w:rPr>
          <w:rFonts w:hint="eastAsia" w:ascii="宋体" w:hAnsi="宋体" w:cs="宋体"/>
          <w:bCs/>
          <w:color w:val="auto"/>
          <w:kern w:val="0"/>
          <w:sz w:val="24"/>
          <w:u w:val="single"/>
        </w:rPr>
      </w:pPr>
      <w:r>
        <w:rPr>
          <w:rFonts w:hint="eastAsia" w:ascii="宋体" w:hAnsi="宋体" w:cs="宋体"/>
          <w:color w:val="auto"/>
          <w:kern w:val="0"/>
          <w:sz w:val="24"/>
        </w:rPr>
        <w:t>代理机构名称：</w:t>
      </w:r>
      <w:bookmarkStart w:id="1036" w:name="PO_3000001871_PM031_5"/>
      <w:r>
        <w:rPr>
          <w:rFonts w:hint="eastAsia" w:ascii="宋体" w:hAnsi="宋体" w:cs="宋体"/>
          <w:bCs/>
          <w:color w:val="auto"/>
          <w:kern w:val="0"/>
          <w:sz w:val="24"/>
          <w:u w:val="single"/>
        </w:rPr>
        <w:t>[项目采购-采购组织机构_]</w:t>
      </w:r>
      <w:bookmarkEnd w:id="1036"/>
    </w:p>
    <w:p w14:paraId="186E8D07">
      <w:pPr>
        <w:spacing w:line="360" w:lineRule="auto"/>
        <w:ind w:left="25" w:leftChars="12" w:firstLine="472" w:firstLineChars="197"/>
        <w:rPr>
          <w:rFonts w:hint="eastAsia" w:ascii="宋体" w:hAnsi="宋体" w:cs="宋体"/>
          <w:bCs/>
          <w:color w:val="auto"/>
          <w:kern w:val="0"/>
          <w:sz w:val="24"/>
          <w:u w:val="single"/>
        </w:rPr>
      </w:pPr>
      <w:r>
        <w:rPr>
          <w:rFonts w:hint="eastAsia" w:ascii="宋体" w:hAnsi="宋体" w:cs="宋体"/>
          <w:bCs/>
          <w:color w:val="auto"/>
          <w:kern w:val="0"/>
          <w:sz w:val="24"/>
        </w:rPr>
        <w:t>招标文件公告：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p>
    <w:p w14:paraId="205B1FCA">
      <w:pPr>
        <w:spacing w:line="360" w:lineRule="auto"/>
        <w:ind w:left="25" w:leftChars="12" w:firstLine="472" w:firstLineChars="197"/>
        <w:rPr>
          <w:rFonts w:hint="eastAsia" w:ascii="宋体" w:hAnsi="宋体" w:cs="宋体"/>
          <w:b/>
          <w:color w:val="auto"/>
          <w:kern w:val="0"/>
          <w:sz w:val="24"/>
        </w:rPr>
      </w:pPr>
      <w:r>
        <w:rPr>
          <w:rFonts w:hint="eastAsia" w:ascii="宋体" w:hAnsi="宋体" w:cs="宋体"/>
          <w:bCs/>
          <w:color w:val="auto"/>
          <w:kern w:val="0"/>
          <w:sz w:val="24"/>
        </w:rPr>
        <w:t>采购结果公告：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p>
    <w:p w14:paraId="6D06D6DA">
      <w:pPr>
        <w:spacing w:line="360" w:lineRule="auto"/>
        <w:ind w:left="25" w:leftChars="12" w:firstLine="472" w:firstLineChars="196"/>
        <w:rPr>
          <w:rFonts w:hint="eastAsia" w:ascii="宋体" w:hAnsi="宋体" w:cs="宋体"/>
          <w:b/>
          <w:color w:val="auto"/>
          <w:kern w:val="0"/>
          <w:sz w:val="24"/>
        </w:rPr>
      </w:pPr>
      <w:r>
        <w:rPr>
          <w:rFonts w:hint="eastAsia" w:ascii="宋体" w:hAnsi="宋体" w:cs="宋体"/>
          <w:b/>
          <w:color w:val="auto"/>
          <w:kern w:val="0"/>
          <w:sz w:val="24"/>
        </w:rPr>
        <w:t>三、质疑基本情况</w:t>
      </w:r>
    </w:p>
    <w:p w14:paraId="4BB86A20">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投诉人于年月日，向提出质疑，质疑事项为：</w:t>
      </w:r>
    </w:p>
    <w:p w14:paraId="636515CF">
      <w:pPr>
        <w:spacing w:line="360" w:lineRule="auto"/>
        <w:ind w:firstLine="480"/>
        <w:rPr>
          <w:rFonts w:hint="eastAsia" w:ascii="宋体" w:hAnsi="宋体" w:cs="宋体"/>
          <w:bCs/>
          <w:color w:val="auto"/>
          <w:kern w:val="0"/>
          <w:sz w:val="24"/>
          <w:u w:val="single"/>
        </w:rPr>
      </w:pPr>
    </w:p>
    <w:p w14:paraId="79DC329C">
      <w:pPr>
        <w:spacing w:line="360" w:lineRule="auto"/>
        <w:ind w:firstLine="480"/>
        <w:rPr>
          <w:rFonts w:hint="eastAsia" w:ascii="宋体" w:hAnsi="宋体" w:cs="宋体"/>
          <w:bCs/>
          <w:color w:val="auto"/>
          <w:kern w:val="0"/>
          <w:sz w:val="24"/>
          <w:u w:val="single"/>
        </w:rPr>
      </w:pPr>
    </w:p>
    <w:p w14:paraId="7AE051F8">
      <w:pPr>
        <w:spacing w:line="360" w:lineRule="auto"/>
        <w:ind w:firstLine="480" w:firstLineChars="200"/>
        <w:rPr>
          <w:rFonts w:hint="eastAsia" w:ascii="宋体" w:hAnsi="宋体" w:cs="宋体"/>
          <w:color w:val="auto"/>
          <w:kern w:val="0"/>
          <w:sz w:val="24"/>
        </w:rPr>
      </w:pPr>
      <w:r>
        <w:rPr>
          <w:rFonts w:hint="eastAsia" w:ascii="宋体" w:hAnsi="宋体" w:cs="宋体"/>
          <w:bCs/>
          <w:color w:val="auto"/>
          <w:kern w:val="0"/>
          <w:sz w:val="24"/>
          <w:u w:val="single"/>
        </w:rPr>
        <w:t>采购人/代理机构</w:t>
      </w:r>
      <w:r>
        <w:rPr>
          <w:rFonts w:hint="eastAsia" w:ascii="宋体" w:hAnsi="宋体" w:cs="宋体"/>
          <w:bCs/>
          <w:color w:val="auto"/>
          <w:kern w:val="0"/>
          <w:sz w:val="24"/>
        </w:rPr>
        <w:t>于</w:t>
      </w:r>
      <w:r>
        <w:rPr>
          <w:rFonts w:hint="eastAsia" w:ascii="宋体" w:hAnsi="宋体" w:cs="宋体"/>
          <w:color w:val="auto"/>
          <w:kern w:val="0"/>
          <w:sz w:val="24"/>
        </w:rPr>
        <w:t>年月日，</w:t>
      </w:r>
      <w:r>
        <w:rPr>
          <w:rFonts w:hint="eastAsia" w:ascii="宋体" w:hAnsi="宋体" w:cs="宋体"/>
          <w:bCs/>
          <w:color w:val="auto"/>
          <w:kern w:val="0"/>
          <w:sz w:val="24"/>
        </w:rPr>
        <w:t xml:space="preserve">就质疑事项作出了答复/没有在法定期限内作出答复。                                                                                             </w:t>
      </w:r>
    </w:p>
    <w:p w14:paraId="5F8A00E1">
      <w:pPr>
        <w:spacing w:line="360" w:lineRule="auto"/>
        <w:ind w:left="25" w:leftChars="12" w:firstLine="472" w:firstLineChars="196"/>
        <w:rPr>
          <w:rFonts w:hint="eastAsia" w:ascii="宋体" w:hAnsi="宋体" w:cs="宋体"/>
          <w:b/>
          <w:color w:val="auto"/>
          <w:kern w:val="0"/>
          <w:sz w:val="24"/>
        </w:rPr>
      </w:pPr>
      <w:r>
        <w:rPr>
          <w:rFonts w:hint="eastAsia" w:ascii="宋体" w:hAnsi="宋体" w:cs="宋体"/>
          <w:b/>
          <w:color w:val="auto"/>
          <w:kern w:val="0"/>
          <w:sz w:val="24"/>
        </w:rPr>
        <w:t>四、投诉事项具体内容</w:t>
      </w:r>
    </w:p>
    <w:p w14:paraId="2A2BC39F">
      <w:pPr>
        <w:spacing w:line="360" w:lineRule="auto"/>
        <w:ind w:left="25" w:leftChars="12" w:firstLine="472" w:firstLineChars="197"/>
        <w:rPr>
          <w:rFonts w:hint="eastAsia" w:ascii="宋体" w:hAnsi="宋体" w:cs="宋体"/>
          <w:bCs/>
          <w:color w:val="auto"/>
          <w:kern w:val="0"/>
          <w:sz w:val="24"/>
          <w:u w:val="single"/>
        </w:rPr>
      </w:pPr>
      <w:r>
        <w:rPr>
          <w:rFonts w:hint="eastAsia" w:ascii="宋体" w:hAnsi="宋体" w:cs="宋体"/>
          <w:color w:val="auto"/>
          <w:kern w:val="0"/>
          <w:sz w:val="24"/>
        </w:rPr>
        <w:t>投诉事项1：</w:t>
      </w:r>
    </w:p>
    <w:p w14:paraId="6BCE5FFD">
      <w:pPr>
        <w:spacing w:line="360" w:lineRule="auto"/>
        <w:ind w:firstLine="480" w:firstLineChars="200"/>
        <w:rPr>
          <w:rFonts w:hint="eastAsia" w:ascii="宋体" w:hAnsi="宋体" w:cs="宋体"/>
          <w:bCs/>
          <w:color w:val="auto"/>
          <w:kern w:val="0"/>
          <w:sz w:val="24"/>
          <w:u w:val="single"/>
        </w:rPr>
      </w:pPr>
      <w:r>
        <w:rPr>
          <w:rFonts w:hint="eastAsia" w:ascii="宋体" w:hAnsi="宋体" w:cs="宋体"/>
          <w:bCs/>
          <w:color w:val="auto"/>
          <w:kern w:val="0"/>
          <w:sz w:val="24"/>
        </w:rPr>
        <w:t>事实依据：</w:t>
      </w:r>
    </w:p>
    <w:p w14:paraId="4D58F946">
      <w:pPr>
        <w:spacing w:line="360" w:lineRule="auto"/>
        <w:ind w:left="25" w:leftChars="12" w:firstLine="472" w:firstLineChars="197"/>
        <w:rPr>
          <w:rFonts w:hint="eastAsia" w:ascii="宋体" w:hAnsi="宋体" w:cs="宋体"/>
          <w:color w:val="auto"/>
          <w:kern w:val="0"/>
          <w:sz w:val="24"/>
        </w:rPr>
      </w:pPr>
    </w:p>
    <w:p w14:paraId="051F63D1">
      <w:pPr>
        <w:spacing w:line="360" w:lineRule="auto"/>
        <w:ind w:firstLine="480" w:firstLineChars="200"/>
        <w:rPr>
          <w:rFonts w:hint="eastAsia" w:ascii="宋体" w:hAnsi="宋体" w:cs="宋体"/>
          <w:bCs/>
          <w:color w:val="auto"/>
          <w:kern w:val="0"/>
          <w:sz w:val="24"/>
          <w:u w:val="single"/>
        </w:rPr>
      </w:pPr>
      <w:r>
        <w:rPr>
          <w:rFonts w:hint="eastAsia" w:ascii="宋体" w:hAnsi="宋体" w:cs="宋体"/>
          <w:bCs/>
          <w:color w:val="auto"/>
          <w:kern w:val="0"/>
          <w:sz w:val="24"/>
        </w:rPr>
        <w:t>法律依据：</w:t>
      </w:r>
    </w:p>
    <w:p w14:paraId="053D35F6">
      <w:pPr>
        <w:spacing w:line="360" w:lineRule="auto"/>
        <w:ind w:left="25" w:leftChars="12" w:firstLine="352" w:firstLineChars="147"/>
        <w:rPr>
          <w:rFonts w:hint="eastAsia" w:ascii="宋体" w:hAnsi="宋体" w:cs="宋体"/>
          <w:bCs/>
          <w:color w:val="auto"/>
          <w:kern w:val="0"/>
          <w:sz w:val="24"/>
          <w:u w:val="single"/>
        </w:rPr>
      </w:pPr>
    </w:p>
    <w:p w14:paraId="2B36C572">
      <w:pPr>
        <w:spacing w:line="360" w:lineRule="auto"/>
        <w:ind w:left="25" w:leftChars="12" w:firstLine="472" w:firstLineChars="197"/>
        <w:rPr>
          <w:rFonts w:hint="eastAsia" w:ascii="宋体" w:hAnsi="宋体" w:cs="宋体"/>
          <w:bCs/>
          <w:color w:val="auto"/>
          <w:kern w:val="0"/>
          <w:sz w:val="24"/>
        </w:rPr>
      </w:pPr>
      <w:r>
        <w:rPr>
          <w:rFonts w:hint="eastAsia" w:ascii="宋体" w:hAnsi="宋体" w:cs="宋体"/>
          <w:color w:val="auto"/>
          <w:kern w:val="0"/>
          <w:sz w:val="24"/>
        </w:rPr>
        <w:t xml:space="preserve">投诉事项2  </w:t>
      </w:r>
    </w:p>
    <w:p w14:paraId="14AA9807">
      <w:pPr>
        <w:spacing w:line="360" w:lineRule="auto"/>
        <w:ind w:left="25" w:leftChars="12" w:firstLine="472" w:firstLineChars="197"/>
        <w:rPr>
          <w:rFonts w:hint="eastAsia" w:ascii="宋体" w:hAnsi="宋体" w:cs="宋体"/>
          <w:bCs/>
          <w:color w:val="auto"/>
          <w:kern w:val="0"/>
          <w:sz w:val="24"/>
        </w:rPr>
      </w:pPr>
      <w:r>
        <w:rPr>
          <w:rFonts w:hint="eastAsia" w:ascii="宋体" w:hAnsi="宋体" w:cs="宋体"/>
          <w:bCs/>
          <w:color w:val="auto"/>
          <w:kern w:val="0"/>
          <w:sz w:val="24"/>
        </w:rPr>
        <w:t>……</w:t>
      </w:r>
    </w:p>
    <w:p w14:paraId="551EF0CF">
      <w:pPr>
        <w:spacing w:line="360" w:lineRule="auto"/>
        <w:ind w:left="25" w:leftChars="12" w:firstLine="472" w:firstLineChars="196"/>
        <w:rPr>
          <w:rFonts w:hint="eastAsia" w:ascii="宋体" w:hAnsi="宋体" w:cs="宋体"/>
          <w:b/>
          <w:color w:val="auto"/>
          <w:kern w:val="0"/>
          <w:sz w:val="24"/>
        </w:rPr>
      </w:pPr>
      <w:r>
        <w:rPr>
          <w:rFonts w:hint="eastAsia" w:ascii="宋体" w:hAnsi="宋体" w:cs="宋体"/>
          <w:b/>
          <w:color w:val="auto"/>
          <w:kern w:val="0"/>
          <w:sz w:val="24"/>
        </w:rPr>
        <w:t>五、与投诉事项相关的投诉请求：</w:t>
      </w:r>
    </w:p>
    <w:p w14:paraId="5D884D62">
      <w:pPr>
        <w:spacing w:line="360" w:lineRule="auto"/>
        <w:ind w:left="25" w:leftChars="12" w:firstLine="472" w:firstLineChars="197"/>
        <w:rPr>
          <w:rFonts w:hint="eastAsia" w:ascii="宋体" w:hAnsi="宋体" w:cs="宋体"/>
          <w:color w:val="auto"/>
          <w:kern w:val="0"/>
          <w:sz w:val="24"/>
        </w:rPr>
      </w:pPr>
      <w:r>
        <w:rPr>
          <w:rFonts w:hint="eastAsia" w:ascii="宋体" w:hAnsi="宋体" w:cs="宋体"/>
          <w:color w:val="auto"/>
          <w:kern w:val="0"/>
          <w:sz w:val="24"/>
        </w:rPr>
        <w:t>请求：</w:t>
      </w:r>
    </w:p>
    <w:p w14:paraId="4D230F79">
      <w:pPr>
        <w:spacing w:line="360" w:lineRule="auto"/>
        <w:ind w:left="25" w:leftChars="12" w:firstLine="352" w:firstLineChars="147"/>
        <w:rPr>
          <w:rFonts w:hint="eastAsia" w:ascii="宋体" w:hAnsi="宋体" w:cs="宋体"/>
          <w:color w:val="auto"/>
          <w:kern w:val="0"/>
          <w:sz w:val="24"/>
        </w:rPr>
      </w:pPr>
    </w:p>
    <w:p w14:paraId="61EF5CFA">
      <w:pPr>
        <w:spacing w:line="360" w:lineRule="auto"/>
        <w:ind w:left="25" w:leftChars="12" w:firstLine="472" w:firstLineChars="197"/>
        <w:rPr>
          <w:rFonts w:hint="eastAsia" w:ascii="宋体" w:hAnsi="宋体" w:cs="宋体"/>
          <w:color w:val="auto"/>
          <w:kern w:val="0"/>
          <w:sz w:val="24"/>
        </w:rPr>
      </w:pPr>
      <w:r>
        <w:rPr>
          <w:rFonts w:hint="eastAsia" w:ascii="宋体" w:hAnsi="宋体" w:cs="宋体"/>
          <w:color w:val="auto"/>
          <w:kern w:val="0"/>
          <w:sz w:val="24"/>
        </w:rPr>
        <w:t>签字（签章）：                                       公章：</w:t>
      </w:r>
    </w:p>
    <w:p w14:paraId="30F76FC6">
      <w:pPr>
        <w:spacing w:line="360" w:lineRule="auto"/>
        <w:ind w:left="25" w:leftChars="12" w:firstLine="352" w:firstLineChars="147"/>
        <w:rPr>
          <w:rFonts w:hint="eastAsia" w:ascii="宋体" w:hAnsi="宋体" w:cs="宋体"/>
          <w:color w:val="auto"/>
          <w:kern w:val="0"/>
          <w:sz w:val="24"/>
        </w:rPr>
      </w:pPr>
    </w:p>
    <w:p w14:paraId="1177A4C5">
      <w:pPr>
        <w:spacing w:line="360" w:lineRule="auto"/>
        <w:ind w:left="25" w:leftChars="12" w:firstLine="472" w:firstLineChars="197"/>
        <w:rPr>
          <w:rFonts w:hint="eastAsia" w:ascii="宋体" w:hAnsi="宋体" w:cs="宋体"/>
          <w:color w:val="auto"/>
          <w:kern w:val="0"/>
          <w:sz w:val="24"/>
        </w:rPr>
      </w:pPr>
      <w:r>
        <w:rPr>
          <w:rFonts w:hint="eastAsia" w:ascii="宋体" w:hAnsi="宋体" w:cs="宋体"/>
          <w:color w:val="auto"/>
          <w:kern w:val="0"/>
          <w:sz w:val="24"/>
        </w:rPr>
        <w:t>日期：</w:t>
      </w:r>
    </w:p>
    <w:p w14:paraId="5EA30E27">
      <w:pPr>
        <w:spacing w:line="360" w:lineRule="auto"/>
        <w:ind w:left="25" w:leftChars="12" w:firstLine="472" w:firstLineChars="197"/>
        <w:rPr>
          <w:rFonts w:hint="eastAsia" w:ascii="宋体" w:hAnsi="宋体" w:cs="宋体"/>
          <w:color w:val="auto"/>
          <w:kern w:val="0"/>
          <w:sz w:val="24"/>
        </w:rPr>
      </w:pPr>
    </w:p>
    <w:p w14:paraId="00DD159E">
      <w:pPr>
        <w:snapToGrid w:val="0"/>
        <w:spacing w:line="360" w:lineRule="auto"/>
        <w:ind w:firstLine="482"/>
        <w:rPr>
          <w:rFonts w:hint="eastAsia" w:ascii="宋体" w:hAnsi="宋体" w:cs="宋体"/>
          <w:b/>
          <w:color w:val="auto"/>
          <w:kern w:val="0"/>
          <w:sz w:val="24"/>
        </w:rPr>
      </w:pPr>
    </w:p>
    <w:p w14:paraId="3CCF866B">
      <w:pPr>
        <w:snapToGrid w:val="0"/>
        <w:spacing w:line="360" w:lineRule="auto"/>
        <w:ind w:firstLine="482"/>
        <w:rPr>
          <w:rFonts w:hint="eastAsia" w:ascii="宋体" w:hAnsi="宋体" w:cs="宋体"/>
          <w:b/>
          <w:color w:val="auto"/>
          <w:kern w:val="0"/>
          <w:sz w:val="24"/>
        </w:rPr>
      </w:pPr>
      <w:r>
        <w:rPr>
          <w:rFonts w:hint="eastAsia" w:ascii="宋体" w:hAnsi="宋体" w:cs="宋体"/>
          <w:b/>
          <w:color w:val="auto"/>
          <w:kern w:val="0"/>
          <w:sz w:val="24"/>
        </w:rPr>
        <w:t>说明：</w:t>
      </w:r>
    </w:p>
    <w:p w14:paraId="2F42E67F">
      <w:pPr>
        <w:spacing w:line="360" w:lineRule="auto"/>
        <w:ind w:left="25" w:leftChars="12" w:firstLine="354" w:firstLineChars="147"/>
        <w:rPr>
          <w:rFonts w:hint="eastAsia" w:ascii="宋体" w:hAnsi="宋体" w:cs="宋体"/>
          <w:b/>
          <w:bCs/>
          <w:color w:val="auto"/>
          <w:kern w:val="0"/>
          <w:sz w:val="24"/>
        </w:rPr>
      </w:pPr>
      <w:r>
        <w:rPr>
          <w:rFonts w:hint="eastAsia" w:ascii="宋体" w:hAnsi="宋体" w:cs="宋体"/>
          <w:b/>
          <w:color w:val="auto"/>
          <w:kern w:val="0"/>
          <w:sz w:val="24"/>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rPr>
        <w:t>。</w:t>
      </w:r>
    </w:p>
    <w:p w14:paraId="570FD855">
      <w:pPr>
        <w:spacing w:line="360" w:lineRule="auto"/>
        <w:ind w:left="25" w:leftChars="12" w:firstLine="354" w:firstLineChars="147"/>
        <w:rPr>
          <w:rFonts w:hint="eastAsia" w:ascii="宋体" w:hAnsi="宋体" w:cs="宋体"/>
          <w:b/>
          <w:color w:val="auto"/>
          <w:kern w:val="0"/>
          <w:sz w:val="24"/>
        </w:rPr>
      </w:pPr>
      <w:r>
        <w:rPr>
          <w:rFonts w:hint="eastAsia" w:ascii="宋体" w:hAnsi="宋体" w:cs="宋体"/>
          <w:b/>
          <w:color w:val="auto"/>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4F2B029">
      <w:pPr>
        <w:spacing w:line="360" w:lineRule="auto"/>
        <w:ind w:left="25" w:leftChars="12" w:firstLine="354" w:firstLineChars="147"/>
        <w:rPr>
          <w:rFonts w:hint="eastAsia" w:ascii="宋体" w:hAnsi="宋体" w:cs="宋体"/>
          <w:b/>
          <w:color w:val="auto"/>
          <w:kern w:val="0"/>
          <w:sz w:val="24"/>
        </w:rPr>
      </w:pPr>
      <w:r>
        <w:rPr>
          <w:rFonts w:hint="eastAsia" w:ascii="宋体" w:hAnsi="宋体" w:cs="宋体"/>
          <w:b/>
          <w:color w:val="auto"/>
          <w:kern w:val="0"/>
          <w:sz w:val="24"/>
        </w:rPr>
        <w:t>3.投诉书应简要列明质疑事项，质疑函、质疑答复等作为附件材料提供。</w:t>
      </w:r>
    </w:p>
    <w:p w14:paraId="57BD739E">
      <w:pPr>
        <w:spacing w:line="360" w:lineRule="auto"/>
        <w:ind w:left="25" w:leftChars="12" w:firstLine="354" w:firstLineChars="147"/>
        <w:rPr>
          <w:rFonts w:hint="eastAsia" w:ascii="宋体" w:hAnsi="宋体" w:cs="宋体"/>
          <w:b/>
          <w:color w:val="auto"/>
          <w:kern w:val="0"/>
          <w:sz w:val="24"/>
        </w:rPr>
      </w:pPr>
      <w:r>
        <w:rPr>
          <w:rFonts w:hint="eastAsia" w:ascii="宋体" w:hAnsi="宋体" w:cs="宋体"/>
          <w:b/>
          <w:color w:val="auto"/>
          <w:kern w:val="0"/>
          <w:sz w:val="24"/>
        </w:rPr>
        <w:t>4.投诉书的投诉事项应具体、明确，并有必要的事实依据和法律依据。</w:t>
      </w:r>
    </w:p>
    <w:p w14:paraId="22C80E07">
      <w:pPr>
        <w:spacing w:line="360" w:lineRule="auto"/>
        <w:ind w:left="25" w:leftChars="12" w:firstLine="354" w:firstLineChars="147"/>
        <w:rPr>
          <w:rFonts w:hint="eastAsia" w:ascii="宋体" w:hAnsi="宋体" w:cs="宋体"/>
          <w:b/>
          <w:color w:val="auto"/>
          <w:kern w:val="0"/>
          <w:sz w:val="24"/>
        </w:rPr>
      </w:pPr>
      <w:r>
        <w:rPr>
          <w:rFonts w:hint="eastAsia" w:ascii="宋体" w:hAnsi="宋体" w:cs="宋体"/>
          <w:b/>
          <w:color w:val="auto"/>
          <w:kern w:val="0"/>
          <w:sz w:val="24"/>
        </w:rPr>
        <w:t>5.投诉书的投诉请求应与投诉事项相关。</w:t>
      </w:r>
    </w:p>
    <w:p w14:paraId="5230638A">
      <w:pPr>
        <w:spacing w:line="360" w:lineRule="auto"/>
        <w:ind w:left="25" w:leftChars="12" w:firstLine="354" w:firstLineChars="147"/>
        <w:rPr>
          <w:rFonts w:hint="eastAsia" w:ascii="宋体" w:hAnsi="宋体" w:cs="宋体"/>
          <w:b/>
          <w:color w:val="auto"/>
          <w:kern w:val="0"/>
          <w:sz w:val="20"/>
          <w:szCs w:val="21"/>
        </w:rPr>
      </w:pPr>
      <w:r>
        <w:rPr>
          <w:rFonts w:hint="eastAsia" w:ascii="宋体" w:hAnsi="宋体" w:cs="宋体"/>
          <w:b/>
          <w:color w:val="auto"/>
          <w:kern w:val="0"/>
          <w:sz w:val="24"/>
        </w:rPr>
        <w:t>6.投诉人为法人或者其他组织的，投诉书应由法定代表人、主要负责人，或者其授权代表签字或者盖章，并加盖公章。</w:t>
      </w:r>
    </w:p>
    <w:p w14:paraId="29730F69">
      <w:pPr>
        <w:pStyle w:val="21"/>
        <w:rPr>
          <w:rFonts w:hint="eastAsia" w:ascii="宋体" w:hAnsi="宋体"/>
          <w:color w:val="auto"/>
          <w:sz w:val="24"/>
          <w:highlight w:val="none"/>
        </w:rPr>
      </w:pPr>
    </w:p>
    <w:p w14:paraId="18F5010B">
      <w:pPr>
        <w:pStyle w:val="21"/>
        <w:rPr>
          <w:rFonts w:hint="eastAsia" w:ascii="宋体" w:hAnsi="宋体"/>
          <w:color w:val="auto"/>
          <w:sz w:val="24"/>
          <w:highlight w:val="none"/>
        </w:rPr>
      </w:pPr>
    </w:p>
    <w:p w14:paraId="49718D65">
      <w:pPr>
        <w:pStyle w:val="21"/>
        <w:rPr>
          <w:rFonts w:hint="eastAsia" w:ascii="宋体" w:hAnsi="宋体"/>
          <w:color w:val="auto"/>
          <w:sz w:val="24"/>
          <w:highlight w:val="none"/>
        </w:rPr>
      </w:pPr>
    </w:p>
    <w:p w14:paraId="7E2B680E"/>
    <w:sectPr>
      <w:footerReference r:id="rId11" w:type="first"/>
      <w:footerReference r:id="rId10"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altName w:val="黑体"/>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宋 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03D03">
    <w:pPr>
      <w:pStyle w:val="13"/>
      <w:jc w:val="center"/>
    </w:pPr>
    <w:r>
      <w:fldChar w:fldCharType="begin"/>
    </w:r>
    <w:r>
      <w:instrText xml:space="preserve"> PAGE   \* MERGEFORMAT </w:instrText>
    </w:r>
    <w:r>
      <w:fldChar w:fldCharType="separate"/>
    </w:r>
    <w:r>
      <w:rPr>
        <w:lang w:val="zh-CN"/>
      </w:rPr>
      <w:t>25</w:t>
    </w:r>
    <w:r>
      <w:fldChar w:fldCharType="end"/>
    </w:r>
  </w:p>
  <w:p w14:paraId="1E98EA12">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2404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DAAEC1">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CDAAEC1">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C4624">
    <w:pPr>
      <w:spacing w:line="1" w:lineRule="exac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44F875">
                          <w:pPr>
                            <w:pStyle w:val="13"/>
                          </w:pPr>
                          <w:r>
                            <w:fldChar w:fldCharType="begin"/>
                          </w:r>
                          <w:r>
                            <w:instrText xml:space="preserve"> PAGE  \* MERGEFORMAT </w:instrText>
                          </w:r>
                          <w:r>
                            <w:fldChar w:fldCharType="separate"/>
                          </w:r>
                          <w:r>
                            <w:t>75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D44F875">
                    <w:pPr>
                      <w:pStyle w:val="1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0D3E9">
    <w:pPr>
      <w:pStyle w:val="13"/>
      <w:jc w:val="center"/>
    </w:pPr>
    <w:r>
      <w:fldChar w:fldCharType="begin"/>
    </w:r>
    <w:r>
      <w:instrText xml:space="preserve">PAGE   \* MERGEFORMAT</w:instrText>
    </w:r>
    <w:r>
      <w:fldChar w:fldCharType="separate"/>
    </w:r>
    <w:r>
      <w:rPr>
        <w:lang w:val="zh-CN"/>
      </w:rPr>
      <w:t>100</w:t>
    </w:r>
    <w:r>
      <w:fldChar w:fldCharType="end"/>
    </w:r>
  </w:p>
  <w:p w14:paraId="230D9627">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85D8B">
    <w:pPr>
      <w:pStyle w:val="13"/>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BB25385">
                          <w:pPr>
                            <w:pStyle w:val="13"/>
                          </w:pPr>
                          <w:r>
                            <w:fldChar w:fldCharType="begin"/>
                          </w:r>
                          <w:r>
                            <w:instrText xml:space="preserve"> PAGE  \* MERGEFORMAT </w:instrText>
                          </w:r>
                          <w:r>
                            <w:fldChar w:fldCharType="separate"/>
                          </w:r>
                          <w:r>
                            <w:t>141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2BB25385">
                    <w:pPr>
                      <w:pStyle w:val="13"/>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BC33C">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4DA97">
                          <w:pPr>
                            <w:pStyle w:val="13"/>
                            <w:jc w:val="center"/>
                          </w:pPr>
                          <w:r>
                            <w:fldChar w:fldCharType="begin"/>
                          </w:r>
                          <w:r>
                            <w:instrText xml:space="preserve"> PAGE  \* MERGEFORMAT </w:instrText>
                          </w:r>
                          <w:r>
                            <w:fldChar w:fldCharType="separate"/>
                          </w:r>
                          <w:r>
                            <w:t>95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1CC4DA97">
                    <w:pPr>
                      <w:pStyle w:val="13"/>
                      <w:jc w:val="center"/>
                    </w:pPr>
                    <w:r>
                      <w:fldChar w:fldCharType="begin"/>
                    </w:r>
                    <w:r>
                      <w:instrText xml:space="preserve"> PAGE  \* MERGEFORMAT </w:instrText>
                    </w:r>
                    <w:r>
                      <w:fldChar w:fldCharType="separate"/>
                    </w:r>
                    <w:r>
                      <w:t>95</w:t>
                    </w:r>
                    <w:r>
                      <w:fldChar w:fldCharType="end"/>
                    </w:r>
                  </w:p>
                </w:txbxContent>
              </v:textbox>
            </v:shape>
          </w:pict>
        </mc:Fallback>
      </mc:AlternateContent>
    </w:r>
  </w:p>
  <w:p w14:paraId="5DE284E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5A0FA">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5709F7">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755709F7">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95719">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F069C">
    <w:pPr>
      <w:pStyle w:val="14"/>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5739B"/>
    <w:multiLevelType w:val="singleLevel"/>
    <w:tmpl w:val="8905739B"/>
    <w:lvl w:ilvl="0" w:tentative="0">
      <w:start w:val="2"/>
      <w:numFmt w:val="chineseCounting"/>
      <w:suff w:val="nothing"/>
      <w:lvlText w:val="（%1）"/>
      <w:lvlJc w:val="left"/>
      <w:rPr>
        <w:rFonts w:hint="eastAsia"/>
      </w:rPr>
    </w:lvl>
  </w:abstractNum>
  <w:abstractNum w:abstractNumId="1">
    <w:nsid w:val="94ECCC7F"/>
    <w:multiLevelType w:val="singleLevel"/>
    <w:tmpl w:val="94ECCC7F"/>
    <w:lvl w:ilvl="0" w:tentative="0">
      <w:start w:val="1"/>
      <w:numFmt w:val="decimal"/>
      <w:pStyle w:val="4"/>
      <w:lvlText w:val="%1."/>
      <w:lvlJc w:val="left"/>
      <w:pPr>
        <w:tabs>
          <w:tab w:val="left" w:pos="360"/>
        </w:tabs>
        <w:ind w:left="360" w:hanging="360"/>
      </w:pPr>
    </w:lvl>
  </w:abstractNum>
  <w:abstractNum w:abstractNumId="2">
    <w:nsid w:val="A61A1C9E"/>
    <w:multiLevelType w:val="singleLevel"/>
    <w:tmpl w:val="A61A1C9E"/>
    <w:lvl w:ilvl="0" w:tentative="0">
      <w:start w:val="1"/>
      <w:numFmt w:val="decimal"/>
      <w:suff w:val="nothing"/>
      <w:lvlText w:val="（%1）"/>
      <w:lvlJc w:val="left"/>
    </w:lvl>
  </w:abstractNum>
  <w:abstractNum w:abstractNumId="3">
    <w:nsid w:val="B9128FB0"/>
    <w:multiLevelType w:val="singleLevel"/>
    <w:tmpl w:val="B9128FB0"/>
    <w:lvl w:ilvl="0" w:tentative="0">
      <w:start w:val="1"/>
      <w:numFmt w:val="chineseCounting"/>
      <w:suff w:val="nothing"/>
      <w:lvlText w:val="%1、"/>
      <w:lvlJc w:val="left"/>
      <w:rPr>
        <w:rFonts w:hint="eastAsia"/>
      </w:rPr>
    </w:lvl>
  </w:abstractNum>
  <w:abstractNum w:abstractNumId="4">
    <w:nsid w:val="D39D072F"/>
    <w:multiLevelType w:val="singleLevel"/>
    <w:tmpl w:val="D39D072F"/>
    <w:lvl w:ilvl="0" w:tentative="0">
      <w:start w:val="1"/>
      <w:numFmt w:val="decimal"/>
      <w:lvlText w:val="%1."/>
      <w:lvlJc w:val="left"/>
      <w:pPr>
        <w:ind w:left="425" w:hanging="425"/>
      </w:pPr>
      <w:rPr>
        <w:rFonts w:hint="default"/>
      </w:rPr>
    </w:lvl>
  </w:abstractNum>
  <w:abstractNum w:abstractNumId="5">
    <w:nsid w:val="35A4653F"/>
    <w:multiLevelType w:val="singleLevel"/>
    <w:tmpl w:val="35A4653F"/>
    <w:lvl w:ilvl="0" w:tentative="0">
      <w:start w:val="1"/>
      <w:numFmt w:val="chineseCounting"/>
      <w:suff w:val="nothing"/>
      <w:lvlText w:val="%1、"/>
      <w:lvlJc w:val="left"/>
      <w:rPr>
        <w:rFonts w:hint="eastAsia"/>
      </w:rPr>
    </w:lvl>
  </w:abstractNum>
  <w:abstractNum w:abstractNumId="6">
    <w:nsid w:val="508D7A92"/>
    <w:multiLevelType w:val="singleLevel"/>
    <w:tmpl w:val="508D7A92"/>
    <w:lvl w:ilvl="0" w:tentative="0">
      <w:start w:val="1"/>
      <w:numFmt w:val="decimal"/>
      <w:suff w:val="nothing"/>
      <w:lvlText w:val="（%1）"/>
      <w:lvlJc w:val="left"/>
    </w:lvl>
  </w:abstractNum>
  <w:abstractNum w:abstractNumId="7">
    <w:nsid w:val="6EDD6597"/>
    <w:multiLevelType w:val="singleLevel"/>
    <w:tmpl w:val="6EDD6597"/>
    <w:lvl w:ilvl="0" w:tentative="0">
      <w:start w:val="1"/>
      <w:numFmt w:val="decimal"/>
      <w:suff w:val="space"/>
      <w:lvlText w:val="%1."/>
      <w:lvlJc w:val="left"/>
      <w:rPr>
        <w:rFonts w:cs="Times New Roman"/>
      </w:rPr>
    </w:lvl>
  </w:abstractNum>
  <w:abstractNum w:abstractNumId="8">
    <w:nsid w:val="7763323F"/>
    <w:multiLevelType w:val="singleLevel"/>
    <w:tmpl w:val="7763323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9">
    <w:nsid w:val="77633241"/>
    <w:multiLevelType w:val="singleLevel"/>
    <w:tmpl w:val="7763324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0">
    <w:nsid w:val="77633242"/>
    <w:multiLevelType w:val="singleLevel"/>
    <w:tmpl w:val="7763324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1">
    <w:nsid w:val="77633243"/>
    <w:multiLevelType w:val="singleLevel"/>
    <w:tmpl w:val="7763324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2">
    <w:nsid w:val="77633245"/>
    <w:multiLevelType w:val="singleLevel"/>
    <w:tmpl w:val="77633245"/>
    <w:lvl w:ilvl="0" w:tentative="0">
      <w:start w:val="2"/>
      <w:numFmt w:val="chineseCounting"/>
      <w:suff w:val="nothing"/>
      <w:lvlText w:val="（%1）"/>
      <w:lvlJc w:val="left"/>
      <w:rPr>
        <w:rFonts w:hint="eastAsia"/>
      </w:rPr>
    </w:lvl>
  </w:abstractNum>
  <w:num w:numId="1">
    <w:abstractNumId w:val="1"/>
  </w:num>
  <w:num w:numId="2">
    <w:abstractNumId w:val="6"/>
  </w:num>
  <w:num w:numId="3">
    <w:abstractNumId w:val="9"/>
  </w:num>
  <w:num w:numId="4">
    <w:abstractNumId w:val="5"/>
  </w:num>
  <w:num w:numId="5">
    <w:abstractNumId w:val="10"/>
  </w:num>
  <w:num w:numId="6">
    <w:abstractNumId w:val="11"/>
  </w:num>
  <w:num w:numId="7">
    <w:abstractNumId w:val="12"/>
  </w:num>
  <w:num w:numId="8">
    <w:abstractNumId w:val="3"/>
  </w:num>
  <w:num w:numId="9">
    <w:abstractNumId w:val="8"/>
  </w:num>
  <w:num w:numId="10">
    <w:abstractNumId w:val="4"/>
  </w:num>
  <w:num w:numId="11">
    <w:abstractNumId w:val="2"/>
  </w:num>
  <w:num w:numId="12">
    <w:abstractNumId w:val="7"/>
    <w:lvlOverride w:ilvl="0">
      <w:startOverride w:val="1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81E25"/>
    <w:rsid w:val="000B44D3"/>
    <w:rsid w:val="00294959"/>
    <w:rsid w:val="004277C9"/>
    <w:rsid w:val="004D2D93"/>
    <w:rsid w:val="0089189B"/>
    <w:rsid w:val="009F5FD7"/>
    <w:rsid w:val="00C85F20"/>
    <w:rsid w:val="00D348C5"/>
    <w:rsid w:val="00D9012D"/>
    <w:rsid w:val="00FC206D"/>
    <w:rsid w:val="012C1988"/>
    <w:rsid w:val="017B033D"/>
    <w:rsid w:val="017D4F5C"/>
    <w:rsid w:val="01822573"/>
    <w:rsid w:val="01CC4ADC"/>
    <w:rsid w:val="01E6152D"/>
    <w:rsid w:val="01EF3980"/>
    <w:rsid w:val="01F1594A"/>
    <w:rsid w:val="021F4265"/>
    <w:rsid w:val="02217FDE"/>
    <w:rsid w:val="02377801"/>
    <w:rsid w:val="024725F3"/>
    <w:rsid w:val="027F4D04"/>
    <w:rsid w:val="028B18FB"/>
    <w:rsid w:val="037B371D"/>
    <w:rsid w:val="03AC1B29"/>
    <w:rsid w:val="03BE185C"/>
    <w:rsid w:val="04161698"/>
    <w:rsid w:val="042B2878"/>
    <w:rsid w:val="042E253E"/>
    <w:rsid w:val="04583A5F"/>
    <w:rsid w:val="046C12B8"/>
    <w:rsid w:val="047F723D"/>
    <w:rsid w:val="04BA64C7"/>
    <w:rsid w:val="04BB2603"/>
    <w:rsid w:val="04BB27B8"/>
    <w:rsid w:val="04D806FC"/>
    <w:rsid w:val="04E6106A"/>
    <w:rsid w:val="04EF43C3"/>
    <w:rsid w:val="04F01EE9"/>
    <w:rsid w:val="04F512AE"/>
    <w:rsid w:val="04F73278"/>
    <w:rsid w:val="05373674"/>
    <w:rsid w:val="053E4A03"/>
    <w:rsid w:val="055629C0"/>
    <w:rsid w:val="059211F2"/>
    <w:rsid w:val="05940AC6"/>
    <w:rsid w:val="05C054C9"/>
    <w:rsid w:val="05E82BC0"/>
    <w:rsid w:val="0620235A"/>
    <w:rsid w:val="066C1A43"/>
    <w:rsid w:val="0680729D"/>
    <w:rsid w:val="06BD229F"/>
    <w:rsid w:val="06CD24E2"/>
    <w:rsid w:val="06D14F2F"/>
    <w:rsid w:val="06E11AE9"/>
    <w:rsid w:val="070457D8"/>
    <w:rsid w:val="072145DC"/>
    <w:rsid w:val="073C64C9"/>
    <w:rsid w:val="07707311"/>
    <w:rsid w:val="077A1300"/>
    <w:rsid w:val="07E06245"/>
    <w:rsid w:val="082779D0"/>
    <w:rsid w:val="08602EE2"/>
    <w:rsid w:val="086504F8"/>
    <w:rsid w:val="08A41020"/>
    <w:rsid w:val="08A52FEB"/>
    <w:rsid w:val="08E142E5"/>
    <w:rsid w:val="08EE4992"/>
    <w:rsid w:val="09565DE8"/>
    <w:rsid w:val="09775CC9"/>
    <w:rsid w:val="097E5D15"/>
    <w:rsid w:val="098D41AA"/>
    <w:rsid w:val="09BC05EC"/>
    <w:rsid w:val="09FB7366"/>
    <w:rsid w:val="0A1E4E03"/>
    <w:rsid w:val="0A287A2F"/>
    <w:rsid w:val="0A36214C"/>
    <w:rsid w:val="0A3D797F"/>
    <w:rsid w:val="0A6B75FC"/>
    <w:rsid w:val="0A6D18E6"/>
    <w:rsid w:val="0A7B367B"/>
    <w:rsid w:val="0A7D5FCD"/>
    <w:rsid w:val="0AE95411"/>
    <w:rsid w:val="0B12527D"/>
    <w:rsid w:val="0B156206"/>
    <w:rsid w:val="0B3D750A"/>
    <w:rsid w:val="0B5036E2"/>
    <w:rsid w:val="0B534F80"/>
    <w:rsid w:val="0B7F3FC7"/>
    <w:rsid w:val="0BBF43C3"/>
    <w:rsid w:val="0BD45D4F"/>
    <w:rsid w:val="0BD91ED5"/>
    <w:rsid w:val="0C2B47B0"/>
    <w:rsid w:val="0C434FF4"/>
    <w:rsid w:val="0C992E66"/>
    <w:rsid w:val="0CEC4112"/>
    <w:rsid w:val="0D0504FC"/>
    <w:rsid w:val="0D1D5845"/>
    <w:rsid w:val="0D1D75F3"/>
    <w:rsid w:val="0D407BD1"/>
    <w:rsid w:val="0D474670"/>
    <w:rsid w:val="0D5079C9"/>
    <w:rsid w:val="0D570D57"/>
    <w:rsid w:val="0D9378B6"/>
    <w:rsid w:val="0D9C5BE4"/>
    <w:rsid w:val="0DB24C9B"/>
    <w:rsid w:val="0DC21F49"/>
    <w:rsid w:val="0DC331A1"/>
    <w:rsid w:val="0DCD2DC7"/>
    <w:rsid w:val="0DE63E89"/>
    <w:rsid w:val="0DFF319D"/>
    <w:rsid w:val="0E601824"/>
    <w:rsid w:val="0EAC0C2F"/>
    <w:rsid w:val="0EDB1514"/>
    <w:rsid w:val="0EDB59B8"/>
    <w:rsid w:val="0EDB7766"/>
    <w:rsid w:val="0EE20786"/>
    <w:rsid w:val="0EE72544"/>
    <w:rsid w:val="0F0F2FF0"/>
    <w:rsid w:val="0F7A7B23"/>
    <w:rsid w:val="0FA53BB8"/>
    <w:rsid w:val="0FBA737B"/>
    <w:rsid w:val="10120F66"/>
    <w:rsid w:val="10741C20"/>
    <w:rsid w:val="108A4FA0"/>
    <w:rsid w:val="11405FA6"/>
    <w:rsid w:val="11651569"/>
    <w:rsid w:val="116E48C1"/>
    <w:rsid w:val="11AE4D38"/>
    <w:rsid w:val="11BF6ECB"/>
    <w:rsid w:val="11D010D8"/>
    <w:rsid w:val="11DC5CCF"/>
    <w:rsid w:val="11E626AA"/>
    <w:rsid w:val="1211524D"/>
    <w:rsid w:val="12244F80"/>
    <w:rsid w:val="12352BEA"/>
    <w:rsid w:val="12B40B75"/>
    <w:rsid w:val="12C7072D"/>
    <w:rsid w:val="12CA3D79"/>
    <w:rsid w:val="12D22989"/>
    <w:rsid w:val="12D9220E"/>
    <w:rsid w:val="12DE15D3"/>
    <w:rsid w:val="137E6912"/>
    <w:rsid w:val="139C49F3"/>
    <w:rsid w:val="13CA1B57"/>
    <w:rsid w:val="13D84274"/>
    <w:rsid w:val="13E0137B"/>
    <w:rsid w:val="13F50E66"/>
    <w:rsid w:val="142B6A9A"/>
    <w:rsid w:val="144731A8"/>
    <w:rsid w:val="145A112D"/>
    <w:rsid w:val="145E6E6F"/>
    <w:rsid w:val="14863CD0"/>
    <w:rsid w:val="149E0C82"/>
    <w:rsid w:val="14A23938"/>
    <w:rsid w:val="14E904B0"/>
    <w:rsid w:val="154D47EE"/>
    <w:rsid w:val="1598015F"/>
    <w:rsid w:val="15A00DC2"/>
    <w:rsid w:val="15B42ABF"/>
    <w:rsid w:val="15B85270"/>
    <w:rsid w:val="15DB004C"/>
    <w:rsid w:val="15FD6214"/>
    <w:rsid w:val="1618304E"/>
    <w:rsid w:val="166E7112"/>
    <w:rsid w:val="167C182F"/>
    <w:rsid w:val="16846B27"/>
    <w:rsid w:val="16897AA8"/>
    <w:rsid w:val="1699418F"/>
    <w:rsid w:val="16B07BAF"/>
    <w:rsid w:val="16DF591A"/>
    <w:rsid w:val="16F94C2D"/>
    <w:rsid w:val="172577D0"/>
    <w:rsid w:val="173043C7"/>
    <w:rsid w:val="17604CAC"/>
    <w:rsid w:val="177B1AE6"/>
    <w:rsid w:val="17A60B24"/>
    <w:rsid w:val="17AF79E2"/>
    <w:rsid w:val="17DF2075"/>
    <w:rsid w:val="17E256C1"/>
    <w:rsid w:val="17F51899"/>
    <w:rsid w:val="1853036D"/>
    <w:rsid w:val="186500A0"/>
    <w:rsid w:val="18756535"/>
    <w:rsid w:val="188E75F7"/>
    <w:rsid w:val="18A230A3"/>
    <w:rsid w:val="18BE1FCB"/>
    <w:rsid w:val="18BF5A03"/>
    <w:rsid w:val="18DA0A8E"/>
    <w:rsid w:val="18F6471E"/>
    <w:rsid w:val="190A1374"/>
    <w:rsid w:val="190D49C0"/>
    <w:rsid w:val="193463F1"/>
    <w:rsid w:val="193D16FC"/>
    <w:rsid w:val="193E101D"/>
    <w:rsid w:val="19517616"/>
    <w:rsid w:val="195720DF"/>
    <w:rsid w:val="1970121F"/>
    <w:rsid w:val="19832ED4"/>
    <w:rsid w:val="19AF1F1B"/>
    <w:rsid w:val="19B80DD0"/>
    <w:rsid w:val="19C15671"/>
    <w:rsid w:val="19CA28B1"/>
    <w:rsid w:val="19D96F98"/>
    <w:rsid w:val="19FE035E"/>
    <w:rsid w:val="1A74642E"/>
    <w:rsid w:val="1A766595"/>
    <w:rsid w:val="1A9D7FC6"/>
    <w:rsid w:val="1A9F3D3E"/>
    <w:rsid w:val="1B083691"/>
    <w:rsid w:val="1B0B13D3"/>
    <w:rsid w:val="1B171B26"/>
    <w:rsid w:val="1B300E3A"/>
    <w:rsid w:val="1B3463D8"/>
    <w:rsid w:val="1B487F31"/>
    <w:rsid w:val="1B5543FC"/>
    <w:rsid w:val="1B6B3C20"/>
    <w:rsid w:val="1B7156DA"/>
    <w:rsid w:val="1B852F33"/>
    <w:rsid w:val="1BE35EAC"/>
    <w:rsid w:val="1C13053F"/>
    <w:rsid w:val="1C1E6EE4"/>
    <w:rsid w:val="1C346708"/>
    <w:rsid w:val="1C485D0F"/>
    <w:rsid w:val="1C6012AB"/>
    <w:rsid w:val="1C872CDB"/>
    <w:rsid w:val="1C931680"/>
    <w:rsid w:val="1C970CCA"/>
    <w:rsid w:val="1C9E3BBC"/>
    <w:rsid w:val="1CD23809"/>
    <w:rsid w:val="1CDA6E24"/>
    <w:rsid w:val="1D0460DA"/>
    <w:rsid w:val="1D444728"/>
    <w:rsid w:val="1D4E55A7"/>
    <w:rsid w:val="1D76522A"/>
    <w:rsid w:val="1D7A4260"/>
    <w:rsid w:val="1D9E02DC"/>
    <w:rsid w:val="1DA8115B"/>
    <w:rsid w:val="1DBB0E8E"/>
    <w:rsid w:val="1DC72909"/>
    <w:rsid w:val="1DCF493A"/>
    <w:rsid w:val="1E0D7210"/>
    <w:rsid w:val="1E403142"/>
    <w:rsid w:val="1EE00481"/>
    <w:rsid w:val="1EEC32CA"/>
    <w:rsid w:val="1EF86EC7"/>
    <w:rsid w:val="1F3507CD"/>
    <w:rsid w:val="1F656664"/>
    <w:rsid w:val="1F72557D"/>
    <w:rsid w:val="1F7E03C6"/>
    <w:rsid w:val="1F841754"/>
    <w:rsid w:val="1F971487"/>
    <w:rsid w:val="1FAF67D1"/>
    <w:rsid w:val="1FC26D2F"/>
    <w:rsid w:val="20142AD8"/>
    <w:rsid w:val="206C021E"/>
    <w:rsid w:val="20C91B14"/>
    <w:rsid w:val="20E56222"/>
    <w:rsid w:val="20FD17BE"/>
    <w:rsid w:val="21115269"/>
    <w:rsid w:val="213571AA"/>
    <w:rsid w:val="217575A6"/>
    <w:rsid w:val="217A696B"/>
    <w:rsid w:val="21921F06"/>
    <w:rsid w:val="219859DA"/>
    <w:rsid w:val="21DC4F15"/>
    <w:rsid w:val="223B434C"/>
    <w:rsid w:val="225B4C45"/>
    <w:rsid w:val="226323ED"/>
    <w:rsid w:val="22E5075C"/>
    <w:rsid w:val="22ED61CC"/>
    <w:rsid w:val="235B72E4"/>
    <w:rsid w:val="2378337E"/>
    <w:rsid w:val="23812232"/>
    <w:rsid w:val="23907E55"/>
    <w:rsid w:val="23F23130"/>
    <w:rsid w:val="23F944BF"/>
    <w:rsid w:val="240115C5"/>
    <w:rsid w:val="24523BCF"/>
    <w:rsid w:val="24561911"/>
    <w:rsid w:val="245A2A83"/>
    <w:rsid w:val="246A0F18"/>
    <w:rsid w:val="24855D52"/>
    <w:rsid w:val="24B14D99"/>
    <w:rsid w:val="24C26FA6"/>
    <w:rsid w:val="24CE594B"/>
    <w:rsid w:val="253B0B07"/>
    <w:rsid w:val="256516E0"/>
    <w:rsid w:val="257879D9"/>
    <w:rsid w:val="257A518B"/>
    <w:rsid w:val="25A246E2"/>
    <w:rsid w:val="25C12DBA"/>
    <w:rsid w:val="25CB455E"/>
    <w:rsid w:val="25D06C8E"/>
    <w:rsid w:val="26063582"/>
    <w:rsid w:val="261633B2"/>
    <w:rsid w:val="2629095F"/>
    <w:rsid w:val="266B0F78"/>
    <w:rsid w:val="268900EE"/>
    <w:rsid w:val="26937BFF"/>
    <w:rsid w:val="26B741BD"/>
    <w:rsid w:val="26C47CE7"/>
    <w:rsid w:val="26CB1A16"/>
    <w:rsid w:val="273216EA"/>
    <w:rsid w:val="273D2914"/>
    <w:rsid w:val="279664C8"/>
    <w:rsid w:val="27BF5A1F"/>
    <w:rsid w:val="27FA6A57"/>
    <w:rsid w:val="281F201A"/>
    <w:rsid w:val="281F64BE"/>
    <w:rsid w:val="28474D20"/>
    <w:rsid w:val="28BE7E3F"/>
    <w:rsid w:val="28C037FD"/>
    <w:rsid w:val="28EB63A0"/>
    <w:rsid w:val="292F2731"/>
    <w:rsid w:val="2939710B"/>
    <w:rsid w:val="293B2E83"/>
    <w:rsid w:val="29453D02"/>
    <w:rsid w:val="29693E94"/>
    <w:rsid w:val="29FD282F"/>
    <w:rsid w:val="2A197236"/>
    <w:rsid w:val="2A263B34"/>
    <w:rsid w:val="2A297180"/>
    <w:rsid w:val="2A2E4796"/>
    <w:rsid w:val="2A336250"/>
    <w:rsid w:val="2A4144C9"/>
    <w:rsid w:val="2A481912"/>
    <w:rsid w:val="2A4C2E6E"/>
    <w:rsid w:val="2A6E6574"/>
    <w:rsid w:val="2A77438F"/>
    <w:rsid w:val="2A7F3244"/>
    <w:rsid w:val="2A877F95"/>
    <w:rsid w:val="2AB7478C"/>
    <w:rsid w:val="2AB90504"/>
    <w:rsid w:val="2AE80DE9"/>
    <w:rsid w:val="2B0F3150"/>
    <w:rsid w:val="2B595843"/>
    <w:rsid w:val="2B65068C"/>
    <w:rsid w:val="2BC730F4"/>
    <w:rsid w:val="2BE315B0"/>
    <w:rsid w:val="2BE5357A"/>
    <w:rsid w:val="2C287027"/>
    <w:rsid w:val="2C365B84"/>
    <w:rsid w:val="2C8B5ED0"/>
    <w:rsid w:val="2CD930DF"/>
    <w:rsid w:val="2CE63FAE"/>
    <w:rsid w:val="2D205F22"/>
    <w:rsid w:val="2D314CC9"/>
    <w:rsid w:val="2D510EC7"/>
    <w:rsid w:val="2D8A7365"/>
    <w:rsid w:val="2DC21DC5"/>
    <w:rsid w:val="2DD702D0"/>
    <w:rsid w:val="2E0C4DEE"/>
    <w:rsid w:val="2E652751"/>
    <w:rsid w:val="2EA119DB"/>
    <w:rsid w:val="2EF53AD4"/>
    <w:rsid w:val="2EFE6E2D"/>
    <w:rsid w:val="2F177EEF"/>
    <w:rsid w:val="2F7412EB"/>
    <w:rsid w:val="2F854E58"/>
    <w:rsid w:val="2F9E416C"/>
    <w:rsid w:val="2FF344B8"/>
    <w:rsid w:val="2FF81ACE"/>
    <w:rsid w:val="300A6F60"/>
    <w:rsid w:val="307849BD"/>
    <w:rsid w:val="30B55C11"/>
    <w:rsid w:val="30DC319E"/>
    <w:rsid w:val="31124E12"/>
    <w:rsid w:val="314A45AB"/>
    <w:rsid w:val="31741628"/>
    <w:rsid w:val="31A737AC"/>
    <w:rsid w:val="31B859B9"/>
    <w:rsid w:val="31E0281A"/>
    <w:rsid w:val="31E7004C"/>
    <w:rsid w:val="320F4EAD"/>
    <w:rsid w:val="3234700A"/>
    <w:rsid w:val="325B4596"/>
    <w:rsid w:val="3278743C"/>
    <w:rsid w:val="327B2543"/>
    <w:rsid w:val="32870EE7"/>
    <w:rsid w:val="32F50547"/>
    <w:rsid w:val="32F95C49"/>
    <w:rsid w:val="33264BA4"/>
    <w:rsid w:val="333746BC"/>
    <w:rsid w:val="33770F5C"/>
    <w:rsid w:val="339B7340"/>
    <w:rsid w:val="33B421B0"/>
    <w:rsid w:val="33C30645"/>
    <w:rsid w:val="33E22AAC"/>
    <w:rsid w:val="33FE6BEC"/>
    <w:rsid w:val="340D7B12"/>
    <w:rsid w:val="340F388A"/>
    <w:rsid w:val="341744ED"/>
    <w:rsid w:val="344C063B"/>
    <w:rsid w:val="346C4839"/>
    <w:rsid w:val="346C5166"/>
    <w:rsid w:val="348A2F11"/>
    <w:rsid w:val="34A224AE"/>
    <w:rsid w:val="34A264AC"/>
    <w:rsid w:val="3518676F"/>
    <w:rsid w:val="351F7AFD"/>
    <w:rsid w:val="35441312"/>
    <w:rsid w:val="35645510"/>
    <w:rsid w:val="35661288"/>
    <w:rsid w:val="35784B06"/>
    <w:rsid w:val="35B50461"/>
    <w:rsid w:val="35B5220F"/>
    <w:rsid w:val="364D069A"/>
    <w:rsid w:val="36575075"/>
    <w:rsid w:val="365A3471"/>
    <w:rsid w:val="366003CD"/>
    <w:rsid w:val="36714388"/>
    <w:rsid w:val="36730100"/>
    <w:rsid w:val="367E6AA5"/>
    <w:rsid w:val="36BD75CE"/>
    <w:rsid w:val="36CA5847"/>
    <w:rsid w:val="36DD40B2"/>
    <w:rsid w:val="36F01751"/>
    <w:rsid w:val="370F76FD"/>
    <w:rsid w:val="375515B4"/>
    <w:rsid w:val="3776777C"/>
    <w:rsid w:val="37826121"/>
    <w:rsid w:val="37B40511"/>
    <w:rsid w:val="37F0752F"/>
    <w:rsid w:val="37F708BD"/>
    <w:rsid w:val="3828316D"/>
    <w:rsid w:val="384B0C09"/>
    <w:rsid w:val="387A3C2D"/>
    <w:rsid w:val="38D96215"/>
    <w:rsid w:val="38DB01DF"/>
    <w:rsid w:val="390414E4"/>
    <w:rsid w:val="39094D4C"/>
    <w:rsid w:val="392A6A70"/>
    <w:rsid w:val="392F4087"/>
    <w:rsid w:val="39535FC7"/>
    <w:rsid w:val="39916AF0"/>
    <w:rsid w:val="39A131D7"/>
    <w:rsid w:val="3A053765"/>
    <w:rsid w:val="3A1F5EA9"/>
    <w:rsid w:val="3A4122C4"/>
    <w:rsid w:val="3A490D14"/>
    <w:rsid w:val="3A6B7341"/>
    <w:rsid w:val="3A6F0BDF"/>
    <w:rsid w:val="3A88267B"/>
    <w:rsid w:val="3A992100"/>
    <w:rsid w:val="3AEE2AB9"/>
    <w:rsid w:val="3AF92B9E"/>
    <w:rsid w:val="3B343BD6"/>
    <w:rsid w:val="3B365BA1"/>
    <w:rsid w:val="3B6444BC"/>
    <w:rsid w:val="3B7A2583"/>
    <w:rsid w:val="3B800BCA"/>
    <w:rsid w:val="3BA50630"/>
    <w:rsid w:val="3BD86C58"/>
    <w:rsid w:val="3C060596"/>
    <w:rsid w:val="3C3C0F95"/>
    <w:rsid w:val="3C3D6ABB"/>
    <w:rsid w:val="3C6E4D25"/>
    <w:rsid w:val="3C7F70D3"/>
    <w:rsid w:val="3CD45671"/>
    <w:rsid w:val="3D251A29"/>
    <w:rsid w:val="3D385C00"/>
    <w:rsid w:val="3D5432CF"/>
    <w:rsid w:val="3D6407A3"/>
    <w:rsid w:val="3D87623F"/>
    <w:rsid w:val="3DD86A9B"/>
    <w:rsid w:val="3DE03BA2"/>
    <w:rsid w:val="3DEC2546"/>
    <w:rsid w:val="3E265A58"/>
    <w:rsid w:val="3E4F1453"/>
    <w:rsid w:val="3EC86B10"/>
    <w:rsid w:val="3EF773F5"/>
    <w:rsid w:val="3F122481"/>
    <w:rsid w:val="3F143684"/>
    <w:rsid w:val="3F1735F3"/>
    <w:rsid w:val="3F1E4982"/>
    <w:rsid w:val="3F253F62"/>
    <w:rsid w:val="3F5577CE"/>
    <w:rsid w:val="3F5860E5"/>
    <w:rsid w:val="3F732F1F"/>
    <w:rsid w:val="3F9410E8"/>
    <w:rsid w:val="3F9F3D14"/>
    <w:rsid w:val="4013200C"/>
    <w:rsid w:val="40153FD6"/>
    <w:rsid w:val="40251D40"/>
    <w:rsid w:val="40664832"/>
    <w:rsid w:val="40905D53"/>
    <w:rsid w:val="409F5F96"/>
    <w:rsid w:val="40B7508E"/>
    <w:rsid w:val="40D95ABE"/>
    <w:rsid w:val="41016309"/>
    <w:rsid w:val="412A3C09"/>
    <w:rsid w:val="413B5CBF"/>
    <w:rsid w:val="415428DD"/>
    <w:rsid w:val="41B810BD"/>
    <w:rsid w:val="41FB36A0"/>
    <w:rsid w:val="422425C9"/>
    <w:rsid w:val="423A5F76"/>
    <w:rsid w:val="426D634C"/>
    <w:rsid w:val="42813BA5"/>
    <w:rsid w:val="428E62C2"/>
    <w:rsid w:val="429338D8"/>
    <w:rsid w:val="429531AD"/>
    <w:rsid w:val="42F11657"/>
    <w:rsid w:val="43104F29"/>
    <w:rsid w:val="43140575"/>
    <w:rsid w:val="431C742A"/>
    <w:rsid w:val="432B3B11"/>
    <w:rsid w:val="436C1C33"/>
    <w:rsid w:val="437D25BE"/>
    <w:rsid w:val="43C57AC2"/>
    <w:rsid w:val="43EB05DF"/>
    <w:rsid w:val="44290050"/>
    <w:rsid w:val="442E1B0B"/>
    <w:rsid w:val="44427364"/>
    <w:rsid w:val="44557097"/>
    <w:rsid w:val="44847BAF"/>
    <w:rsid w:val="4492209A"/>
    <w:rsid w:val="44D85639"/>
    <w:rsid w:val="44E97F1E"/>
    <w:rsid w:val="44F20D8A"/>
    <w:rsid w:val="45036AF3"/>
    <w:rsid w:val="45085EB8"/>
    <w:rsid w:val="45183286"/>
    <w:rsid w:val="451A5BEB"/>
    <w:rsid w:val="45336CAD"/>
    <w:rsid w:val="45464C32"/>
    <w:rsid w:val="456652D4"/>
    <w:rsid w:val="45921C25"/>
    <w:rsid w:val="45941306"/>
    <w:rsid w:val="45CA720B"/>
    <w:rsid w:val="45E561F9"/>
    <w:rsid w:val="45EE77A4"/>
    <w:rsid w:val="45F11042"/>
    <w:rsid w:val="45FD79E7"/>
    <w:rsid w:val="46492C2C"/>
    <w:rsid w:val="46641814"/>
    <w:rsid w:val="466510E8"/>
    <w:rsid w:val="46A41C10"/>
    <w:rsid w:val="46AE0CE1"/>
    <w:rsid w:val="46E91D19"/>
    <w:rsid w:val="46FA3F26"/>
    <w:rsid w:val="470E352E"/>
    <w:rsid w:val="473C62ED"/>
    <w:rsid w:val="476C3789"/>
    <w:rsid w:val="47727F60"/>
    <w:rsid w:val="4799373F"/>
    <w:rsid w:val="47AA594C"/>
    <w:rsid w:val="47B42327"/>
    <w:rsid w:val="47B71E17"/>
    <w:rsid w:val="47BB1907"/>
    <w:rsid w:val="47CA7D9C"/>
    <w:rsid w:val="47D227AD"/>
    <w:rsid w:val="47F210A1"/>
    <w:rsid w:val="481E3C65"/>
    <w:rsid w:val="482E20D9"/>
    <w:rsid w:val="48861F15"/>
    <w:rsid w:val="48967C7F"/>
    <w:rsid w:val="48A203D1"/>
    <w:rsid w:val="48DD37B2"/>
    <w:rsid w:val="491D5CAA"/>
    <w:rsid w:val="491F1A22"/>
    <w:rsid w:val="49A308A5"/>
    <w:rsid w:val="4A1A5351"/>
    <w:rsid w:val="4A4554B8"/>
    <w:rsid w:val="4A5D0A54"/>
    <w:rsid w:val="4A5D6CA6"/>
    <w:rsid w:val="4A7604FF"/>
    <w:rsid w:val="4A9D70A2"/>
    <w:rsid w:val="4A9F72BE"/>
    <w:rsid w:val="4AC705C3"/>
    <w:rsid w:val="4AC9512F"/>
    <w:rsid w:val="4AD30D16"/>
    <w:rsid w:val="4AD4683C"/>
    <w:rsid w:val="4ADD1B95"/>
    <w:rsid w:val="4AFD2237"/>
    <w:rsid w:val="4B3774F7"/>
    <w:rsid w:val="4B3A0D95"/>
    <w:rsid w:val="4B5856BF"/>
    <w:rsid w:val="4B865D88"/>
    <w:rsid w:val="4B893ACB"/>
    <w:rsid w:val="4BA12BC2"/>
    <w:rsid w:val="4BC13264"/>
    <w:rsid w:val="4BCF3BD3"/>
    <w:rsid w:val="4BDC009E"/>
    <w:rsid w:val="4C196BFC"/>
    <w:rsid w:val="4C1D63D1"/>
    <w:rsid w:val="4C2A705C"/>
    <w:rsid w:val="4C325706"/>
    <w:rsid w:val="4C82409E"/>
    <w:rsid w:val="4C856040"/>
    <w:rsid w:val="4CC441C3"/>
    <w:rsid w:val="4CC823D1"/>
    <w:rsid w:val="4CF54420"/>
    <w:rsid w:val="4D1D096E"/>
    <w:rsid w:val="4D783DF7"/>
    <w:rsid w:val="4D7A7B6F"/>
    <w:rsid w:val="4DA41222"/>
    <w:rsid w:val="4DAB7D28"/>
    <w:rsid w:val="4DB43081"/>
    <w:rsid w:val="4DD86643"/>
    <w:rsid w:val="4E0336C0"/>
    <w:rsid w:val="4E102281"/>
    <w:rsid w:val="4E5C1022"/>
    <w:rsid w:val="4EAD5D22"/>
    <w:rsid w:val="4ED80FF1"/>
    <w:rsid w:val="4EFF657E"/>
    <w:rsid w:val="4F18763F"/>
    <w:rsid w:val="4F4641AC"/>
    <w:rsid w:val="4F7B53F3"/>
    <w:rsid w:val="4F7E3E6F"/>
    <w:rsid w:val="4F822D0B"/>
    <w:rsid w:val="4F895E47"/>
    <w:rsid w:val="50131BB5"/>
    <w:rsid w:val="501E0C85"/>
    <w:rsid w:val="504B57F2"/>
    <w:rsid w:val="505428F9"/>
    <w:rsid w:val="50901457"/>
    <w:rsid w:val="5097222A"/>
    <w:rsid w:val="50E84DEF"/>
    <w:rsid w:val="51022355"/>
    <w:rsid w:val="51134562"/>
    <w:rsid w:val="51542485"/>
    <w:rsid w:val="515D57DD"/>
    <w:rsid w:val="51D443D7"/>
    <w:rsid w:val="51E952C3"/>
    <w:rsid w:val="51FA302C"/>
    <w:rsid w:val="520420FD"/>
    <w:rsid w:val="520B0C7A"/>
    <w:rsid w:val="521C11F4"/>
    <w:rsid w:val="524751DF"/>
    <w:rsid w:val="525A7F6F"/>
    <w:rsid w:val="526F57C8"/>
    <w:rsid w:val="52756B57"/>
    <w:rsid w:val="52900D39"/>
    <w:rsid w:val="52A80CDA"/>
    <w:rsid w:val="52CA50F4"/>
    <w:rsid w:val="52E837CD"/>
    <w:rsid w:val="52F757BE"/>
    <w:rsid w:val="530F2B07"/>
    <w:rsid w:val="53195427"/>
    <w:rsid w:val="532D10B1"/>
    <w:rsid w:val="534D7664"/>
    <w:rsid w:val="536C7F5A"/>
    <w:rsid w:val="538C23AA"/>
    <w:rsid w:val="539A4AC7"/>
    <w:rsid w:val="53B96779"/>
    <w:rsid w:val="53D33B35"/>
    <w:rsid w:val="53DD2C05"/>
    <w:rsid w:val="54040192"/>
    <w:rsid w:val="540B7773"/>
    <w:rsid w:val="541D3A51"/>
    <w:rsid w:val="546649A9"/>
    <w:rsid w:val="5474356A"/>
    <w:rsid w:val="54AD25D8"/>
    <w:rsid w:val="54C17E31"/>
    <w:rsid w:val="5523306D"/>
    <w:rsid w:val="5552317F"/>
    <w:rsid w:val="5588094F"/>
    <w:rsid w:val="55986DE4"/>
    <w:rsid w:val="56044479"/>
    <w:rsid w:val="56343C80"/>
    <w:rsid w:val="563A433F"/>
    <w:rsid w:val="564B3E56"/>
    <w:rsid w:val="569F0646"/>
    <w:rsid w:val="56B063AF"/>
    <w:rsid w:val="56B51C18"/>
    <w:rsid w:val="56D77DE0"/>
    <w:rsid w:val="56DC0F52"/>
    <w:rsid w:val="57083E0D"/>
    <w:rsid w:val="573C40E7"/>
    <w:rsid w:val="574B7E86"/>
    <w:rsid w:val="57792C45"/>
    <w:rsid w:val="577C44E3"/>
    <w:rsid w:val="57833AC4"/>
    <w:rsid w:val="578F2469"/>
    <w:rsid w:val="57D4431F"/>
    <w:rsid w:val="57DC4038"/>
    <w:rsid w:val="580F7106"/>
    <w:rsid w:val="5813309A"/>
    <w:rsid w:val="581F309E"/>
    <w:rsid w:val="583F5C3D"/>
    <w:rsid w:val="584274DB"/>
    <w:rsid w:val="58B8779D"/>
    <w:rsid w:val="58F44C79"/>
    <w:rsid w:val="592D018B"/>
    <w:rsid w:val="59633BAD"/>
    <w:rsid w:val="596F60AE"/>
    <w:rsid w:val="597B0EF6"/>
    <w:rsid w:val="59C26B25"/>
    <w:rsid w:val="59CC1752"/>
    <w:rsid w:val="59E06FAB"/>
    <w:rsid w:val="5A2734CC"/>
    <w:rsid w:val="5A5B1DED"/>
    <w:rsid w:val="5AB13779"/>
    <w:rsid w:val="5ABF12B7"/>
    <w:rsid w:val="5AC36AE1"/>
    <w:rsid w:val="5AD00DCE"/>
    <w:rsid w:val="5ADD112C"/>
    <w:rsid w:val="5AE709EC"/>
    <w:rsid w:val="5B305D11"/>
    <w:rsid w:val="5B490B80"/>
    <w:rsid w:val="5B525C87"/>
    <w:rsid w:val="5B555777"/>
    <w:rsid w:val="5B8B2F47"/>
    <w:rsid w:val="5BA02E96"/>
    <w:rsid w:val="5BB1598F"/>
    <w:rsid w:val="5BDB3ECE"/>
    <w:rsid w:val="5C0F1DCA"/>
    <w:rsid w:val="5C1B251D"/>
    <w:rsid w:val="5C403D31"/>
    <w:rsid w:val="5C4528D4"/>
    <w:rsid w:val="5C583771"/>
    <w:rsid w:val="5C606182"/>
    <w:rsid w:val="5C621EFA"/>
    <w:rsid w:val="5CB63FF4"/>
    <w:rsid w:val="5CBF5F61"/>
    <w:rsid w:val="5CC93D27"/>
    <w:rsid w:val="5CDB3A5A"/>
    <w:rsid w:val="5D07484F"/>
    <w:rsid w:val="5D3970FE"/>
    <w:rsid w:val="5D3A69D3"/>
    <w:rsid w:val="5D720862"/>
    <w:rsid w:val="5D8B5480"/>
    <w:rsid w:val="5D99194B"/>
    <w:rsid w:val="5DB93D9B"/>
    <w:rsid w:val="5DC77DB3"/>
    <w:rsid w:val="5DD15589"/>
    <w:rsid w:val="5DD45079"/>
    <w:rsid w:val="5DE74DAC"/>
    <w:rsid w:val="5E736640"/>
    <w:rsid w:val="5E8C5954"/>
    <w:rsid w:val="5E9842F9"/>
    <w:rsid w:val="5EB84053"/>
    <w:rsid w:val="5ECC7AFE"/>
    <w:rsid w:val="5ECE1AC8"/>
    <w:rsid w:val="5EE66E12"/>
    <w:rsid w:val="5EF236E4"/>
    <w:rsid w:val="5F16521D"/>
    <w:rsid w:val="5F27742B"/>
    <w:rsid w:val="5F73441E"/>
    <w:rsid w:val="5F9525E6"/>
    <w:rsid w:val="5FA36AB1"/>
    <w:rsid w:val="5FB24F46"/>
    <w:rsid w:val="604C539B"/>
    <w:rsid w:val="606C3347"/>
    <w:rsid w:val="60887594"/>
    <w:rsid w:val="60BD0047"/>
    <w:rsid w:val="60DB227B"/>
    <w:rsid w:val="61096DE8"/>
    <w:rsid w:val="611B3B25"/>
    <w:rsid w:val="61734BA9"/>
    <w:rsid w:val="61761FA3"/>
    <w:rsid w:val="61B054B5"/>
    <w:rsid w:val="61B52ACC"/>
    <w:rsid w:val="61E0223F"/>
    <w:rsid w:val="61F950AE"/>
    <w:rsid w:val="620852F1"/>
    <w:rsid w:val="623E0D13"/>
    <w:rsid w:val="627A19DB"/>
    <w:rsid w:val="629A14FB"/>
    <w:rsid w:val="62A80882"/>
    <w:rsid w:val="62D81168"/>
    <w:rsid w:val="633D546F"/>
    <w:rsid w:val="63696607"/>
    <w:rsid w:val="638C5AAE"/>
    <w:rsid w:val="639F1C85"/>
    <w:rsid w:val="63C416EC"/>
    <w:rsid w:val="63CB36D7"/>
    <w:rsid w:val="63FF2724"/>
    <w:rsid w:val="641C32D6"/>
    <w:rsid w:val="64410F8F"/>
    <w:rsid w:val="64590086"/>
    <w:rsid w:val="648669A1"/>
    <w:rsid w:val="64D433D4"/>
    <w:rsid w:val="64E2007C"/>
    <w:rsid w:val="655F68E6"/>
    <w:rsid w:val="657D45EA"/>
    <w:rsid w:val="65F22540"/>
    <w:rsid w:val="65F8567D"/>
    <w:rsid w:val="666B22F3"/>
    <w:rsid w:val="66AC6B93"/>
    <w:rsid w:val="66B617C0"/>
    <w:rsid w:val="66B8294F"/>
    <w:rsid w:val="66C0263F"/>
    <w:rsid w:val="66DB1226"/>
    <w:rsid w:val="67136C12"/>
    <w:rsid w:val="672506F4"/>
    <w:rsid w:val="67452B44"/>
    <w:rsid w:val="67582877"/>
    <w:rsid w:val="67717495"/>
    <w:rsid w:val="67780823"/>
    <w:rsid w:val="67D87514"/>
    <w:rsid w:val="67DD4B2A"/>
    <w:rsid w:val="680C5410"/>
    <w:rsid w:val="681A3FD0"/>
    <w:rsid w:val="682269E1"/>
    <w:rsid w:val="683B74A5"/>
    <w:rsid w:val="68531ADB"/>
    <w:rsid w:val="68614CFA"/>
    <w:rsid w:val="68F71C1C"/>
    <w:rsid w:val="69140A20"/>
    <w:rsid w:val="691F5044"/>
    <w:rsid w:val="692844CB"/>
    <w:rsid w:val="692E7D33"/>
    <w:rsid w:val="694036BC"/>
    <w:rsid w:val="695157D0"/>
    <w:rsid w:val="69561038"/>
    <w:rsid w:val="6961056E"/>
    <w:rsid w:val="698C4A5A"/>
    <w:rsid w:val="69BF6BDD"/>
    <w:rsid w:val="69CA10DE"/>
    <w:rsid w:val="6A070584"/>
    <w:rsid w:val="6A701C86"/>
    <w:rsid w:val="6A773014"/>
    <w:rsid w:val="6A7C1691"/>
    <w:rsid w:val="6AB53B3C"/>
    <w:rsid w:val="6AD246EE"/>
    <w:rsid w:val="6AED777A"/>
    <w:rsid w:val="6B3D425E"/>
    <w:rsid w:val="6BA77929"/>
    <w:rsid w:val="6BB838E4"/>
    <w:rsid w:val="6BDD77EF"/>
    <w:rsid w:val="6BE97F42"/>
    <w:rsid w:val="6C315445"/>
    <w:rsid w:val="6C6D2921"/>
    <w:rsid w:val="6C7D4B2E"/>
    <w:rsid w:val="6C847C6A"/>
    <w:rsid w:val="6C8639E2"/>
    <w:rsid w:val="6CA4030D"/>
    <w:rsid w:val="6CCF5389"/>
    <w:rsid w:val="6CE07597"/>
    <w:rsid w:val="6D0D5EB2"/>
    <w:rsid w:val="6D605FE2"/>
    <w:rsid w:val="6D741A8D"/>
    <w:rsid w:val="6D9D7236"/>
    <w:rsid w:val="6DC5678C"/>
    <w:rsid w:val="6DCC7B1B"/>
    <w:rsid w:val="6DDD4D4F"/>
    <w:rsid w:val="6DE22E9A"/>
    <w:rsid w:val="6E304B59"/>
    <w:rsid w:val="6E557B10"/>
    <w:rsid w:val="6E6164B5"/>
    <w:rsid w:val="6E910B04"/>
    <w:rsid w:val="6EF06AD7"/>
    <w:rsid w:val="6F0926A9"/>
    <w:rsid w:val="6F141779"/>
    <w:rsid w:val="6F165398"/>
    <w:rsid w:val="6F2936EC"/>
    <w:rsid w:val="6F375468"/>
    <w:rsid w:val="6F377216"/>
    <w:rsid w:val="6F563B40"/>
    <w:rsid w:val="6F8D32DA"/>
    <w:rsid w:val="6FA128E1"/>
    <w:rsid w:val="6FBD3BBF"/>
    <w:rsid w:val="700E4C63"/>
    <w:rsid w:val="70221C74"/>
    <w:rsid w:val="70310109"/>
    <w:rsid w:val="70846CB5"/>
    <w:rsid w:val="70BA01A5"/>
    <w:rsid w:val="70F80C27"/>
    <w:rsid w:val="70F96E79"/>
    <w:rsid w:val="71224B2C"/>
    <w:rsid w:val="712437CA"/>
    <w:rsid w:val="713A123F"/>
    <w:rsid w:val="718A5D23"/>
    <w:rsid w:val="71BC5926"/>
    <w:rsid w:val="71F63D03"/>
    <w:rsid w:val="721E46BD"/>
    <w:rsid w:val="721E646B"/>
    <w:rsid w:val="725453F3"/>
    <w:rsid w:val="725956F5"/>
    <w:rsid w:val="72793554"/>
    <w:rsid w:val="72E32F73"/>
    <w:rsid w:val="7309711B"/>
    <w:rsid w:val="73223D39"/>
    <w:rsid w:val="735D2FC3"/>
    <w:rsid w:val="736D5E71"/>
    <w:rsid w:val="73966C01"/>
    <w:rsid w:val="73C92407"/>
    <w:rsid w:val="73D15D1A"/>
    <w:rsid w:val="73F05BE5"/>
    <w:rsid w:val="743C0E2B"/>
    <w:rsid w:val="744228E5"/>
    <w:rsid w:val="744A04A3"/>
    <w:rsid w:val="74B13FC3"/>
    <w:rsid w:val="74C01A5C"/>
    <w:rsid w:val="74EE481B"/>
    <w:rsid w:val="7549549D"/>
    <w:rsid w:val="75614247"/>
    <w:rsid w:val="756D3991"/>
    <w:rsid w:val="7582514F"/>
    <w:rsid w:val="75905670"/>
    <w:rsid w:val="75A1188D"/>
    <w:rsid w:val="75B710B1"/>
    <w:rsid w:val="75B9571C"/>
    <w:rsid w:val="76164029"/>
    <w:rsid w:val="763E70DC"/>
    <w:rsid w:val="764C5E0A"/>
    <w:rsid w:val="766102D1"/>
    <w:rsid w:val="767251C4"/>
    <w:rsid w:val="76775080"/>
    <w:rsid w:val="768570F0"/>
    <w:rsid w:val="769431A0"/>
    <w:rsid w:val="76B055B6"/>
    <w:rsid w:val="76B61368"/>
    <w:rsid w:val="76D67314"/>
    <w:rsid w:val="76EC2FDC"/>
    <w:rsid w:val="7706409E"/>
    <w:rsid w:val="770B3462"/>
    <w:rsid w:val="77287154"/>
    <w:rsid w:val="7771703D"/>
    <w:rsid w:val="77846D70"/>
    <w:rsid w:val="778637D8"/>
    <w:rsid w:val="778C5026"/>
    <w:rsid w:val="77AE4268"/>
    <w:rsid w:val="77CE4490"/>
    <w:rsid w:val="77E93077"/>
    <w:rsid w:val="77FF4A56"/>
    <w:rsid w:val="78202F3D"/>
    <w:rsid w:val="782B18E2"/>
    <w:rsid w:val="78322C70"/>
    <w:rsid w:val="788039DC"/>
    <w:rsid w:val="78A05E2C"/>
    <w:rsid w:val="78FB7506"/>
    <w:rsid w:val="79064D08"/>
    <w:rsid w:val="791B260B"/>
    <w:rsid w:val="792B7DEB"/>
    <w:rsid w:val="793B5B55"/>
    <w:rsid w:val="79420C91"/>
    <w:rsid w:val="79752E15"/>
    <w:rsid w:val="79952967"/>
    <w:rsid w:val="79C43D9C"/>
    <w:rsid w:val="79F53F55"/>
    <w:rsid w:val="7A3525A4"/>
    <w:rsid w:val="7A3C7DD6"/>
    <w:rsid w:val="7A545120"/>
    <w:rsid w:val="7A637111"/>
    <w:rsid w:val="7AAD65DE"/>
    <w:rsid w:val="7B252618"/>
    <w:rsid w:val="7B42141C"/>
    <w:rsid w:val="7BD209F2"/>
    <w:rsid w:val="7BE129E3"/>
    <w:rsid w:val="7BFD27E5"/>
    <w:rsid w:val="7C38637B"/>
    <w:rsid w:val="7C5739AD"/>
    <w:rsid w:val="7C725D31"/>
    <w:rsid w:val="7C896BD7"/>
    <w:rsid w:val="7C9C5993"/>
    <w:rsid w:val="7CA12173"/>
    <w:rsid w:val="7D022F24"/>
    <w:rsid w:val="7D39684F"/>
    <w:rsid w:val="7D4939A5"/>
    <w:rsid w:val="7D5D6B3A"/>
    <w:rsid w:val="7D733B0F"/>
    <w:rsid w:val="7DA05D3C"/>
    <w:rsid w:val="7DAE3C65"/>
    <w:rsid w:val="7DBB429F"/>
    <w:rsid w:val="7E235535"/>
    <w:rsid w:val="7E464D80"/>
    <w:rsid w:val="7E67136F"/>
    <w:rsid w:val="7E7318ED"/>
    <w:rsid w:val="7E97382D"/>
    <w:rsid w:val="7EA06B86"/>
    <w:rsid w:val="7EC2387D"/>
    <w:rsid w:val="7EDE7AA8"/>
    <w:rsid w:val="7EDF0482"/>
    <w:rsid w:val="7EE36A72"/>
    <w:rsid w:val="7EF3379A"/>
    <w:rsid w:val="7F01339C"/>
    <w:rsid w:val="7F084A82"/>
    <w:rsid w:val="7F10538E"/>
    <w:rsid w:val="7F141322"/>
    <w:rsid w:val="7F364DF4"/>
    <w:rsid w:val="7F69341C"/>
    <w:rsid w:val="7F775DA9"/>
    <w:rsid w:val="7F8042C1"/>
    <w:rsid w:val="7FA81E25"/>
    <w:rsid w:val="7FB0104A"/>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4"/>
    <w:basedOn w:val="1"/>
    <w:next w:val="1"/>
    <w:qFormat/>
    <w:uiPriority w:val="99"/>
    <w:pPr>
      <w:tabs>
        <w:tab w:val="left" w:pos="2155"/>
      </w:tabs>
      <w:adjustRightInd w:val="0"/>
      <w:spacing w:line="360" w:lineRule="auto"/>
      <w:ind w:left="2155" w:hanging="1078"/>
      <w:textAlignment w:val="baseline"/>
      <w:outlineLvl w:val="3"/>
    </w:pPr>
    <w:rPr>
      <w:rFonts w:ascii="Arial" w:hAnsi="Times New Roman" w:eastAsia="黑体" w:cs="Times New Roman"/>
      <w:kern w:val="0"/>
      <w:sz w:val="28"/>
      <w:szCs w:val="20"/>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3"/>
    <w:basedOn w:val="1"/>
    <w:unhideWhenUsed/>
    <w:qFormat/>
    <w:uiPriority w:val="99"/>
    <w:pPr>
      <w:spacing w:after="120"/>
    </w:pPr>
    <w:rPr>
      <w:sz w:val="16"/>
      <w:szCs w:val="16"/>
    </w:rPr>
  </w:style>
  <w:style w:type="paragraph" w:styleId="8">
    <w:name w:val="Body Text"/>
    <w:basedOn w:val="1"/>
    <w:next w:val="1"/>
    <w:unhideWhenUsed/>
    <w:qFormat/>
    <w:uiPriority w:val="0"/>
    <w:pPr>
      <w:spacing w:after="120"/>
    </w:pPr>
  </w:style>
  <w:style w:type="paragraph" w:styleId="9">
    <w:name w:val="Body Text Indent"/>
    <w:basedOn w:val="1"/>
    <w:qFormat/>
    <w:uiPriority w:val="0"/>
    <w:pPr>
      <w:ind w:firstLine="830" w:firstLineChars="352"/>
    </w:pPr>
    <w:rPr>
      <w:rFonts w:ascii="仿宋_GB2312" w:eastAsia="仿宋_GB2312"/>
      <w:kern w:val="0"/>
      <w:sz w:val="32"/>
      <w:szCs w:val="20"/>
    </w:rPr>
  </w:style>
  <w:style w:type="paragraph" w:styleId="10">
    <w:name w:val="List 2"/>
    <w:basedOn w:val="1"/>
    <w:unhideWhenUsed/>
    <w:qFormat/>
    <w:uiPriority w:val="99"/>
    <w:pPr>
      <w:ind w:left="100" w:leftChars="200" w:hanging="200" w:hangingChars="200"/>
      <w:contextualSpacing/>
    </w:pPr>
  </w:style>
  <w:style w:type="paragraph" w:styleId="11">
    <w:name w:val="Plain Text"/>
    <w:basedOn w:val="1"/>
    <w:next w:val="3"/>
    <w:qFormat/>
    <w:uiPriority w:val="0"/>
    <w:rPr>
      <w:rFonts w:ascii="宋体" w:hAnsi="Courier New"/>
      <w:kern w:val="0"/>
      <w:sz w:val="20"/>
      <w:szCs w:val="21"/>
    </w:rPr>
  </w:style>
  <w:style w:type="paragraph" w:styleId="12">
    <w:name w:val="Date"/>
    <w:basedOn w:val="1"/>
    <w:next w:val="1"/>
    <w:unhideWhenUsed/>
    <w:qFormat/>
    <w:uiPriority w:val="99"/>
    <w:pPr>
      <w:ind w:left="100" w:leftChars="2500"/>
    </w:p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next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tabs>
        <w:tab w:val="right" w:leader="dot" w:pos="8296"/>
      </w:tabs>
      <w:ind w:left="420" w:leftChars="200"/>
    </w:pPr>
  </w:style>
  <w:style w:type="character" w:styleId="19">
    <w:name w:val="Hyperlink"/>
    <w:basedOn w:val="18"/>
    <w:unhideWhenUsed/>
    <w:qFormat/>
    <w:uiPriority w:val="99"/>
    <w:rPr>
      <w:color w:val="0000FF"/>
      <w:u w:val="single"/>
    </w:rPr>
  </w:style>
  <w:style w:type="paragraph" w:customStyle="1" w:styleId="20">
    <w:name w:val="Table Text"/>
    <w:basedOn w:val="1"/>
    <w:semiHidden/>
    <w:qFormat/>
    <w:uiPriority w:val="0"/>
    <w:rPr>
      <w:rFonts w:ascii="宋体" w:hAnsi="宋体" w:eastAsia="宋体" w:cs="宋体"/>
      <w:sz w:val="19"/>
      <w:szCs w:val="19"/>
      <w:lang w:val="en-US" w:eastAsia="en-US" w:bidi="ar-SA"/>
    </w:r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2">
    <w:name w:val="List Paragraph"/>
    <w:basedOn w:val="1"/>
    <w:qFormat/>
    <w:uiPriority w:val="34"/>
    <w:pPr>
      <w:ind w:firstLine="420" w:firstLineChars="200"/>
    </w:pPr>
  </w:style>
  <w:style w:type="paragraph" w:customStyle="1" w:styleId="23">
    <w:name w:val="标题 2_1"/>
    <w:basedOn w:val="24"/>
    <w:next w:val="24"/>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24">
    <w:name w:val="正文_3_0"/>
    <w:basedOn w:val="25"/>
    <w:qFormat/>
    <w:uiPriority w:val="0"/>
    <w:pPr>
      <w:widowControl w:val="0"/>
      <w:jc w:val="both"/>
    </w:pPr>
    <w:rPr>
      <w:rFonts w:ascii="Calibri" w:hAnsi="Calibri"/>
      <w:kern w:val="2"/>
      <w:sz w:val="21"/>
      <w:szCs w:val="22"/>
      <w:lang w:val="en-US" w:eastAsia="zh-CN" w:bidi="ar-SA"/>
    </w:rPr>
  </w:style>
  <w:style w:type="paragraph" w:customStyle="1" w:styleId="25">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Body text|1_2"/>
    <w:basedOn w:val="27"/>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27">
    <w:name w:val="正文_3"/>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28">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29">
    <w:name w:val="Other|1_2"/>
    <w:basedOn w:val="27"/>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30">
    <w:name w:val="标题 3_2"/>
    <w:basedOn w:val="27"/>
    <w:next w:val="27"/>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3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2">
    <w:name w:val="Normal_0"/>
    <w:qFormat/>
    <w:uiPriority w:val="0"/>
    <w:pPr>
      <w:widowControl w:val="0"/>
      <w:jc w:val="both"/>
    </w:pPr>
    <w:rPr>
      <w:rFonts w:ascii="Calibri" w:hAnsi="Calibri" w:eastAsia="宋体" w:cs="Times New Roman"/>
      <w:lang w:val="en-US" w:eastAsia="zh-CN" w:bidi="ar-SA"/>
    </w:rPr>
  </w:style>
  <w:style w:type="paragraph" w:customStyle="1" w:styleId="33">
    <w:name w:val="标题 3_0"/>
    <w:basedOn w:val="34"/>
    <w:next w:val="34"/>
    <w:qFormat/>
    <w:uiPriority w:val="0"/>
    <w:pPr>
      <w:keepNext/>
      <w:keepLines/>
      <w:spacing w:before="260" w:after="260" w:line="416" w:lineRule="auto"/>
      <w:outlineLvl w:val="2"/>
    </w:pPr>
    <w:rPr>
      <w:rFonts w:ascii="Times New Roman" w:hAnsi="Times New Roman"/>
      <w:b/>
      <w:bCs/>
      <w:sz w:val="32"/>
      <w:szCs w:val="32"/>
    </w:rPr>
  </w:style>
  <w:style w:type="paragraph" w:customStyle="1" w:styleId="34">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纯文本_0"/>
    <w:basedOn w:val="24"/>
    <w:qFormat/>
    <w:uiPriority w:val="0"/>
    <w:rPr>
      <w:rFonts w:ascii="宋体" w:hAnsi="Courier New"/>
      <w:kern w:val="0"/>
      <w:sz w:val="20"/>
      <w:szCs w:val="24"/>
    </w:rPr>
  </w:style>
  <w:style w:type="paragraph" w:customStyle="1" w:styleId="38">
    <w:name w:val="纯文本_1"/>
    <w:basedOn w:val="24"/>
    <w:qFormat/>
    <w:uiPriority w:val="0"/>
    <w:rPr>
      <w:rFonts w:ascii="宋体" w:hAnsi="Courier New"/>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304</Words>
  <Characters>425</Characters>
  <Lines>0</Lines>
  <Paragraphs>0</Paragraphs>
  <TotalTime>178</TotalTime>
  <ScaleCrop>false</ScaleCrop>
  <LinksUpToDate>false</LinksUpToDate>
  <CharactersWithSpaces>448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2025-11-10T08:39:00Z</dcterms:created>
  <dc:creator>Mr 黎</dc:creator>
  <cp:lastModifiedBy>Mr 黎</cp:lastModifiedBy>
  <dcterms:modified xsi:type="dcterms:W3CDTF">2025-12-08T01:35:00Z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833CBEB02BDD4D6FBBF98666F6547591_13</vt:lpwstr>
  </property>
  <property fmtid="{D5CDD505-2E9C-101B-9397-08002B2CF9AE}" pid="4" name="KSOTemplateDocerSaveRecord">
    <vt:lpwstr>eyJoZGlkIjoiMjM5NjRlNzVhNTIzZDE1N2RjYTQ2NDYwMjNlOTgzNjciLCJ1c2VySWQiOiI0Mzg5MzY3MTAifQ==</vt:lpwstr>
  </property>
</Properties>
</file>