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52"/>
          <w:highlight w:val="none"/>
          <w:lang w:eastAsia="zh-CN"/>
        </w:rPr>
      </w:pPr>
      <w:bookmarkStart w:id="0" w:name="_Toc217446030"/>
      <w:bookmarkStart w:id="1" w:name="_Toc183682338"/>
      <w:r>
        <w:rPr>
          <w:rFonts w:hint="eastAsia" w:ascii="宋体" w:hAnsi="宋体" w:cs="宋体"/>
          <w:b/>
          <w:bCs/>
          <w:sz w:val="44"/>
          <w:szCs w:val="44"/>
          <w:highlight w:val="none"/>
          <w:lang w:eastAsia="zh-CN"/>
        </w:rPr>
        <w:t>广西城通工程咨询有限责任公司</w:t>
      </w:r>
    </w:p>
    <w:p>
      <w:pPr>
        <w:jc w:val="center"/>
        <w:rPr>
          <w:rFonts w:ascii="宋体" w:hAnsi="宋体" w:cs="宋体"/>
          <w:b/>
          <w:bCs/>
          <w:sz w:val="36"/>
          <w:szCs w:val="36"/>
          <w:highlight w:val="none"/>
        </w:rPr>
      </w:pPr>
    </w:p>
    <w:p>
      <w:pPr>
        <w:spacing w:after="120"/>
        <w:ind w:firstLine="404"/>
        <w:rPr>
          <w:rFonts w:ascii="宋体" w:hAnsi="宋体" w:cs="宋体"/>
          <w:b/>
          <w:bCs/>
          <w:sz w:val="10"/>
          <w:highlight w:val="none"/>
        </w:rPr>
      </w:pPr>
      <w:r>
        <w:rPr>
          <w:rFonts w:ascii="宋体" w:hAnsi="宋体" w:cs="宋体"/>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57785</wp:posOffset>
                </wp:positionV>
                <wp:extent cx="6282055" cy="0"/>
                <wp:effectExtent l="0" t="19050" r="4445" b="19050"/>
                <wp:wrapNone/>
                <wp:docPr id="3" name="直接连接符 3"/>
                <wp:cNvGraphicFramePr/>
                <a:graphic xmlns:a="http://schemas.openxmlformats.org/drawingml/2006/main">
                  <a:graphicData uri="http://schemas.microsoft.com/office/word/2010/wordprocessingShape">
                    <wps:wsp>
                      <wps:cNvCnPr/>
                      <wps:spPr>
                        <a:xfrm flipV="1">
                          <a:off x="0" y="0"/>
                          <a:ext cx="6282055" cy="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2.8pt;margin-top:4.55pt;height:0pt;width:494.65pt;z-index:251659264;mso-width-relative:page;mso-height-relative:page;" filled="f" stroked="t" coordsize="21600,21600" o:gfxdata="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X2pfNUAAAAHAQAADwAAAAAAAAABACAAAAAiAAAAZHJzL2Rvd25yZXYueG1sUEsBAhQA&#10;FAAAAAgAh07iQLPXrv31AQAA4wMAAA4AAAAAAAAAAQAgAAAAJAEAAGRycy9lMm9Eb2MueG1sUEsF&#10;BgAAAAAGAAYAWQEAAIsFAAAAAA==&#10;">
                <v:fill on="f" focussize="0,0"/>
                <v:stroke weight="2.25pt" color="#000000" joinstyle="round"/>
                <v:imagedata o:title=""/>
                <o:lock v:ext="edit" aspectratio="f"/>
              </v:line>
            </w:pict>
          </mc:Fallback>
        </mc:AlternateContent>
      </w:r>
      <w:r>
        <w:rPr>
          <w:rFonts w:hint="eastAsia" w:ascii="宋体" w:hAnsi="宋体" w:cs="宋体"/>
          <w:b/>
          <w:bCs/>
          <w:sz w:val="10"/>
          <w:highlight w:val="none"/>
        </w:rPr>
        <w:t xml:space="preserve">                                                                                                                                                                                       </w:t>
      </w:r>
    </w:p>
    <w:p>
      <w:pPr>
        <w:spacing w:before="120" w:beforeLines="50" w:line="360" w:lineRule="auto"/>
        <w:jc w:val="center"/>
        <w:rPr>
          <w:rFonts w:ascii="宋体" w:hAnsi="宋体"/>
          <w:sz w:val="52"/>
          <w:szCs w:val="52"/>
          <w:highlight w:val="none"/>
        </w:rPr>
      </w:pPr>
    </w:p>
    <w:p>
      <w:pPr>
        <w:spacing w:before="120" w:beforeLines="50" w:line="360" w:lineRule="auto"/>
        <w:jc w:val="center"/>
        <w:rPr>
          <w:rFonts w:ascii="仿宋_GB2312" w:hAnsi="宋体" w:eastAsia="仿宋_GB2312"/>
          <w:b/>
          <w:sz w:val="48"/>
          <w:szCs w:val="48"/>
          <w:highlight w:val="none"/>
        </w:rPr>
      </w:pPr>
    </w:p>
    <w:p>
      <w:pPr>
        <w:spacing w:before="120" w:beforeLines="50" w:line="360" w:lineRule="auto"/>
        <w:jc w:val="center"/>
        <w:rPr>
          <w:rFonts w:ascii="仿宋_GB2312" w:hAnsi="宋体" w:eastAsia="仿宋_GB2312"/>
          <w:b/>
          <w:sz w:val="48"/>
          <w:szCs w:val="48"/>
          <w:highlight w:val="none"/>
        </w:rPr>
      </w:pPr>
    </w:p>
    <w:p>
      <w:pPr>
        <w:snapToGrid w:val="0"/>
        <w:spacing w:before="120" w:beforeLines="50" w:line="360" w:lineRule="auto"/>
        <w:jc w:val="center"/>
        <w:rPr>
          <w:rFonts w:hint="eastAsia" w:ascii="华文新魏" w:hAnsi="宋体" w:eastAsia="华文新魏"/>
          <w:color w:val="000000"/>
          <w:sz w:val="120"/>
          <w:szCs w:val="120"/>
          <w:highlight w:val="none"/>
        </w:rPr>
      </w:pPr>
      <w:r>
        <w:rPr>
          <w:rFonts w:hint="eastAsia" w:ascii="华文新魏" w:hAnsi="宋体" w:eastAsia="华文新魏"/>
          <w:color w:val="000000"/>
          <w:sz w:val="120"/>
          <w:szCs w:val="120"/>
          <w:highlight w:val="none"/>
        </w:rPr>
        <w:t>招 标 文 件</w:t>
      </w:r>
    </w:p>
    <w:p>
      <w:pPr>
        <w:snapToGrid w:val="0"/>
        <w:spacing w:before="120" w:beforeLines="50" w:line="360" w:lineRule="auto"/>
        <w:rPr>
          <w:rFonts w:ascii="仿宋_GB2312" w:hAnsi="宋体" w:eastAsia="仿宋_GB2312"/>
          <w:sz w:val="30"/>
          <w:szCs w:val="72"/>
          <w:highlight w:val="none"/>
        </w:rPr>
      </w:pPr>
    </w:p>
    <w:p>
      <w:pPr>
        <w:snapToGrid w:val="0"/>
        <w:spacing w:before="120" w:beforeLines="50" w:line="360" w:lineRule="auto"/>
        <w:rPr>
          <w:rFonts w:ascii="仿宋_GB2312" w:hAnsi="宋体" w:eastAsia="仿宋_GB2312"/>
          <w:sz w:val="30"/>
          <w:szCs w:val="72"/>
          <w:highlight w:val="none"/>
        </w:rPr>
      </w:pPr>
    </w:p>
    <w:p>
      <w:pPr>
        <w:pStyle w:val="29"/>
        <w:snapToGrid w:val="0"/>
        <w:spacing w:before="50" w:after="120" w:line="360" w:lineRule="auto"/>
        <w:ind w:firstLine="1193" w:firstLineChars="396"/>
        <w:rPr>
          <w:rFonts w:hint="eastAsia" w:ascii="仿宋_GB2312" w:hAnsi="宋体" w:eastAsia="仿宋_GB2312"/>
          <w:b/>
          <w:bCs/>
          <w:w w:val="95"/>
          <w:sz w:val="30"/>
          <w:szCs w:val="30"/>
          <w:highlight w:val="none"/>
          <w:lang w:eastAsia="zh-CN"/>
        </w:rPr>
      </w:pPr>
      <w:r>
        <w:rPr>
          <w:rFonts w:hint="eastAsia" w:ascii="仿宋_GB2312" w:hAnsi="宋体" w:eastAsia="仿宋_GB2312"/>
          <w:b/>
          <w:bCs/>
          <w:sz w:val="30"/>
          <w:szCs w:val="30"/>
          <w:highlight w:val="none"/>
        </w:rPr>
        <w:t>项目</w:t>
      </w:r>
      <w:r>
        <w:rPr>
          <w:rFonts w:hint="eastAsia" w:ascii="仿宋_GB2312" w:hAnsi="宋体" w:eastAsia="仿宋_GB2312"/>
          <w:b/>
          <w:bCs/>
          <w:w w:val="95"/>
          <w:sz w:val="30"/>
          <w:szCs w:val="30"/>
          <w:highlight w:val="none"/>
        </w:rPr>
        <w:t>名称</w:t>
      </w:r>
      <w:r>
        <w:rPr>
          <w:rFonts w:hint="eastAsia" w:ascii="仿宋_GB2312" w:hAnsi="宋体" w:eastAsia="仿宋_GB2312"/>
          <w:b/>
          <w:bCs/>
          <w:sz w:val="30"/>
          <w:szCs w:val="30"/>
          <w:highlight w:val="none"/>
        </w:rPr>
        <w:t>：</w:t>
      </w:r>
      <w:r>
        <w:rPr>
          <w:rFonts w:hint="eastAsia" w:ascii="仿宋_GB2312" w:hAnsi="宋体" w:eastAsia="仿宋_GB2312"/>
          <w:b/>
          <w:bCs/>
          <w:w w:val="95"/>
          <w:sz w:val="30"/>
          <w:szCs w:val="30"/>
          <w:highlight w:val="none"/>
          <w:lang w:eastAsia="zh-CN"/>
        </w:rPr>
        <w:t>2025年广西无线电管理普通环境监测网覆盖完善和能力提升项目（二）（重）</w:t>
      </w:r>
    </w:p>
    <w:p>
      <w:pPr>
        <w:snapToGrid w:val="0"/>
        <w:spacing w:before="120" w:beforeLines="50" w:line="360" w:lineRule="auto"/>
        <w:ind w:firstLine="1145" w:firstLineChars="400"/>
        <w:rPr>
          <w:rFonts w:hint="eastAsia" w:ascii="仿宋_GB2312" w:hAnsi="宋体" w:eastAsia="仿宋_GB2312"/>
          <w:sz w:val="30"/>
          <w:szCs w:val="72"/>
          <w:highlight w:val="none"/>
          <w:lang w:eastAsia="zh-CN"/>
        </w:rPr>
      </w:pPr>
      <w:r>
        <w:rPr>
          <w:rFonts w:hint="eastAsia" w:ascii="仿宋_GB2312" w:hAnsi="宋体" w:eastAsia="仿宋_GB2312" w:cs="Courier New"/>
          <w:b/>
          <w:bCs/>
          <w:w w:val="95"/>
          <w:sz w:val="30"/>
          <w:szCs w:val="30"/>
          <w:highlight w:val="none"/>
        </w:rPr>
        <w:t>项目</w:t>
      </w:r>
      <w:r>
        <w:rPr>
          <w:rFonts w:hint="eastAsia" w:ascii="仿宋_GB2312" w:hAnsi="宋体" w:eastAsia="仿宋_GB2312"/>
          <w:b/>
          <w:bCs/>
          <w:sz w:val="30"/>
          <w:szCs w:val="30"/>
          <w:highlight w:val="none"/>
        </w:rPr>
        <w:t>编号</w:t>
      </w:r>
      <w:r>
        <w:rPr>
          <w:rFonts w:hint="eastAsia" w:ascii="仿宋_GB2312" w:hAnsi="宋体" w:eastAsia="仿宋_GB2312" w:cs="Courier New"/>
          <w:b/>
          <w:bCs/>
          <w:w w:val="95"/>
          <w:sz w:val="30"/>
          <w:szCs w:val="30"/>
          <w:highlight w:val="none"/>
        </w:rPr>
        <w:t>：</w:t>
      </w:r>
      <w:r>
        <w:rPr>
          <w:rFonts w:hint="eastAsia" w:ascii="仿宋_GB2312" w:hAnsi="宋体" w:eastAsia="仿宋_GB2312" w:cs="Courier New"/>
          <w:b/>
          <w:bCs/>
          <w:w w:val="95"/>
          <w:sz w:val="30"/>
          <w:szCs w:val="30"/>
          <w:highlight w:val="none"/>
          <w:lang w:eastAsia="zh-CN"/>
        </w:rPr>
        <w:t>GXZC2025-G1-001114-GXCT</w:t>
      </w:r>
    </w:p>
    <w:p>
      <w:pPr>
        <w:pStyle w:val="29"/>
        <w:snapToGrid w:val="0"/>
        <w:spacing w:before="50" w:after="120" w:line="360" w:lineRule="auto"/>
        <w:ind w:firstLine="1125" w:firstLineChars="393"/>
        <w:rPr>
          <w:rFonts w:ascii="仿宋_GB2312" w:hAnsi="宋体" w:eastAsia="仿宋_GB2312"/>
          <w:b/>
          <w:bCs/>
          <w:w w:val="95"/>
          <w:sz w:val="30"/>
          <w:szCs w:val="30"/>
          <w:highlight w:val="none"/>
        </w:rPr>
      </w:pPr>
      <w:r>
        <w:rPr>
          <w:rFonts w:hint="eastAsia" w:ascii="仿宋_GB2312" w:hAnsi="宋体" w:eastAsia="仿宋_GB2312"/>
          <w:b/>
          <w:bCs/>
          <w:w w:val="95"/>
          <w:sz w:val="30"/>
          <w:szCs w:val="30"/>
          <w:highlight w:val="none"/>
        </w:rPr>
        <w:t>采 购 人：广西壮族自治区工业和信息化厅</w:t>
      </w:r>
    </w:p>
    <w:p>
      <w:pPr>
        <w:pStyle w:val="29"/>
        <w:snapToGrid w:val="0"/>
        <w:spacing w:before="50" w:after="120" w:line="360" w:lineRule="auto"/>
        <w:ind w:firstLine="1125" w:firstLineChars="393"/>
        <w:rPr>
          <w:rFonts w:hint="eastAsia" w:ascii="仿宋_GB2312" w:hAnsi="宋体" w:eastAsia="仿宋_GB2312"/>
          <w:b/>
          <w:bCs/>
          <w:w w:val="95"/>
          <w:sz w:val="30"/>
          <w:szCs w:val="30"/>
          <w:highlight w:val="none"/>
          <w:lang w:eastAsia="zh-CN"/>
        </w:rPr>
      </w:pPr>
      <w:r>
        <w:rPr>
          <w:rFonts w:hint="eastAsia" w:ascii="仿宋_GB2312" w:hAnsi="宋体" w:eastAsia="仿宋_GB2312"/>
          <w:b/>
          <w:bCs/>
          <w:w w:val="95"/>
          <w:sz w:val="30"/>
          <w:szCs w:val="30"/>
          <w:highlight w:val="none"/>
        </w:rPr>
        <w:t>采购代理机构：</w:t>
      </w:r>
      <w:r>
        <w:rPr>
          <w:rFonts w:hint="eastAsia" w:ascii="仿宋_GB2312" w:hAnsi="宋体" w:eastAsia="仿宋_GB2312"/>
          <w:b/>
          <w:bCs/>
          <w:w w:val="95"/>
          <w:sz w:val="30"/>
          <w:szCs w:val="30"/>
          <w:highlight w:val="none"/>
          <w:lang w:eastAsia="zh-CN"/>
        </w:rPr>
        <w:t>广西城通工程咨询有限责任公司</w:t>
      </w:r>
    </w:p>
    <w:p>
      <w:pPr>
        <w:pStyle w:val="29"/>
        <w:snapToGrid w:val="0"/>
        <w:spacing w:before="50" w:after="120" w:line="360" w:lineRule="auto"/>
        <w:jc w:val="center"/>
        <w:rPr>
          <w:rFonts w:ascii="仿宋_GB2312" w:hAnsi="宋体" w:eastAsia="仿宋_GB2312"/>
          <w:b/>
          <w:bCs/>
          <w:w w:val="95"/>
          <w:sz w:val="30"/>
          <w:szCs w:val="30"/>
          <w:highlight w:val="none"/>
        </w:rPr>
      </w:pPr>
      <w:r>
        <w:rPr>
          <w:rFonts w:hint="eastAsia" w:ascii="仿宋_GB2312" w:hAnsi="宋体" w:eastAsia="仿宋_GB2312"/>
          <w:b/>
          <w:bCs/>
          <w:w w:val="95"/>
          <w:sz w:val="30"/>
          <w:szCs w:val="30"/>
          <w:highlight w:val="none"/>
        </w:rPr>
        <w:t>202</w:t>
      </w:r>
      <w:r>
        <w:rPr>
          <w:rFonts w:hint="eastAsia" w:ascii="仿宋_GB2312" w:hAnsi="宋体" w:eastAsia="仿宋_GB2312"/>
          <w:b/>
          <w:bCs/>
          <w:w w:val="95"/>
          <w:sz w:val="30"/>
          <w:szCs w:val="30"/>
          <w:highlight w:val="none"/>
          <w:lang w:val="en-US" w:eastAsia="zh-CN"/>
        </w:rPr>
        <w:t>5</w:t>
      </w:r>
      <w:r>
        <w:rPr>
          <w:rFonts w:hint="eastAsia" w:ascii="仿宋_GB2312" w:hAnsi="宋体" w:eastAsia="仿宋_GB2312"/>
          <w:b/>
          <w:bCs/>
          <w:w w:val="95"/>
          <w:sz w:val="30"/>
          <w:szCs w:val="30"/>
          <w:highlight w:val="none"/>
        </w:rPr>
        <w:t>年</w:t>
      </w:r>
      <w:r>
        <w:rPr>
          <w:rFonts w:hint="eastAsia" w:ascii="仿宋_GB2312" w:hAnsi="宋体" w:eastAsia="仿宋_GB2312"/>
          <w:b/>
          <w:bCs/>
          <w:w w:val="95"/>
          <w:sz w:val="30"/>
          <w:szCs w:val="30"/>
          <w:highlight w:val="none"/>
          <w:lang w:val="en-US" w:eastAsia="zh-CN"/>
        </w:rPr>
        <w:t>5</w:t>
      </w:r>
      <w:r>
        <w:rPr>
          <w:rFonts w:hint="eastAsia" w:ascii="仿宋_GB2312" w:hAnsi="宋体" w:eastAsia="仿宋_GB2312"/>
          <w:b/>
          <w:bCs/>
          <w:w w:val="95"/>
          <w:sz w:val="30"/>
          <w:szCs w:val="30"/>
          <w:highlight w:val="none"/>
        </w:rPr>
        <w:t>月</w:t>
      </w:r>
      <w:r>
        <w:rPr>
          <w:rFonts w:hint="eastAsia" w:ascii="仿宋_GB2312" w:hAnsi="宋体" w:eastAsia="仿宋_GB2312"/>
          <w:b/>
          <w:bCs/>
          <w:w w:val="95"/>
          <w:sz w:val="30"/>
          <w:szCs w:val="30"/>
          <w:highlight w:val="none"/>
          <w:lang w:val="en-US" w:eastAsia="zh-CN"/>
        </w:rPr>
        <w:t>21</w:t>
      </w:r>
      <w:r>
        <w:rPr>
          <w:rFonts w:hint="eastAsia" w:ascii="仿宋_GB2312" w:hAnsi="宋体" w:eastAsia="仿宋_GB2312"/>
          <w:b/>
          <w:bCs/>
          <w:w w:val="95"/>
          <w:sz w:val="30"/>
          <w:szCs w:val="30"/>
          <w:highlight w:val="none"/>
        </w:rPr>
        <w:t>日</w:t>
      </w:r>
    </w:p>
    <w:p>
      <w:pPr>
        <w:widowControl/>
        <w:jc w:val="left"/>
        <w:rPr>
          <w:sz w:val="32"/>
          <w:szCs w:val="32"/>
          <w:highlight w:val="none"/>
        </w:rPr>
      </w:pPr>
      <w:bookmarkStart w:id="2" w:name="_Toc6931"/>
      <w:r>
        <w:rPr>
          <w:sz w:val="32"/>
          <w:szCs w:val="32"/>
          <w:highlight w:val="none"/>
        </w:rPr>
        <w:br w:type="page"/>
      </w:r>
    </w:p>
    <w:p>
      <w:pPr>
        <w:pStyle w:val="29"/>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eastAsia" w:ascii="Times New Roman" w:hAnsi="Times New Roman" w:cs="Times New Roman"/>
          <w:b/>
          <w:sz w:val="36"/>
          <w:szCs w:val="36"/>
          <w:highlight w:val="none"/>
        </w:rPr>
      </w:pPr>
      <w:r>
        <w:rPr>
          <w:rFonts w:hint="eastAsia" w:ascii="Times New Roman" w:hAnsi="Times New Roman" w:cs="Times New Roman"/>
          <w:b/>
          <w:sz w:val="36"/>
          <w:szCs w:val="36"/>
          <w:highlight w:val="none"/>
        </w:rPr>
        <w:t>目    录</w:t>
      </w:r>
      <w:bookmarkEnd w:id="2"/>
    </w:p>
    <w:p>
      <w:pPr>
        <w:pStyle w:val="36"/>
        <w:tabs>
          <w:tab w:val="right" w:leader="dot" w:pos="9354"/>
          <w:tab w:val="clear" w:pos="8398"/>
        </w:tabs>
        <w:spacing w:line="360" w:lineRule="auto"/>
        <w:ind w:firstLine="241"/>
        <w:rPr>
          <w:rFonts w:ascii="Times New Roman" w:hAnsi="Times New Roman"/>
          <w:b w:val="0"/>
          <w:bCs w:val="0"/>
          <w:highlight w:val="none"/>
        </w:rPr>
      </w:pPr>
      <w:r>
        <w:rPr>
          <w:rFonts w:ascii="Times New Roman" w:hAnsi="Times New Roman"/>
          <w:b w:val="0"/>
          <w:bCs w:val="0"/>
          <w:highlight w:val="none"/>
        </w:rPr>
        <w:fldChar w:fldCharType="begin"/>
      </w:r>
      <w:r>
        <w:rPr>
          <w:rStyle w:val="61"/>
          <w:rFonts w:ascii="Times New Roman" w:hAnsi="Times New Roman"/>
          <w:b w:val="0"/>
          <w:bCs w:val="0"/>
          <w:color w:val="auto"/>
          <w:highlight w:val="none"/>
        </w:rPr>
        <w:instrText xml:space="preserve"> TOC \o "1-1" \h \z \u </w:instrText>
      </w:r>
      <w:r>
        <w:rPr>
          <w:rFonts w:ascii="Times New Roman" w:hAnsi="Times New Roman"/>
          <w:b w:val="0"/>
          <w:bCs w:val="0"/>
          <w:highlight w:val="none"/>
        </w:rPr>
        <w:fldChar w:fldCharType="separate"/>
      </w:r>
      <w:r>
        <w:rPr>
          <w:b w:val="0"/>
          <w:bCs w:val="0"/>
          <w:highlight w:val="none"/>
        </w:rPr>
        <w:fldChar w:fldCharType="begin"/>
      </w:r>
      <w:r>
        <w:rPr>
          <w:b w:val="0"/>
          <w:bCs w:val="0"/>
          <w:highlight w:val="none"/>
        </w:rPr>
        <w:instrText xml:space="preserve"> HYPERLINK \l "_Toc2923" </w:instrText>
      </w:r>
      <w:r>
        <w:rPr>
          <w:b w:val="0"/>
          <w:bCs w:val="0"/>
          <w:highlight w:val="none"/>
        </w:rPr>
        <w:fldChar w:fldCharType="separate"/>
      </w:r>
      <w:r>
        <w:rPr>
          <w:rFonts w:ascii="Times New Roman" w:hAnsi="Times New Roman"/>
          <w:b w:val="0"/>
          <w:bCs w:val="0"/>
          <w:highlight w:val="none"/>
        </w:rPr>
        <w:t>第一章  招标公告</w:t>
      </w:r>
      <w:r>
        <w:rPr>
          <w:rFonts w:ascii="Times New Roman" w:hAnsi="Times New Roman"/>
          <w:b w:val="0"/>
          <w:bCs w:val="0"/>
          <w:highlight w:val="none"/>
        </w:rPr>
        <w:tab/>
      </w:r>
      <w:r>
        <w:rPr>
          <w:rFonts w:ascii="Times New Roman" w:hAnsi="Times New Roman"/>
          <w:b w:val="0"/>
          <w:bCs w:val="0"/>
          <w:highlight w:val="none"/>
        </w:rPr>
        <w:fldChar w:fldCharType="begin"/>
      </w:r>
      <w:r>
        <w:rPr>
          <w:rFonts w:ascii="Times New Roman" w:hAnsi="Times New Roman"/>
          <w:b w:val="0"/>
          <w:bCs w:val="0"/>
          <w:highlight w:val="none"/>
        </w:rPr>
        <w:instrText xml:space="preserve"> PAGEREF _Toc2923 </w:instrText>
      </w:r>
      <w:r>
        <w:rPr>
          <w:rFonts w:ascii="Times New Roman" w:hAnsi="Times New Roman"/>
          <w:b w:val="0"/>
          <w:bCs w:val="0"/>
          <w:highlight w:val="none"/>
        </w:rPr>
        <w:fldChar w:fldCharType="separate"/>
      </w:r>
      <w:r>
        <w:rPr>
          <w:rFonts w:ascii="Times New Roman" w:hAnsi="Times New Roman"/>
          <w:b w:val="0"/>
          <w:bCs w:val="0"/>
          <w:highlight w:val="none"/>
        </w:rPr>
        <w:t>2</w:t>
      </w:r>
      <w:r>
        <w:rPr>
          <w:rFonts w:ascii="Times New Roman" w:hAnsi="Times New Roman"/>
          <w:b w:val="0"/>
          <w:bCs w:val="0"/>
          <w:highlight w:val="none"/>
        </w:rPr>
        <w:fldChar w:fldCharType="end"/>
      </w:r>
      <w:r>
        <w:rPr>
          <w:rFonts w:ascii="Times New Roman" w:hAnsi="Times New Roman"/>
          <w:b w:val="0"/>
          <w:bCs w:val="0"/>
          <w:highlight w:val="none"/>
        </w:rPr>
        <w:fldChar w:fldCharType="end"/>
      </w:r>
    </w:p>
    <w:p>
      <w:pPr>
        <w:pStyle w:val="36"/>
        <w:tabs>
          <w:tab w:val="right" w:leader="dot" w:pos="9354"/>
          <w:tab w:val="clear" w:pos="8398"/>
        </w:tabs>
        <w:spacing w:line="360" w:lineRule="auto"/>
        <w:ind w:firstLine="241"/>
        <w:rPr>
          <w:rFonts w:ascii="Times New Roman" w:hAnsi="Times New Roman"/>
          <w:b w:val="0"/>
          <w:bCs w:val="0"/>
          <w:highlight w:val="none"/>
        </w:rPr>
      </w:pPr>
      <w:r>
        <w:rPr>
          <w:b w:val="0"/>
          <w:bCs w:val="0"/>
          <w:highlight w:val="none"/>
        </w:rPr>
        <w:fldChar w:fldCharType="begin"/>
      </w:r>
      <w:r>
        <w:rPr>
          <w:b w:val="0"/>
          <w:bCs w:val="0"/>
          <w:highlight w:val="none"/>
        </w:rPr>
        <w:instrText xml:space="preserve"> HYPERLINK \l "_Toc19628" </w:instrText>
      </w:r>
      <w:r>
        <w:rPr>
          <w:b w:val="0"/>
          <w:bCs w:val="0"/>
          <w:highlight w:val="none"/>
        </w:rPr>
        <w:fldChar w:fldCharType="separate"/>
      </w:r>
      <w:r>
        <w:rPr>
          <w:rFonts w:ascii="Times New Roman" w:hAnsi="Times New Roman"/>
          <w:b w:val="0"/>
          <w:bCs w:val="0"/>
          <w:highlight w:val="none"/>
        </w:rPr>
        <w:t>第二章  采购需求</w:t>
      </w:r>
      <w:r>
        <w:rPr>
          <w:rFonts w:ascii="Times New Roman" w:hAnsi="Times New Roman"/>
          <w:b w:val="0"/>
          <w:bCs w:val="0"/>
          <w:highlight w:val="none"/>
        </w:rPr>
        <w:tab/>
      </w:r>
      <w:r>
        <w:rPr>
          <w:rFonts w:ascii="Times New Roman" w:hAnsi="Times New Roman"/>
          <w:b w:val="0"/>
          <w:bCs w:val="0"/>
          <w:highlight w:val="none"/>
        </w:rPr>
        <w:fldChar w:fldCharType="begin"/>
      </w:r>
      <w:r>
        <w:rPr>
          <w:rFonts w:ascii="Times New Roman" w:hAnsi="Times New Roman"/>
          <w:b w:val="0"/>
          <w:bCs w:val="0"/>
          <w:highlight w:val="none"/>
        </w:rPr>
        <w:instrText xml:space="preserve"> PAGEREF _Toc19628 </w:instrText>
      </w:r>
      <w:r>
        <w:rPr>
          <w:rFonts w:ascii="Times New Roman" w:hAnsi="Times New Roman"/>
          <w:b w:val="0"/>
          <w:bCs w:val="0"/>
          <w:highlight w:val="none"/>
        </w:rPr>
        <w:fldChar w:fldCharType="separate"/>
      </w:r>
      <w:r>
        <w:rPr>
          <w:rFonts w:ascii="Times New Roman" w:hAnsi="Times New Roman"/>
          <w:b w:val="0"/>
          <w:bCs w:val="0"/>
          <w:highlight w:val="none"/>
        </w:rPr>
        <w:t>4</w:t>
      </w:r>
      <w:r>
        <w:rPr>
          <w:rFonts w:ascii="Times New Roman" w:hAnsi="Times New Roman"/>
          <w:b w:val="0"/>
          <w:bCs w:val="0"/>
          <w:highlight w:val="none"/>
        </w:rPr>
        <w:fldChar w:fldCharType="end"/>
      </w:r>
      <w:r>
        <w:rPr>
          <w:rFonts w:ascii="Times New Roman" w:hAnsi="Times New Roman"/>
          <w:b w:val="0"/>
          <w:bCs w:val="0"/>
          <w:highlight w:val="none"/>
        </w:rPr>
        <w:fldChar w:fldCharType="end"/>
      </w:r>
    </w:p>
    <w:p>
      <w:pPr>
        <w:pStyle w:val="36"/>
        <w:tabs>
          <w:tab w:val="right" w:leader="dot" w:pos="9354"/>
          <w:tab w:val="clear" w:pos="8398"/>
        </w:tabs>
        <w:spacing w:line="360" w:lineRule="auto"/>
        <w:ind w:firstLine="241"/>
        <w:rPr>
          <w:rFonts w:ascii="Times New Roman" w:hAnsi="Times New Roman"/>
          <w:b w:val="0"/>
          <w:bCs w:val="0"/>
          <w:highlight w:val="none"/>
        </w:rPr>
      </w:pPr>
      <w:r>
        <w:rPr>
          <w:b w:val="0"/>
          <w:bCs w:val="0"/>
          <w:highlight w:val="none"/>
        </w:rPr>
        <w:fldChar w:fldCharType="begin"/>
      </w:r>
      <w:r>
        <w:rPr>
          <w:b w:val="0"/>
          <w:bCs w:val="0"/>
          <w:highlight w:val="none"/>
        </w:rPr>
        <w:instrText xml:space="preserve"> HYPERLINK \l "_Toc25856" </w:instrText>
      </w:r>
      <w:r>
        <w:rPr>
          <w:b w:val="0"/>
          <w:bCs w:val="0"/>
          <w:highlight w:val="none"/>
        </w:rPr>
        <w:fldChar w:fldCharType="separate"/>
      </w:r>
      <w:r>
        <w:rPr>
          <w:rFonts w:ascii="Times New Roman" w:hAnsi="Times New Roman"/>
          <w:b w:val="0"/>
          <w:bCs w:val="0"/>
          <w:highlight w:val="none"/>
        </w:rPr>
        <w:t>第三章  供应商须知</w:t>
      </w:r>
      <w:r>
        <w:rPr>
          <w:rFonts w:ascii="Times New Roman" w:hAnsi="Times New Roman"/>
          <w:b w:val="0"/>
          <w:bCs w:val="0"/>
          <w:highlight w:val="none"/>
        </w:rPr>
        <w:tab/>
      </w:r>
      <w:r>
        <w:rPr>
          <w:rFonts w:ascii="Times New Roman" w:hAnsi="Times New Roman"/>
          <w:b w:val="0"/>
          <w:bCs w:val="0"/>
          <w:highlight w:val="none"/>
        </w:rPr>
        <w:fldChar w:fldCharType="begin"/>
      </w:r>
      <w:r>
        <w:rPr>
          <w:rFonts w:ascii="Times New Roman" w:hAnsi="Times New Roman"/>
          <w:b w:val="0"/>
          <w:bCs w:val="0"/>
          <w:highlight w:val="none"/>
        </w:rPr>
        <w:instrText xml:space="preserve"> PAGEREF _Toc25856 </w:instrText>
      </w:r>
      <w:r>
        <w:rPr>
          <w:rFonts w:ascii="Times New Roman" w:hAnsi="Times New Roman"/>
          <w:b w:val="0"/>
          <w:bCs w:val="0"/>
          <w:highlight w:val="none"/>
        </w:rPr>
        <w:fldChar w:fldCharType="separate"/>
      </w:r>
      <w:r>
        <w:rPr>
          <w:rFonts w:ascii="Times New Roman" w:hAnsi="Times New Roman"/>
          <w:b w:val="0"/>
          <w:bCs w:val="0"/>
          <w:highlight w:val="none"/>
        </w:rPr>
        <w:t>19</w:t>
      </w:r>
      <w:r>
        <w:rPr>
          <w:rFonts w:ascii="Times New Roman" w:hAnsi="Times New Roman"/>
          <w:b w:val="0"/>
          <w:bCs w:val="0"/>
          <w:highlight w:val="none"/>
        </w:rPr>
        <w:fldChar w:fldCharType="end"/>
      </w:r>
      <w:r>
        <w:rPr>
          <w:rFonts w:ascii="Times New Roman" w:hAnsi="Times New Roman"/>
          <w:b w:val="0"/>
          <w:bCs w:val="0"/>
          <w:highlight w:val="none"/>
        </w:rPr>
        <w:fldChar w:fldCharType="end"/>
      </w:r>
    </w:p>
    <w:p>
      <w:pPr>
        <w:pStyle w:val="36"/>
        <w:tabs>
          <w:tab w:val="right" w:leader="dot" w:pos="9354"/>
          <w:tab w:val="clear" w:pos="8398"/>
        </w:tabs>
        <w:spacing w:line="360" w:lineRule="auto"/>
        <w:ind w:firstLine="241"/>
        <w:rPr>
          <w:rFonts w:ascii="Times New Roman" w:hAnsi="Times New Roman"/>
          <w:b w:val="0"/>
          <w:bCs w:val="0"/>
          <w:highlight w:val="none"/>
        </w:rPr>
      </w:pPr>
      <w:r>
        <w:rPr>
          <w:b w:val="0"/>
          <w:bCs w:val="0"/>
          <w:highlight w:val="none"/>
        </w:rPr>
        <w:fldChar w:fldCharType="begin"/>
      </w:r>
      <w:r>
        <w:rPr>
          <w:b w:val="0"/>
          <w:bCs w:val="0"/>
          <w:highlight w:val="none"/>
        </w:rPr>
        <w:instrText xml:space="preserve"> HYPERLINK \l "_Toc3819" </w:instrText>
      </w:r>
      <w:r>
        <w:rPr>
          <w:b w:val="0"/>
          <w:bCs w:val="0"/>
          <w:highlight w:val="none"/>
        </w:rPr>
        <w:fldChar w:fldCharType="separate"/>
      </w:r>
      <w:r>
        <w:rPr>
          <w:rFonts w:ascii="Times New Roman" w:hAnsi="Times New Roman"/>
          <w:b w:val="0"/>
          <w:bCs w:val="0"/>
          <w:highlight w:val="none"/>
        </w:rPr>
        <w:t>第四章  评标方法及评标标准</w:t>
      </w:r>
      <w:r>
        <w:rPr>
          <w:rFonts w:ascii="Times New Roman" w:hAnsi="Times New Roman"/>
          <w:b w:val="0"/>
          <w:bCs w:val="0"/>
          <w:highlight w:val="none"/>
        </w:rPr>
        <w:tab/>
      </w:r>
      <w:r>
        <w:rPr>
          <w:rFonts w:ascii="Times New Roman" w:hAnsi="Times New Roman"/>
          <w:b w:val="0"/>
          <w:bCs w:val="0"/>
          <w:highlight w:val="none"/>
        </w:rPr>
        <w:fldChar w:fldCharType="begin"/>
      </w:r>
      <w:r>
        <w:rPr>
          <w:rFonts w:ascii="Times New Roman" w:hAnsi="Times New Roman"/>
          <w:b w:val="0"/>
          <w:bCs w:val="0"/>
          <w:highlight w:val="none"/>
        </w:rPr>
        <w:instrText xml:space="preserve"> PAGEREF _Toc3819 </w:instrText>
      </w:r>
      <w:r>
        <w:rPr>
          <w:rFonts w:ascii="Times New Roman" w:hAnsi="Times New Roman"/>
          <w:b w:val="0"/>
          <w:bCs w:val="0"/>
          <w:highlight w:val="none"/>
        </w:rPr>
        <w:fldChar w:fldCharType="separate"/>
      </w:r>
      <w:r>
        <w:rPr>
          <w:rFonts w:ascii="Times New Roman" w:hAnsi="Times New Roman"/>
          <w:b w:val="0"/>
          <w:bCs w:val="0"/>
          <w:highlight w:val="none"/>
        </w:rPr>
        <w:t>43</w:t>
      </w:r>
      <w:r>
        <w:rPr>
          <w:rFonts w:ascii="Times New Roman" w:hAnsi="Times New Roman"/>
          <w:b w:val="0"/>
          <w:bCs w:val="0"/>
          <w:highlight w:val="none"/>
        </w:rPr>
        <w:fldChar w:fldCharType="end"/>
      </w:r>
      <w:r>
        <w:rPr>
          <w:rFonts w:ascii="Times New Roman" w:hAnsi="Times New Roman"/>
          <w:b w:val="0"/>
          <w:bCs w:val="0"/>
          <w:highlight w:val="none"/>
        </w:rPr>
        <w:fldChar w:fldCharType="end"/>
      </w:r>
    </w:p>
    <w:p>
      <w:pPr>
        <w:pStyle w:val="36"/>
        <w:tabs>
          <w:tab w:val="right" w:leader="dot" w:pos="9354"/>
          <w:tab w:val="clear" w:pos="8398"/>
        </w:tabs>
        <w:spacing w:line="360" w:lineRule="auto"/>
        <w:ind w:firstLine="241"/>
        <w:rPr>
          <w:rFonts w:ascii="Times New Roman" w:hAnsi="Times New Roman"/>
          <w:b w:val="0"/>
          <w:bCs w:val="0"/>
          <w:highlight w:val="none"/>
        </w:rPr>
      </w:pPr>
      <w:r>
        <w:rPr>
          <w:b w:val="0"/>
          <w:bCs w:val="0"/>
          <w:highlight w:val="none"/>
        </w:rPr>
        <w:fldChar w:fldCharType="begin"/>
      </w:r>
      <w:r>
        <w:rPr>
          <w:b w:val="0"/>
          <w:bCs w:val="0"/>
          <w:highlight w:val="none"/>
        </w:rPr>
        <w:instrText xml:space="preserve"> HYPERLINK \l "_Toc25316" </w:instrText>
      </w:r>
      <w:r>
        <w:rPr>
          <w:b w:val="0"/>
          <w:bCs w:val="0"/>
          <w:highlight w:val="none"/>
        </w:rPr>
        <w:fldChar w:fldCharType="separate"/>
      </w:r>
      <w:r>
        <w:rPr>
          <w:rFonts w:ascii="Times New Roman" w:hAnsi="Times New Roman"/>
          <w:b w:val="0"/>
          <w:bCs w:val="0"/>
          <w:highlight w:val="none"/>
        </w:rPr>
        <w:t>第五章  合同主要条款格式</w:t>
      </w:r>
      <w:r>
        <w:rPr>
          <w:rFonts w:ascii="Times New Roman" w:hAnsi="Times New Roman"/>
          <w:b w:val="0"/>
          <w:bCs w:val="0"/>
          <w:highlight w:val="none"/>
        </w:rPr>
        <w:tab/>
      </w:r>
      <w:r>
        <w:rPr>
          <w:rFonts w:ascii="Times New Roman" w:hAnsi="Times New Roman"/>
          <w:b w:val="0"/>
          <w:bCs w:val="0"/>
          <w:highlight w:val="none"/>
        </w:rPr>
        <w:fldChar w:fldCharType="begin"/>
      </w:r>
      <w:r>
        <w:rPr>
          <w:rFonts w:ascii="Times New Roman" w:hAnsi="Times New Roman"/>
          <w:b w:val="0"/>
          <w:bCs w:val="0"/>
          <w:highlight w:val="none"/>
        </w:rPr>
        <w:instrText xml:space="preserve"> PAGEREF _Toc25316 </w:instrText>
      </w:r>
      <w:r>
        <w:rPr>
          <w:rFonts w:ascii="Times New Roman" w:hAnsi="Times New Roman"/>
          <w:b w:val="0"/>
          <w:bCs w:val="0"/>
          <w:highlight w:val="none"/>
        </w:rPr>
        <w:fldChar w:fldCharType="separate"/>
      </w:r>
      <w:r>
        <w:rPr>
          <w:rFonts w:ascii="Times New Roman" w:hAnsi="Times New Roman"/>
          <w:b w:val="0"/>
          <w:bCs w:val="0"/>
          <w:highlight w:val="none"/>
        </w:rPr>
        <w:t>56</w:t>
      </w:r>
      <w:r>
        <w:rPr>
          <w:rFonts w:ascii="Times New Roman" w:hAnsi="Times New Roman"/>
          <w:b w:val="0"/>
          <w:bCs w:val="0"/>
          <w:highlight w:val="none"/>
        </w:rPr>
        <w:fldChar w:fldCharType="end"/>
      </w:r>
      <w:r>
        <w:rPr>
          <w:rFonts w:ascii="Times New Roman" w:hAnsi="Times New Roman"/>
          <w:b w:val="0"/>
          <w:bCs w:val="0"/>
          <w:highlight w:val="none"/>
        </w:rPr>
        <w:fldChar w:fldCharType="end"/>
      </w:r>
    </w:p>
    <w:p>
      <w:pPr>
        <w:pStyle w:val="36"/>
        <w:tabs>
          <w:tab w:val="right" w:leader="dot" w:pos="9354"/>
          <w:tab w:val="clear" w:pos="8398"/>
        </w:tabs>
        <w:spacing w:line="360" w:lineRule="auto"/>
        <w:ind w:firstLine="241"/>
        <w:rPr>
          <w:rFonts w:ascii="Times New Roman" w:hAnsi="Times New Roman"/>
          <w:b w:val="0"/>
          <w:bCs w:val="0"/>
          <w:highlight w:val="none"/>
        </w:rPr>
      </w:pPr>
      <w:r>
        <w:rPr>
          <w:b w:val="0"/>
          <w:bCs w:val="0"/>
          <w:highlight w:val="none"/>
        </w:rPr>
        <w:fldChar w:fldCharType="begin"/>
      </w:r>
      <w:r>
        <w:rPr>
          <w:b w:val="0"/>
          <w:bCs w:val="0"/>
          <w:highlight w:val="none"/>
        </w:rPr>
        <w:instrText xml:space="preserve"> HYPERLINK \l "_Toc12927" </w:instrText>
      </w:r>
      <w:r>
        <w:rPr>
          <w:b w:val="0"/>
          <w:bCs w:val="0"/>
          <w:highlight w:val="none"/>
        </w:rPr>
        <w:fldChar w:fldCharType="separate"/>
      </w:r>
      <w:r>
        <w:rPr>
          <w:rFonts w:ascii="Times New Roman" w:hAnsi="Times New Roman"/>
          <w:b w:val="0"/>
          <w:bCs w:val="0"/>
          <w:highlight w:val="none"/>
        </w:rPr>
        <w:t>第六章  投标文件格式</w:t>
      </w:r>
      <w:r>
        <w:rPr>
          <w:rFonts w:ascii="Times New Roman" w:hAnsi="Times New Roman"/>
          <w:b w:val="0"/>
          <w:bCs w:val="0"/>
          <w:highlight w:val="none"/>
        </w:rPr>
        <w:tab/>
      </w:r>
      <w:r>
        <w:rPr>
          <w:rFonts w:ascii="Times New Roman" w:hAnsi="Times New Roman"/>
          <w:b w:val="0"/>
          <w:bCs w:val="0"/>
          <w:highlight w:val="none"/>
        </w:rPr>
        <w:fldChar w:fldCharType="begin"/>
      </w:r>
      <w:r>
        <w:rPr>
          <w:rFonts w:ascii="Times New Roman" w:hAnsi="Times New Roman"/>
          <w:b w:val="0"/>
          <w:bCs w:val="0"/>
          <w:highlight w:val="none"/>
        </w:rPr>
        <w:instrText xml:space="preserve"> PAGEREF _Toc12927 </w:instrText>
      </w:r>
      <w:r>
        <w:rPr>
          <w:rFonts w:ascii="Times New Roman" w:hAnsi="Times New Roman"/>
          <w:b w:val="0"/>
          <w:bCs w:val="0"/>
          <w:highlight w:val="none"/>
        </w:rPr>
        <w:fldChar w:fldCharType="separate"/>
      </w:r>
      <w:r>
        <w:rPr>
          <w:rFonts w:ascii="Times New Roman" w:hAnsi="Times New Roman"/>
          <w:b w:val="0"/>
          <w:bCs w:val="0"/>
          <w:highlight w:val="none"/>
        </w:rPr>
        <w:t>65</w:t>
      </w:r>
      <w:r>
        <w:rPr>
          <w:rFonts w:ascii="Times New Roman" w:hAnsi="Times New Roman"/>
          <w:b w:val="0"/>
          <w:bCs w:val="0"/>
          <w:highlight w:val="none"/>
        </w:rPr>
        <w:fldChar w:fldCharType="end"/>
      </w:r>
      <w:r>
        <w:rPr>
          <w:rFonts w:ascii="Times New Roman" w:hAnsi="Times New Roman"/>
          <w:b w:val="0"/>
          <w:bCs w:val="0"/>
          <w:highlight w:val="none"/>
        </w:rPr>
        <w:fldChar w:fldCharType="end"/>
      </w:r>
    </w:p>
    <w:p>
      <w:pPr>
        <w:pStyle w:val="36"/>
        <w:spacing w:line="360" w:lineRule="auto"/>
        <w:ind w:firstLine="241"/>
        <w:rPr>
          <w:rFonts w:ascii="Times New Roman" w:hAnsi="Times New Roman"/>
          <w:highlight w:val="none"/>
        </w:rPr>
      </w:pPr>
      <w:r>
        <w:rPr>
          <w:rFonts w:ascii="Times New Roman" w:hAnsi="Times New Roman"/>
          <w:b w:val="0"/>
          <w:bCs w:val="0"/>
          <w:highlight w:val="none"/>
        </w:rPr>
        <w:fldChar w:fldCharType="end"/>
      </w:r>
    </w:p>
    <w:p>
      <w:pPr>
        <w:spacing w:before="120" w:beforeLines="50" w:line="480" w:lineRule="exact"/>
        <w:rPr>
          <w:sz w:val="30"/>
          <w:highlight w:val="none"/>
        </w:rPr>
        <w:sectPr>
          <w:headerReference r:id="rId3" w:type="first"/>
          <w:footerReference r:id="rId5" w:type="first"/>
          <w:footerReference r:id="rId4" w:type="default"/>
          <w:pgSz w:w="11906" w:h="16838"/>
          <w:pgMar w:top="1440" w:right="1800" w:bottom="1440" w:left="1800" w:header="851" w:footer="992" w:gutter="0"/>
          <w:pgNumType w:start="0"/>
          <w:cols w:space="720" w:num="1"/>
          <w:titlePg/>
          <w:docGrid w:linePitch="312" w:charSpace="0"/>
        </w:sectPr>
      </w:pPr>
    </w:p>
    <w:p>
      <w:pPr>
        <w:pStyle w:val="29"/>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jc w:val="center"/>
        <w:textAlignment w:val="auto"/>
        <w:outlineLvl w:val="0"/>
        <w:rPr>
          <w:rFonts w:hint="eastAsia" w:ascii="Times New Roman" w:hAnsi="Times New Roman" w:cs="Times New Roman"/>
          <w:b/>
          <w:sz w:val="36"/>
          <w:szCs w:val="36"/>
          <w:highlight w:val="none"/>
        </w:rPr>
      </w:pPr>
      <w:bookmarkStart w:id="3" w:name="_Toc254970630"/>
      <w:bookmarkStart w:id="4" w:name="_Toc254970489"/>
      <w:bookmarkStart w:id="5" w:name="_Toc2923"/>
      <w:bookmarkStart w:id="6" w:name="OLE_LINK2"/>
      <w:r>
        <w:rPr>
          <w:rFonts w:hint="eastAsia" w:ascii="Times New Roman" w:hAnsi="Times New Roman" w:cs="Times New Roman"/>
          <w:b/>
          <w:sz w:val="36"/>
          <w:szCs w:val="36"/>
          <w:highlight w:val="none"/>
        </w:rPr>
        <w:t>第一章  招标公告</w:t>
      </w:r>
    </w:p>
    <w:p>
      <w:pPr>
        <w:pBdr>
          <w:top w:val="single" w:color="auto" w:sz="4" w:space="1"/>
          <w:left w:val="single" w:color="auto" w:sz="4" w:space="4"/>
          <w:bottom w:val="single" w:color="auto" w:sz="4" w:space="1"/>
          <w:right w:val="single" w:color="auto" w:sz="4" w:space="4"/>
        </w:pBdr>
        <w:spacing w:line="360" w:lineRule="auto"/>
        <w:rPr>
          <w:rFonts w:ascii="宋体" w:hAnsi="宋体"/>
          <w:szCs w:val="21"/>
          <w:highlight w:val="none"/>
        </w:rPr>
      </w:pPr>
      <w:r>
        <w:rPr>
          <w:rFonts w:hint="eastAsia" w:ascii="宋体" w:hAnsi="宋体"/>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highlight w:val="none"/>
        </w:rPr>
      </w:pPr>
      <w:r>
        <w:rPr>
          <w:rFonts w:hint="eastAsia" w:ascii="宋体" w:hAnsi="宋体"/>
          <w:szCs w:val="21"/>
          <w:highlight w:val="none"/>
          <w:u w:val="single"/>
          <w:lang w:eastAsia="zh-CN"/>
        </w:rPr>
        <w:t>2025年广西无线电管理普通环境监测网覆盖完善和能力提升项目（二）（重）</w:t>
      </w:r>
      <w:r>
        <w:rPr>
          <w:rFonts w:hint="eastAsia" w:ascii="宋体" w:hAnsi="宋体"/>
          <w:szCs w:val="21"/>
          <w:highlight w:val="none"/>
        </w:rPr>
        <w:t>招标项目的潜在投标人应在</w:t>
      </w:r>
      <w:r>
        <w:rPr>
          <w:rFonts w:hint="eastAsia" w:ascii="宋体" w:hAnsi="宋体"/>
          <w:szCs w:val="21"/>
          <w:highlight w:val="none"/>
          <w:u w:val="single"/>
        </w:rPr>
        <w:t>广西政府采购云平台（https://www.gcy.zfcg.gxzf.gov.cn/）</w:t>
      </w:r>
      <w:r>
        <w:rPr>
          <w:rFonts w:hint="eastAsia" w:ascii="宋体" w:hAnsi="宋体"/>
          <w:szCs w:val="21"/>
          <w:highlight w:val="none"/>
        </w:rPr>
        <w:t>获取招标文件，并于</w:t>
      </w:r>
      <w:r>
        <w:rPr>
          <w:rFonts w:hint="eastAsia" w:ascii="宋体" w:hAnsi="宋体"/>
          <w:szCs w:val="21"/>
          <w:highlight w:val="none"/>
          <w:u w:val="single"/>
        </w:rPr>
        <w:t>202</w:t>
      </w:r>
      <w:r>
        <w:rPr>
          <w:rFonts w:hint="eastAsia" w:ascii="宋体" w:hAnsi="宋体"/>
          <w:szCs w:val="21"/>
          <w:highlight w:val="none"/>
          <w:u w:val="single"/>
          <w:lang w:val="en-US" w:eastAsia="zh-CN"/>
        </w:rPr>
        <w:t>5</w:t>
      </w:r>
      <w:r>
        <w:rPr>
          <w:rFonts w:hint="eastAsia" w:ascii="宋体" w:hAnsi="宋体"/>
          <w:szCs w:val="21"/>
          <w:highlight w:val="none"/>
          <w:u w:val="single"/>
        </w:rPr>
        <w:t>年</w:t>
      </w:r>
      <w:r>
        <w:rPr>
          <w:rFonts w:hint="eastAsia" w:ascii="宋体" w:hAnsi="宋体"/>
          <w:szCs w:val="21"/>
          <w:highlight w:val="none"/>
          <w:u w:val="single"/>
          <w:lang w:val="en-US" w:eastAsia="zh-CN"/>
        </w:rPr>
        <w:t>6</w:t>
      </w:r>
      <w:r>
        <w:rPr>
          <w:rFonts w:hint="eastAsia" w:ascii="宋体" w:hAnsi="宋体"/>
          <w:szCs w:val="21"/>
          <w:highlight w:val="none"/>
          <w:u w:val="single"/>
        </w:rPr>
        <w:t>月</w:t>
      </w:r>
      <w:r>
        <w:rPr>
          <w:rFonts w:hint="eastAsia" w:ascii="宋体" w:hAnsi="宋体"/>
          <w:szCs w:val="21"/>
          <w:highlight w:val="none"/>
          <w:u w:val="single"/>
          <w:lang w:val="en-US" w:eastAsia="zh-CN"/>
        </w:rPr>
        <w:t>11</w:t>
      </w:r>
      <w:r>
        <w:rPr>
          <w:rFonts w:hint="eastAsia" w:ascii="宋体" w:hAnsi="宋体"/>
          <w:szCs w:val="21"/>
          <w:highlight w:val="none"/>
          <w:u w:val="single"/>
        </w:rPr>
        <w:t>日</w:t>
      </w:r>
      <w:r>
        <w:rPr>
          <w:rFonts w:hint="eastAsia" w:ascii="宋体" w:hAnsi="宋体"/>
          <w:szCs w:val="21"/>
          <w:highlight w:val="none"/>
          <w:u w:val="single"/>
          <w:lang w:val="en-US" w:eastAsia="zh-CN"/>
        </w:rPr>
        <w:t>0</w:t>
      </w:r>
      <w:r>
        <w:rPr>
          <w:rFonts w:hint="eastAsia" w:ascii="宋体" w:hAnsi="宋体"/>
          <w:szCs w:val="21"/>
          <w:highlight w:val="none"/>
          <w:u w:val="single"/>
        </w:rPr>
        <w:t>9时3</w:t>
      </w:r>
      <w:r>
        <w:rPr>
          <w:rFonts w:ascii="宋体" w:hAnsi="宋体"/>
          <w:szCs w:val="21"/>
          <w:highlight w:val="none"/>
          <w:u w:val="single"/>
        </w:rPr>
        <w:t>0</w:t>
      </w:r>
      <w:r>
        <w:rPr>
          <w:rFonts w:hint="eastAsia" w:ascii="宋体" w:hAnsi="宋体"/>
          <w:szCs w:val="21"/>
          <w:highlight w:val="none"/>
          <w:u w:val="single"/>
        </w:rPr>
        <w:t>分</w:t>
      </w:r>
      <w:r>
        <w:rPr>
          <w:rFonts w:hint="eastAsia" w:ascii="宋体" w:hAnsi="宋体"/>
          <w:bCs/>
          <w:szCs w:val="21"/>
          <w:highlight w:val="none"/>
        </w:rPr>
        <w:t>（北京时间）前递交投标</w:t>
      </w:r>
      <w:r>
        <w:rPr>
          <w:rFonts w:ascii="宋体" w:hAnsi="宋体"/>
          <w:bCs/>
          <w:szCs w:val="21"/>
          <w:highlight w:val="none"/>
        </w:rPr>
        <w:t>文件</w:t>
      </w:r>
      <w:r>
        <w:rPr>
          <w:rFonts w:hint="eastAsia" w:ascii="宋体" w:hAnsi="宋体"/>
          <w:szCs w:val="21"/>
          <w:highlight w:val="none"/>
        </w:rPr>
        <w:t>。</w:t>
      </w:r>
    </w:p>
    <w:p>
      <w:pPr>
        <w:spacing w:line="360" w:lineRule="auto"/>
        <w:outlineLvl w:val="1"/>
        <w:rPr>
          <w:rFonts w:hint="eastAsia" w:ascii="黑体" w:hAnsi="黑体" w:eastAsia="黑体"/>
          <w:b/>
          <w:bCs/>
          <w:sz w:val="24"/>
          <w:highlight w:val="none"/>
        </w:rPr>
      </w:pPr>
      <w:bookmarkStart w:id="7" w:name="_Toc28359002"/>
      <w:bookmarkStart w:id="8" w:name="_Toc35393790"/>
      <w:bookmarkStart w:id="9" w:name="_Toc28359079"/>
      <w:bookmarkStart w:id="10" w:name="_Toc35393621"/>
      <w:bookmarkStart w:id="11" w:name="_Hlk24379207"/>
      <w:r>
        <w:rPr>
          <w:rFonts w:hint="eastAsia" w:ascii="黑体" w:hAnsi="黑体" w:eastAsia="黑体"/>
          <w:b/>
          <w:bCs/>
          <w:sz w:val="24"/>
          <w:highlight w:val="none"/>
        </w:rPr>
        <w:t>一、项目基本情</w:t>
      </w:r>
      <w:bookmarkEnd w:id="7"/>
      <w:bookmarkEnd w:id="8"/>
      <w:bookmarkEnd w:id="9"/>
      <w:bookmarkEnd w:id="10"/>
      <w:r>
        <w:rPr>
          <w:rFonts w:hint="eastAsia" w:ascii="黑体" w:hAnsi="黑体" w:eastAsia="黑体"/>
          <w:b/>
          <w:bCs/>
          <w:sz w:val="24"/>
          <w:highlight w:val="none"/>
        </w:rPr>
        <w:t>况</w:t>
      </w:r>
    </w:p>
    <w:p>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项目编号：</w:t>
      </w:r>
      <w:r>
        <w:rPr>
          <w:rFonts w:hint="eastAsia" w:ascii="宋体" w:hAnsi="宋体"/>
          <w:szCs w:val="21"/>
          <w:highlight w:val="none"/>
          <w:lang w:eastAsia="zh-CN"/>
        </w:rPr>
        <w:t>GXZC2025-G1-001114-GXCT</w:t>
      </w:r>
    </w:p>
    <w:p>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项目名称：</w:t>
      </w:r>
      <w:r>
        <w:rPr>
          <w:rFonts w:hint="eastAsia" w:ascii="宋体" w:hAnsi="宋体"/>
          <w:szCs w:val="21"/>
          <w:highlight w:val="none"/>
          <w:lang w:eastAsia="zh-CN"/>
        </w:rPr>
        <w:t>2025年广西无线电管理普通环境监测网覆盖完善和能力提升项目（二）（重）</w:t>
      </w:r>
    </w:p>
    <w:bookmarkEnd w:id="11"/>
    <w:p>
      <w:pPr>
        <w:spacing w:line="360" w:lineRule="auto"/>
        <w:ind w:firstLine="420" w:firstLineChars="200"/>
        <w:rPr>
          <w:rFonts w:ascii="宋体" w:hAnsi="宋体"/>
          <w:szCs w:val="21"/>
          <w:highlight w:val="none"/>
        </w:rPr>
      </w:pPr>
      <w:r>
        <w:rPr>
          <w:rFonts w:hint="eastAsia" w:ascii="宋体" w:hAnsi="宋体"/>
          <w:szCs w:val="21"/>
          <w:highlight w:val="none"/>
        </w:rPr>
        <w:t>预算总金额（元）：</w:t>
      </w:r>
      <w:r>
        <w:rPr>
          <w:rFonts w:hint="eastAsia" w:ascii="宋体" w:hAnsi="宋体"/>
          <w:szCs w:val="21"/>
          <w:highlight w:val="none"/>
          <w:lang w:val="en-US" w:eastAsia="zh-CN"/>
        </w:rPr>
        <w:t>2320000</w:t>
      </w:r>
    </w:p>
    <w:p>
      <w:pPr>
        <w:spacing w:line="360" w:lineRule="auto"/>
        <w:ind w:firstLine="420" w:firstLineChars="200"/>
        <w:rPr>
          <w:rFonts w:ascii="宋体" w:hAnsi="宋体"/>
          <w:szCs w:val="21"/>
          <w:highlight w:val="none"/>
        </w:rPr>
      </w:pPr>
      <w:r>
        <w:rPr>
          <w:rFonts w:hint="eastAsia" w:ascii="宋体" w:hAnsi="宋体"/>
          <w:szCs w:val="21"/>
          <w:highlight w:val="none"/>
        </w:rPr>
        <w:t>采购需求：</w:t>
      </w:r>
    </w:p>
    <w:p>
      <w:pPr>
        <w:spacing w:line="360" w:lineRule="auto"/>
        <w:ind w:firstLine="420" w:firstLineChars="200"/>
        <w:rPr>
          <w:rFonts w:hint="eastAsia" w:ascii="宋体" w:hAnsi="宋体"/>
          <w:szCs w:val="21"/>
          <w:highlight w:val="none"/>
        </w:rPr>
      </w:pPr>
      <w:bookmarkStart w:id="215" w:name="_GoBack"/>
      <w:bookmarkEnd w:id="215"/>
      <w:r>
        <w:rPr>
          <w:rFonts w:hint="eastAsia" w:ascii="宋体" w:hAnsi="宋体"/>
          <w:szCs w:val="21"/>
          <w:highlight w:val="none"/>
        </w:rPr>
        <w:t>标项名称：</w:t>
      </w:r>
      <w:bookmarkStart w:id="12" w:name="OLE_LINK67"/>
      <w:r>
        <w:rPr>
          <w:rFonts w:hint="eastAsia" w:ascii="宋体" w:hAnsi="宋体"/>
          <w:szCs w:val="21"/>
          <w:highlight w:val="none"/>
          <w:lang w:val="en-US" w:eastAsia="zh-CN"/>
        </w:rPr>
        <w:t>D分标（</w:t>
      </w:r>
      <w:r>
        <w:rPr>
          <w:rFonts w:hint="eastAsia" w:ascii="宋体" w:hAnsi="宋体"/>
          <w:szCs w:val="21"/>
          <w:highlight w:val="none"/>
        </w:rPr>
        <w:t>FAST监测指挥系统</w:t>
      </w:r>
      <w:bookmarkEnd w:id="12"/>
      <w:r>
        <w:rPr>
          <w:rFonts w:hint="eastAsia" w:ascii="宋体" w:hAnsi="宋体"/>
          <w:szCs w:val="21"/>
          <w:highlight w:val="none"/>
          <w:lang w:val="en-US" w:eastAsia="zh-CN"/>
        </w:rPr>
        <w:t>）</w:t>
      </w:r>
    </w:p>
    <w:p>
      <w:pPr>
        <w:spacing w:line="36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数量：</w:t>
      </w:r>
      <w:r>
        <w:rPr>
          <w:rFonts w:hint="eastAsia" w:ascii="宋体" w:hAnsi="宋体"/>
          <w:szCs w:val="21"/>
          <w:highlight w:val="none"/>
          <w:lang w:val="en-US" w:eastAsia="zh-CN"/>
        </w:rPr>
        <w:t>1套</w:t>
      </w:r>
    </w:p>
    <w:p>
      <w:pPr>
        <w:spacing w:line="360" w:lineRule="auto"/>
        <w:ind w:firstLine="420" w:firstLineChars="200"/>
        <w:rPr>
          <w:rFonts w:ascii="宋体" w:hAnsi="宋体"/>
          <w:szCs w:val="21"/>
          <w:highlight w:val="none"/>
        </w:rPr>
      </w:pPr>
      <w:r>
        <w:rPr>
          <w:rFonts w:hint="eastAsia" w:ascii="宋体" w:hAnsi="宋体"/>
          <w:szCs w:val="21"/>
          <w:highlight w:val="none"/>
        </w:rPr>
        <w:t>预算金额（元）：</w:t>
      </w:r>
      <w:bookmarkStart w:id="13" w:name="OLE_LINK6"/>
      <w:r>
        <w:rPr>
          <w:rFonts w:hint="eastAsia" w:ascii="宋体" w:hAnsi="宋体"/>
          <w:szCs w:val="21"/>
          <w:highlight w:val="none"/>
        </w:rPr>
        <w:t>2320000</w:t>
      </w:r>
      <w:bookmarkEnd w:id="13"/>
    </w:p>
    <w:p>
      <w:pPr>
        <w:spacing w:line="360" w:lineRule="auto"/>
        <w:ind w:firstLine="420" w:firstLineChars="200"/>
        <w:rPr>
          <w:rFonts w:ascii="宋体" w:hAnsi="宋体"/>
          <w:szCs w:val="21"/>
          <w:highlight w:val="none"/>
        </w:rPr>
      </w:pPr>
      <w:r>
        <w:rPr>
          <w:rFonts w:hint="eastAsia" w:ascii="宋体" w:hAnsi="宋体"/>
          <w:szCs w:val="21"/>
          <w:highlight w:val="none"/>
        </w:rPr>
        <w:t>简要规格描述或项目基本概况介绍、用途：需采购FAST监测指挥系统</w:t>
      </w:r>
      <w:r>
        <w:rPr>
          <w:rFonts w:hint="eastAsia" w:ascii="宋体" w:hAnsi="宋体"/>
          <w:szCs w:val="21"/>
          <w:highlight w:val="none"/>
          <w:lang w:val="en-US" w:eastAsia="zh-CN"/>
        </w:rPr>
        <w:t>1套</w:t>
      </w:r>
      <w:r>
        <w:rPr>
          <w:rFonts w:hint="eastAsia" w:ascii="宋体" w:hAnsi="宋体"/>
          <w:szCs w:val="21"/>
          <w:highlight w:val="none"/>
        </w:rPr>
        <w:t>，具体详见招标文件</w:t>
      </w:r>
      <w:r>
        <w:rPr>
          <w:rFonts w:hint="eastAsia" w:ascii="宋体" w:hAnsi="宋体"/>
          <w:szCs w:val="21"/>
          <w:highlight w:val="none"/>
          <w:lang w:eastAsia="zh-CN"/>
        </w:rPr>
        <w:t>“</w:t>
      </w:r>
      <w:r>
        <w:rPr>
          <w:rFonts w:hint="eastAsia" w:ascii="宋体" w:hAnsi="宋体"/>
          <w:szCs w:val="21"/>
          <w:highlight w:val="none"/>
        </w:rPr>
        <w:t>第二章 采购需求</w:t>
      </w:r>
      <w:r>
        <w:rPr>
          <w:rFonts w:hint="eastAsia" w:ascii="宋体" w:hAnsi="宋体"/>
          <w:szCs w:val="21"/>
          <w:highlight w:val="none"/>
          <w:lang w:eastAsia="zh-CN"/>
        </w:rPr>
        <w:t>”</w:t>
      </w:r>
      <w:r>
        <w:rPr>
          <w:rFonts w:hint="eastAsia" w:ascii="宋体" w:hAnsi="宋体"/>
          <w:szCs w:val="21"/>
          <w:highlight w:val="none"/>
        </w:rPr>
        <w:t>。</w:t>
      </w:r>
    </w:p>
    <w:p>
      <w:pPr>
        <w:spacing w:line="360" w:lineRule="auto"/>
        <w:ind w:firstLine="420" w:firstLineChars="200"/>
        <w:rPr>
          <w:rFonts w:hint="eastAsia" w:ascii="宋体" w:hAnsi="宋体" w:eastAsia="宋体"/>
          <w:szCs w:val="21"/>
          <w:highlight w:val="none"/>
          <w:lang w:val="en-US" w:eastAsia="zh-CN"/>
        </w:rPr>
      </w:pPr>
      <w:r>
        <w:rPr>
          <w:rFonts w:hint="eastAsia" w:ascii="宋体" w:hAnsi="宋体"/>
          <w:szCs w:val="21"/>
          <w:highlight w:val="none"/>
        </w:rPr>
        <w:t>最高限价（元）：2320000</w:t>
      </w:r>
    </w:p>
    <w:p>
      <w:pPr>
        <w:spacing w:line="360" w:lineRule="auto"/>
        <w:ind w:firstLine="420" w:firstLineChars="200"/>
        <w:rPr>
          <w:rFonts w:ascii="宋体" w:hAnsi="宋体"/>
          <w:szCs w:val="21"/>
          <w:highlight w:val="none"/>
        </w:rPr>
      </w:pPr>
      <w:r>
        <w:rPr>
          <w:rFonts w:hint="eastAsia" w:ascii="宋体" w:hAnsi="宋体"/>
          <w:szCs w:val="21"/>
          <w:highlight w:val="none"/>
        </w:rPr>
        <w:t>合同履约期限：2025年8月20日前完成出厂验收，2025年10月10日前完成合同验收</w:t>
      </w:r>
      <w:r>
        <w:rPr>
          <w:rFonts w:hint="eastAsia" w:ascii="宋体" w:hAnsi="宋体"/>
          <w:szCs w:val="21"/>
          <w:highlight w:val="none"/>
          <w:lang w:eastAsia="zh-CN"/>
        </w:rPr>
        <w:t>，</w:t>
      </w:r>
      <w:r>
        <w:rPr>
          <w:rFonts w:hint="eastAsia" w:ascii="宋体" w:hAnsi="宋体"/>
          <w:szCs w:val="21"/>
          <w:highlight w:val="none"/>
        </w:rPr>
        <w:t>直至完成初步验收及竣工验收。</w:t>
      </w:r>
    </w:p>
    <w:p>
      <w:pPr>
        <w:spacing w:line="360" w:lineRule="auto"/>
        <w:ind w:firstLine="420" w:firstLineChars="200"/>
        <w:rPr>
          <w:rFonts w:ascii="宋体" w:hAnsi="宋体"/>
          <w:szCs w:val="21"/>
          <w:highlight w:val="none"/>
        </w:rPr>
      </w:pPr>
      <w:r>
        <w:rPr>
          <w:rFonts w:hint="eastAsia" w:ascii="宋体" w:hAnsi="宋体"/>
          <w:szCs w:val="21"/>
          <w:highlight w:val="none"/>
        </w:rPr>
        <w:t>本标项（否）接受联合体投标</w:t>
      </w:r>
    </w:p>
    <w:p>
      <w:pPr>
        <w:spacing w:line="360" w:lineRule="auto"/>
        <w:ind w:firstLine="420" w:firstLineChars="200"/>
        <w:rPr>
          <w:rFonts w:hint="eastAsia" w:ascii="宋体" w:hAnsi="宋体" w:eastAsia="宋体"/>
          <w:szCs w:val="21"/>
          <w:highlight w:val="none"/>
          <w:lang w:val="en-US" w:eastAsia="zh-CN"/>
        </w:rPr>
      </w:pPr>
      <w:r>
        <w:rPr>
          <w:rFonts w:hint="eastAsia" w:ascii="宋体" w:hAnsi="宋体"/>
          <w:szCs w:val="21"/>
          <w:highlight w:val="none"/>
        </w:rPr>
        <w:t>备注：</w:t>
      </w:r>
      <w:r>
        <w:rPr>
          <w:rFonts w:hint="eastAsia" w:ascii="宋体" w:hAnsi="宋体"/>
          <w:szCs w:val="21"/>
          <w:highlight w:val="none"/>
          <w:lang w:val="en-US" w:eastAsia="zh-CN"/>
        </w:rPr>
        <w:t>/</w:t>
      </w:r>
    </w:p>
    <w:p>
      <w:pPr>
        <w:spacing w:line="360" w:lineRule="auto"/>
        <w:ind w:firstLine="420" w:firstLineChars="200"/>
        <w:rPr>
          <w:rFonts w:hint="eastAsia" w:ascii="宋体" w:hAnsi="宋体"/>
          <w:szCs w:val="21"/>
          <w:highlight w:val="none"/>
          <w:lang w:val="en-US" w:eastAsia="zh-CN"/>
        </w:rPr>
      </w:pPr>
    </w:p>
    <w:p>
      <w:pPr>
        <w:spacing w:line="360" w:lineRule="auto"/>
        <w:outlineLvl w:val="1"/>
        <w:rPr>
          <w:rFonts w:ascii="黑体" w:hAnsi="黑体" w:eastAsia="黑体"/>
          <w:b/>
          <w:bCs/>
          <w:sz w:val="24"/>
          <w:highlight w:val="none"/>
        </w:rPr>
      </w:pPr>
      <w:bookmarkStart w:id="14" w:name="_Toc28359003"/>
      <w:bookmarkStart w:id="15" w:name="_Toc28359080"/>
      <w:bookmarkStart w:id="16" w:name="_Toc35393622"/>
      <w:bookmarkStart w:id="17" w:name="_Toc35393791"/>
      <w:r>
        <w:rPr>
          <w:rFonts w:hint="eastAsia" w:ascii="黑体" w:hAnsi="黑体" w:eastAsia="黑体"/>
          <w:b/>
          <w:bCs/>
          <w:sz w:val="24"/>
          <w:highlight w:val="none"/>
        </w:rPr>
        <w:t>二、</w:t>
      </w:r>
      <w:bookmarkEnd w:id="14"/>
      <w:bookmarkEnd w:id="15"/>
      <w:bookmarkEnd w:id="16"/>
      <w:bookmarkEnd w:id="17"/>
      <w:r>
        <w:rPr>
          <w:rFonts w:hint="eastAsia" w:ascii="黑体" w:hAnsi="黑体" w:eastAsia="黑体"/>
          <w:b/>
          <w:bCs/>
          <w:sz w:val="24"/>
          <w:highlight w:val="none"/>
        </w:rPr>
        <w:t>申请人的资格要求</w:t>
      </w:r>
    </w:p>
    <w:p>
      <w:pPr>
        <w:spacing w:line="360" w:lineRule="auto"/>
        <w:ind w:firstLine="420" w:firstLineChars="200"/>
        <w:rPr>
          <w:rFonts w:ascii="宋体" w:hAnsi="宋体"/>
          <w:szCs w:val="21"/>
          <w:highlight w:val="none"/>
        </w:rPr>
      </w:pPr>
      <w:bookmarkStart w:id="18" w:name="_Hlk51746371"/>
      <w:r>
        <w:rPr>
          <w:rFonts w:hint="eastAsia" w:ascii="宋体" w:hAnsi="宋体"/>
          <w:szCs w:val="21"/>
          <w:highlight w:val="none"/>
        </w:rPr>
        <w:t>1.满足《中华人民共和国政府采购法》第二十二条规定；</w:t>
      </w:r>
    </w:p>
    <w:p>
      <w:pPr>
        <w:spacing w:line="360" w:lineRule="auto"/>
        <w:ind w:firstLine="420" w:firstLineChars="200"/>
        <w:rPr>
          <w:rFonts w:hint="eastAsia" w:ascii="宋体" w:hAnsi="宋体" w:eastAsia="宋体"/>
          <w:szCs w:val="21"/>
          <w:highlight w:val="none"/>
          <w:lang w:eastAsia="zh-CN"/>
        </w:rPr>
      </w:pPr>
      <w:bookmarkStart w:id="19" w:name="OLE_LINK24"/>
      <w:bookmarkStart w:id="20" w:name="_Toc28359081"/>
      <w:bookmarkStart w:id="21" w:name="_Toc28359004"/>
      <w:r>
        <w:rPr>
          <w:rFonts w:ascii="宋体" w:hAnsi="宋体"/>
          <w:szCs w:val="21"/>
          <w:highlight w:val="none"/>
        </w:rPr>
        <w:t>2</w:t>
      </w:r>
      <w:r>
        <w:rPr>
          <w:rFonts w:hint="eastAsia" w:ascii="宋体" w:hAnsi="宋体"/>
          <w:szCs w:val="21"/>
          <w:highlight w:val="none"/>
        </w:rPr>
        <w:t>.</w:t>
      </w:r>
      <w:bookmarkStart w:id="22" w:name="OLE_LINK30"/>
      <w:r>
        <w:rPr>
          <w:rFonts w:hint="eastAsia" w:ascii="宋体" w:hAnsi="宋体"/>
          <w:szCs w:val="21"/>
          <w:highlight w:val="none"/>
        </w:rPr>
        <w:t>落实政府采购政策需满足的资格要求</w:t>
      </w:r>
      <w:bookmarkEnd w:id="22"/>
      <w:r>
        <w:rPr>
          <w:rFonts w:hint="eastAsia" w:ascii="宋体" w:hAnsi="宋体"/>
          <w:szCs w:val="21"/>
          <w:highlight w:val="none"/>
        </w:rPr>
        <w:t>：</w:t>
      </w:r>
      <w:bookmarkStart w:id="23" w:name="OLE_LINK23"/>
      <w:bookmarkStart w:id="24" w:name="OLE_LINK5"/>
      <w:bookmarkStart w:id="25" w:name="OLE_LINK72"/>
      <w:r>
        <w:rPr>
          <w:rFonts w:hint="eastAsia" w:ascii="宋体" w:hAnsi="宋体"/>
          <w:szCs w:val="21"/>
          <w:highlight w:val="none"/>
        </w:rPr>
        <w:t>本项目</w:t>
      </w:r>
      <w:bookmarkEnd w:id="23"/>
      <w:bookmarkEnd w:id="24"/>
      <w:r>
        <w:rPr>
          <w:rFonts w:hint="eastAsia" w:ascii="宋体" w:hAnsi="宋体"/>
          <w:szCs w:val="21"/>
          <w:highlight w:val="none"/>
          <w:lang w:val="en-US" w:eastAsia="zh-CN"/>
        </w:rPr>
        <w:t>D</w:t>
      </w:r>
      <w:r>
        <w:rPr>
          <w:rFonts w:hint="eastAsia" w:ascii="宋体" w:hAnsi="宋体"/>
          <w:szCs w:val="21"/>
          <w:highlight w:val="none"/>
        </w:rPr>
        <w:t>分标为专门面向</w:t>
      </w:r>
      <w:r>
        <w:rPr>
          <w:rFonts w:hint="eastAsia" w:ascii="宋体" w:hAnsi="宋体"/>
          <w:szCs w:val="21"/>
          <w:highlight w:val="none"/>
          <w:lang w:val="en-US" w:eastAsia="zh-CN"/>
        </w:rPr>
        <w:t>中小</w:t>
      </w:r>
      <w:r>
        <w:rPr>
          <w:rFonts w:hint="eastAsia" w:ascii="宋体" w:hAnsi="宋体"/>
          <w:szCs w:val="21"/>
          <w:highlight w:val="none"/>
        </w:rPr>
        <w:t>企业采购的项目，供应商应为</w:t>
      </w:r>
      <w:r>
        <w:rPr>
          <w:rFonts w:hint="eastAsia" w:ascii="宋体" w:hAnsi="宋体"/>
          <w:szCs w:val="21"/>
          <w:highlight w:val="none"/>
          <w:lang w:val="en-US" w:eastAsia="zh-CN"/>
        </w:rPr>
        <w:t>中</w:t>
      </w:r>
      <w:r>
        <w:rPr>
          <w:rFonts w:hint="eastAsia" w:ascii="宋体" w:hAnsi="宋体"/>
          <w:szCs w:val="21"/>
          <w:highlight w:val="none"/>
        </w:rPr>
        <w:t>小微企业或监狱企业或残疾人福利性单位</w:t>
      </w:r>
      <w:r>
        <w:rPr>
          <w:rFonts w:hint="eastAsia" w:ascii="宋体" w:hAnsi="宋体"/>
          <w:szCs w:val="21"/>
          <w:highlight w:val="none"/>
          <w:lang w:eastAsia="zh-CN"/>
        </w:rPr>
        <w:t>。</w:t>
      </w:r>
      <w:bookmarkEnd w:id="25"/>
    </w:p>
    <w:p>
      <w:pPr>
        <w:spacing w:line="360" w:lineRule="auto"/>
        <w:ind w:firstLine="420" w:firstLineChars="200"/>
        <w:rPr>
          <w:rFonts w:ascii="宋体" w:hAnsi="宋体"/>
          <w:szCs w:val="21"/>
          <w:highlight w:val="none"/>
          <w:u w:val="single"/>
        </w:rPr>
      </w:pPr>
      <w:r>
        <w:rPr>
          <w:rFonts w:hint="eastAsia" w:ascii="宋体" w:hAnsi="宋体"/>
          <w:szCs w:val="21"/>
          <w:highlight w:val="none"/>
        </w:rPr>
        <w:t>3.本项目的特定资格要求：</w:t>
      </w:r>
      <w:bookmarkEnd w:id="18"/>
    </w:p>
    <w:p>
      <w:pPr>
        <w:spacing w:line="360" w:lineRule="auto"/>
        <w:ind w:firstLine="420" w:firstLineChars="200"/>
        <w:rPr>
          <w:rFonts w:ascii="宋体" w:hAnsi="宋体"/>
          <w:szCs w:val="21"/>
          <w:highlight w:val="none"/>
          <w:u w:val="single"/>
        </w:rPr>
      </w:pPr>
      <w:r>
        <w:rPr>
          <w:rFonts w:hint="eastAsia" w:ascii="宋体" w:hAnsi="宋体"/>
          <w:szCs w:val="21"/>
          <w:highlight w:val="none"/>
        </w:rPr>
        <w:t>（1）单位负责人为同一人或者存在直接控股、管理关系的不同供应商，不得参加同一合同项下的政府采购活动。</w:t>
      </w:r>
      <w:r>
        <w:rPr>
          <w:rFonts w:hint="eastAsia"/>
          <w:highlight w:val="none"/>
        </w:rPr>
        <w:t>除单一来源采购项目外，为采购项目提供整体设计、规范编制或者项目管理、监理、检测等服务的供应商，不得再参加该采购项目的其他采购活动。</w:t>
      </w:r>
    </w:p>
    <w:p>
      <w:pPr>
        <w:spacing w:line="360" w:lineRule="auto"/>
        <w:ind w:firstLine="420" w:firstLineChars="200"/>
        <w:rPr>
          <w:rFonts w:ascii="宋体" w:hAnsi="宋体"/>
          <w:szCs w:val="21"/>
          <w:highlight w:val="none"/>
        </w:rPr>
      </w:pPr>
      <w:r>
        <w:rPr>
          <w:rFonts w:hint="eastAsia" w:ascii="宋体" w:hAnsi="宋体"/>
          <w:szCs w:val="21"/>
          <w:highlight w:val="none"/>
        </w:rPr>
        <w:t>（2）</w:t>
      </w:r>
      <w:bookmarkStart w:id="26" w:name="OLE_LINK29"/>
      <w:r>
        <w:rPr>
          <w:rFonts w:hint="eastAsia" w:ascii="宋体" w:hAnsi="宋体"/>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bookmarkEnd w:id="26"/>
    </w:p>
    <w:bookmarkEnd w:id="19"/>
    <w:p>
      <w:pPr>
        <w:spacing w:line="360" w:lineRule="auto"/>
        <w:outlineLvl w:val="1"/>
        <w:rPr>
          <w:rFonts w:hint="eastAsia" w:ascii="黑体" w:hAnsi="黑体" w:eastAsia="黑体"/>
          <w:b/>
          <w:bCs/>
          <w:sz w:val="24"/>
          <w:highlight w:val="none"/>
        </w:rPr>
      </w:pPr>
      <w:bookmarkStart w:id="27" w:name="_Toc35393792"/>
      <w:bookmarkStart w:id="28" w:name="_Toc35393623"/>
      <w:r>
        <w:rPr>
          <w:rFonts w:hint="eastAsia" w:ascii="黑体" w:hAnsi="黑体" w:eastAsia="黑体"/>
          <w:b/>
          <w:bCs/>
          <w:sz w:val="24"/>
          <w:highlight w:val="none"/>
        </w:rPr>
        <w:t>三、获取</w:t>
      </w:r>
      <w:r>
        <w:rPr>
          <w:rFonts w:hint="eastAsia" w:ascii="黑体" w:hAnsi="黑体" w:eastAsia="黑体"/>
          <w:b/>
          <w:bCs/>
          <w:sz w:val="24"/>
          <w:highlight w:val="none"/>
          <w:lang w:val="en-US" w:eastAsia="zh-CN"/>
        </w:rPr>
        <w:t>招标</w:t>
      </w:r>
      <w:r>
        <w:rPr>
          <w:rFonts w:hint="eastAsia" w:ascii="黑体" w:hAnsi="黑体" w:eastAsia="黑体"/>
          <w:b/>
          <w:bCs/>
          <w:sz w:val="24"/>
          <w:highlight w:val="none"/>
        </w:rPr>
        <w:t>文件</w:t>
      </w:r>
      <w:bookmarkEnd w:id="20"/>
      <w:bookmarkEnd w:id="21"/>
      <w:bookmarkEnd w:id="27"/>
      <w:bookmarkEnd w:id="28"/>
    </w:p>
    <w:p>
      <w:pPr>
        <w:spacing w:line="360" w:lineRule="auto"/>
        <w:ind w:firstLine="540"/>
        <w:rPr>
          <w:rFonts w:ascii="宋体" w:hAnsi="宋体" w:cs="宋体"/>
          <w:bCs/>
          <w:kern w:val="0"/>
          <w:szCs w:val="21"/>
          <w:highlight w:val="none"/>
        </w:rPr>
      </w:pPr>
      <w:r>
        <w:rPr>
          <w:rFonts w:hint="eastAsia" w:ascii="宋体" w:hAnsi="宋体" w:cs="宋体"/>
          <w:bCs/>
          <w:kern w:val="0"/>
          <w:szCs w:val="21"/>
          <w:highlight w:val="none"/>
        </w:rPr>
        <w:t>时间：</w:t>
      </w:r>
      <w:r>
        <w:rPr>
          <w:rFonts w:hint="eastAsia" w:ascii="宋体" w:hAnsi="宋体" w:cs="宋体"/>
          <w:bCs/>
          <w:kern w:val="0"/>
          <w:szCs w:val="21"/>
          <w:highlight w:val="none"/>
          <w:u w:val="single"/>
        </w:rPr>
        <w:t>202</w:t>
      </w:r>
      <w:r>
        <w:rPr>
          <w:rFonts w:hint="eastAsia" w:ascii="宋体" w:hAnsi="宋体" w:cs="宋体"/>
          <w:bCs/>
          <w:kern w:val="0"/>
          <w:szCs w:val="21"/>
          <w:highlight w:val="none"/>
          <w:u w:val="single"/>
          <w:lang w:val="en-US" w:eastAsia="zh-CN"/>
        </w:rPr>
        <w:t>5</w:t>
      </w:r>
      <w:r>
        <w:rPr>
          <w:rFonts w:hint="eastAsia" w:ascii="宋体" w:hAnsi="宋体" w:cs="宋体"/>
          <w:bCs/>
          <w:kern w:val="0"/>
          <w:szCs w:val="21"/>
          <w:highlight w:val="none"/>
          <w:u w:val="single"/>
        </w:rPr>
        <w:t>年</w:t>
      </w:r>
      <w:r>
        <w:rPr>
          <w:rFonts w:hint="eastAsia" w:ascii="宋体" w:hAnsi="宋体" w:cs="宋体"/>
          <w:bCs/>
          <w:kern w:val="0"/>
          <w:szCs w:val="21"/>
          <w:highlight w:val="none"/>
          <w:u w:val="single"/>
          <w:lang w:val="en-US" w:eastAsia="zh-CN"/>
        </w:rPr>
        <w:t>5</w:t>
      </w:r>
      <w:r>
        <w:rPr>
          <w:rFonts w:hint="eastAsia" w:ascii="宋体" w:hAnsi="宋体" w:cs="宋体"/>
          <w:bCs/>
          <w:kern w:val="0"/>
          <w:szCs w:val="21"/>
          <w:highlight w:val="none"/>
          <w:u w:val="single"/>
        </w:rPr>
        <w:t>月</w:t>
      </w:r>
      <w:r>
        <w:rPr>
          <w:rFonts w:hint="eastAsia" w:ascii="宋体" w:hAnsi="宋体" w:cs="宋体"/>
          <w:bCs/>
          <w:kern w:val="0"/>
          <w:szCs w:val="21"/>
          <w:highlight w:val="none"/>
          <w:u w:val="single"/>
          <w:lang w:val="en-US" w:eastAsia="zh-CN"/>
        </w:rPr>
        <w:t>21</w:t>
      </w:r>
      <w:r>
        <w:rPr>
          <w:rFonts w:hint="eastAsia" w:ascii="宋体" w:hAnsi="宋体" w:cs="宋体"/>
          <w:bCs/>
          <w:kern w:val="0"/>
          <w:szCs w:val="21"/>
          <w:highlight w:val="none"/>
          <w:u w:val="single"/>
        </w:rPr>
        <w:t>日</w:t>
      </w:r>
      <w:r>
        <w:rPr>
          <w:rFonts w:hint="eastAsia" w:ascii="宋体" w:hAnsi="宋体" w:cs="宋体"/>
          <w:bCs/>
          <w:kern w:val="0"/>
          <w:szCs w:val="21"/>
          <w:highlight w:val="none"/>
        </w:rPr>
        <w:t>至</w:t>
      </w:r>
      <w:r>
        <w:rPr>
          <w:rFonts w:hint="eastAsia" w:ascii="宋体" w:hAnsi="宋体" w:cs="宋体"/>
          <w:bCs/>
          <w:kern w:val="0"/>
          <w:szCs w:val="21"/>
          <w:highlight w:val="none"/>
          <w:u w:val="single"/>
        </w:rPr>
        <w:t>202</w:t>
      </w:r>
      <w:r>
        <w:rPr>
          <w:rFonts w:hint="eastAsia" w:ascii="宋体" w:hAnsi="宋体" w:cs="宋体"/>
          <w:bCs/>
          <w:kern w:val="0"/>
          <w:szCs w:val="21"/>
          <w:highlight w:val="none"/>
          <w:u w:val="single"/>
          <w:lang w:val="en-US" w:eastAsia="zh-CN"/>
        </w:rPr>
        <w:t>5</w:t>
      </w:r>
      <w:r>
        <w:rPr>
          <w:rFonts w:hint="eastAsia" w:ascii="宋体" w:hAnsi="宋体" w:cs="宋体"/>
          <w:bCs/>
          <w:kern w:val="0"/>
          <w:szCs w:val="21"/>
          <w:highlight w:val="none"/>
          <w:u w:val="single"/>
        </w:rPr>
        <w:t>年</w:t>
      </w:r>
      <w:r>
        <w:rPr>
          <w:rFonts w:hint="eastAsia" w:ascii="宋体" w:hAnsi="宋体" w:cs="宋体"/>
          <w:bCs/>
          <w:kern w:val="0"/>
          <w:szCs w:val="21"/>
          <w:highlight w:val="none"/>
          <w:u w:val="single"/>
          <w:lang w:val="en-US" w:eastAsia="zh-CN"/>
        </w:rPr>
        <w:t>5</w:t>
      </w:r>
      <w:r>
        <w:rPr>
          <w:rFonts w:hint="eastAsia" w:ascii="宋体" w:hAnsi="宋体" w:cs="宋体"/>
          <w:bCs/>
          <w:kern w:val="0"/>
          <w:szCs w:val="21"/>
          <w:highlight w:val="none"/>
          <w:u w:val="single"/>
        </w:rPr>
        <w:t>月</w:t>
      </w:r>
      <w:r>
        <w:rPr>
          <w:rFonts w:hint="eastAsia" w:ascii="宋体" w:hAnsi="宋体" w:cs="宋体"/>
          <w:bCs/>
          <w:kern w:val="0"/>
          <w:szCs w:val="21"/>
          <w:highlight w:val="none"/>
          <w:u w:val="single"/>
          <w:lang w:val="en-US" w:eastAsia="zh-CN"/>
        </w:rPr>
        <w:t>28</w:t>
      </w:r>
      <w:r>
        <w:rPr>
          <w:rFonts w:hint="eastAsia" w:ascii="宋体" w:hAnsi="宋体" w:cs="宋体"/>
          <w:bCs/>
          <w:kern w:val="0"/>
          <w:szCs w:val="21"/>
          <w:highlight w:val="none"/>
          <w:u w:val="single"/>
        </w:rPr>
        <w:t>日</w:t>
      </w:r>
      <w:r>
        <w:rPr>
          <w:rFonts w:hint="eastAsia" w:ascii="宋体" w:hAnsi="宋体" w:cs="宋体"/>
          <w:bCs/>
          <w:kern w:val="0"/>
          <w:szCs w:val="21"/>
          <w:highlight w:val="none"/>
        </w:rPr>
        <w:t>，每天上午00:00至12:00 ，下午12:00至23:59（北京时间，法定节假日除外）</w:t>
      </w:r>
    </w:p>
    <w:p>
      <w:pPr>
        <w:spacing w:line="360" w:lineRule="auto"/>
        <w:ind w:firstLine="540"/>
        <w:rPr>
          <w:rFonts w:ascii="宋体" w:hAnsi="宋体" w:cs="宋体"/>
          <w:bCs/>
          <w:kern w:val="0"/>
          <w:szCs w:val="21"/>
          <w:highlight w:val="none"/>
        </w:rPr>
      </w:pPr>
      <w:r>
        <w:rPr>
          <w:rFonts w:hint="eastAsia" w:ascii="宋体" w:hAnsi="宋体" w:cs="宋体"/>
          <w:bCs/>
          <w:kern w:val="0"/>
          <w:szCs w:val="21"/>
          <w:highlight w:val="none"/>
        </w:rPr>
        <w:t>地点：广西政府采购云平台（https://www.gcy.zfcg.gxzf.gov.cn/）</w:t>
      </w:r>
    </w:p>
    <w:p>
      <w:pPr>
        <w:spacing w:line="360" w:lineRule="auto"/>
        <w:ind w:firstLine="540"/>
        <w:rPr>
          <w:rFonts w:ascii="宋体" w:hAnsi="宋体" w:cs="宋体"/>
          <w:bCs/>
          <w:kern w:val="0"/>
          <w:szCs w:val="21"/>
          <w:highlight w:val="none"/>
        </w:rPr>
      </w:pPr>
      <w:r>
        <w:rPr>
          <w:rFonts w:hint="eastAsia" w:ascii="宋体" w:hAnsi="宋体" w:cs="宋体"/>
          <w:bCs/>
          <w:kern w:val="0"/>
          <w:szCs w:val="21"/>
          <w:highlight w:val="none"/>
        </w:rPr>
        <w:t>方式：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pPr>
        <w:spacing w:line="360" w:lineRule="auto"/>
        <w:ind w:firstLine="540"/>
        <w:rPr>
          <w:rFonts w:ascii="宋体" w:hAnsi="宋体" w:cs="宋体"/>
          <w:szCs w:val="21"/>
          <w:highlight w:val="none"/>
        </w:rPr>
      </w:pPr>
      <w:r>
        <w:rPr>
          <w:rFonts w:hint="eastAsia" w:ascii="宋体" w:hAnsi="宋体" w:cs="宋体"/>
          <w:bCs/>
          <w:kern w:val="0"/>
          <w:szCs w:val="21"/>
          <w:highlight w:val="none"/>
        </w:rPr>
        <w:t>售价（元）：0</w:t>
      </w:r>
    </w:p>
    <w:p>
      <w:pPr>
        <w:spacing w:line="360" w:lineRule="auto"/>
        <w:outlineLvl w:val="1"/>
        <w:rPr>
          <w:rFonts w:hint="eastAsia" w:ascii="黑体" w:hAnsi="黑体" w:eastAsia="黑体"/>
          <w:b/>
          <w:bCs/>
          <w:sz w:val="24"/>
          <w:highlight w:val="none"/>
        </w:rPr>
      </w:pPr>
      <w:bookmarkStart w:id="29" w:name="_Toc28359082"/>
      <w:bookmarkStart w:id="30" w:name="_Toc28359005"/>
      <w:bookmarkStart w:id="31" w:name="_Toc35393624"/>
      <w:bookmarkStart w:id="32" w:name="_Toc35393793"/>
      <w:r>
        <w:rPr>
          <w:rFonts w:hint="eastAsia" w:ascii="黑体" w:hAnsi="黑体" w:eastAsia="黑体"/>
          <w:b/>
          <w:bCs/>
          <w:sz w:val="24"/>
          <w:highlight w:val="none"/>
        </w:rPr>
        <w:t>四、提交投标文件</w:t>
      </w:r>
      <w:bookmarkEnd w:id="29"/>
      <w:bookmarkEnd w:id="30"/>
      <w:r>
        <w:rPr>
          <w:rFonts w:hint="eastAsia" w:ascii="黑体" w:hAnsi="黑体" w:eastAsia="黑体"/>
          <w:b/>
          <w:bCs/>
          <w:sz w:val="24"/>
          <w:highlight w:val="none"/>
        </w:rPr>
        <w:t>截止时间、开标时间和地点</w:t>
      </w:r>
      <w:bookmarkEnd w:id="31"/>
      <w:bookmarkEnd w:id="32"/>
    </w:p>
    <w:p>
      <w:pPr>
        <w:spacing w:line="360" w:lineRule="auto"/>
        <w:ind w:firstLine="420" w:firstLineChars="200"/>
        <w:rPr>
          <w:rFonts w:ascii="宋体" w:hAnsi="宋体" w:cs="宋体"/>
          <w:szCs w:val="21"/>
          <w:highlight w:val="none"/>
        </w:rPr>
      </w:pPr>
      <w:bookmarkStart w:id="33" w:name="_Toc28359084"/>
      <w:bookmarkStart w:id="34" w:name="_Toc28359007"/>
      <w:bookmarkStart w:id="35" w:name="_Toc35393625"/>
      <w:bookmarkStart w:id="36" w:name="_Toc35393794"/>
      <w:r>
        <w:rPr>
          <w:rFonts w:hint="eastAsia" w:ascii="宋体" w:hAnsi="宋体"/>
          <w:bCs/>
          <w:szCs w:val="21"/>
          <w:highlight w:val="none"/>
        </w:rPr>
        <w:t>提交投标文件截止时间：</w:t>
      </w:r>
      <w:bookmarkStart w:id="37" w:name="_Hlk85632302"/>
      <w:r>
        <w:rPr>
          <w:rFonts w:hint="eastAsia" w:ascii="宋体" w:hAnsi="宋体"/>
          <w:bCs/>
          <w:szCs w:val="21"/>
          <w:highlight w:val="none"/>
        </w:rPr>
        <w:t>202</w:t>
      </w:r>
      <w:r>
        <w:rPr>
          <w:rFonts w:hint="eastAsia" w:ascii="宋体" w:hAnsi="宋体"/>
          <w:bCs/>
          <w:szCs w:val="21"/>
          <w:highlight w:val="none"/>
          <w:lang w:val="en-US" w:eastAsia="zh-CN"/>
        </w:rPr>
        <w:t>5</w:t>
      </w:r>
      <w:r>
        <w:rPr>
          <w:rFonts w:hint="eastAsia" w:ascii="宋体" w:hAnsi="宋体"/>
          <w:bCs/>
          <w:szCs w:val="21"/>
          <w:highlight w:val="none"/>
        </w:rPr>
        <w:t>年</w:t>
      </w:r>
      <w:r>
        <w:rPr>
          <w:rFonts w:hint="eastAsia" w:ascii="宋体" w:hAnsi="宋体"/>
          <w:szCs w:val="21"/>
          <w:highlight w:val="none"/>
          <w:lang w:val="en-US" w:eastAsia="zh-CN"/>
        </w:rPr>
        <w:t>6</w:t>
      </w:r>
      <w:r>
        <w:rPr>
          <w:rFonts w:hint="eastAsia" w:ascii="宋体" w:hAnsi="宋体"/>
          <w:bCs/>
          <w:szCs w:val="21"/>
          <w:highlight w:val="none"/>
        </w:rPr>
        <w:t>月</w:t>
      </w:r>
      <w:r>
        <w:rPr>
          <w:rFonts w:hint="eastAsia" w:ascii="宋体" w:hAnsi="宋体"/>
          <w:szCs w:val="21"/>
          <w:highlight w:val="none"/>
          <w:lang w:val="en-US" w:eastAsia="zh-CN"/>
        </w:rPr>
        <w:t>11</w:t>
      </w:r>
      <w:r>
        <w:rPr>
          <w:rFonts w:hint="eastAsia" w:ascii="宋体" w:hAnsi="宋体"/>
          <w:bCs/>
          <w:szCs w:val="21"/>
          <w:highlight w:val="none"/>
        </w:rPr>
        <w:t>日</w:t>
      </w:r>
      <w:r>
        <w:rPr>
          <w:rFonts w:hint="eastAsia" w:ascii="宋体" w:hAnsi="宋体"/>
          <w:bCs/>
          <w:szCs w:val="21"/>
          <w:highlight w:val="none"/>
          <w:lang w:val="en-US" w:eastAsia="zh-CN"/>
        </w:rPr>
        <w:t>0</w:t>
      </w:r>
      <w:r>
        <w:rPr>
          <w:rFonts w:hint="eastAsia" w:ascii="宋体" w:hAnsi="宋体"/>
          <w:bCs/>
          <w:szCs w:val="21"/>
          <w:highlight w:val="none"/>
        </w:rPr>
        <w:t>9时30分</w:t>
      </w:r>
      <w:bookmarkEnd w:id="37"/>
      <w:r>
        <w:rPr>
          <w:rFonts w:hint="eastAsia" w:ascii="宋体" w:hAnsi="宋体"/>
          <w:bCs/>
          <w:szCs w:val="21"/>
          <w:highlight w:val="none"/>
        </w:rPr>
        <w:t>（北京时间）</w:t>
      </w:r>
    </w:p>
    <w:p>
      <w:pPr>
        <w:spacing w:line="360" w:lineRule="auto"/>
        <w:ind w:firstLine="420" w:firstLineChars="200"/>
        <w:rPr>
          <w:rFonts w:ascii="宋体" w:hAnsi="宋体"/>
          <w:szCs w:val="21"/>
          <w:highlight w:val="none"/>
        </w:rPr>
      </w:pPr>
      <w:r>
        <w:rPr>
          <w:rFonts w:hint="eastAsia" w:ascii="宋体" w:hAnsi="宋体" w:cs="宋体"/>
          <w:szCs w:val="21"/>
          <w:highlight w:val="none"/>
        </w:rPr>
        <w:t>投标</w:t>
      </w:r>
      <w:r>
        <w:rPr>
          <w:rFonts w:hint="eastAsia" w:ascii="宋体" w:hAnsi="宋体"/>
          <w:szCs w:val="21"/>
          <w:highlight w:val="none"/>
        </w:rPr>
        <w:t>地点（网址）：本项目为全流程电子化政府采购项目，没有现场递交投标文件及现场开标环节，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p>
    <w:p>
      <w:pPr>
        <w:spacing w:line="360" w:lineRule="auto"/>
        <w:ind w:firstLine="420" w:firstLineChars="200"/>
        <w:rPr>
          <w:rFonts w:ascii="宋体" w:hAnsi="宋体"/>
          <w:szCs w:val="21"/>
          <w:highlight w:val="none"/>
        </w:rPr>
      </w:pPr>
      <w:r>
        <w:rPr>
          <w:rFonts w:hint="eastAsia" w:ascii="宋体" w:hAnsi="宋体"/>
          <w:szCs w:val="21"/>
          <w:highlight w:val="none"/>
        </w:rPr>
        <w:t>开标时间：202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11</w:t>
      </w:r>
      <w:r>
        <w:rPr>
          <w:rFonts w:hint="eastAsia" w:ascii="宋体" w:hAnsi="宋体"/>
          <w:szCs w:val="21"/>
          <w:highlight w:val="none"/>
        </w:rPr>
        <w:t xml:space="preserve">日 </w:t>
      </w:r>
      <w:r>
        <w:rPr>
          <w:rFonts w:hint="eastAsia" w:ascii="宋体" w:hAnsi="宋体"/>
          <w:szCs w:val="21"/>
          <w:highlight w:val="none"/>
          <w:lang w:val="en-US" w:eastAsia="zh-CN"/>
        </w:rPr>
        <w:t>0</w:t>
      </w:r>
      <w:r>
        <w:rPr>
          <w:rFonts w:hint="eastAsia" w:ascii="宋体" w:hAnsi="宋体"/>
          <w:bCs/>
          <w:szCs w:val="21"/>
          <w:highlight w:val="none"/>
        </w:rPr>
        <w:t>9时30分（北京时间）</w:t>
      </w:r>
    </w:p>
    <w:p>
      <w:pPr>
        <w:spacing w:line="360" w:lineRule="auto"/>
        <w:ind w:firstLine="420" w:firstLineChars="200"/>
        <w:rPr>
          <w:rFonts w:ascii="宋体" w:hAnsi="宋体"/>
          <w:szCs w:val="21"/>
          <w:highlight w:val="none"/>
        </w:rPr>
      </w:pPr>
      <w:r>
        <w:rPr>
          <w:rFonts w:hint="eastAsia" w:ascii="宋体" w:hAnsi="宋体"/>
          <w:szCs w:val="21"/>
          <w:highlight w:val="none"/>
        </w:rPr>
        <w:t>开标地点：本项目将在广西政府采购云平台（https://www.gcy.zfcg.gxzf.gov.cn/）电子开标大厅解密、开标。</w:t>
      </w:r>
    </w:p>
    <w:p>
      <w:pPr>
        <w:spacing w:line="360" w:lineRule="auto"/>
        <w:outlineLvl w:val="1"/>
        <w:rPr>
          <w:rFonts w:hint="eastAsia" w:ascii="黑体" w:hAnsi="黑体" w:eastAsia="黑体"/>
          <w:b/>
          <w:bCs/>
          <w:sz w:val="24"/>
          <w:highlight w:val="none"/>
        </w:rPr>
      </w:pPr>
      <w:r>
        <w:rPr>
          <w:rFonts w:hint="eastAsia" w:ascii="黑体" w:hAnsi="黑体" w:eastAsia="黑体"/>
          <w:b/>
          <w:bCs/>
          <w:sz w:val="24"/>
          <w:highlight w:val="none"/>
        </w:rPr>
        <w:t>五、公告期限</w:t>
      </w:r>
      <w:bookmarkEnd w:id="33"/>
      <w:bookmarkEnd w:id="34"/>
      <w:bookmarkEnd w:id="35"/>
      <w:bookmarkEnd w:id="36"/>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自本公告发布之日起5个工作日。</w:t>
      </w:r>
    </w:p>
    <w:p>
      <w:pPr>
        <w:spacing w:line="360" w:lineRule="auto"/>
        <w:outlineLvl w:val="1"/>
        <w:rPr>
          <w:rFonts w:hint="eastAsia" w:ascii="黑体" w:hAnsi="黑体" w:eastAsia="黑体"/>
          <w:b/>
          <w:bCs/>
          <w:sz w:val="24"/>
          <w:highlight w:val="none"/>
        </w:rPr>
      </w:pPr>
      <w:bookmarkStart w:id="38" w:name="_Toc35393626"/>
      <w:bookmarkStart w:id="39" w:name="_Toc35393795"/>
      <w:r>
        <w:rPr>
          <w:rFonts w:hint="eastAsia" w:ascii="黑体" w:hAnsi="黑体" w:eastAsia="黑体"/>
          <w:b/>
          <w:bCs/>
          <w:sz w:val="24"/>
          <w:highlight w:val="none"/>
        </w:rPr>
        <w:t>六、其他补充事宜</w:t>
      </w:r>
      <w:bookmarkEnd w:id="38"/>
      <w:bookmarkEnd w:id="39"/>
    </w:p>
    <w:p>
      <w:pPr>
        <w:spacing w:line="360" w:lineRule="auto"/>
        <w:ind w:firstLine="420" w:firstLineChars="200"/>
        <w:rPr>
          <w:rFonts w:ascii="宋体" w:hAnsi="宋体"/>
          <w:szCs w:val="21"/>
          <w:highlight w:val="none"/>
        </w:rPr>
      </w:pPr>
      <w:bookmarkStart w:id="40" w:name="OLE_LINK9"/>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投标保证金</w:t>
      </w:r>
    </w:p>
    <w:p>
      <w:pPr>
        <w:spacing w:line="360" w:lineRule="auto"/>
        <w:ind w:firstLine="420" w:firstLineChars="200"/>
        <w:rPr>
          <w:rFonts w:ascii="宋体" w:hAnsi="宋体" w:cs="宋体"/>
          <w:kern w:val="0"/>
          <w:szCs w:val="21"/>
          <w:highlight w:val="none"/>
        </w:rPr>
      </w:pPr>
      <w:r>
        <w:rPr>
          <w:rFonts w:hint="eastAsia" w:ascii="宋体" w:hAnsi="宋体"/>
          <w:szCs w:val="21"/>
          <w:highlight w:val="none"/>
        </w:rPr>
        <w:t>本项目</w:t>
      </w:r>
      <w:bookmarkStart w:id="41" w:name="OLE_LINK15"/>
      <w:r>
        <w:rPr>
          <w:rFonts w:hint="eastAsia" w:ascii="宋体" w:hAnsi="宋体"/>
          <w:szCs w:val="21"/>
          <w:highlight w:val="none"/>
          <w:lang w:val="en-US" w:eastAsia="zh-CN"/>
        </w:rPr>
        <w:t>不收取</w:t>
      </w:r>
      <w:r>
        <w:rPr>
          <w:rFonts w:hint="eastAsia" w:ascii="宋体" w:hAnsi="宋体"/>
          <w:szCs w:val="21"/>
          <w:highlight w:val="none"/>
        </w:rPr>
        <w:t>投标保证金</w:t>
      </w:r>
      <w:bookmarkEnd w:id="41"/>
      <w:r>
        <w:rPr>
          <w:rFonts w:hint="eastAsia" w:ascii="宋体" w:hAnsi="宋体" w:cs="宋体"/>
          <w:kern w:val="0"/>
          <w:szCs w:val="21"/>
          <w:highlight w:val="none"/>
        </w:rPr>
        <w:t>。</w:t>
      </w:r>
    </w:p>
    <w:p>
      <w:pPr>
        <w:spacing w:line="360" w:lineRule="auto"/>
        <w:ind w:firstLine="420" w:firstLineChars="200"/>
        <w:rPr>
          <w:rFonts w:ascii="宋体" w:hAnsi="宋体"/>
          <w:szCs w:val="21"/>
          <w:highlight w:val="none"/>
        </w:rPr>
      </w:pPr>
      <w:bookmarkStart w:id="42" w:name="_Hlk37429585"/>
      <w:r>
        <w:rPr>
          <w:rFonts w:hint="eastAsia" w:ascii="宋体" w:hAnsi="宋体"/>
          <w:szCs w:val="21"/>
          <w:highlight w:val="none"/>
        </w:rPr>
        <w:t>2</w:t>
      </w:r>
      <w:r>
        <w:rPr>
          <w:rFonts w:ascii="宋体" w:hAnsi="宋体"/>
          <w:szCs w:val="21"/>
          <w:highlight w:val="none"/>
        </w:rPr>
        <w:t>.</w:t>
      </w:r>
      <w:bookmarkStart w:id="43" w:name="_Hlk37429595"/>
      <w:r>
        <w:rPr>
          <w:rFonts w:hint="eastAsia" w:ascii="宋体" w:hAnsi="宋体"/>
          <w:szCs w:val="21"/>
          <w:highlight w:val="none"/>
        </w:rPr>
        <w:t>网上查询地址：</w:t>
      </w:r>
      <w:bookmarkEnd w:id="42"/>
      <w:r>
        <w:rPr>
          <w:rFonts w:hint="eastAsia" w:ascii="宋体" w:hAnsi="宋体" w:cs="宋体"/>
          <w:kern w:val="0"/>
          <w:szCs w:val="21"/>
          <w:highlight w:val="none"/>
        </w:rPr>
        <w:t>www.ccgp.gov.cn（中国政府采购网）、zfcg.gxzf.gov.cn（广西壮族自治区政府采购网）、gxggzy.gxzf.gov.cn（广西壮族自治区公共资源交易中心）。</w:t>
      </w:r>
    </w:p>
    <w:bookmarkEnd w:id="43"/>
    <w:p>
      <w:pPr>
        <w:spacing w:line="360" w:lineRule="auto"/>
        <w:ind w:firstLine="420" w:firstLineChars="200"/>
        <w:rPr>
          <w:rFonts w:ascii="宋体" w:hAnsi="宋体"/>
          <w:szCs w:val="21"/>
          <w:highlight w:val="none"/>
        </w:rPr>
      </w:pPr>
      <w:bookmarkStart w:id="44" w:name="_Hlk37429674"/>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本项目需要落实的政府采购政策</w:t>
      </w:r>
    </w:p>
    <w:p>
      <w:pPr>
        <w:pStyle w:val="205"/>
        <w:spacing w:line="360" w:lineRule="auto"/>
        <w:rPr>
          <w:rFonts w:ascii="宋体" w:hAnsi="宋体" w:cs="宋体"/>
          <w:kern w:val="0"/>
          <w:szCs w:val="21"/>
          <w:highlight w:val="none"/>
        </w:rPr>
      </w:pPr>
      <w:r>
        <w:rPr>
          <w:rFonts w:hint="eastAsia" w:ascii="宋体" w:hAnsi="宋体" w:cs="宋体"/>
          <w:kern w:val="0"/>
          <w:szCs w:val="21"/>
          <w:highlight w:val="none"/>
        </w:rPr>
        <w:t>（1）政府采购促进中小企业发展。</w:t>
      </w:r>
    </w:p>
    <w:p>
      <w:pPr>
        <w:pStyle w:val="205"/>
        <w:spacing w:line="360" w:lineRule="auto"/>
        <w:rPr>
          <w:rFonts w:ascii="宋体" w:hAnsi="宋体" w:cs="宋体"/>
          <w:kern w:val="0"/>
          <w:szCs w:val="21"/>
          <w:highlight w:val="none"/>
        </w:rPr>
      </w:pPr>
      <w:r>
        <w:rPr>
          <w:rFonts w:hint="eastAsia" w:ascii="宋体" w:hAnsi="宋体" w:cs="宋体"/>
          <w:kern w:val="0"/>
          <w:szCs w:val="21"/>
          <w:highlight w:val="none"/>
        </w:rPr>
        <w:t>（2）政府采购支持采用本国产品的政策。</w:t>
      </w:r>
    </w:p>
    <w:p>
      <w:pPr>
        <w:pStyle w:val="205"/>
        <w:spacing w:line="360" w:lineRule="auto"/>
        <w:rPr>
          <w:rFonts w:ascii="宋体" w:hAnsi="宋体" w:cs="宋体"/>
          <w:kern w:val="0"/>
          <w:szCs w:val="21"/>
          <w:highlight w:val="none"/>
        </w:rPr>
      </w:pPr>
      <w:r>
        <w:rPr>
          <w:rFonts w:hint="eastAsia" w:ascii="宋体" w:hAnsi="宋体" w:cs="宋体"/>
          <w:kern w:val="0"/>
          <w:szCs w:val="21"/>
          <w:highlight w:val="none"/>
        </w:rPr>
        <w:t>（3）强制采购节能产品；优先采购节能产品、环境标志产品。</w:t>
      </w:r>
    </w:p>
    <w:p>
      <w:pPr>
        <w:pStyle w:val="205"/>
        <w:spacing w:line="360" w:lineRule="auto"/>
        <w:rPr>
          <w:rFonts w:ascii="宋体" w:hAnsi="宋体" w:cs="宋体"/>
          <w:kern w:val="0"/>
          <w:szCs w:val="21"/>
          <w:highlight w:val="none"/>
        </w:rPr>
      </w:pPr>
      <w:r>
        <w:rPr>
          <w:rFonts w:hint="eastAsia" w:ascii="宋体" w:hAnsi="宋体" w:cs="宋体"/>
          <w:kern w:val="0"/>
          <w:szCs w:val="21"/>
          <w:highlight w:val="none"/>
        </w:rPr>
        <w:t>（4）政府采购促进残疾人就业政策。</w:t>
      </w:r>
    </w:p>
    <w:p>
      <w:pPr>
        <w:pStyle w:val="205"/>
        <w:spacing w:line="360" w:lineRule="auto"/>
        <w:rPr>
          <w:rFonts w:ascii="宋体" w:hAnsi="宋体" w:cs="宋体"/>
          <w:kern w:val="0"/>
          <w:szCs w:val="21"/>
          <w:highlight w:val="none"/>
        </w:rPr>
      </w:pPr>
      <w:r>
        <w:rPr>
          <w:rFonts w:hint="eastAsia" w:ascii="宋体" w:hAnsi="宋体" w:cs="宋体"/>
          <w:kern w:val="0"/>
          <w:szCs w:val="21"/>
          <w:highlight w:val="none"/>
        </w:rPr>
        <w:t>（5）政府采购支持监狱企业发展。</w:t>
      </w:r>
      <w:bookmarkEnd w:id="44"/>
    </w:p>
    <w:p>
      <w:pPr>
        <w:spacing w:line="360" w:lineRule="auto"/>
        <w:ind w:firstLine="420" w:firstLineChars="200"/>
        <w:rPr>
          <w:rFonts w:ascii="宋体" w:hAnsi="宋体"/>
          <w:szCs w:val="21"/>
          <w:highlight w:val="none"/>
        </w:rPr>
      </w:pPr>
      <w:r>
        <w:rPr>
          <w:rFonts w:hint="eastAsia" w:ascii="宋体" w:hAnsi="宋体"/>
          <w:szCs w:val="21"/>
          <w:highlight w:val="none"/>
        </w:rPr>
        <w:t>4.注意事项：</w:t>
      </w:r>
    </w:p>
    <w:p>
      <w:pPr>
        <w:spacing w:line="360" w:lineRule="auto"/>
        <w:ind w:firstLine="420" w:firstLineChars="200"/>
        <w:rPr>
          <w:rFonts w:ascii="宋体" w:hAnsi="宋体"/>
          <w:szCs w:val="21"/>
          <w:highlight w:val="none"/>
        </w:rPr>
      </w:pPr>
      <w:r>
        <w:rPr>
          <w:rFonts w:hint="eastAsia" w:ascii="宋体" w:hAnsi="宋体"/>
          <w:szCs w:val="21"/>
          <w:highlight w:val="none"/>
        </w:rPr>
        <w:t>（1）未进行网上注册并办理数字证书（CA认证）的供应商将无法参与本项目政府采购活动，潜在供应商应当在投标截止时间前，完成政采云平台上的CA数字证书办理及投标文件的提交。完成CA数字证书办理预计7日左右，建议各供应商抓紧时间办理。</w:t>
      </w:r>
    </w:p>
    <w:p>
      <w:pPr>
        <w:spacing w:line="360" w:lineRule="auto"/>
        <w:ind w:firstLine="420" w:firstLineChars="200"/>
        <w:rPr>
          <w:rFonts w:ascii="宋体" w:hAnsi="宋体"/>
          <w:szCs w:val="21"/>
          <w:highlight w:val="none"/>
        </w:rPr>
      </w:pPr>
      <w:r>
        <w:rPr>
          <w:rFonts w:hint="eastAsia" w:ascii="宋体" w:hAnsi="宋体"/>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pPr>
        <w:spacing w:line="360" w:lineRule="auto"/>
        <w:ind w:firstLine="420" w:firstLineChars="200"/>
        <w:rPr>
          <w:rFonts w:ascii="宋体" w:hAnsi="宋体"/>
          <w:szCs w:val="21"/>
          <w:highlight w:val="none"/>
        </w:rPr>
      </w:pPr>
      <w:r>
        <w:rPr>
          <w:rFonts w:hint="eastAsia" w:ascii="宋体" w:hAnsi="宋体"/>
          <w:szCs w:val="21"/>
          <w:highlight w:val="none"/>
        </w:rPr>
        <w:t>（3）CA证书在线解密：投标人投标时，需携带制作投标文件时用来加密的有效数字证书（CA认证）登录广西政府采购云平台电子开标大厅现场按规定时间对加密的投标文件进行解密。</w:t>
      </w:r>
    </w:p>
    <w:p>
      <w:pPr>
        <w:spacing w:line="360" w:lineRule="auto"/>
        <w:ind w:firstLine="420" w:firstLineChars="200"/>
        <w:rPr>
          <w:rFonts w:ascii="宋体" w:hAnsi="宋体"/>
          <w:szCs w:val="21"/>
          <w:highlight w:val="none"/>
        </w:rPr>
      </w:pPr>
      <w:r>
        <w:rPr>
          <w:rFonts w:hint="eastAsia" w:ascii="宋体" w:hAnsi="宋体"/>
          <w:szCs w:val="21"/>
          <w:highlight w:val="none"/>
        </w:rPr>
        <w:t>（4）若对项目采购电子交易系统操作有疑问，可登录广西政府采购云平台（https://www.gcy.zfcg.gxzf.gov.cn/），点击右侧咨询小采，获取采小蜜智能服务管家帮助，或拨打广西政府采购云平台服务热线95763获取热线服务帮助。</w:t>
      </w:r>
    </w:p>
    <w:p>
      <w:pPr>
        <w:spacing w:line="360" w:lineRule="auto"/>
        <w:ind w:firstLine="420" w:firstLineChars="200"/>
        <w:rPr>
          <w:rFonts w:ascii="宋体" w:hAnsi="宋体"/>
          <w:szCs w:val="21"/>
          <w:highlight w:val="none"/>
        </w:rPr>
      </w:pPr>
      <w:r>
        <w:rPr>
          <w:rFonts w:hint="eastAsia" w:ascii="宋体" w:hAnsi="宋体"/>
          <w:szCs w:val="21"/>
          <w:highlight w:val="none"/>
        </w:rPr>
        <w:t>5</w:t>
      </w:r>
      <w:r>
        <w:rPr>
          <w:rFonts w:ascii="宋体" w:hAnsi="宋体"/>
          <w:szCs w:val="21"/>
          <w:highlight w:val="none"/>
        </w:rPr>
        <w:t>.</w:t>
      </w:r>
      <w:r>
        <w:rPr>
          <w:rFonts w:hint="eastAsia" w:ascii="宋体" w:hAnsi="宋体"/>
          <w:szCs w:val="21"/>
          <w:highlight w:val="none"/>
        </w:rPr>
        <w:t>监督部门</w:t>
      </w:r>
    </w:p>
    <w:p>
      <w:pPr>
        <w:pStyle w:val="205"/>
        <w:spacing w:line="360" w:lineRule="auto"/>
        <w:rPr>
          <w:rFonts w:ascii="宋体" w:hAnsi="宋体" w:cs="宋体"/>
          <w:kern w:val="0"/>
          <w:szCs w:val="21"/>
          <w:highlight w:val="none"/>
        </w:rPr>
      </w:pPr>
      <w:r>
        <w:rPr>
          <w:rFonts w:hint="eastAsia" w:ascii="宋体" w:hAnsi="宋体" w:cs="宋体"/>
          <w:kern w:val="0"/>
          <w:szCs w:val="21"/>
          <w:highlight w:val="none"/>
        </w:rPr>
        <w:t>名    称：</w:t>
      </w:r>
      <w:r>
        <w:rPr>
          <w:rFonts w:hint="eastAsia" w:ascii="宋体" w:hAnsi="宋体" w:cs="宋体"/>
          <w:kern w:val="0"/>
          <w:szCs w:val="21"/>
          <w:highlight w:val="none"/>
          <w:u w:val="single"/>
        </w:rPr>
        <w:t>广西壮族自治区财政厅政府采购监督管理处</w:t>
      </w:r>
    </w:p>
    <w:p>
      <w:pPr>
        <w:pStyle w:val="205"/>
        <w:spacing w:line="360" w:lineRule="auto"/>
        <w:rPr>
          <w:rFonts w:ascii="宋体" w:hAnsi="宋体" w:cs="宋体"/>
          <w:kern w:val="0"/>
          <w:szCs w:val="21"/>
          <w:highlight w:val="none"/>
          <w:u w:val="single"/>
        </w:rPr>
      </w:pPr>
      <w:r>
        <w:rPr>
          <w:rFonts w:hint="eastAsia" w:ascii="宋体" w:hAnsi="宋体" w:cs="宋体"/>
          <w:kern w:val="0"/>
          <w:szCs w:val="21"/>
          <w:highlight w:val="none"/>
        </w:rPr>
        <w:t xml:space="preserve">电 </w:t>
      </w:r>
      <w:r>
        <w:rPr>
          <w:rFonts w:ascii="宋体" w:hAnsi="宋体" w:cs="宋体"/>
          <w:kern w:val="0"/>
          <w:szCs w:val="21"/>
          <w:highlight w:val="none"/>
        </w:rPr>
        <w:t xml:space="preserve">   </w:t>
      </w:r>
      <w:r>
        <w:rPr>
          <w:rFonts w:hint="eastAsia" w:ascii="宋体" w:hAnsi="宋体" w:cs="宋体"/>
          <w:kern w:val="0"/>
          <w:szCs w:val="21"/>
          <w:highlight w:val="none"/>
        </w:rPr>
        <w:t>话：</w:t>
      </w:r>
      <w:bookmarkStart w:id="45" w:name="_Toc35393627"/>
      <w:bookmarkStart w:id="46" w:name="_Toc28359008"/>
      <w:bookmarkStart w:id="47" w:name="_Toc35393796"/>
      <w:bookmarkStart w:id="48" w:name="_Toc28359085"/>
      <w:r>
        <w:rPr>
          <w:rFonts w:ascii="宋体" w:hAnsi="宋体" w:cs="宋体"/>
          <w:kern w:val="0"/>
          <w:szCs w:val="21"/>
          <w:highlight w:val="none"/>
          <w:u w:val="single"/>
        </w:rPr>
        <w:t>0771-5331544</w:t>
      </w:r>
    </w:p>
    <w:bookmarkEnd w:id="40"/>
    <w:p>
      <w:pPr>
        <w:spacing w:line="360" w:lineRule="auto"/>
        <w:outlineLvl w:val="1"/>
        <w:rPr>
          <w:rFonts w:hint="eastAsia" w:ascii="黑体" w:hAnsi="黑体" w:eastAsia="黑体"/>
          <w:b/>
          <w:bCs/>
          <w:sz w:val="24"/>
          <w:highlight w:val="none"/>
        </w:rPr>
      </w:pPr>
      <w:r>
        <w:rPr>
          <w:rFonts w:hint="eastAsia" w:ascii="黑体" w:hAnsi="黑体" w:eastAsia="黑体"/>
          <w:b/>
          <w:bCs/>
          <w:sz w:val="24"/>
          <w:highlight w:val="none"/>
        </w:rPr>
        <w:t>七、对本次采购提出询问，请按以下方式联系</w:t>
      </w:r>
      <w:bookmarkEnd w:id="45"/>
      <w:bookmarkEnd w:id="46"/>
      <w:bookmarkEnd w:id="47"/>
      <w:bookmarkEnd w:id="48"/>
    </w:p>
    <w:p>
      <w:pPr>
        <w:spacing w:line="360" w:lineRule="auto"/>
        <w:jc w:val="left"/>
        <w:rPr>
          <w:rFonts w:ascii="宋体" w:hAnsi="宋体"/>
          <w:szCs w:val="21"/>
          <w:highlight w:val="none"/>
        </w:rPr>
      </w:pPr>
      <w:r>
        <w:rPr>
          <w:rFonts w:hint="eastAsia" w:ascii="宋体" w:hAnsi="宋体" w:cs="宋体"/>
          <w:szCs w:val="21"/>
          <w:highlight w:val="none"/>
        </w:rPr>
        <w:t>　　　1.采购人信息</w:t>
      </w:r>
    </w:p>
    <w:p>
      <w:pPr>
        <w:spacing w:line="360" w:lineRule="auto"/>
        <w:ind w:firstLine="630" w:firstLineChars="300"/>
        <w:rPr>
          <w:rFonts w:ascii="宋体" w:hAnsi="宋体"/>
          <w:szCs w:val="21"/>
          <w:highlight w:val="none"/>
        </w:rPr>
      </w:pPr>
      <w:r>
        <w:rPr>
          <w:rFonts w:hint="eastAsia" w:ascii="宋体" w:hAnsi="宋体"/>
          <w:szCs w:val="21"/>
          <w:highlight w:val="none"/>
        </w:rPr>
        <w:t>名    称：</w:t>
      </w:r>
      <w:r>
        <w:rPr>
          <w:kern w:val="0"/>
          <w:szCs w:val="21"/>
          <w:highlight w:val="none"/>
        </w:rPr>
        <w:t>广西壮族自治区工业和信息化厅</w:t>
      </w:r>
    </w:p>
    <w:p>
      <w:pPr>
        <w:spacing w:line="360" w:lineRule="auto"/>
        <w:ind w:firstLine="630" w:firstLineChars="300"/>
        <w:rPr>
          <w:rFonts w:ascii="宋体" w:hAnsi="宋体"/>
          <w:szCs w:val="21"/>
          <w:highlight w:val="none"/>
        </w:rPr>
      </w:pPr>
      <w:r>
        <w:rPr>
          <w:rFonts w:hint="eastAsia" w:ascii="宋体" w:hAnsi="宋体"/>
          <w:szCs w:val="21"/>
          <w:highlight w:val="none"/>
        </w:rPr>
        <w:t>地    址：</w:t>
      </w:r>
      <w:r>
        <w:rPr>
          <w:rFonts w:hint="eastAsia"/>
          <w:kern w:val="0"/>
          <w:szCs w:val="21"/>
          <w:highlight w:val="none"/>
        </w:rPr>
        <w:t>广西南宁市民族大道113号</w:t>
      </w:r>
    </w:p>
    <w:p>
      <w:pPr>
        <w:spacing w:line="360" w:lineRule="auto"/>
        <w:ind w:firstLine="630" w:firstLineChars="300"/>
        <w:rPr>
          <w:rFonts w:hint="default" w:ascii="宋体" w:hAnsi="宋体" w:eastAsia="宋体"/>
          <w:szCs w:val="21"/>
          <w:highlight w:val="none"/>
          <w:lang w:val="en-US" w:eastAsia="zh-CN"/>
        </w:rPr>
      </w:pPr>
      <w:r>
        <w:rPr>
          <w:rFonts w:hint="eastAsia" w:ascii="宋体" w:hAnsi="宋体"/>
          <w:szCs w:val="21"/>
          <w:highlight w:val="none"/>
          <w:lang w:val="en-US" w:eastAsia="zh-CN"/>
        </w:rPr>
        <w:t>项目联系人：</w:t>
      </w:r>
      <w:r>
        <w:rPr>
          <w:rFonts w:hint="eastAsia" w:ascii="宋体" w:hAnsi="宋体"/>
          <w:szCs w:val="21"/>
          <w:highlight w:val="none"/>
        </w:rPr>
        <w:t>申</w:t>
      </w:r>
      <w:r>
        <w:rPr>
          <w:rFonts w:hint="eastAsia" w:ascii="宋体" w:hAnsi="宋体"/>
          <w:szCs w:val="21"/>
          <w:highlight w:val="none"/>
          <w:lang w:val="en-US" w:eastAsia="zh-CN"/>
        </w:rPr>
        <w:t>立军</w:t>
      </w:r>
    </w:p>
    <w:p>
      <w:pPr>
        <w:spacing w:line="360" w:lineRule="auto"/>
        <w:ind w:firstLine="630" w:firstLineChars="300"/>
        <w:rPr>
          <w:rFonts w:ascii="宋体" w:hAnsi="宋体"/>
          <w:szCs w:val="21"/>
          <w:highlight w:val="none"/>
        </w:rPr>
      </w:pPr>
      <w:r>
        <w:rPr>
          <w:rFonts w:hint="eastAsia" w:ascii="宋体" w:hAnsi="宋体"/>
          <w:szCs w:val="21"/>
          <w:highlight w:val="none"/>
          <w:lang w:val="en-US" w:eastAsia="zh-CN"/>
        </w:rPr>
        <w:t>项目</w:t>
      </w:r>
      <w:r>
        <w:rPr>
          <w:rFonts w:hint="eastAsia" w:ascii="宋体" w:hAnsi="宋体"/>
          <w:szCs w:val="21"/>
          <w:highlight w:val="none"/>
        </w:rPr>
        <w:t>联系方式：</w:t>
      </w:r>
      <w:bookmarkStart w:id="49" w:name="_Toc28359009"/>
      <w:bookmarkStart w:id="50" w:name="_Toc28359086"/>
      <w:r>
        <w:rPr>
          <w:rFonts w:hint="eastAsia" w:ascii="宋体" w:hAnsi="宋体"/>
          <w:szCs w:val="21"/>
          <w:highlight w:val="none"/>
        </w:rPr>
        <w:t>0771-2182380</w:t>
      </w:r>
    </w:p>
    <w:p>
      <w:pPr>
        <w:spacing w:line="360" w:lineRule="auto"/>
        <w:ind w:firstLine="630" w:firstLineChars="300"/>
        <w:rPr>
          <w:rFonts w:ascii="宋体" w:hAnsi="宋体"/>
          <w:szCs w:val="21"/>
          <w:highlight w:val="none"/>
        </w:rPr>
      </w:pPr>
      <w:r>
        <w:rPr>
          <w:rFonts w:hint="eastAsia" w:ascii="宋体" w:hAnsi="宋体" w:cs="宋体"/>
          <w:szCs w:val="21"/>
          <w:highlight w:val="none"/>
        </w:rPr>
        <w:t>2.采购代理机构信息</w:t>
      </w:r>
      <w:bookmarkEnd w:id="49"/>
      <w:bookmarkEnd w:id="50"/>
    </w:p>
    <w:p>
      <w:pPr>
        <w:spacing w:line="360" w:lineRule="auto"/>
        <w:ind w:firstLine="630" w:firstLineChars="300"/>
        <w:rPr>
          <w:rFonts w:hint="eastAsia" w:ascii="宋体" w:hAnsi="宋体" w:eastAsia="宋体"/>
          <w:szCs w:val="21"/>
          <w:highlight w:val="none"/>
          <w:lang w:eastAsia="zh-CN"/>
        </w:rPr>
      </w:pPr>
      <w:bookmarkStart w:id="51" w:name="_Toc28359010"/>
      <w:bookmarkStart w:id="52" w:name="_Toc28359087"/>
      <w:r>
        <w:rPr>
          <w:rFonts w:hint="eastAsia" w:ascii="宋体" w:hAnsi="宋体"/>
          <w:szCs w:val="21"/>
          <w:highlight w:val="none"/>
        </w:rPr>
        <w:t>名    称：</w:t>
      </w:r>
      <w:r>
        <w:rPr>
          <w:rFonts w:hint="eastAsia" w:ascii="宋体" w:hAnsi="宋体"/>
          <w:szCs w:val="21"/>
          <w:highlight w:val="none"/>
          <w:lang w:eastAsia="zh-CN"/>
        </w:rPr>
        <w:t>广西城通工程咨询有限责任公司</w:t>
      </w:r>
    </w:p>
    <w:p>
      <w:pPr>
        <w:spacing w:line="360" w:lineRule="auto"/>
        <w:ind w:firstLine="630" w:firstLineChars="300"/>
        <w:rPr>
          <w:rFonts w:ascii="宋体" w:hAnsi="宋体"/>
          <w:szCs w:val="21"/>
          <w:highlight w:val="none"/>
        </w:rPr>
      </w:pPr>
      <w:r>
        <w:rPr>
          <w:rFonts w:hint="eastAsia" w:ascii="宋体" w:hAnsi="宋体"/>
          <w:szCs w:val="21"/>
          <w:highlight w:val="none"/>
        </w:rPr>
        <w:t>地　　址：</w:t>
      </w:r>
      <w:bookmarkStart w:id="53" w:name="OLE_LINK3"/>
      <w:r>
        <w:rPr>
          <w:rFonts w:hint="eastAsia" w:ascii="宋体" w:hAnsi="宋体"/>
          <w:szCs w:val="21"/>
          <w:highlight w:val="none"/>
        </w:rPr>
        <w:t>广西南宁市青秀区凤岭北路111号南宁国际旅游中心C座28楼</w:t>
      </w:r>
    </w:p>
    <w:bookmarkEnd w:id="51"/>
    <w:bookmarkEnd w:id="52"/>
    <w:bookmarkEnd w:id="53"/>
    <w:p>
      <w:pPr>
        <w:spacing w:line="360" w:lineRule="auto"/>
        <w:ind w:firstLine="630" w:firstLineChars="300"/>
        <w:rPr>
          <w:rFonts w:ascii="宋体" w:hAnsi="宋体"/>
          <w:szCs w:val="21"/>
          <w:highlight w:val="none"/>
        </w:rPr>
      </w:pPr>
      <w:bookmarkStart w:id="54" w:name="OLE_LINK16"/>
      <w:r>
        <w:rPr>
          <w:rFonts w:hint="eastAsia" w:ascii="宋体" w:hAnsi="宋体"/>
          <w:szCs w:val="21"/>
          <w:highlight w:val="none"/>
        </w:rPr>
        <w:t>项目联系人：钟家宁</w:t>
      </w:r>
    </w:p>
    <w:p>
      <w:pPr>
        <w:spacing w:line="360" w:lineRule="auto"/>
        <w:ind w:firstLine="630" w:firstLineChars="300"/>
        <w:rPr>
          <w:b/>
          <w:sz w:val="32"/>
          <w:szCs w:val="32"/>
          <w:highlight w:val="none"/>
        </w:rPr>
      </w:pPr>
      <w:r>
        <w:rPr>
          <w:rFonts w:hint="eastAsia" w:ascii="宋体" w:hAnsi="宋体"/>
          <w:szCs w:val="21"/>
          <w:highlight w:val="none"/>
          <w:lang w:val="en-US" w:eastAsia="zh-CN"/>
        </w:rPr>
        <w:t>项目联系方式</w:t>
      </w:r>
      <w:r>
        <w:rPr>
          <w:rFonts w:hint="eastAsia" w:ascii="宋体" w:hAnsi="宋体"/>
          <w:szCs w:val="21"/>
          <w:highlight w:val="none"/>
        </w:rPr>
        <w:t>：</w:t>
      </w:r>
      <w:bookmarkEnd w:id="3"/>
      <w:bookmarkEnd w:id="4"/>
      <w:bookmarkEnd w:id="5"/>
      <w:bookmarkEnd w:id="54"/>
      <w:bookmarkStart w:id="55" w:name="OLE_LINK90"/>
      <w:bookmarkStart w:id="56" w:name="_Toc19628"/>
      <w:r>
        <w:rPr>
          <w:rFonts w:hint="eastAsia" w:ascii="宋体" w:hAnsi="宋体"/>
          <w:szCs w:val="21"/>
          <w:highlight w:val="none"/>
        </w:rPr>
        <w:t>15307868806、0771-4800838</w:t>
      </w:r>
      <w:bookmarkEnd w:id="6"/>
      <w:bookmarkEnd w:id="55"/>
      <w:r>
        <w:rPr>
          <w:b/>
          <w:sz w:val="32"/>
          <w:szCs w:val="32"/>
          <w:highlight w:val="none"/>
        </w:rPr>
        <w:br w:type="page"/>
      </w:r>
    </w:p>
    <w:p>
      <w:pPr>
        <w:pStyle w:val="29"/>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jc w:val="center"/>
        <w:textAlignment w:val="auto"/>
        <w:outlineLvl w:val="0"/>
        <w:rPr>
          <w:rFonts w:hint="eastAsia" w:ascii="Times New Roman" w:hAnsi="Times New Roman" w:cs="Times New Roman"/>
          <w:b/>
          <w:sz w:val="36"/>
          <w:szCs w:val="36"/>
          <w:highlight w:val="none"/>
        </w:rPr>
      </w:pPr>
      <w:bookmarkStart w:id="57" w:name="OLE_LINK56"/>
      <w:r>
        <w:rPr>
          <w:rFonts w:hint="eastAsia" w:ascii="Times New Roman" w:hAnsi="Times New Roman" w:cs="Times New Roman"/>
          <w:b/>
          <w:sz w:val="36"/>
          <w:szCs w:val="36"/>
          <w:highlight w:val="none"/>
        </w:rPr>
        <w:t>第二章  采购需求</w:t>
      </w:r>
      <w:bookmarkEnd w:id="56"/>
    </w:p>
    <w:bookmarkEnd w:id="57"/>
    <w:p>
      <w:pPr>
        <w:widowControl/>
        <w:spacing w:before="40" w:after="40" w:line="360" w:lineRule="auto"/>
        <w:jc w:val="left"/>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说明：</w:t>
      </w:r>
    </w:p>
    <w:p>
      <w:pPr>
        <w:widowControl/>
        <w:spacing w:before="40" w:after="40" w:line="360" w:lineRule="auto"/>
        <w:jc w:val="left"/>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w:t>
      </w:r>
      <w:r>
        <w:rPr>
          <w:rFonts w:hint="eastAsia" w:ascii="宋体" w:hAnsi="宋体" w:eastAsia="宋体" w:cs="宋体"/>
          <w:b w:val="0"/>
          <w:bCs w:val="0"/>
          <w:sz w:val="21"/>
          <w:szCs w:val="21"/>
          <w:highlight w:val="none"/>
          <w:lang w:eastAsia="zh-CN"/>
        </w:rPr>
        <w:t>（台式计算机、便携式计算机、平板式微型计算机、激光打印机、针式打印机、液晶显示器、制冷压缩机、空调机组、专用制冷、空调设备、镇流器、空调机、电热水器、普通照明用双端荧光灯、电视设备，视频设备、以及便器、水嘴等政府强制采购节能产品）</w:t>
      </w:r>
      <w:r>
        <w:rPr>
          <w:rFonts w:hint="eastAsia" w:ascii="宋体" w:hAnsi="宋体" w:eastAsia="宋体" w:cs="宋体"/>
          <w:b w:val="0"/>
          <w:bCs w:val="0"/>
          <w:sz w:val="21"/>
          <w:szCs w:val="21"/>
          <w:highlight w:val="none"/>
        </w:rPr>
        <w:t>，如本项目包含的配套货物属于品目清单内标注“★”的产品时，</w:t>
      </w:r>
      <w:r>
        <w:rPr>
          <w:rFonts w:hint="eastAsia" w:ascii="宋体" w:hAnsi="宋体" w:cs="宋体"/>
          <w:b/>
          <w:bCs/>
          <w:sz w:val="21"/>
          <w:szCs w:val="21"/>
          <w:highlight w:val="none"/>
          <w:lang w:val="en-US" w:eastAsia="zh-CN"/>
        </w:rPr>
        <w:t>投标人</w:t>
      </w:r>
      <w:r>
        <w:rPr>
          <w:rFonts w:hint="eastAsia" w:ascii="宋体" w:hAnsi="宋体" w:eastAsia="宋体" w:cs="宋体"/>
          <w:b/>
          <w:bCs/>
          <w:sz w:val="21"/>
          <w:szCs w:val="21"/>
          <w:highlight w:val="none"/>
        </w:rPr>
        <w:t>的</w:t>
      </w:r>
      <w:r>
        <w:rPr>
          <w:rFonts w:hint="eastAsia" w:ascii="宋体" w:hAnsi="宋体" w:cs="宋体"/>
          <w:b/>
          <w:bCs/>
          <w:sz w:val="21"/>
          <w:szCs w:val="21"/>
          <w:highlight w:val="none"/>
          <w:lang w:val="en-US" w:eastAsia="zh-CN"/>
        </w:rPr>
        <w:t>投标</w:t>
      </w:r>
      <w:r>
        <w:rPr>
          <w:rFonts w:hint="eastAsia" w:ascii="宋体" w:hAnsi="宋体" w:eastAsia="宋体" w:cs="宋体"/>
          <w:b/>
          <w:bCs/>
          <w:sz w:val="21"/>
          <w:szCs w:val="21"/>
          <w:highlight w:val="none"/>
        </w:rPr>
        <w:t>货物必须使用政府强制采购的节能产品，否则</w:t>
      </w:r>
      <w:r>
        <w:rPr>
          <w:rFonts w:hint="eastAsia" w:ascii="宋体" w:hAnsi="宋体" w:cs="宋体"/>
          <w:b/>
          <w:bCs/>
          <w:sz w:val="21"/>
          <w:szCs w:val="21"/>
          <w:highlight w:val="none"/>
          <w:lang w:val="en-US" w:eastAsia="zh-CN"/>
        </w:rPr>
        <w:t>投标</w:t>
      </w:r>
      <w:r>
        <w:rPr>
          <w:rFonts w:hint="eastAsia" w:ascii="宋体" w:hAnsi="宋体" w:eastAsia="宋体" w:cs="宋体"/>
          <w:b/>
          <w:bCs/>
          <w:sz w:val="21"/>
          <w:szCs w:val="21"/>
          <w:highlight w:val="none"/>
        </w:rPr>
        <w:t>文件作无效处理。</w:t>
      </w:r>
      <w:r>
        <w:rPr>
          <w:rFonts w:hint="eastAsia" w:ascii="宋体" w:hAnsi="宋体" w:eastAsia="宋体" w:cs="宋体"/>
          <w:b w:val="0"/>
          <w:bCs w:val="0"/>
          <w:sz w:val="21"/>
          <w:szCs w:val="21"/>
          <w:highlight w:val="none"/>
        </w:rPr>
        <w:t>如本项目包含的货物属于品目清单内非标注“★”的产品时，应优先采购，具体详见“第四章  评标方法及评标标准”。</w:t>
      </w:r>
    </w:p>
    <w:p>
      <w:pPr>
        <w:widowControl/>
        <w:spacing w:before="40" w:after="40" w:line="360" w:lineRule="auto"/>
        <w:jc w:val="left"/>
        <w:outlineLvl w:val="9"/>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rPr>
        <w:t>.“实质性要求”是指招标文件中已经指明不满足则投标无效的条款，或者不能负偏离的条款，或者采购需求中带“▲”的条款。</w:t>
      </w:r>
    </w:p>
    <w:p>
      <w:pPr>
        <w:widowControl/>
        <w:spacing w:before="40" w:after="40" w:line="360" w:lineRule="auto"/>
        <w:jc w:val="left"/>
        <w:outlineLvl w:val="9"/>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rPr>
        <w:t>.采购需求中出现的品牌、型号或者生产供应商仅起参考作用，不属于指定品牌、型号或者生产供应商的情形。供应商可参照或者选用其他相当的品牌、型号或者生产供应商替代。</w:t>
      </w:r>
    </w:p>
    <w:p>
      <w:pPr>
        <w:widowControl/>
        <w:spacing w:before="40" w:after="40" w:line="360" w:lineRule="auto"/>
        <w:jc w:val="left"/>
        <w:outlineLvl w:val="9"/>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rPr>
        <w:t>.</w:t>
      </w:r>
      <w:r>
        <w:rPr>
          <w:rFonts w:hint="eastAsia" w:ascii="宋体" w:hAnsi="宋体" w:cs="宋体"/>
          <w:b w:val="0"/>
          <w:bCs w:val="0"/>
          <w:sz w:val="21"/>
          <w:szCs w:val="21"/>
          <w:highlight w:val="none"/>
          <w:lang w:val="en-US" w:eastAsia="zh-CN"/>
        </w:rPr>
        <w:t>投标人</w:t>
      </w:r>
      <w:r>
        <w:rPr>
          <w:rFonts w:hint="eastAsia" w:ascii="宋体" w:hAnsi="宋体" w:eastAsia="宋体" w:cs="宋体"/>
          <w:b w:val="0"/>
          <w:bCs w:val="0"/>
          <w:sz w:val="21"/>
          <w:szCs w:val="21"/>
          <w:highlight w:val="none"/>
        </w:rPr>
        <w:t>必须自行为其</w:t>
      </w:r>
      <w:r>
        <w:rPr>
          <w:rFonts w:hint="eastAsia" w:ascii="宋体" w:hAnsi="宋体" w:cs="宋体"/>
          <w:b w:val="0"/>
          <w:bCs w:val="0"/>
          <w:sz w:val="21"/>
          <w:szCs w:val="21"/>
          <w:highlight w:val="none"/>
          <w:lang w:val="en-US" w:eastAsia="zh-CN"/>
        </w:rPr>
        <w:t>投标</w:t>
      </w:r>
      <w:r>
        <w:rPr>
          <w:rFonts w:hint="eastAsia" w:ascii="宋体" w:hAnsi="宋体" w:eastAsia="宋体" w:cs="宋体"/>
          <w:b w:val="0"/>
          <w:bCs w:val="0"/>
          <w:sz w:val="21"/>
          <w:szCs w:val="21"/>
          <w:highlight w:val="none"/>
        </w:rPr>
        <w:t>产品侵犯他人的知识产权或者专利成果的行为承担相应法律责任。</w:t>
      </w:r>
    </w:p>
    <w:p>
      <w:pPr>
        <w:widowControl/>
        <w:spacing w:before="40" w:after="40" w:line="360" w:lineRule="auto"/>
        <w:jc w:val="left"/>
        <w:outlineLvl w:val="9"/>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5</w:t>
      </w:r>
      <w:r>
        <w:rPr>
          <w:rFonts w:hint="eastAsia" w:ascii="宋体" w:hAnsi="宋体" w:eastAsia="宋体" w:cs="宋体"/>
          <w:b/>
          <w:bCs/>
          <w:sz w:val="21"/>
          <w:szCs w:val="21"/>
          <w:highlight w:val="none"/>
          <w:lang w:val="en-US" w:eastAsia="zh-CN"/>
        </w:rPr>
        <w:t>.本项目标的所属行业：工业（包括采矿业，制造业，电力、热力、燃气及水生产和供应业），行业划型标准为：</w:t>
      </w:r>
      <w:r>
        <w:rPr>
          <w:rFonts w:hint="eastAsia" w:ascii="宋体" w:hAnsi="宋体" w:eastAsia="宋体" w:cs="宋体"/>
          <w:b w:val="0"/>
          <w:bCs w:val="0"/>
          <w:sz w:val="21"/>
          <w:szCs w:val="21"/>
          <w:highlight w:val="non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pacing w:before="40" w:after="40" w:line="360" w:lineRule="auto"/>
        <w:jc w:val="left"/>
        <w:outlineLvl w:val="9"/>
        <w:rPr>
          <w:rFonts w:hint="eastAsia" w:ascii="宋体" w:hAnsi="宋体" w:eastAsia="宋体" w:cs="宋体"/>
          <w:b w:val="0"/>
          <w:bCs w:val="0"/>
          <w:color w:val="FF0000"/>
          <w:sz w:val="21"/>
          <w:szCs w:val="21"/>
          <w:highlight w:val="none"/>
        </w:rPr>
      </w:pPr>
      <w:r>
        <w:rPr>
          <w:rFonts w:hint="eastAsia" w:ascii="宋体" w:hAnsi="宋体" w:cs="宋体"/>
          <w:b/>
          <w:bCs/>
          <w:sz w:val="21"/>
          <w:szCs w:val="21"/>
          <w:highlight w:val="none"/>
          <w:lang w:val="en-US" w:eastAsia="zh-CN"/>
        </w:rPr>
        <w:t>6</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本项目</w:t>
      </w:r>
      <w:r>
        <w:rPr>
          <w:rFonts w:hint="eastAsia" w:ascii="宋体" w:hAnsi="宋体" w:eastAsia="宋体" w:cs="宋体"/>
          <w:b/>
          <w:bCs/>
          <w:sz w:val="21"/>
          <w:szCs w:val="21"/>
          <w:highlight w:val="none"/>
        </w:rPr>
        <w:t>核心产品</w:t>
      </w:r>
      <w:r>
        <w:rPr>
          <w:rFonts w:hint="eastAsia" w:ascii="宋体" w:hAnsi="宋体" w:eastAsia="宋体" w:cs="宋体"/>
          <w:b/>
          <w:bCs/>
          <w:sz w:val="21"/>
          <w:szCs w:val="21"/>
          <w:highlight w:val="none"/>
          <w:lang w:eastAsia="zh-CN"/>
        </w:rPr>
        <w:t>：</w:t>
      </w:r>
      <w:r>
        <w:rPr>
          <w:rFonts w:hint="eastAsia" w:ascii="宋体" w:hAnsi="宋体" w:cs="宋体"/>
          <w:b w:val="0"/>
          <w:bCs w:val="0"/>
          <w:color w:val="FF0000"/>
          <w:sz w:val="21"/>
          <w:szCs w:val="21"/>
          <w:highlight w:val="none"/>
          <w:u w:val="single"/>
          <w:lang w:val="en-US" w:eastAsia="zh-CN"/>
        </w:rPr>
        <w:t>宽带监测接收机</w:t>
      </w:r>
      <w:r>
        <w:rPr>
          <w:rFonts w:hint="eastAsia" w:ascii="宋体" w:hAnsi="宋体" w:eastAsia="宋体" w:cs="宋体"/>
          <w:b w:val="0"/>
          <w:bCs w:val="0"/>
          <w:color w:val="FF0000"/>
          <w:sz w:val="21"/>
          <w:szCs w:val="21"/>
          <w:highlight w:val="none"/>
        </w:rPr>
        <w:t>。</w:t>
      </w:r>
    </w:p>
    <w:p>
      <w:pPr>
        <w:widowControl/>
        <w:spacing w:before="40" w:after="40" w:line="360" w:lineRule="auto"/>
        <w:jc w:val="left"/>
        <w:outlineLvl w:val="9"/>
        <w:rPr>
          <w:rFonts w:hint="eastAsia" w:ascii="宋体" w:hAnsi="宋体" w:eastAsia="宋体" w:cs="宋体"/>
          <w:b w:val="0"/>
          <w:bCs w:val="0"/>
          <w:color w:val="auto"/>
          <w:sz w:val="21"/>
          <w:szCs w:val="21"/>
          <w:highlight w:val="none"/>
        </w:rPr>
      </w:pPr>
      <w:bookmarkStart w:id="58" w:name="OLE_LINK49"/>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进口产品说明：</w:t>
      </w:r>
      <w:r>
        <w:rPr>
          <w:rFonts w:hint="eastAsia" w:ascii="宋体" w:hAnsi="宋体" w:eastAsia="宋体" w:cs="宋体"/>
          <w:b w:val="0"/>
          <w:bCs w:val="0"/>
          <w:color w:val="auto"/>
          <w:sz w:val="21"/>
          <w:szCs w:val="21"/>
          <w:highlight w:val="none"/>
        </w:rPr>
        <w:t>本项目货物不接受进口产品（即通过中国海关报关验放进入中国境内且产自关境外的产品）参与竞标，</w:t>
      </w:r>
      <w:r>
        <w:rPr>
          <w:rFonts w:hint="eastAsia" w:ascii="宋体" w:hAnsi="宋体" w:eastAsia="宋体" w:cs="宋体"/>
          <w:b/>
          <w:bCs/>
          <w:color w:val="auto"/>
          <w:sz w:val="21"/>
          <w:szCs w:val="21"/>
          <w:highlight w:val="none"/>
        </w:rPr>
        <w:t>如有进口产品参与</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的，其</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文件按无效处理。</w:t>
      </w:r>
    </w:p>
    <w:p>
      <w:pPr>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br w:type="page"/>
      </w:r>
    </w:p>
    <w:bookmarkEnd w:id="58"/>
    <w:p>
      <w:pPr>
        <w:pStyle w:val="3"/>
        <w:widowControl/>
        <w:spacing w:before="40" w:after="40"/>
        <w:jc w:val="both"/>
        <w:rPr>
          <w:rFonts w:hint="eastAsia" w:ascii="Times New Roman" w:hAnsi="Times New Roman" w:eastAsia="宋体" w:cs="宋体"/>
          <w:sz w:val="24"/>
          <w:szCs w:val="24"/>
          <w:highlight w:val="none"/>
          <w:lang w:val="en-US" w:eastAsia="zh-CN"/>
        </w:rPr>
      </w:pPr>
      <w:bookmarkStart w:id="59" w:name="_Toc254970490"/>
      <w:bookmarkStart w:id="60" w:name="_Toc254970631"/>
      <w:r>
        <w:rPr>
          <w:rFonts w:hint="eastAsia" w:ascii="Times New Roman" w:hAnsi="Times New Roman" w:eastAsia="宋体" w:cs="宋体"/>
          <w:sz w:val="24"/>
          <w:szCs w:val="24"/>
          <w:highlight w:val="none"/>
          <w:lang w:val="en-US" w:eastAsia="zh-CN"/>
        </w:rPr>
        <w:t>D分标（FAST监测指挥系统）采购需求：</w:t>
      </w:r>
    </w:p>
    <w:p>
      <w:pPr>
        <w:keepNext w:val="0"/>
        <w:keepLines w:val="0"/>
        <w:pageBreakBefore w:val="0"/>
        <w:widowControl w:val="0"/>
        <w:kinsoku/>
        <w:wordWrap/>
        <w:overflowPunct/>
        <w:topLinePunct w:val="0"/>
        <w:autoSpaceDE/>
        <w:autoSpaceDN/>
        <w:bidi w:val="0"/>
        <w:adjustRightInd/>
        <w:snapToGrid/>
        <w:spacing w:before="79" w:beforeLines="25" w:after="79" w:afterLines="25" w:line="360" w:lineRule="auto"/>
        <w:textAlignment w:val="auto"/>
        <w:outlineLvl w:val="2"/>
        <w:rPr>
          <w:rFonts w:hint="eastAsia" w:ascii="Times New Roman" w:hAnsi="Times New Roman" w:eastAsia="宋体" w:cs="宋体"/>
          <w:b/>
          <w:bCs/>
          <w:sz w:val="24"/>
          <w:szCs w:val="24"/>
          <w:highlight w:val="none"/>
          <w:lang w:val="en-US" w:eastAsia="zh-CN"/>
        </w:rPr>
      </w:pPr>
      <w:r>
        <w:rPr>
          <w:rFonts w:hint="eastAsia" w:ascii="Times New Roman" w:hAnsi="Times New Roman" w:eastAsia="宋体" w:cs="宋体"/>
          <w:b/>
          <w:bCs/>
          <w:sz w:val="24"/>
          <w:szCs w:val="24"/>
          <w:highlight w:val="none"/>
          <w:lang w:val="en-US" w:eastAsia="zh-CN"/>
        </w:rPr>
        <w:t>一、技术要求</w:t>
      </w:r>
    </w:p>
    <w:p>
      <w:pPr>
        <w:pStyle w:val="6"/>
        <w:pageBreakBefore w:val="0"/>
        <w:tabs>
          <w:tab w:val="left" w:pos="360"/>
          <w:tab w:val="left" w:pos="1152"/>
        </w:tabs>
        <w:kinsoku/>
        <w:wordWrap/>
        <w:overflowPunct/>
        <w:topLinePunct w:val="0"/>
        <w:bidi w:val="0"/>
        <w:spacing w:before="0" w:after="0" w:line="360" w:lineRule="auto"/>
        <w:jc w:val="left"/>
        <w:outlineLvl w:val="2"/>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河池市FAST监测指挥系统建设内容包括：</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1、在河池市建设1个指挥控制中心，含大屏显示系统、中央控制系统、会议会商系统、音频扩音系统。</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2、在现有的数据中心服务器上部署1套FAST监测指挥系统软件，含电波宁静区电磁环境分析展示子系统、电磁兼容分析子系统、监测覆盖分析及展示子系统。</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3、新建3个四类监测站</w:t>
      </w:r>
      <w:r>
        <w:rPr>
          <w:rFonts w:hint="eastAsia" w:ascii="宋体" w:hAnsi="宋体" w:eastAsia="宋体" w:cs="宋体"/>
          <w:color w:val="auto"/>
          <w:sz w:val="21"/>
          <w:szCs w:val="21"/>
          <w:highlight w:val="none"/>
          <w:lang w:eastAsia="zh-CN"/>
        </w:rPr>
        <w:t>（南丹县月里镇站、南丹县中堡乡站、天峨县三堡乡站）</w:t>
      </w:r>
      <w:r>
        <w:rPr>
          <w:rFonts w:hint="eastAsia" w:ascii="宋体" w:hAnsi="宋体" w:eastAsia="宋体" w:cs="宋体"/>
          <w:color w:val="auto"/>
          <w:sz w:val="21"/>
          <w:szCs w:val="21"/>
          <w:highlight w:val="none"/>
          <w:lang w:val="en-US" w:eastAsia="zh-CN"/>
        </w:rPr>
        <w:t>。</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本项目建设的指挥控制中心功能应符合《省级无线电监测设施建设规范和技术要求（试行）》（国无办〔2019〕3号）中规定的无线电监测指挥/控制中心功能和要求，并按需配置软硬件设施。</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本项目建设的固定监测站功能和技术指标均应满足《省级无线电监测设施建设规范和技术要求（试行）》（国无办〔2019〕3号）中规定的四类固定监测站功能和技术指标要求。本项目在</w:t>
      </w:r>
      <w:r>
        <w:rPr>
          <w:rFonts w:hint="eastAsia" w:ascii="宋体" w:hAnsi="宋体" w:eastAsia="宋体" w:cs="宋体"/>
          <w:color w:val="auto"/>
          <w:sz w:val="21"/>
          <w:szCs w:val="21"/>
          <w:highlight w:val="none"/>
          <w:lang w:eastAsia="zh-CN"/>
        </w:rPr>
        <w:t>南丹县月里镇站、南丹县中堡乡站、天峨县三堡乡站</w:t>
      </w:r>
      <w:r>
        <w:rPr>
          <w:rFonts w:hint="eastAsia" w:ascii="宋体" w:hAnsi="宋体" w:eastAsia="宋体" w:cs="宋体"/>
          <w:color w:val="auto"/>
          <w:sz w:val="21"/>
          <w:szCs w:val="21"/>
          <w:highlight w:val="none"/>
          <w:lang w:val="en-US" w:eastAsia="zh-CN"/>
        </w:rPr>
        <w:t>新建3个四类固定监测站，建设地点由建设单位统一规划。</w:t>
      </w:r>
      <w:r>
        <w:rPr>
          <w:rFonts w:hint="eastAsia" w:ascii="宋体" w:hAnsi="宋体" w:eastAsia="宋体" w:cs="宋体"/>
          <w:color w:val="auto"/>
          <w:sz w:val="21"/>
          <w:szCs w:val="21"/>
          <w:highlight w:val="none"/>
        </w:rPr>
        <w:t>本期项目机房、塔桅、土建、地网等监测站配套设施由建设方或第三方提供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其中为满足安装要求而进行的室内外改造由承建单位负责</w:t>
      </w:r>
      <w:r>
        <w:rPr>
          <w:rFonts w:hint="eastAsia" w:ascii="宋体" w:hAnsi="宋体" w:eastAsia="宋体" w:cs="宋体"/>
          <w:color w:val="auto"/>
          <w:sz w:val="21"/>
          <w:szCs w:val="21"/>
          <w:highlight w:val="none"/>
        </w:rPr>
        <w:t>。</w:t>
      </w:r>
    </w:p>
    <w:p>
      <w:pPr>
        <w:pStyle w:val="8"/>
        <w:pageBreakBefore w:val="0"/>
        <w:kinsoku/>
        <w:wordWrap/>
        <w:overflowPunct/>
        <w:topLinePunct w:val="0"/>
        <w:bidi w:val="0"/>
        <w:spacing w:before="0" w:after="0" w:line="360" w:lineRule="auto"/>
        <w:jc w:val="left"/>
        <w:outlineLvl w:val="3"/>
        <w:rPr>
          <w:rFonts w:hint="eastAsia" w:ascii="宋体" w:hAnsi="宋体" w:eastAsia="宋体" w:cs="宋体"/>
          <w:b/>
          <w:bCs/>
          <w:color w:val="auto"/>
          <w:sz w:val="21"/>
          <w:szCs w:val="21"/>
          <w:highlight w:val="none"/>
          <w:lang w:val="en-US" w:eastAsia="zh-CN"/>
        </w:rPr>
      </w:pPr>
      <w:bookmarkStart w:id="61" w:name="_Toc2165"/>
      <w:r>
        <w:rPr>
          <w:rFonts w:hint="eastAsia" w:ascii="宋体" w:hAnsi="宋体" w:eastAsia="宋体" w:cs="宋体"/>
          <w:b/>
          <w:bCs/>
          <w:color w:val="auto"/>
          <w:sz w:val="21"/>
          <w:szCs w:val="21"/>
          <w:highlight w:val="none"/>
          <w:lang w:val="en-US" w:eastAsia="zh-CN"/>
        </w:rPr>
        <w:t>一、指挥控制中心建设方案</w:t>
      </w:r>
      <w:bookmarkEnd w:id="61"/>
    </w:p>
    <w:p>
      <w:pPr>
        <w:pStyle w:val="5"/>
        <w:pageBreakBefore w:val="0"/>
        <w:tabs>
          <w:tab w:val="left" w:pos="2155"/>
        </w:tabs>
        <w:kinsoku/>
        <w:wordWrap/>
        <w:overflowPunct/>
        <w:topLinePunct w:val="0"/>
        <w:bidi w:val="0"/>
        <w:spacing w:before="0" w:after="0" w:line="360" w:lineRule="auto"/>
        <w:jc w:val="left"/>
        <w:outlineLvl w:val="4"/>
        <w:rPr>
          <w:rFonts w:hint="eastAsia" w:ascii="宋体" w:hAnsi="宋体" w:eastAsia="宋体" w:cs="宋体"/>
          <w:b/>
          <w:bCs/>
          <w:color w:val="auto"/>
          <w:sz w:val="21"/>
          <w:szCs w:val="21"/>
          <w:highlight w:val="none"/>
          <w:lang w:val="en-US" w:eastAsia="zh-CN"/>
        </w:rPr>
      </w:pPr>
      <w:bookmarkStart w:id="62" w:name="_Toc184079402"/>
      <w:r>
        <w:rPr>
          <w:rFonts w:hint="eastAsia" w:ascii="宋体" w:hAnsi="宋体" w:eastAsia="宋体" w:cs="宋体"/>
          <w:b/>
          <w:bCs/>
          <w:color w:val="auto"/>
          <w:sz w:val="21"/>
          <w:szCs w:val="21"/>
          <w:highlight w:val="none"/>
          <w:lang w:val="en-US" w:eastAsia="zh-CN"/>
        </w:rPr>
        <w:t>（一）大屏显示系统</w:t>
      </w:r>
      <w:bookmarkEnd w:id="62"/>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配置小间距LED大屏显示单元，融合高清晰数字显示、多屏图像处理、信号切换等技术，形成拥有高亮度、高清晰度、功能强大、使用方便的大屏显示系统，并配置一个双基色条形屏结合使用，形成信息资源共享平台、分析决策平台和指挥调度平台。</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主要包括一套小间距LED大屏显示单元、LED控制器、LED控制软件及线缆等。</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主要对需要显示的视频信号种类和数量进行分析，将RGB信号、复合视频信号、网络视频信号、计算机桌面或图像信号可以以任意大小、分辨率在小间距LED大屏幕的任意位置显示。</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主要</w:t>
      </w:r>
      <w:r>
        <w:rPr>
          <w:rFonts w:hint="eastAsia" w:ascii="宋体" w:hAnsi="宋体" w:eastAsia="宋体" w:cs="宋体"/>
          <w:color w:val="auto"/>
          <w:sz w:val="21"/>
          <w:szCs w:val="21"/>
          <w:highlight w:val="none"/>
        </w:rPr>
        <w:t>技术指标</w:t>
      </w:r>
      <w:r>
        <w:rPr>
          <w:rFonts w:hint="eastAsia" w:ascii="宋体" w:hAnsi="宋体" w:eastAsia="宋体" w:cs="宋体"/>
          <w:color w:val="auto"/>
          <w:sz w:val="21"/>
          <w:szCs w:val="21"/>
          <w:highlight w:val="none"/>
          <w:lang w:val="en-US" w:eastAsia="zh-CN"/>
        </w:rPr>
        <w:t>要求如下</w:t>
      </w:r>
      <w:r>
        <w:rPr>
          <w:rFonts w:hint="eastAsia" w:ascii="宋体" w:hAnsi="宋体" w:eastAsia="宋体" w:cs="宋体"/>
          <w:color w:val="auto"/>
          <w:sz w:val="21"/>
          <w:szCs w:val="21"/>
          <w:highlight w:val="none"/>
        </w:rPr>
        <w:t>：</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1.像数点间距≦1.2mm </w:t>
      </w:r>
      <w:r>
        <w:rPr>
          <w:rFonts w:hint="eastAsia" w:ascii="宋体" w:hAnsi="宋体" w:eastAsia="宋体" w:cs="宋体"/>
          <w:color w:val="auto"/>
          <w:sz w:val="21"/>
          <w:szCs w:val="21"/>
          <w:highlight w:val="none"/>
          <w:lang w:eastAsia="zh-CN"/>
        </w:rPr>
        <w:t>；</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含边框尺寸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3300mm*2020mm</w:t>
      </w:r>
      <w:r>
        <w:rPr>
          <w:rFonts w:hint="eastAsia" w:ascii="宋体" w:hAnsi="宋体" w:eastAsia="宋体" w:cs="宋体"/>
          <w:color w:val="auto"/>
          <w:sz w:val="21"/>
          <w:szCs w:val="21"/>
          <w:highlight w:val="none"/>
          <w:lang w:eastAsia="zh-CN"/>
        </w:rPr>
        <w:t>；</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3.显示部分尺寸：3200mm*1920mm</w:t>
      </w:r>
      <w:r>
        <w:rPr>
          <w:rFonts w:hint="eastAsia" w:ascii="宋体" w:hAnsi="宋体" w:eastAsia="宋体" w:cs="宋体"/>
          <w:color w:val="auto"/>
          <w:sz w:val="21"/>
          <w:szCs w:val="21"/>
          <w:highlight w:val="none"/>
          <w:lang w:eastAsia="zh-CN"/>
        </w:rPr>
        <w:t>；</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4.压铸铝箱体</w:t>
      </w:r>
      <w:r>
        <w:rPr>
          <w:rFonts w:hint="eastAsia" w:ascii="宋体" w:hAnsi="宋体" w:eastAsia="宋体" w:cs="宋体"/>
          <w:color w:val="auto"/>
          <w:sz w:val="21"/>
          <w:szCs w:val="21"/>
          <w:highlight w:val="none"/>
          <w:lang w:eastAsia="zh-CN"/>
        </w:rPr>
        <w:t>；</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5.专业主控</w:t>
      </w:r>
      <w:r>
        <w:rPr>
          <w:rFonts w:hint="eastAsia" w:ascii="宋体" w:hAnsi="宋体" w:eastAsia="宋体" w:cs="宋体"/>
          <w:color w:val="auto"/>
          <w:sz w:val="21"/>
          <w:szCs w:val="21"/>
          <w:highlight w:val="none"/>
          <w:lang w:eastAsia="zh-CN"/>
        </w:rPr>
        <w:t>；</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6.音箱+功放</w:t>
      </w:r>
      <w:r>
        <w:rPr>
          <w:rFonts w:hint="eastAsia" w:ascii="宋体" w:hAnsi="宋体" w:eastAsia="宋体" w:cs="宋体"/>
          <w:color w:val="auto"/>
          <w:sz w:val="21"/>
          <w:szCs w:val="21"/>
          <w:highlight w:val="none"/>
          <w:lang w:eastAsia="zh-CN"/>
        </w:rPr>
        <w:t>；</w:t>
      </w:r>
    </w:p>
    <w:p>
      <w:pPr>
        <w:pStyle w:val="5"/>
        <w:pageBreakBefore w:val="0"/>
        <w:tabs>
          <w:tab w:val="left" w:pos="2155"/>
        </w:tabs>
        <w:kinsoku/>
        <w:wordWrap/>
        <w:overflowPunct/>
        <w:topLinePunct w:val="0"/>
        <w:bidi w:val="0"/>
        <w:spacing w:before="0" w:after="0" w:line="360" w:lineRule="auto"/>
        <w:jc w:val="left"/>
        <w:outlineLvl w:val="4"/>
        <w:rPr>
          <w:rFonts w:hint="eastAsia" w:ascii="宋体" w:hAnsi="宋体" w:eastAsia="宋体" w:cs="宋体"/>
          <w:b/>
          <w:bCs/>
          <w:color w:val="auto"/>
          <w:sz w:val="21"/>
          <w:szCs w:val="21"/>
          <w:highlight w:val="none"/>
          <w:lang w:val="en-US" w:eastAsia="zh-CN"/>
        </w:rPr>
      </w:pPr>
      <w:bookmarkStart w:id="63" w:name="_Toc184079403"/>
      <w:r>
        <w:rPr>
          <w:rFonts w:hint="eastAsia" w:ascii="宋体" w:hAnsi="宋体" w:eastAsia="宋体" w:cs="宋体"/>
          <w:b/>
          <w:bCs/>
          <w:color w:val="auto"/>
          <w:sz w:val="21"/>
          <w:szCs w:val="21"/>
          <w:highlight w:val="none"/>
          <w:lang w:val="en-US" w:eastAsia="zh-CN"/>
        </w:rPr>
        <w:t>（二）中央控制系统</w:t>
      </w:r>
      <w:bookmarkEnd w:id="63"/>
    </w:p>
    <w:p>
      <w:pPr>
        <w:pageBreakBefore w:val="0"/>
        <w:numPr>
          <w:ilvl w:val="1"/>
          <w:numId w:val="1"/>
        </w:numPr>
        <w:kinsoku/>
        <w:wordWrap/>
        <w:overflowPunct/>
        <w:topLinePunct w:val="0"/>
        <w:bidi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子系统概述</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配置控制主机、电源时序器等相关设备，对现有音视频设备、灯光、电动窗帘以及设备进行开关控制，该子系统是对被控制设备的集中操作平台，操作时集中在触摸屏或计算机控制界面上，通过直观控制界面操作，实现复杂系统设备操作及环境控制的简便易用。</w:t>
      </w:r>
    </w:p>
    <w:p>
      <w:pPr>
        <w:pageBreakBefore w:val="0"/>
        <w:numPr>
          <w:ilvl w:val="1"/>
          <w:numId w:val="1"/>
        </w:numPr>
        <w:kinsoku/>
        <w:wordWrap/>
        <w:overflowPunct/>
        <w:topLinePunct w:val="0"/>
        <w:bidi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系统组成</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指挥控制中心分别配置1套中央控制子系统，包括1台中央控制主机及控制软件、1台电源控制器、1台电源时序器、1套编程控制软件。</w:t>
      </w:r>
    </w:p>
    <w:p>
      <w:pPr>
        <w:pageBreakBefore w:val="0"/>
        <w:numPr>
          <w:ilvl w:val="1"/>
          <w:numId w:val="1"/>
        </w:numPr>
        <w:kinsoku/>
        <w:wordWrap/>
        <w:overflowPunct/>
        <w:topLinePunct w:val="0"/>
        <w:bidi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中央控制主机</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（1）采用工业级嵌入式ARM处理器，内置32MB内存和4MB工业级数据存储FLASH，能快速处理复杂的逻辑指令。</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（2）4个以上DB9串行接口，4路以上双向RS232/RS485等控制信号传输；</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（3）2个以上IR红外设备控制端口；</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（4）独立以太网数据传输接口，可兼容</w:t>
      </w:r>
      <w:r>
        <w:rPr>
          <w:rFonts w:hint="eastAsia" w:ascii="宋体" w:hAnsi="宋体" w:eastAsia="宋体" w:cs="宋体"/>
          <w:color w:val="auto"/>
          <w:sz w:val="21"/>
          <w:szCs w:val="21"/>
          <w:highlight w:val="none"/>
          <w:lang w:eastAsia="zh-CN"/>
        </w:rPr>
        <w:t>Wi-Fi</w:t>
      </w:r>
      <w:r>
        <w:rPr>
          <w:rFonts w:hint="eastAsia" w:ascii="宋体" w:hAnsi="宋体" w:eastAsia="宋体" w:cs="宋体"/>
          <w:color w:val="auto"/>
          <w:sz w:val="21"/>
          <w:szCs w:val="21"/>
          <w:highlight w:val="none"/>
        </w:rPr>
        <w:t>触摸屏和计算机远程控制；</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（5）支持多种协议：ARP，UDP/IP，TCP/IP，SNTP，TELNET，HTTP协议等；</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（6）计算机局域网/广域网集群控制，具有对网络设备的管控能力；</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（7）支持PoE IEEE 802.3af标准。</w:t>
      </w:r>
    </w:p>
    <w:p>
      <w:pPr>
        <w:pageBreakBefore w:val="0"/>
        <w:numPr>
          <w:ilvl w:val="1"/>
          <w:numId w:val="1"/>
        </w:numPr>
        <w:kinsoku/>
        <w:wordWrap/>
        <w:overflowPunct/>
        <w:topLinePunct w:val="0"/>
        <w:bidi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电源时序器</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主要技术指标应满足或优于以下要求：</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提供1路AKS-NET网络控制接口，1路RS232接口，可编程控制主机通讯。可由控制系统的24V DC或AC 100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240V两种供电模式。</w:t>
      </w:r>
    </w:p>
    <w:p>
      <w:pPr>
        <w:pStyle w:val="5"/>
        <w:pageBreakBefore w:val="0"/>
        <w:tabs>
          <w:tab w:val="left" w:pos="2155"/>
        </w:tabs>
        <w:kinsoku/>
        <w:wordWrap/>
        <w:overflowPunct/>
        <w:topLinePunct w:val="0"/>
        <w:bidi w:val="0"/>
        <w:spacing w:before="0" w:after="0" w:line="360" w:lineRule="auto"/>
        <w:jc w:val="left"/>
        <w:outlineLvl w:val="4"/>
        <w:rPr>
          <w:rFonts w:hint="eastAsia" w:ascii="宋体" w:hAnsi="宋体" w:eastAsia="宋体" w:cs="宋体"/>
          <w:b/>
          <w:bCs/>
          <w:color w:val="auto"/>
          <w:sz w:val="21"/>
          <w:szCs w:val="21"/>
          <w:highlight w:val="none"/>
          <w:lang w:val="en-US" w:eastAsia="zh-CN"/>
        </w:rPr>
      </w:pPr>
      <w:bookmarkStart w:id="64" w:name="_Toc184079404"/>
      <w:r>
        <w:rPr>
          <w:rFonts w:hint="eastAsia" w:ascii="宋体" w:hAnsi="宋体" w:eastAsia="宋体" w:cs="宋体"/>
          <w:b/>
          <w:bCs/>
          <w:color w:val="auto"/>
          <w:sz w:val="21"/>
          <w:szCs w:val="21"/>
          <w:highlight w:val="none"/>
          <w:lang w:val="en-US" w:eastAsia="zh-CN"/>
        </w:rPr>
        <w:t>（三）会议会商系统</w:t>
      </w:r>
      <w:bookmarkEnd w:id="64"/>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通过配置数字会议主机、会议发言单元等相关设备，提供重大活动期间及日常会议所需功能，满足会议参会人员发言、讨论等会议功能要求，对会议全过程实行全面控制。主要包括以下部分：</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1.智能数字会议系统主机</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2.桌面式发言主席单元</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3.桌面式发言代表单元</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4.航空安装线缆</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5.真分集无线话筒</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6.八路天线放大器（室内版）</w:t>
      </w:r>
      <w:r>
        <w:rPr>
          <w:rFonts w:hint="eastAsia" w:ascii="宋体" w:hAnsi="宋体" w:eastAsia="宋体" w:cs="宋体"/>
          <w:color w:val="auto"/>
          <w:sz w:val="21"/>
          <w:szCs w:val="21"/>
          <w:highlight w:val="none"/>
          <w:lang w:eastAsia="zh-CN"/>
        </w:rPr>
        <w:t>。</w:t>
      </w:r>
    </w:p>
    <w:p>
      <w:pPr>
        <w:pStyle w:val="5"/>
        <w:pageBreakBefore w:val="0"/>
        <w:tabs>
          <w:tab w:val="left" w:pos="2155"/>
        </w:tabs>
        <w:kinsoku/>
        <w:wordWrap/>
        <w:overflowPunct/>
        <w:topLinePunct w:val="0"/>
        <w:bidi w:val="0"/>
        <w:spacing w:before="0" w:after="0" w:line="360" w:lineRule="auto"/>
        <w:jc w:val="left"/>
        <w:outlineLvl w:val="4"/>
        <w:rPr>
          <w:rFonts w:hint="eastAsia" w:ascii="宋体" w:hAnsi="宋体" w:eastAsia="宋体" w:cs="宋体"/>
          <w:b/>
          <w:bCs/>
          <w:color w:val="auto"/>
          <w:sz w:val="21"/>
          <w:szCs w:val="21"/>
          <w:highlight w:val="none"/>
          <w:lang w:val="en-US" w:eastAsia="zh-CN"/>
        </w:rPr>
      </w:pPr>
      <w:bookmarkStart w:id="65" w:name="_Toc184079405"/>
      <w:r>
        <w:rPr>
          <w:rFonts w:hint="eastAsia" w:ascii="宋体" w:hAnsi="宋体" w:eastAsia="宋体" w:cs="宋体"/>
          <w:b/>
          <w:bCs/>
          <w:color w:val="auto"/>
          <w:sz w:val="21"/>
          <w:szCs w:val="21"/>
          <w:highlight w:val="none"/>
          <w:lang w:val="en-US" w:eastAsia="zh-CN"/>
        </w:rPr>
        <w:t>（四）音频扩音系统</w:t>
      </w:r>
      <w:bookmarkEnd w:id="65"/>
    </w:p>
    <w:p>
      <w:pPr>
        <w:pStyle w:val="340"/>
        <w:pageBreakBefore w:val="0"/>
        <w:kinsoku/>
        <w:wordWrap/>
        <w:overflowPunct/>
        <w:topLinePunct w:val="0"/>
        <w:bidi w:val="0"/>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配置调音台、音频处理器、功放、音响等相关设备，为重大活动无线电安全保障期间及日常会议时提供良好的音源播放，使指挥大厅内音场均衡，使与会人员在每个角落都能清晰听到会议内容。主要包括以下部分：</w:t>
      </w:r>
    </w:p>
    <w:p>
      <w:pPr>
        <w:pStyle w:val="340"/>
        <w:pageBreakBefore w:val="0"/>
        <w:kinsoku/>
        <w:wordWrap/>
        <w:overflowPunct/>
        <w:topLinePunct w:val="0"/>
        <w:bidi w:val="0"/>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1.无源全频音箱</w:t>
      </w:r>
    </w:p>
    <w:p>
      <w:pPr>
        <w:pStyle w:val="340"/>
        <w:pageBreakBefore w:val="0"/>
        <w:kinsoku/>
        <w:wordWrap/>
        <w:overflowPunct/>
        <w:topLinePunct w:val="0"/>
        <w:bidi w:val="0"/>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2.双通道专业数字功放</w:t>
      </w:r>
    </w:p>
    <w:p>
      <w:pPr>
        <w:pStyle w:val="340"/>
        <w:pageBreakBefore w:val="0"/>
        <w:kinsoku/>
        <w:wordWrap/>
        <w:overflowPunct/>
        <w:topLinePunct w:val="0"/>
        <w:bidi w:val="0"/>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3.支架</w:t>
      </w:r>
    </w:p>
    <w:p>
      <w:pPr>
        <w:pStyle w:val="340"/>
        <w:pageBreakBefore w:val="0"/>
        <w:kinsoku/>
        <w:wordWrap/>
        <w:overflowPunct/>
        <w:topLinePunct w:val="0"/>
        <w:bidi w:val="0"/>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4.专业音频处理器</w:t>
      </w:r>
    </w:p>
    <w:p>
      <w:pPr>
        <w:pStyle w:val="340"/>
        <w:pageBreakBefore w:val="0"/>
        <w:kinsoku/>
        <w:wordWrap/>
        <w:overflowPunct/>
        <w:topLinePunct w:val="0"/>
        <w:bidi w:val="0"/>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5.专业自动反馈抑制器</w:t>
      </w:r>
    </w:p>
    <w:p>
      <w:pPr>
        <w:pStyle w:val="340"/>
        <w:pageBreakBefore w:val="0"/>
        <w:kinsoku/>
        <w:wordWrap/>
        <w:overflowPunct/>
        <w:topLinePunct w:val="0"/>
        <w:bidi w:val="0"/>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6.模拟调音台</w:t>
      </w:r>
    </w:p>
    <w:p>
      <w:pPr>
        <w:pStyle w:val="340"/>
        <w:pageBreakBefore w:val="0"/>
        <w:kinsoku/>
        <w:wordWrap/>
        <w:overflowPunct/>
        <w:topLinePunct w:val="0"/>
        <w:bidi w:val="0"/>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7.莲花-话筒插头</w:t>
      </w:r>
    </w:p>
    <w:p>
      <w:pPr>
        <w:pStyle w:val="340"/>
        <w:pageBreakBefore w:val="0"/>
        <w:kinsoku/>
        <w:wordWrap/>
        <w:overflowPunct/>
        <w:topLinePunct w:val="0"/>
        <w:bidi w:val="0"/>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8.卡侬头（母）-卡侬头（公）</w:t>
      </w:r>
    </w:p>
    <w:p>
      <w:pPr>
        <w:pStyle w:val="8"/>
        <w:pageBreakBefore w:val="0"/>
        <w:kinsoku/>
        <w:wordWrap/>
        <w:overflowPunct/>
        <w:topLinePunct w:val="0"/>
        <w:bidi w:val="0"/>
        <w:spacing w:before="0" w:after="0" w:line="360" w:lineRule="auto"/>
        <w:jc w:val="left"/>
        <w:outlineLvl w:val="3"/>
        <w:rPr>
          <w:rFonts w:hint="eastAsia" w:ascii="宋体" w:hAnsi="宋体" w:eastAsia="宋体" w:cs="宋体"/>
          <w:b/>
          <w:bCs/>
          <w:color w:val="auto"/>
          <w:sz w:val="21"/>
          <w:szCs w:val="21"/>
          <w:highlight w:val="none"/>
          <w:lang w:val="en-US" w:eastAsia="zh-CN"/>
        </w:rPr>
      </w:pPr>
      <w:bookmarkStart w:id="66" w:name="_Toc8253"/>
      <w:r>
        <w:rPr>
          <w:rFonts w:hint="eastAsia" w:ascii="宋体" w:hAnsi="宋体" w:eastAsia="宋体" w:cs="宋体"/>
          <w:b/>
          <w:bCs/>
          <w:color w:val="auto"/>
          <w:sz w:val="21"/>
          <w:szCs w:val="21"/>
          <w:highlight w:val="none"/>
          <w:lang w:val="en-US" w:eastAsia="zh-CN"/>
        </w:rPr>
        <w:t>二、FAST监测指挥系统软件建设方案</w:t>
      </w:r>
      <w:bookmarkEnd w:id="66"/>
    </w:p>
    <w:p>
      <w:pPr>
        <w:pStyle w:val="7"/>
        <w:pageBreakBefore w:val="0"/>
        <w:kinsoku/>
        <w:wordWrap/>
        <w:overflowPunct/>
        <w:topLinePunct w:val="0"/>
        <w:bidi w:val="0"/>
        <w:spacing w:before="0" w:beforeLines="0" w:line="360" w:lineRule="auto"/>
        <w:ind w:firstLine="480"/>
        <w:jc w:val="lef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sz w:val="21"/>
          <w:szCs w:val="21"/>
          <w:highlight w:val="none"/>
        </w:rPr>
        <w:t>河池市无线监测中心FAST监测指挥系统需要与一期项目“FAST射电望远镜电磁波宁静区电磁环境监测系统”进行融合衔接，可以直接显示和使用一期项目“FAST射电望远镜电磁波宁静区电磁环境监测系统”的监测设备进行监测分析测量。</w:t>
      </w:r>
    </w:p>
    <w:p>
      <w:pPr>
        <w:pStyle w:val="5"/>
        <w:pageBreakBefore w:val="0"/>
        <w:tabs>
          <w:tab w:val="left" w:pos="2155"/>
        </w:tabs>
        <w:kinsoku/>
        <w:wordWrap/>
        <w:overflowPunct/>
        <w:topLinePunct w:val="0"/>
        <w:bidi w:val="0"/>
        <w:spacing w:before="0" w:after="0" w:line="360" w:lineRule="auto"/>
        <w:jc w:val="left"/>
        <w:outlineLvl w:val="4"/>
        <w:rPr>
          <w:rFonts w:hint="eastAsia" w:ascii="宋体" w:hAnsi="宋体" w:eastAsia="宋体" w:cs="宋体"/>
          <w:b/>
          <w:bCs/>
          <w:color w:val="auto"/>
          <w:sz w:val="21"/>
          <w:szCs w:val="21"/>
          <w:highlight w:val="none"/>
          <w:lang w:val="en-US" w:eastAsia="zh-CN"/>
        </w:rPr>
      </w:pPr>
      <w:bookmarkStart w:id="67" w:name="_Toc156291109"/>
      <w:bookmarkStart w:id="68" w:name="_Toc184079408"/>
      <w:r>
        <w:rPr>
          <w:rFonts w:hint="eastAsia" w:ascii="宋体" w:hAnsi="宋体" w:eastAsia="宋体" w:cs="宋体"/>
          <w:b/>
          <w:bCs/>
          <w:color w:val="auto"/>
          <w:sz w:val="21"/>
          <w:szCs w:val="21"/>
          <w:highlight w:val="none"/>
          <w:lang w:val="en-US" w:eastAsia="zh-CN"/>
        </w:rPr>
        <w:t>（一）可视化电波宁静区电磁环境分析展示子系统</w:t>
      </w:r>
      <w:bookmarkEnd w:id="67"/>
      <w:bookmarkEnd w:id="68"/>
    </w:p>
    <w:p>
      <w:pPr>
        <w:pStyle w:val="153"/>
        <w:pageBreakBefore w:val="0"/>
        <w:numPr>
          <w:ilvl w:val="0"/>
          <w:numId w:val="2"/>
        </w:numPr>
        <w:kinsoku/>
        <w:wordWrap/>
        <w:overflowPunct/>
        <w:topLinePunct w:val="0"/>
        <w:bidi w:val="0"/>
        <w:spacing w:line="360" w:lineRule="auto"/>
        <w:ind w:firstLineChars="0"/>
        <w:jc w:val="left"/>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电波宁静区展示</w:t>
      </w:r>
    </w:p>
    <w:p>
      <w:pPr>
        <w:pageBreakBefore w:val="0"/>
        <w:kinsoku/>
        <w:wordWrap/>
        <w:overflowPunct/>
        <w:topLinePunct w:val="0"/>
        <w:bidi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依照国家相关规范在电子地图中绘制电波宁静区，展示宁静区内监测站、台站的位置和相关信息。</w:t>
      </w:r>
    </w:p>
    <w:p>
      <w:pPr>
        <w:pStyle w:val="153"/>
        <w:pageBreakBefore w:val="0"/>
        <w:numPr>
          <w:ilvl w:val="0"/>
          <w:numId w:val="2"/>
        </w:numPr>
        <w:kinsoku/>
        <w:wordWrap/>
        <w:overflowPunct/>
        <w:topLinePunct w:val="0"/>
        <w:bidi w:val="0"/>
        <w:spacing w:line="360" w:lineRule="auto"/>
        <w:ind w:firstLineChars="0"/>
        <w:jc w:val="left"/>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频谱资源分析</w:t>
      </w:r>
    </w:p>
    <w:p>
      <w:pPr>
        <w:pageBreakBefore w:val="0"/>
        <w:kinsoku/>
        <w:wordWrap/>
        <w:overflowPunct/>
        <w:topLinePunct w:val="0"/>
        <w:bidi w:val="0"/>
        <w:spacing w:line="360" w:lineRule="auto"/>
        <w:ind w:firstLine="840" w:firstLineChars="4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从频域和空域量化分析各业务频段频谱资源占用情况。</w:t>
      </w:r>
    </w:p>
    <w:p>
      <w:pPr>
        <w:pageBreakBefore w:val="0"/>
        <w:kinsoku/>
        <w:wordWrap/>
        <w:overflowPunct/>
        <w:topLinePunct w:val="0"/>
        <w:bidi w:val="0"/>
        <w:spacing w:line="360" w:lineRule="auto"/>
        <w:ind w:firstLine="422" w:firstLineChars="200"/>
        <w:jc w:val="left"/>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频点频谱资源：</w:t>
      </w:r>
    </w:p>
    <w:p>
      <w:pPr>
        <w:pageBreakBefore w:val="0"/>
        <w:kinsoku/>
        <w:wordWrap/>
        <w:overflowPunct/>
        <w:topLinePunct w:val="0"/>
        <w:bidi w:val="0"/>
        <w:spacing w:line="360" w:lineRule="auto"/>
        <w:ind w:firstLine="840" w:firstLineChars="4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计算同频台站频谱资源占用情况，在电子地图中绘制频谱资源态势图。</w:t>
      </w:r>
    </w:p>
    <w:p>
      <w:pPr>
        <w:pageBreakBefore w:val="0"/>
        <w:kinsoku/>
        <w:wordWrap/>
        <w:overflowPunct/>
        <w:topLinePunct w:val="0"/>
        <w:bidi w:val="0"/>
        <w:spacing w:line="360" w:lineRule="auto"/>
        <w:ind w:firstLine="422" w:firstLineChars="200"/>
        <w:jc w:val="left"/>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频段频谱资源：</w:t>
      </w:r>
    </w:p>
    <w:p>
      <w:pPr>
        <w:pageBreakBefore w:val="0"/>
        <w:kinsoku/>
        <w:wordWrap/>
        <w:overflowPunct/>
        <w:topLinePunct w:val="0"/>
        <w:bidi w:val="0"/>
        <w:spacing w:line="360" w:lineRule="auto"/>
        <w:ind w:firstLine="840" w:firstLineChars="40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计算指定业务频段频谱资源占用情况，在电子地图中绘制频谱资源态势图。</w:t>
      </w:r>
    </w:p>
    <w:p>
      <w:pPr>
        <w:pStyle w:val="153"/>
        <w:pageBreakBefore w:val="0"/>
        <w:numPr>
          <w:ilvl w:val="0"/>
          <w:numId w:val="2"/>
        </w:numPr>
        <w:kinsoku/>
        <w:wordWrap/>
        <w:overflowPunct/>
        <w:topLinePunct w:val="0"/>
        <w:bidi w:val="0"/>
        <w:spacing w:line="360" w:lineRule="auto"/>
        <w:ind w:firstLineChars="0"/>
        <w:jc w:val="left"/>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电磁辐射分析</w:t>
      </w:r>
    </w:p>
    <w:p>
      <w:pPr>
        <w:pageBreakBefore w:val="0"/>
        <w:kinsoku/>
        <w:wordWrap/>
        <w:overflowPunct/>
        <w:topLinePunct w:val="0"/>
        <w:bidi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依据无线电传播模型和地理信息系统数据计算指定台站周边的信号辐射情况，在电子地图中绘制场强覆盖图，并可显示台站周围任意点的接收场强。</w:t>
      </w:r>
    </w:p>
    <w:p>
      <w:pPr>
        <w:pStyle w:val="153"/>
        <w:pageBreakBefore w:val="0"/>
        <w:numPr>
          <w:ilvl w:val="0"/>
          <w:numId w:val="2"/>
        </w:numPr>
        <w:kinsoku/>
        <w:wordWrap/>
        <w:overflowPunct/>
        <w:topLinePunct w:val="0"/>
        <w:bidi w:val="0"/>
        <w:spacing w:line="360" w:lineRule="auto"/>
        <w:ind w:firstLineChars="0"/>
        <w:jc w:val="left"/>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虚拟台站仿真</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可在任意位置建立虚拟台站，设置台站的发射频率、发射功率等参数，绘制台站的场强覆盖图，计算台站和同频台站的电磁兼容性，并依照国家相关规范计算和FAST射电望远镜的电磁兼容性。</w:t>
      </w:r>
    </w:p>
    <w:p>
      <w:pPr>
        <w:pStyle w:val="5"/>
        <w:pageBreakBefore w:val="0"/>
        <w:tabs>
          <w:tab w:val="left" w:pos="2155"/>
        </w:tabs>
        <w:kinsoku/>
        <w:wordWrap/>
        <w:overflowPunct/>
        <w:topLinePunct w:val="0"/>
        <w:bidi w:val="0"/>
        <w:spacing w:before="0" w:after="0" w:line="360" w:lineRule="auto"/>
        <w:jc w:val="left"/>
        <w:outlineLvl w:val="4"/>
        <w:rPr>
          <w:rFonts w:hint="eastAsia" w:ascii="宋体" w:hAnsi="宋体" w:eastAsia="宋体" w:cs="宋体"/>
          <w:b/>
          <w:bCs/>
          <w:color w:val="auto"/>
          <w:sz w:val="21"/>
          <w:szCs w:val="21"/>
          <w:highlight w:val="none"/>
          <w:lang w:val="en-US" w:eastAsia="zh-CN"/>
        </w:rPr>
      </w:pPr>
      <w:bookmarkStart w:id="69" w:name="_Toc156291110"/>
      <w:bookmarkStart w:id="70" w:name="_Toc184079409"/>
      <w:r>
        <w:rPr>
          <w:rFonts w:hint="eastAsia" w:ascii="宋体" w:hAnsi="宋体" w:eastAsia="宋体" w:cs="宋体"/>
          <w:b/>
          <w:bCs/>
          <w:color w:val="auto"/>
          <w:sz w:val="21"/>
          <w:szCs w:val="21"/>
          <w:highlight w:val="none"/>
          <w:lang w:val="en-US" w:eastAsia="zh-CN"/>
        </w:rPr>
        <w:t>（二）可视化电磁兼容分析子系统</w:t>
      </w:r>
      <w:bookmarkEnd w:id="69"/>
      <w:bookmarkEnd w:id="70"/>
    </w:p>
    <w:p>
      <w:pPr>
        <w:pStyle w:val="153"/>
        <w:pageBreakBefore w:val="0"/>
        <w:numPr>
          <w:ilvl w:val="0"/>
          <w:numId w:val="3"/>
        </w:numPr>
        <w:kinsoku/>
        <w:wordWrap/>
        <w:overflowPunct/>
        <w:topLinePunct w:val="0"/>
        <w:bidi w:val="0"/>
        <w:spacing w:line="360" w:lineRule="auto"/>
        <w:ind w:firstLineChars="0"/>
        <w:jc w:val="left"/>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电磁波宁静区电磁兼容分析</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依照国家相关规范，基于实测数据和理论仿真计算指定业务频段或指定台站和FAST射电望远镜的电磁兼容性，分析是否会对FAST射电望远镜产生干扰，计算干扰面积，在电子地图中绘制干扰区域图。</w:t>
      </w:r>
    </w:p>
    <w:p>
      <w:pPr>
        <w:pStyle w:val="153"/>
        <w:pageBreakBefore w:val="0"/>
        <w:numPr>
          <w:ilvl w:val="0"/>
          <w:numId w:val="3"/>
        </w:numPr>
        <w:kinsoku/>
        <w:wordWrap/>
        <w:overflowPunct/>
        <w:topLinePunct w:val="0"/>
        <w:bidi w:val="0"/>
        <w:spacing w:line="360" w:lineRule="auto"/>
        <w:ind w:firstLineChars="0"/>
        <w:jc w:val="left"/>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同频台站电磁兼容分析</w:t>
      </w:r>
    </w:p>
    <w:p>
      <w:pPr>
        <w:pageBreakBefore w:val="0"/>
        <w:kinsoku/>
        <w:wordWrap/>
        <w:overflowPunct/>
        <w:topLinePunct w:val="0"/>
        <w:bidi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计算同频台站间的电磁兼容性，分析相互间是否会干扰，计算干扰面积，在电子地图中绘制干扰区域图。</w:t>
      </w:r>
    </w:p>
    <w:p>
      <w:pPr>
        <w:pStyle w:val="5"/>
        <w:pageBreakBefore w:val="0"/>
        <w:tabs>
          <w:tab w:val="left" w:pos="2155"/>
        </w:tabs>
        <w:kinsoku/>
        <w:wordWrap/>
        <w:overflowPunct/>
        <w:topLinePunct w:val="0"/>
        <w:bidi w:val="0"/>
        <w:spacing w:before="0" w:after="0" w:line="360" w:lineRule="auto"/>
        <w:jc w:val="left"/>
        <w:outlineLvl w:val="4"/>
        <w:rPr>
          <w:rFonts w:hint="eastAsia" w:ascii="宋体" w:hAnsi="宋体" w:eastAsia="宋体" w:cs="宋体"/>
          <w:b/>
          <w:bCs/>
          <w:color w:val="auto"/>
          <w:sz w:val="21"/>
          <w:szCs w:val="21"/>
          <w:highlight w:val="none"/>
          <w:lang w:val="en-US" w:eastAsia="zh-CN"/>
        </w:rPr>
      </w:pPr>
      <w:bookmarkStart w:id="71" w:name="_Toc156291111"/>
      <w:bookmarkStart w:id="72" w:name="_Toc184079410"/>
      <w:r>
        <w:rPr>
          <w:rFonts w:hint="eastAsia" w:ascii="宋体" w:hAnsi="宋体" w:eastAsia="宋体" w:cs="宋体"/>
          <w:b/>
          <w:bCs/>
          <w:color w:val="auto"/>
          <w:sz w:val="21"/>
          <w:szCs w:val="21"/>
          <w:highlight w:val="none"/>
          <w:lang w:val="en-US" w:eastAsia="zh-CN"/>
        </w:rPr>
        <w:t>（三）可视化监测覆盖分析及展示子系统</w:t>
      </w:r>
      <w:bookmarkEnd w:id="71"/>
      <w:bookmarkEnd w:id="72"/>
    </w:p>
    <w:p>
      <w:pPr>
        <w:pageBreakBefore w:val="0"/>
        <w:kinsoku/>
        <w:wordWrap/>
        <w:overflowPunct/>
        <w:topLinePunct w:val="0"/>
        <w:bidi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结合监测站相关参数和内置地形数据，量化分析监测站对于不同监测业务的覆盖面积。可结合不同业务的典型发射高度分析。</w:t>
      </w:r>
    </w:p>
    <w:p>
      <w:pPr>
        <w:pStyle w:val="153"/>
        <w:pageBreakBefore w:val="0"/>
        <w:numPr>
          <w:ilvl w:val="0"/>
          <w:numId w:val="4"/>
        </w:numPr>
        <w:kinsoku/>
        <w:wordWrap/>
        <w:overflowPunct/>
        <w:topLinePunct w:val="0"/>
        <w:bidi w:val="0"/>
        <w:spacing w:line="360" w:lineRule="auto"/>
        <w:ind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监测站覆盖分析</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结合监测站相关参数和内置地形数据，量化分析监测站对于不同监测业务的覆盖面积。</w:t>
      </w:r>
    </w:p>
    <w:p>
      <w:pPr>
        <w:pStyle w:val="153"/>
        <w:pageBreakBefore w:val="0"/>
        <w:numPr>
          <w:ilvl w:val="0"/>
          <w:numId w:val="4"/>
        </w:numPr>
        <w:kinsoku/>
        <w:wordWrap/>
        <w:overflowPunct/>
        <w:topLinePunct w:val="0"/>
        <w:bidi w:val="0"/>
        <w:spacing w:line="360" w:lineRule="auto"/>
        <w:ind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监测网覆盖面积和覆盖率统计</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量化分析监测网内现有监测设施对于不同监测业务的总覆盖面积，并统计覆盖率。可结合不同业务的典型发射高度分析，支持多种典型高度分析。</w:t>
      </w:r>
    </w:p>
    <w:p>
      <w:pPr>
        <w:pStyle w:val="153"/>
        <w:pageBreakBefore w:val="0"/>
        <w:numPr>
          <w:ilvl w:val="0"/>
          <w:numId w:val="4"/>
        </w:numPr>
        <w:kinsoku/>
        <w:wordWrap/>
        <w:overflowPunct/>
        <w:topLinePunct w:val="0"/>
        <w:bidi w:val="0"/>
        <w:spacing w:line="360" w:lineRule="auto"/>
        <w:ind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接收场强分析</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量化分析监测设施</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周边对于不同业务发射源的接收场强。支持多种预设业务和自定义业务。</w:t>
      </w:r>
    </w:p>
    <w:p>
      <w:pPr>
        <w:pStyle w:val="22"/>
        <w:pageBreakBefore w:val="0"/>
        <w:kinsoku/>
        <w:wordWrap/>
        <w:overflowPunct/>
        <w:topLinePunct w:val="0"/>
        <w:bidi w:val="0"/>
        <w:spacing w:line="360" w:lineRule="auto"/>
        <w:jc w:val="left"/>
        <w:rPr>
          <w:rFonts w:hint="eastAsia" w:ascii="宋体" w:hAnsi="宋体" w:eastAsia="宋体" w:cs="宋体"/>
          <w:color w:val="auto"/>
          <w:sz w:val="21"/>
          <w:szCs w:val="21"/>
          <w:highlight w:val="none"/>
        </w:rPr>
      </w:pPr>
    </w:p>
    <w:p>
      <w:pPr>
        <w:pStyle w:val="153"/>
        <w:pageBreakBefore w:val="0"/>
        <w:numPr>
          <w:ilvl w:val="0"/>
          <w:numId w:val="4"/>
        </w:numPr>
        <w:kinsoku/>
        <w:wordWrap/>
        <w:overflowPunct/>
        <w:topLinePunct w:val="0"/>
        <w:bidi w:val="0"/>
        <w:spacing w:line="360" w:lineRule="auto"/>
        <w:ind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绘制监测覆盖态势图</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可在电子地图中直观展示监测覆盖分析图，通过不同颜色表示接收场强的大小。</w:t>
      </w:r>
    </w:p>
    <w:p>
      <w:pPr>
        <w:pStyle w:val="5"/>
        <w:pageBreakBefore w:val="0"/>
        <w:tabs>
          <w:tab w:val="left" w:pos="2155"/>
        </w:tabs>
        <w:kinsoku/>
        <w:wordWrap/>
        <w:overflowPunct/>
        <w:topLinePunct w:val="0"/>
        <w:bidi w:val="0"/>
        <w:spacing w:before="0" w:after="0" w:line="360" w:lineRule="auto"/>
        <w:jc w:val="left"/>
        <w:outlineLvl w:val="4"/>
        <w:rPr>
          <w:rFonts w:hint="eastAsia" w:ascii="宋体" w:hAnsi="宋体" w:eastAsia="宋体" w:cs="宋体"/>
          <w:b/>
          <w:bCs/>
          <w:color w:val="auto"/>
          <w:sz w:val="21"/>
          <w:szCs w:val="21"/>
          <w:highlight w:val="none"/>
          <w:lang w:val="en-US" w:eastAsia="zh-CN"/>
        </w:rPr>
      </w:pPr>
      <w:bookmarkStart w:id="73" w:name="_Toc184079411"/>
      <w:bookmarkStart w:id="74" w:name="_Toc156291112"/>
      <w:r>
        <w:rPr>
          <w:rFonts w:hint="eastAsia" w:ascii="宋体" w:hAnsi="宋体" w:eastAsia="宋体" w:cs="宋体"/>
          <w:b/>
          <w:bCs/>
          <w:color w:val="auto"/>
          <w:sz w:val="21"/>
          <w:szCs w:val="21"/>
          <w:highlight w:val="none"/>
          <w:lang w:val="en-US" w:eastAsia="zh-CN"/>
        </w:rPr>
        <w:t>（四）一体化平台接入</w:t>
      </w:r>
      <w:bookmarkEnd w:id="73"/>
      <w:bookmarkEnd w:id="74"/>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设备支持《超短波监测管理一体化平台技术规范》，可通过原子化服务接入一体化平台。FAST监测指挥系统支持一体化平台应用接入规范，可接入</w:t>
      </w:r>
      <w:r>
        <w:rPr>
          <w:rFonts w:hint="eastAsia" w:ascii="宋体" w:hAnsi="宋体" w:eastAsia="宋体" w:cs="宋体"/>
          <w:snapToGrid w:val="0"/>
          <w:color w:val="auto"/>
          <w:kern w:val="0"/>
          <w:sz w:val="21"/>
          <w:szCs w:val="21"/>
          <w:highlight w:val="none"/>
          <w:lang w:val="en-US" w:eastAsia="zh-CN"/>
        </w:rPr>
        <w:t>广西</w:t>
      </w:r>
      <w:r>
        <w:rPr>
          <w:rFonts w:hint="eastAsia" w:ascii="宋体" w:hAnsi="宋体" w:eastAsia="宋体" w:cs="宋体"/>
          <w:snapToGrid w:val="0"/>
          <w:color w:val="auto"/>
          <w:kern w:val="0"/>
          <w:sz w:val="21"/>
          <w:szCs w:val="21"/>
          <w:highlight w:val="none"/>
        </w:rPr>
        <w:t>一体化平台。</w:t>
      </w:r>
    </w:p>
    <w:p>
      <w:pPr>
        <w:pStyle w:val="8"/>
        <w:pageBreakBefore w:val="0"/>
        <w:kinsoku/>
        <w:wordWrap/>
        <w:overflowPunct/>
        <w:topLinePunct w:val="0"/>
        <w:bidi w:val="0"/>
        <w:spacing w:before="0" w:after="0" w:line="360" w:lineRule="auto"/>
        <w:jc w:val="left"/>
        <w:outlineLvl w:val="3"/>
        <w:rPr>
          <w:rFonts w:hint="eastAsia" w:ascii="宋体" w:hAnsi="宋体" w:eastAsia="宋体" w:cs="宋体"/>
          <w:b/>
          <w:bCs/>
          <w:color w:val="auto"/>
          <w:sz w:val="21"/>
          <w:szCs w:val="21"/>
          <w:highlight w:val="none"/>
          <w:lang w:val="en-US" w:eastAsia="zh-CN"/>
        </w:rPr>
      </w:pPr>
      <w:bookmarkStart w:id="75" w:name="_Toc27037"/>
      <w:r>
        <w:rPr>
          <w:rFonts w:hint="eastAsia" w:ascii="宋体" w:hAnsi="宋体" w:eastAsia="宋体" w:cs="宋体"/>
          <w:b/>
          <w:bCs/>
          <w:color w:val="auto"/>
          <w:sz w:val="21"/>
          <w:szCs w:val="21"/>
          <w:highlight w:val="none"/>
          <w:lang w:val="en-US" w:eastAsia="zh-CN"/>
        </w:rPr>
        <w:t>三、新建四类无线电监测固定站建设方案</w:t>
      </w:r>
      <w:bookmarkEnd w:id="75"/>
    </w:p>
    <w:p>
      <w:pPr>
        <w:pStyle w:val="340"/>
        <w:pageBreakBefore w:val="0"/>
        <w:kinsoku/>
        <w:wordWrap/>
        <w:overflowPunct/>
        <w:topLinePunct w:val="0"/>
        <w:bidi w:val="0"/>
        <w:spacing w:line="360" w:lineRule="auto"/>
        <w:ind w:firstLine="56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本项目在河池市南丹县月里镇、南丹县中堡乡、天峨县三堡乡各新建1个四类固定监测站，具体建设地点由建设单位统一规划。</w:t>
      </w:r>
    </w:p>
    <w:p>
      <w:pPr>
        <w:pStyle w:val="340"/>
        <w:pageBreakBefore w:val="0"/>
        <w:kinsoku/>
        <w:wordWrap/>
        <w:overflowPunct/>
        <w:topLinePunct w:val="0"/>
        <w:bidi w:val="0"/>
        <w:spacing w:line="360" w:lineRule="auto"/>
        <w:ind w:firstLine="56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本期项目机房、塔桅、土建、地网等监测站配套设施由第三方提供，其中为满足安装要求而进行的室内外改造由承建单位负责。</w:t>
      </w:r>
    </w:p>
    <w:p>
      <w:pPr>
        <w:pStyle w:val="5"/>
        <w:pageBreakBefore w:val="0"/>
        <w:tabs>
          <w:tab w:val="left" w:pos="2155"/>
        </w:tabs>
        <w:kinsoku/>
        <w:wordWrap/>
        <w:overflowPunct/>
        <w:topLinePunct w:val="0"/>
        <w:bidi w:val="0"/>
        <w:spacing w:before="0" w:after="0" w:line="360" w:lineRule="auto"/>
        <w:jc w:val="left"/>
        <w:outlineLvl w:val="4"/>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（一）系统架构和组成</w:t>
      </w:r>
    </w:p>
    <w:p>
      <w:pPr>
        <w:pStyle w:val="340"/>
        <w:pageBreakBefore w:val="0"/>
        <w:kinsoku/>
        <w:wordWrap/>
        <w:overflowPunct/>
        <w:topLinePunct w:val="0"/>
        <w:bidi w:val="0"/>
        <w:spacing w:line="360" w:lineRule="auto"/>
        <w:ind w:firstLine="5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根据《省级无线电监测设施建设规范和技术要求（试行）》（国无办〔2019〕3号）对</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类固定监测站的设备配置要求，结合本项目的实际状况，本固定监测站建设总体上可以分为监测系统和配套设施两大部分，其中：</w:t>
      </w:r>
    </w:p>
    <w:p>
      <w:pPr>
        <w:pStyle w:val="340"/>
        <w:pageBreakBefore w:val="0"/>
        <w:kinsoku/>
        <w:wordWrap/>
        <w:overflowPunct/>
        <w:topLinePunct w:val="0"/>
        <w:bidi w:val="0"/>
        <w:spacing w:line="360" w:lineRule="auto"/>
        <w:ind w:firstLine="5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监测系统包括：</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天馈单元。包括监测天线组，以及天线安装附件</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2、数字宽带监测接收机；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配套设施包括：</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1、控制和网络系统。主要包括工控机、交换机、监测测向设备远程开关机控制等设备，用于设备控制和联网。</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2、配电系统包括市电的引入、UPS、蓄电池和UPS配电等。</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3、动环监控系统包括市电、UPS、蓄电池等电源监控，漏水、温湿度等环境监测，烟雾、温度探测器等消防监控等。</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4、视频监控主要是机房室内外的视频监控等。</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5、机房环境及配套主要包括机房室内外改造（其中机房地面需进行防静电处理）、防雷接地、通风空调、消防、照明、安防（门禁）以及其他可能需要的设施（如走线架等）。</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无线电监测固定</w:t>
      </w:r>
      <w:r>
        <w:rPr>
          <w:rFonts w:hint="eastAsia" w:ascii="宋体" w:hAnsi="宋体" w:eastAsia="宋体" w:cs="宋体"/>
          <w:color w:val="auto"/>
          <w:sz w:val="21"/>
          <w:szCs w:val="21"/>
          <w:highlight w:val="none"/>
          <w:lang w:val="en-US" w:eastAsia="zh-CN"/>
        </w:rPr>
        <w:t>监测</w:t>
      </w:r>
      <w:r>
        <w:rPr>
          <w:rFonts w:hint="eastAsia" w:ascii="宋体" w:hAnsi="宋体" w:eastAsia="宋体" w:cs="宋体"/>
          <w:color w:val="auto"/>
          <w:sz w:val="21"/>
          <w:szCs w:val="21"/>
          <w:highlight w:val="none"/>
        </w:rPr>
        <w:t>站</w:t>
      </w:r>
      <w:r>
        <w:rPr>
          <w:rFonts w:hint="eastAsia" w:ascii="宋体" w:hAnsi="宋体" w:eastAsia="宋体" w:cs="宋体"/>
          <w:color w:val="auto"/>
          <w:sz w:val="21"/>
          <w:szCs w:val="21"/>
          <w:highlight w:val="none"/>
          <w:lang w:val="en-US" w:eastAsia="zh-CN"/>
        </w:rPr>
        <w:t>应配置GNSS设备，用以提供时间和频率基准。GNSS系统应支持北斗系统，其他系统可选。</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4220210" cy="3366135"/>
            <wp:effectExtent l="0" t="0" r="8890" b="5715"/>
            <wp:docPr id="7"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图片1"/>
                    <pic:cNvPicPr>
                      <a:picLocks noChangeAspect="1"/>
                    </pic:cNvPicPr>
                  </pic:nvPicPr>
                  <pic:blipFill>
                    <a:blip r:embed="rId12"/>
                    <a:stretch>
                      <a:fillRect/>
                    </a:stretch>
                  </pic:blipFill>
                  <pic:spPr>
                    <a:xfrm>
                      <a:off x="0" y="0"/>
                      <a:ext cx="4220210" cy="3366135"/>
                    </a:xfrm>
                    <a:prstGeom prst="rect">
                      <a:avLst/>
                    </a:prstGeom>
                    <a:noFill/>
                    <a:ln>
                      <a:noFill/>
                    </a:ln>
                  </pic:spPr>
                </pic:pic>
              </a:graphicData>
            </a:graphic>
          </wp:inline>
        </w:drawing>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SEQ 图 \* ARABIC \s 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 xml:space="preserve"> 宁静区新建四类无线电监测固定监测站建设架构</w:t>
      </w:r>
      <w:r>
        <w:rPr>
          <w:rFonts w:hint="eastAsia" w:ascii="宋体" w:hAnsi="宋体" w:eastAsia="宋体" w:cs="宋体"/>
          <w:color w:val="auto"/>
          <w:sz w:val="21"/>
          <w:szCs w:val="21"/>
          <w:highlight w:val="none"/>
        </w:rPr>
        <w:t>示意图</w:t>
      </w:r>
    </w:p>
    <w:p>
      <w:pPr>
        <w:pStyle w:val="5"/>
        <w:pageBreakBefore w:val="0"/>
        <w:tabs>
          <w:tab w:val="left" w:pos="2155"/>
        </w:tabs>
        <w:kinsoku/>
        <w:wordWrap/>
        <w:overflowPunct/>
        <w:topLinePunct w:val="0"/>
        <w:bidi w:val="0"/>
        <w:spacing w:before="0" w:after="0" w:line="360" w:lineRule="auto"/>
        <w:jc w:val="left"/>
        <w:outlineLvl w:val="4"/>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（二）功能要求</w:t>
      </w:r>
    </w:p>
    <w:p>
      <w:pPr>
        <w:pageBreakBefore w:val="0"/>
        <w:kinsoku/>
        <w:wordWrap/>
        <w:overflowPunct/>
        <w:topLinePunct w:val="0"/>
        <w:bidi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（1）固定频率测量</w:t>
      </w:r>
    </w:p>
    <w:p>
      <w:pPr>
        <w:pageBreakBefore w:val="0"/>
        <w:kinsoku/>
        <w:wordWrap/>
        <w:overflowPunct/>
        <w:topLinePunct w:val="0"/>
        <w:bidi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固定频率测量可以测量频率电平的实时值，平均值，最大值，门限值；测试信号频率、场强（电平）等基本参数，显示实时中频频谱分析。界面输出：频谱图、瀑布图、IQ时域图、IQ星座图、ITU测量结果、电平时域图、音频图等。</w:t>
      </w:r>
    </w:p>
    <w:p>
      <w:pPr>
        <w:pageBreakBefore w:val="0"/>
        <w:kinsoku/>
        <w:wordWrap/>
        <w:overflowPunct/>
        <w:topLinePunct w:val="0"/>
        <w:bidi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支持时域电平图或时域场强图，测量信号的电平随时间变化的趋势。</w:t>
      </w:r>
    </w:p>
    <w:p>
      <w:pPr>
        <w:pageBreakBefore w:val="0"/>
        <w:kinsoku/>
        <w:wordWrap/>
        <w:overflowPunct/>
        <w:topLinePunct w:val="0"/>
        <w:bidi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支持录音门限设置，信号场强超过门限进行录音。</w:t>
      </w:r>
    </w:p>
    <w:p>
      <w:pPr>
        <w:pageBreakBefore w:val="0"/>
        <w:kinsoku/>
        <w:wordWrap/>
        <w:overflowPunct/>
        <w:topLinePunct w:val="0"/>
        <w:bidi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（2）离散扫描</w:t>
      </w:r>
    </w:p>
    <w:p>
      <w:pPr>
        <w:pageBreakBefore w:val="0"/>
        <w:kinsoku/>
        <w:wordWrap/>
        <w:overflowPunct/>
        <w:topLinePunct w:val="0"/>
        <w:bidi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可提供占用度的统计，电平概率分布等图形显示。测量频率可与样本库信息或台站数据库比对并自动跟踪报警信号；对离散的频点或频率表进行扫描监测，测试信号的电平或场强，实时测量各离散点的时间占用度。</w:t>
      </w:r>
    </w:p>
    <w:p>
      <w:pPr>
        <w:pageBreakBefore w:val="0"/>
        <w:kinsoku/>
        <w:wordWrap/>
        <w:overflowPunct/>
        <w:topLinePunct w:val="0"/>
        <w:bidi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（3）频段扫描</w:t>
      </w:r>
    </w:p>
    <w:p>
      <w:pPr>
        <w:pageBreakBefore w:val="0"/>
        <w:kinsoku/>
        <w:wordWrap/>
        <w:overflowPunct/>
        <w:topLinePunct w:val="0"/>
        <w:bidi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可提供占用度的统计，电平概率分布，瀑布图等图形显示。可对一个频段或多个不连续频段按一定的频率间隔进行扫描监测，实时测量各信号电平或场强，实时测量频率、频段时间占有度。</w:t>
      </w:r>
    </w:p>
    <w:p>
      <w:pPr>
        <w:pageBreakBefore w:val="0"/>
        <w:kinsoku/>
        <w:wordWrap/>
        <w:overflowPunct/>
        <w:topLinePunct w:val="0"/>
        <w:bidi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支持全景扫描（P-SCAN）、频段扫描（F-SCAN）。</w:t>
      </w:r>
    </w:p>
    <w:p>
      <w:pPr>
        <w:pageBreakBefore w:val="0"/>
        <w:kinsoku/>
        <w:wordWrap/>
        <w:overflowPunct/>
        <w:topLinePunct w:val="0"/>
        <w:bidi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支持多任务工作，可设置多个不同频段进行扫描。</w:t>
      </w:r>
    </w:p>
    <w:p>
      <w:pPr>
        <w:pageBreakBefore w:val="0"/>
        <w:kinsoku/>
        <w:wordWrap/>
        <w:overflowPunct/>
        <w:topLinePunct w:val="0"/>
        <w:bidi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可对一个频段分段分析，分段设置信号门限、门限容差、信噪比，并独立统计占用度。</w:t>
      </w:r>
    </w:p>
    <w:p>
      <w:pPr>
        <w:pageBreakBefore w:val="0"/>
        <w:kinsoku/>
        <w:wordWrap/>
        <w:overflowPunct/>
        <w:topLinePunct w:val="0"/>
        <w:bidi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可根据门限列出信号列表，并且实现信号自动合并。</w:t>
      </w:r>
    </w:p>
    <w:p>
      <w:pPr>
        <w:pageBreakBefore w:val="0"/>
        <w:kinsoku/>
        <w:wordWrap/>
        <w:overflowPunct/>
        <w:topLinePunct w:val="0"/>
        <w:bidi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（4）数字荧光谱展示</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固定频率测量和频段扫描可进行数字荧光谱显示，用于观察不同时长的突发信号。</w:t>
      </w:r>
    </w:p>
    <w:p>
      <w:pPr>
        <w:pStyle w:val="5"/>
        <w:pageBreakBefore w:val="0"/>
        <w:tabs>
          <w:tab w:val="left" w:pos="2155"/>
        </w:tabs>
        <w:kinsoku/>
        <w:wordWrap/>
        <w:overflowPunct/>
        <w:topLinePunct w:val="0"/>
        <w:bidi w:val="0"/>
        <w:spacing w:before="0" w:after="0" w:line="360" w:lineRule="auto"/>
        <w:jc w:val="left"/>
        <w:outlineLvl w:val="4"/>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（三）监测系统方案</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本项目为每个四类固定监测站新建</w:t>
      </w:r>
      <w:r>
        <w:rPr>
          <w:rFonts w:hint="eastAsia" w:ascii="宋体" w:hAnsi="宋体" w:eastAsia="宋体" w:cs="宋体"/>
          <w:color w:val="auto"/>
          <w:sz w:val="21"/>
          <w:szCs w:val="21"/>
          <w:highlight w:val="none"/>
          <w:lang w:val="en-US"/>
        </w:rPr>
        <w:t>宽带监测接收机</w:t>
      </w:r>
      <w:r>
        <w:rPr>
          <w:rFonts w:hint="eastAsia" w:ascii="宋体" w:hAnsi="宋体" w:eastAsia="宋体" w:cs="宋体"/>
          <w:color w:val="auto"/>
          <w:sz w:val="21"/>
          <w:szCs w:val="21"/>
          <w:highlight w:val="none"/>
          <w:lang w:val="en-US" w:eastAsia="zh-CN"/>
        </w:rPr>
        <w:t>一台，并配套监测天线，监测天线需覆盖监测接收机的所有工作频段。</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新建监测系统的主要技术指标要求如下：</w:t>
      </w:r>
    </w:p>
    <w:p>
      <w:pPr>
        <w:pStyle w:val="153"/>
        <w:pageBreakBefore w:val="0"/>
        <w:numPr>
          <w:ilvl w:val="0"/>
          <w:numId w:val="5"/>
        </w:numPr>
        <w:kinsoku/>
        <w:wordWrap/>
        <w:overflowPunct/>
        <w:topLinePunct w:val="0"/>
        <w:bidi w:val="0"/>
        <w:spacing w:line="360" w:lineRule="auto"/>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频率范围：20MHz～8000MHz；</w:t>
      </w:r>
    </w:p>
    <w:p>
      <w:pPr>
        <w:pStyle w:val="153"/>
        <w:pageBreakBefore w:val="0"/>
        <w:numPr>
          <w:ilvl w:val="0"/>
          <w:numId w:val="5"/>
        </w:numPr>
        <w:kinsoku/>
        <w:wordWrap/>
        <w:overflowPunct/>
        <w:topLinePunct w:val="0"/>
        <w:bidi w:val="0"/>
        <w:spacing w:line="360" w:lineRule="auto"/>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频率准确度：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1×10</w:t>
      </w:r>
      <w:r>
        <w:rPr>
          <w:rFonts w:hint="eastAsia" w:ascii="宋体" w:hAnsi="宋体" w:eastAsia="宋体" w:cs="宋体"/>
          <w:color w:val="auto"/>
          <w:sz w:val="21"/>
          <w:szCs w:val="21"/>
          <w:highlight w:val="none"/>
          <w:vertAlign w:val="superscript"/>
        </w:rPr>
        <w:t>-7</w:t>
      </w:r>
      <w:r>
        <w:rPr>
          <w:rFonts w:hint="eastAsia" w:ascii="宋体" w:hAnsi="宋体" w:eastAsia="宋体" w:cs="宋体"/>
          <w:color w:val="auto"/>
          <w:sz w:val="21"/>
          <w:szCs w:val="21"/>
          <w:highlight w:val="none"/>
        </w:rPr>
        <w:t>；</w:t>
      </w:r>
    </w:p>
    <w:p>
      <w:pPr>
        <w:pStyle w:val="153"/>
        <w:pageBreakBefore w:val="0"/>
        <w:numPr>
          <w:ilvl w:val="0"/>
          <w:numId w:val="5"/>
        </w:numPr>
        <w:kinsoku/>
        <w:wordWrap/>
        <w:overflowPunct/>
        <w:topLinePunct w:val="0"/>
        <w:bidi w:val="0"/>
        <w:spacing w:line="360" w:lineRule="auto"/>
        <w:ind w:firstLineChars="0"/>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w:t>
      </w:r>
      <w:r>
        <w:rPr>
          <w:rFonts w:hint="eastAsia" w:ascii="宋体" w:hAnsi="宋体" w:eastAsia="宋体" w:cs="宋体"/>
          <w:color w:val="FF0000"/>
          <w:sz w:val="21"/>
          <w:szCs w:val="21"/>
          <w:highlight w:val="none"/>
        </w:rPr>
        <w:t>最大中频带宽：≧40MHz；</w:t>
      </w:r>
    </w:p>
    <w:p>
      <w:pPr>
        <w:pStyle w:val="153"/>
        <w:pageBreakBefore w:val="0"/>
        <w:numPr>
          <w:ilvl w:val="0"/>
          <w:numId w:val="5"/>
        </w:numPr>
        <w:kinsoku/>
        <w:wordWrap/>
        <w:overflowPunct/>
        <w:topLinePunct w:val="0"/>
        <w:bidi w:val="0"/>
        <w:spacing w:line="360" w:lineRule="auto"/>
        <w:ind w:firstLineChars="0"/>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w:t>
      </w:r>
      <w:r>
        <w:rPr>
          <w:rFonts w:hint="eastAsia" w:ascii="宋体" w:hAnsi="宋体" w:eastAsia="宋体" w:cs="宋体"/>
          <w:color w:val="FF0000"/>
          <w:sz w:val="21"/>
          <w:szCs w:val="21"/>
          <w:highlight w:val="none"/>
        </w:rPr>
        <w:t>噪声系数：</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15dB（20MHz～3GHz）</w:t>
      </w:r>
      <w:r>
        <w:rPr>
          <w:rFonts w:hint="eastAsia" w:ascii="宋体" w:hAnsi="宋体" w:eastAsia="宋体" w:cs="宋体"/>
          <w:color w:val="FF0000"/>
          <w:sz w:val="21"/>
          <w:szCs w:val="21"/>
          <w:highlight w:val="none"/>
          <w:lang w:eastAsia="zh-CN"/>
        </w:rPr>
        <w:t>，</w:t>
      </w:r>
    </w:p>
    <w:p>
      <w:pPr>
        <w:pStyle w:val="153"/>
        <w:pageBreakBefore w:val="0"/>
        <w:numPr>
          <w:ilvl w:val="0"/>
          <w:numId w:val="0"/>
        </w:numPr>
        <w:kinsoku/>
        <w:wordWrap/>
        <w:overflowPunct/>
        <w:topLinePunct w:val="0"/>
        <w:bidi w:val="0"/>
        <w:spacing w:line="360" w:lineRule="auto"/>
        <w:ind w:left="0" w:firstLine="1680" w:firstLineChars="8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20dB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3GHz</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8GHz）；</w:t>
      </w:r>
    </w:p>
    <w:p>
      <w:pPr>
        <w:pStyle w:val="153"/>
        <w:pageBreakBefore w:val="0"/>
        <w:numPr>
          <w:ilvl w:val="0"/>
          <w:numId w:val="5"/>
        </w:numPr>
        <w:kinsoku/>
        <w:wordWrap/>
        <w:overflowPunct/>
        <w:topLinePunct w:val="0"/>
        <w:bidi w:val="0"/>
        <w:spacing w:line="360" w:lineRule="auto"/>
        <w:ind w:firstLineChars="0"/>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w:t>
      </w:r>
      <w:r>
        <w:rPr>
          <w:rFonts w:hint="eastAsia" w:ascii="宋体" w:hAnsi="宋体" w:eastAsia="宋体" w:cs="宋体"/>
          <w:color w:val="FF0000"/>
          <w:sz w:val="21"/>
          <w:szCs w:val="21"/>
          <w:highlight w:val="none"/>
        </w:rPr>
        <w:t>监测系统灵敏度：</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15dBμV/m（20MHz～3GHz）</w:t>
      </w:r>
      <w:r>
        <w:rPr>
          <w:rFonts w:hint="eastAsia" w:ascii="宋体" w:hAnsi="宋体" w:eastAsia="宋体" w:cs="宋体"/>
          <w:color w:val="FF0000"/>
          <w:sz w:val="21"/>
          <w:szCs w:val="21"/>
          <w:highlight w:val="none"/>
          <w:lang w:eastAsia="zh-CN"/>
        </w:rPr>
        <w:t>，</w:t>
      </w:r>
    </w:p>
    <w:p>
      <w:pPr>
        <w:pStyle w:val="153"/>
        <w:pageBreakBefore w:val="0"/>
        <w:numPr>
          <w:ilvl w:val="0"/>
          <w:numId w:val="0"/>
        </w:numPr>
        <w:kinsoku/>
        <w:wordWrap/>
        <w:overflowPunct/>
        <w:topLinePunct w:val="0"/>
        <w:bidi w:val="0"/>
        <w:spacing w:line="360" w:lineRule="auto"/>
        <w:ind w:left="560" w:firstLine="1890" w:firstLineChars="900"/>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20dBμV/m</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3GHz</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8</w:t>
      </w:r>
      <w:r>
        <w:rPr>
          <w:rFonts w:hint="eastAsia" w:ascii="宋体" w:hAnsi="宋体" w:eastAsia="宋体" w:cs="宋体"/>
          <w:color w:val="FF0000"/>
          <w:sz w:val="21"/>
          <w:szCs w:val="21"/>
          <w:highlight w:val="none"/>
        </w:rPr>
        <w:t>GHz）；</w:t>
      </w:r>
    </w:p>
    <w:p>
      <w:pPr>
        <w:pStyle w:val="153"/>
        <w:pageBreakBefore w:val="0"/>
        <w:numPr>
          <w:ilvl w:val="0"/>
          <w:numId w:val="5"/>
        </w:numPr>
        <w:kinsoku/>
        <w:wordWrap/>
        <w:overflowPunct/>
        <w:topLinePunct w:val="0"/>
        <w:bidi w:val="0"/>
        <w:spacing w:line="360" w:lineRule="auto"/>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相位噪声：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-100dBc/Hz@10kHz（f</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1GHz）；</w:t>
      </w:r>
    </w:p>
    <w:p>
      <w:pPr>
        <w:pStyle w:val="153"/>
        <w:pageBreakBefore w:val="0"/>
        <w:numPr>
          <w:ilvl w:val="0"/>
          <w:numId w:val="5"/>
        </w:numPr>
        <w:kinsoku/>
        <w:wordWrap/>
        <w:overflowPunct/>
        <w:topLinePunct w:val="0"/>
        <w:bidi w:val="0"/>
        <w:spacing w:line="360" w:lineRule="auto"/>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二阶截点：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50dBm（低失真模式、典型值）；</w:t>
      </w:r>
    </w:p>
    <w:p>
      <w:pPr>
        <w:pStyle w:val="153"/>
        <w:pageBreakBefore w:val="0"/>
        <w:numPr>
          <w:ilvl w:val="0"/>
          <w:numId w:val="5"/>
        </w:numPr>
        <w:kinsoku/>
        <w:wordWrap/>
        <w:overflowPunct/>
        <w:topLinePunct w:val="0"/>
        <w:bidi w:val="0"/>
        <w:spacing w:line="360" w:lineRule="auto"/>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三阶截点：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10dBm（低失真模式、典型值）；</w:t>
      </w:r>
    </w:p>
    <w:p>
      <w:pPr>
        <w:pStyle w:val="153"/>
        <w:pageBreakBefore w:val="0"/>
        <w:numPr>
          <w:ilvl w:val="0"/>
          <w:numId w:val="5"/>
        </w:numPr>
        <w:kinsoku/>
        <w:wordWrap/>
        <w:overflowPunct/>
        <w:topLinePunct w:val="0"/>
        <w:bidi w:val="0"/>
        <w:spacing w:line="360" w:lineRule="auto"/>
        <w:ind w:firstLineChars="0"/>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w:t>
      </w:r>
      <w:r>
        <w:rPr>
          <w:rFonts w:hint="eastAsia" w:ascii="宋体" w:hAnsi="宋体" w:eastAsia="宋体" w:cs="宋体"/>
          <w:color w:val="FF0000"/>
          <w:sz w:val="21"/>
          <w:szCs w:val="21"/>
          <w:highlight w:val="none"/>
        </w:rPr>
        <w:t>全景扫描速度：</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80GHz/s @25kHz分辨率。</w:t>
      </w:r>
    </w:p>
    <w:p>
      <w:pPr>
        <w:pStyle w:val="5"/>
        <w:pageBreakBefore w:val="0"/>
        <w:tabs>
          <w:tab w:val="left" w:pos="2155"/>
        </w:tabs>
        <w:kinsoku/>
        <w:wordWrap/>
        <w:overflowPunct/>
        <w:topLinePunct w:val="0"/>
        <w:bidi w:val="0"/>
        <w:spacing w:before="0" w:after="0" w:line="360" w:lineRule="auto"/>
        <w:jc w:val="left"/>
        <w:outlineLvl w:val="4"/>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（四）配套设施方案</w:t>
      </w:r>
    </w:p>
    <w:p>
      <w:pPr>
        <w:pageBreakBefore w:val="0"/>
        <w:numPr>
          <w:ilvl w:val="0"/>
          <w:numId w:val="0"/>
        </w:numPr>
        <w:tabs>
          <w:tab w:val="left" w:pos="0"/>
        </w:tabs>
        <w:kinsoku/>
        <w:wordWrap/>
        <w:overflowPunct/>
        <w:topLinePunct w:val="0"/>
        <w:bidi w:val="0"/>
        <w:spacing w:before="0" w:after="0" w:line="360" w:lineRule="auto"/>
        <w:ind w:leftChars="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监测站遥控遥测系统</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监测站需配套系统软件安装计算机（为提高系统稳定性，本项目采用高性能工控机），并利用工控机实现监测及测向系统的本地控制和采集数据的分析等功能。</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遥控遥测系统定时对环境参数（温度、湿度、电压、电流）进行采集，并把相关数据</w:t>
      </w:r>
      <w:r>
        <w:rPr>
          <w:rFonts w:hint="eastAsia" w:ascii="宋体" w:hAnsi="宋体" w:eastAsia="宋体" w:cs="宋体"/>
          <w:color w:val="auto"/>
          <w:sz w:val="21"/>
          <w:szCs w:val="21"/>
          <w:highlight w:val="none"/>
          <w:lang w:eastAsia="zh-CN"/>
        </w:rPr>
        <w:t>上报</w:t>
      </w:r>
      <w:r>
        <w:rPr>
          <w:rFonts w:hint="eastAsia" w:ascii="宋体" w:hAnsi="宋体" w:eastAsia="宋体" w:cs="宋体"/>
          <w:color w:val="auto"/>
          <w:sz w:val="21"/>
          <w:szCs w:val="21"/>
          <w:highlight w:val="none"/>
        </w:rPr>
        <w:t>计算机进行处理。</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站应具备远程开关机功能，监测中心的控制终端通过网络向无人值守站的遥控遥测模块发送命令和数据，命令和数据包括了功能代码和握手数据，遥控遥测模块检测到数据有效后，根据功能定义执行相应的操作。遥控开关机的各项功能设计应尽可能避免误操作。</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本项目在监测站配置一台高性能工控机和一台远程遥控遥测设备（实现远程开关机、监测数据采集传输控制等），并配套远程控制管理软件和环境监控软件。</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监测站需配套网络设备以实现与监控中心的联网。本项目中，独立设置的监测站通过租用电信运营商VPN链路实现与监控中心的互联互通。</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主要技术指标要求如下：</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工控机</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CPU不低于6核6线程</w:t>
      </w:r>
      <w:r>
        <w:rPr>
          <w:rFonts w:hint="eastAsia" w:ascii="宋体" w:hAnsi="宋体" w:eastAsia="宋体" w:cs="宋体"/>
          <w:color w:val="auto"/>
          <w:sz w:val="21"/>
          <w:szCs w:val="21"/>
          <w:highlight w:val="none"/>
          <w:lang w:val="en-US"/>
        </w:rPr>
        <w:t>；</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2）内存</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lang w:val="en-US"/>
        </w:rPr>
        <w:t>G</w:t>
      </w:r>
      <w:r>
        <w:rPr>
          <w:rFonts w:hint="eastAsia" w:ascii="宋体" w:hAnsi="宋体" w:eastAsia="宋体" w:cs="宋体"/>
          <w:color w:val="auto"/>
          <w:sz w:val="21"/>
          <w:szCs w:val="21"/>
          <w:highlight w:val="none"/>
          <w:lang w:val="en-US" w:eastAsia="zh-CN"/>
        </w:rPr>
        <w:t xml:space="preserve">B </w:t>
      </w:r>
      <w:r>
        <w:rPr>
          <w:rFonts w:hint="eastAsia" w:ascii="宋体" w:hAnsi="宋体" w:eastAsia="宋体" w:cs="宋体"/>
          <w:color w:val="auto"/>
          <w:sz w:val="21"/>
          <w:szCs w:val="21"/>
          <w:highlight w:val="none"/>
          <w:lang w:val="en-US"/>
        </w:rPr>
        <w:t>DDR</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rPr>
        <w:t>及以上；</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3）硬盘：企业级</w:t>
      </w:r>
      <w:r>
        <w:rPr>
          <w:rFonts w:hint="eastAsia" w:ascii="宋体" w:hAnsi="宋体" w:eastAsia="宋体" w:cs="宋体"/>
          <w:color w:val="auto"/>
          <w:sz w:val="21"/>
          <w:szCs w:val="21"/>
          <w:highlight w:val="none"/>
          <w:lang w:val="en-US" w:eastAsia="zh-CN"/>
        </w:rPr>
        <w:t>128</w:t>
      </w:r>
      <w:r>
        <w:rPr>
          <w:rFonts w:hint="eastAsia" w:ascii="宋体" w:hAnsi="宋体" w:eastAsia="宋体" w:cs="宋体"/>
          <w:color w:val="auto"/>
          <w:sz w:val="21"/>
          <w:szCs w:val="21"/>
          <w:highlight w:val="none"/>
          <w:lang w:val="en-US"/>
        </w:rPr>
        <w:t>GB SSD +HHD  4TB；</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4）自适应网口（RJ-45）、声卡、USB；</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5）19</w:t>
      </w:r>
      <w:r>
        <w:rPr>
          <w:rFonts w:hint="eastAsia" w:ascii="宋体" w:hAnsi="宋体" w:eastAsia="宋体" w:cs="宋体"/>
          <w:color w:val="auto"/>
          <w:sz w:val="21"/>
          <w:szCs w:val="21"/>
          <w:highlight w:val="none"/>
          <w:lang w:val="en-US" w:eastAsia="zh-CN"/>
        </w:rPr>
        <w:t>英寸</w:t>
      </w:r>
      <w:r>
        <w:rPr>
          <w:rFonts w:hint="eastAsia" w:ascii="宋体" w:hAnsi="宋体" w:eastAsia="宋体" w:cs="宋体"/>
          <w:color w:val="auto"/>
          <w:sz w:val="21"/>
          <w:szCs w:val="21"/>
          <w:highlight w:val="none"/>
          <w:lang w:val="en-US"/>
        </w:rPr>
        <w:t>或以上高清显示器，键盘、鼠标；</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w:t>
      </w:r>
      <w:r>
        <w:rPr>
          <w:rFonts w:hint="eastAsia" w:ascii="宋体" w:hAnsi="宋体" w:eastAsia="宋体" w:cs="宋体"/>
          <w:color w:val="auto"/>
          <w:sz w:val="21"/>
          <w:szCs w:val="21"/>
          <w:highlight w:val="none"/>
          <w:lang w:val="en-US" w:eastAsia="zh-CN"/>
        </w:rPr>
        <w:t>含正版操作系统和文字处理软件；</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en-US"/>
        </w:rPr>
        <w:t>标准机架式设备。</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网络交换机</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不低于16</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/100/1000Base-T自适应以太网端口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具体配置应满足安装要求。</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远程遥控设备</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实现监测接收机等自有设备的远程控制</w:t>
      </w:r>
      <w:r>
        <w:rPr>
          <w:rFonts w:hint="eastAsia" w:ascii="宋体" w:hAnsi="宋体" w:eastAsia="宋体" w:cs="宋体"/>
          <w:color w:val="auto"/>
          <w:sz w:val="21"/>
          <w:szCs w:val="21"/>
          <w:highlight w:val="none"/>
          <w:lang w:val="en-US" w:eastAsia="zh-CN"/>
        </w:rPr>
        <w:t>，由承建单位结合提供的设备情况配置</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val="en-US" w:eastAsia="zh-CN"/>
        </w:rPr>
        <w:t>远程遥控设备能够在工控机在出现死机的情况下，重新启动工控机，进入监测测向系统。</w:t>
      </w:r>
    </w:p>
    <w:p>
      <w:pPr>
        <w:pageBreakBefore w:val="0"/>
        <w:numPr>
          <w:ilvl w:val="0"/>
          <w:numId w:val="0"/>
        </w:numPr>
        <w:tabs>
          <w:tab w:val="left" w:pos="0"/>
        </w:tabs>
        <w:kinsoku/>
        <w:wordWrap/>
        <w:overflowPunct/>
        <w:topLinePunct w:val="0"/>
        <w:bidi w:val="0"/>
        <w:spacing w:before="0" w:after="0" w:line="360" w:lineRule="auto"/>
        <w:ind w:leftChars="0"/>
        <w:jc w:val="left"/>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2、视频和动环监控</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在每个监测站</w:t>
      </w:r>
      <w:r>
        <w:rPr>
          <w:rFonts w:hint="eastAsia" w:ascii="宋体" w:hAnsi="宋体" w:eastAsia="宋体" w:cs="宋体"/>
          <w:color w:val="auto"/>
          <w:sz w:val="21"/>
          <w:szCs w:val="21"/>
          <w:highlight w:val="none"/>
          <w:lang w:val="en-US"/>
        </w:rPr>
        <w:t>部署电源电压/电流、温湿度、消防、漏水检测等传感设施，以及视频监控设备，所有环境监控和视频监控设施可通过集中遥控遥测控制设备采集数据，并可进行远程采集和控制。</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主要功能要求如下：</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1）现场数据采集。定时对环境参数（温度、湿度、电压、电流、漏水等）进行采集，并把相关数据上报。</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2）异常情况报警。对监测站的设备、环境进行监控，一旦发现出现异常情况，能够及时向无线电监测中心发出报警信息。</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3）能够在监测控制中心通过视频远程监视监测站室内外状况和设备运行情况。</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4）遥控管理。对监测站监测设备和环境监测设备进行管理、数据采集和网络通信控制。</w:t>
      </w:r>
    </w:p>
    <w:p>
      <w:pPr>
        <w:pageBreakBefore w:val="0"/>
        <w:numPr>
          <w:ilvl w:val="0"/>
          <w:numId w:val="0"/>
        </w:numPr>
        <w:tabs>
          <w:tab w:val="left" w:pos="0"/>
        </w:tabs>
        <w:kinsoku/>
        <w:wordWrap/>
        <w:overflowPunct/>
        <w:topLinePunct w:val="0"/>
        <w:bidi w:val="0"/>
        <w:spacing w:before="0" w:after="0" w:line="360" w:lineRule="auto"/>
        <w:ind w:leftChars="0"/>
        <w:jc w:val="left"/>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3、供电系统方案</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固定监测站主要设备采用UPS供电，</w:t>
      </w:r>
      <w:r>
        <w:rPr>
          <w:rFonts w:hint="eastAsia" w:ascii="宋体" w:hAnsi="宋体" w:eastAsia="宋体" w:cs="宋体"/>
          <w:color w:val="auto"/>
          <w:sz w:val="21"/>
          <w:szCs w:val="21"/>
          <w:highlight w:val="none"/>
        </w:rPr>
        <w:t>UPS供电包括天馈、监测接收设备、控制和网络设备）、动环监控、</w:t>
      </w:r>
      <w:r>
        <w:rPr>
          <w:rFonts w:hint="eastAsia" w:ascii="宋体" w:hAnsi="宋体" w:eastAsia="宋体" w:cs="宋体"/>
          <w:color w:val="auto"/>
          <w:sz w:val="21"/>
          <w:szCs w:val="21"/>
          <w:highlight w:val="none"/>
          <w:lang w:val="en-US" w:eastAsia="zh-CN"/>
        </w:rPr>
        <w:t>视频</w:t>
      </w:r>
      <w:r>
        <w:rPr>
          <w:rFonts w:hint="eastAsia" w:ascii="宋体" w:hAnsi="宋体" w:eastAsia="宋体" w:cs="宋体"/>
          <w:color w:val="auto"/>
          <w:sz w:val="21"/>
          <w:szCs w:val="21"/>
          <w:highlight w:val="none"/>
        </w:rPr>
        <w:t>监控等。</w:t>
      </w:r>
    </w:p>
    <w:p>
      <w:pPr>
        <w:pStyle w:val="17"/>
        <w:pageBreakBefore w:val="0"/>
        <w:kinsoku/>
        <w:wordWrap/>
        <w:overflowPunct/>
        <w:topLinePunct w:val="0"/>
        <w:bidi w:val="0"/>
        <w:spacing w:before="0" w:after="0"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SEQ 表 \* ARABIC \s 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 xml:space="preserve"> 四类固定</w:t>
      </w:r>
      <w:r>
        <w:rPr>
          <w:rFonts w:hint="eastAsia" w:ascii="宋体" w:hAnsi="宋体" w:eastAsia="宋体" w:cs="宋体"/>
          <w:color w:val="auto"/>
          <w:sz w:val="21"/>
          <w:szCs w:val="21"/>
          <w:highlight w:val="none"/>
        </w:rPr>
        <w:t>监测站设备功耗</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815"/>
        <w:gridCol w:w="1260"/>
        <w:gridCol w:w="3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15" w:type="dxa"/>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设备/设施名称</w:t>
            </w:r>
          </w:p>
        </w:tc>
        <w:tc>
          <w:tcPr>
            <w:tcW w:w="1260" w:type="dxa"/>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功率（瓦）</w:t>
            </w:r>
          </w:p>
        </w:tc>
        <w:tc>
          <w:tcPr>
            <w:tcW w:w="3460" w:type="dxa"/>
            <w:noWrap w:val="0"/>
            <w:vAlign w:val="center"/>
          </w:tcPr>
          <w:p>
            <w:pPr>
              <w:pageBreakBefore w:val="0"/>
              <w:kinsoku/>
              <w:wordWrap/>
              <w:overflowPunct/>
              <w:topLinePunct w:val="0"/>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15" w:type="dxa"/>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天馈系统</w:t>
            </w:r>
          </w:p>
        </w:tc>
        <w:tc>
          <w:tcPr>
            <w:tcW w:w="1260" w:type="dxa"/>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p>
        </w:tc>
        <w:tc>
          <w:tcPr>
            <w:tcW w:w="3460" w:type="dxa"/>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15" w:type="dxa"/>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监测接收机</w:t>
            </w:r>
          </w:p>
        </w:tc>
        <w:tc>
          <w:tcPr>
            <w:tcW w:w="1260" w:type="dxa"/>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0</w:t>
            </w:r>
          </w:p>
        </w:tc>
        <w:tc>
          <w:tcPr>
            <w:tcW w:w="3460" w:type="dxa"/>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815" w:type="dxa"/>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工控机</w:t>
            </w:r>
          </w:p>
        </w:tc>
        <w:tc>
          <w:tcPr>
            <w:tcW w:w="1260" w:type="dxa"/>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0</w:t>
            </w:r>
          </w:p>
        </w:tc>
        <w:tc>
          <w:tcPr>
            <w:tcW w:w="3460" w:type="dxa"/>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73" w:type="dxa"/>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815" w:type="dxa"/>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w:t>
            </w:r>
          </w:p>
        </w:tc>
        <w:tc>
          <w:tcPr>
            <w:tcW w:w="1260" w:type="dxa"/>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w:t>
            </w:r>
          </w:p>
        </w:tc>
        <w:tc>
          <w:tcPr>
            <w:tcW w:w="3460" w:type="dxa"/>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交换机、遥控遥测设备、视频监控设备、动环设备等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260" w:type="dxa"/>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00</w:t>
            </w:r>
          </w:p>
        </w:tc>
        <w:tc>
          <w:tcPr>
            <w:tcW w:w="3460" w:type="dxa"/>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r>
    </w:tbl>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考虑到后期可能会增加</w:t>
      </w: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rPr>
        <w:t>设备</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蓄电池充电</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，因此在设计中不间断电源设备应有充足的余量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按总需求</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00W进行设计。</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UPS负载率在20%以下时，其效率快速下降，因此建议其负载率不宜过低，建议应在20%以上。按</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00W的功耗测算，UPS额定负载容量应在</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kW以下。</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另外，负载率也不宜过高，本设计最高按80%计算，按</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00W的最大负载计算，UPS额定负载容量应在</w:t>
      </w: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rPr>
        <w:t>0W以上。</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根据上述分析，建议UPS主机负载容量选择</w:t>
      </w:r>
      <w:r>
        <w:rPr>
          <w:rFonts w:hint="eastAsia" w:ascii="宋体" w:hAnsi="宋体" w:eastAsia="宋体" w:cs="宋体"/>
          <w:color w:val="auto"/>
          <w:sz w:val="21"/>
          <w:szCs w:val="21"/>
          <w:highlight w:val="none"/>
          <w:lang w:val="en-US" w:eastAsia="zh-CN"/>
        </w:rPr>
        <w:t>建议不低于1</w:t>
      </w:r>
      <w:r>
        <w:rPr>
          <w:rFonts w:hint="eastAsia" w:ascii="宋体" w:hAnsi="宋体" w:eastAsia="宋体" w:cs="宋体"/>
          <w:color w:val="auto"/>
          <w:sz w:val="21"/>
          <w:szCs w:val="21"/>
          <w:highlight w:val="none"/>
        </w:rPr>
        <w:t>000VA/</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00W。</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在蓄电池需求估算中，按后备6小时进行估算（机房内温度变化较小，不考虑温度系数）。蓄电池选用铅酸蓄电池，以恒功率放电方法估算如下：</w:t>
      </w:r>
    </w:p>
    <w:p>
      <w:pPr>
        <w:pStyle w:val="340"/>
        <w:pageBreakBefore w:val="0"/>
        <w:kinsoku/>
        <w:wordWrap/>
        <w:overflowPunct/>
        <w:topLinePunct w:val="0"/>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常用的200AH/2V铅酸蓄电池恒功率放电表如下：</w:t>
      </w:r>
    </w:p>
    <w:p>
      <w:pPr>
        <w:pStyle w:val="340"/>
        <w:pageBreakBefore w:val="0"/>
        <w:kinsoku/>
        <w:wordWrap/>
        <w:overflowPunct/>
        <w:topLinePunct w:val="0"/>
        <w:bidi w:val="0"/>
        <w:spacing w:line="360" w:lineRule="auto"/>
        <w:ind w:lef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drawing>
          <wp:inline distT="0" distB="0" distL="114300" distR="114300">
            <wp:extent cx="4170045" cy="776605"/>
            <wp:effectExtent l="0" t="0" r="1905" b="4445"/>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13"/>
                    <a:srcRect t="54100" b="27753"/>
                    <a:stretch>
                      <a:fillRect/>
                    </a:stretch>
                  </pic:blipFill>
                  <pic:spPr>
                    <a:xfrm>
                      <a:off x="0" y="0"/>
                      <a:ext cx="4170045" cy="776605"/>
                    </a:xfrm>
                    <a:prstGeom prst="rect">
                      <a:avLst/>
                    </a:prstGeom>
                    <a:noFill/>
                    <a:ln>
                      <a:noFill/>
                    </a:ln>
                  </pic:spPr>
                </pic:pic>
              </a:graphicData>
            </a:graphic>
          </wp:inline>
        </w:drawing>
      </w:r>
    </w:p>
    <w:p>
      <w:pPr>
        <w:pStyle w:val="340"/>
        <w:pageBreakBefore w:val="0"/>
        <w:kinsoku/>
        <w:wordWrap/>
        <w:overflowPunct/>
        <w:topLinePunct w:val="0"/>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以实际运行功率400W、蓄电池放电终止电压1.7V、UPS总体效率0.8估算，若满足6小时后备，则蓄电池（12V200AH）需求为：</w:t>
      </w:r>
    </w:p>
    <w:p>
      <w:pPr>
        <w:pStyle w:val="340"/>
        <w:pageBreakBefore w:val="0"/>
        <w:kinsoku/>
        <w:wordWrap/>
        <w:overflowPunct/>
        <w:topLinePunct w:val="0"/>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400W÷42.3÷6（12V为6个2V单体）÷0.8=1.97</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即需要2块12V200AH蓄电池。</w:t>
      </w:r>
    </w:p>
    <w:p>
      <w:pPr>
        <w:pStyle w:val="340"/>
        <w:pageBreakBefore w:val="0"/>
        <w:kinsoku/>
        <w:wordWrap/>
        <w:overflowPunct/>
        <w:topLinePunct w:val="0"/>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上述测算为初步估算，由于不同承建单位提供的设备能耗和蓄电池可能存在差异，承建单位应结合自身设备实际功耗和指标进行详细测算，确保能够满足后备6小时的需求。</w:t>
      </w:r>
    </w:p>
    <w:p>
      <w:pPr>
        <w:pageBreakBefore w:val="0"/>
        <w:numPr>
          <w:ilvl w:val="0"/>
          <w:numId w:val="0"/>
        </w:numPr>
        <w:tabs>
          <w:tab w:val="left" w:pos="0"/>
        </w:tabs>
        <w:kinsoku/>
        <w:wordWrap/>
        <w:overflowPunct/>
        <w:topLinePunct w:val="0"/>
        <w:bidi w:val="0"/>
        <w:spacing w:before="0" w:after="0" w:line="360" w:lineRule="auto"/>
        <w:ind w:leftChars="0"/>
        <w:jc w:val="left"/>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4、机房环境及配套设施</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项目使用第三方铁塔公司</w:t>
      </w:r>
      <w:r>
        <w:rPr>
          <w:rFonts w:hint="eastAsia" w:ascii="宋体" w:hAnsi="宋体" w:eastAsia="宋体" w:cs="宋体"/>
          <w:color w:val="auto"/>
          <w:sz w:val="21"/>
          <w:szCs w:val="21"/>
          <w:highlight w:val="none"/>
        </w:rPr>
        <w:t>机房，</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结合实际建设需求进行必要的改造，机房改造完成后应满足以下要求：</w:t>
      </w:r>
    </w:p>
    <w:p>
      <w:pPr>
        <w:pStyle w:val="7"/>
        <w:pageBreakBefore w:val="0"/>
        <w:kinsoku/>
        <w:wordWrap/>
        <w:overflowPunct/>
        <w:topLinePunct w:val="0"/>
        <w:bidi w:val="0"/>
        <w:spacing w:before="0" w:beforeLines="0" w:line="360" w:lineRule="auto"/>
        <w:ind w:firstLine="56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工作环境要求</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根据T/RAC 026-2021《无线电监测机房及配套设施建设规范》，机房内的温度应满足室内设备正常工作需要。</w:t>
      </w:r>
      <w:r>
        <w:rPr>
          <w:rFonts w:hint="eastAsia" w:ascii="宋体" w:hAnsi="宋体" w:eastAsia="宋体" w:cs="宋体"/>
          <w:color w:val="auto"/>
          <w:sz w:val="21"/>
          <w:szCs w:val="21"/>
          <w:highlight w:val="none"/>
          <w:shd w:val="clear" w:color="auto" w:fill="FFFFFF"/>
          <w:lang w:val="en-US" w:eastAsia="zh-CN"/>
        </w:rPr>
        <w:t>机房</w:t>
      </w:r>
      <w:r>
        <w:rPr>
          <w:rFonts w:hint="eastAsia" w:ascii="宋体" w:hAnsi="宋体" w:eastAsia="宋体" w:cs="宋体"/>
          <w:color w:val="auto"/>
          <w:sz w:val="21"/>
          <w:szCs w:val="21"/>
          <w:highlight w:val="none"/>
          <w:shd w:val="clear" w:color="auto" w:fill="FFFFFF"/>
        </w:rPr>
        <w:t>温度变化范围在1</w:t>
      </w:r>
      <w:r>
        <w:rPr>
          <w:rFonts w:hint="eastAsia" w:ascii="宋体" w:hAnsi="宋体" w:eastAsia="宋体" w:cs="宋体"/>
          <w:color w:val="auto"/>
          <w:sz w:val="21"/>
          <w:szCs w:val="21"/>
          <w:highlight w:val="none"/>
          <w:shd w:val="clear" w:color="auto" w:fill="FFFFFF"/>
          <w:lang w:val="en-US" w:eastAsia="zh-CN"/>
        </w:rPr>
        <w:t>0</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30℃之间</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相对湿度</w:t>
      </w:r>
      <w:r>
        <w:rPr>
          <w:rFonts w:hint="eastAsia" w:ascii="宋体" w:hAnsi="宋体" w:eastAsia="宋体" w:cs="宋体"/>
          <w:color w:val="auto"/>
          <w:sz w:val="21"/>
          <w:szCs w:val="21"/>
          <w:highlight w:val="none"/>
          <w:shd w:val="clear" w:color="auto" w:fill="FFFFFF"/>
          <w:lang w:val="en-US" w:eastAsia="zh-CN"/>
        </w:rPr>
        <w:t>应控制在2</w:t>
      </w:r>
      <w:r>
        <w:rPr>
          <w:rFonts w:hint="eastAsia" w:ascii="宋体" w:hAnsi="宋体" w:eastAsia="宋体" w:cs="宋体"/>
          <w:color w:val="auto"/>
          <w:sz w:val="21"/>
          <w:szCs w:val="21"/>
          <w:highlight w:val="none"/>
          <w:shd w:val="clear" w:color="auto" w:fill="FFFFFF"/>
        </w:rPr>
        <w:t>0%</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0%</w:t>
      </w:r>
      <w:r>
        <w:rPr>
          <w:rFonts w:hint="eastAsia" w:ascii="宋体" w:hAnsi="宋体" w:eastAsia="宋体" w:cs="宋体"/>
          <w:color w:val="auto"/>
          <w:sz w:val="21"/>
          <w:szCs w:val="21"/>
          <w:highlight w:val="none"/>
          <w:shd w:val="clear" w:color="auto" w:fill="FFFFFF"/>
          <w:lang w:eastAsia="zh-CN"/>
        </w:rPr>
        <w:t>。在</w:t>
      </w:r>
      <w:r>
        <w:rPr>
          <w:rFonts w:hint="eastAsia" w:ascii="宋体" w:hAnsi="宋体" w:eastAsia="宋体" w:cs="宋体"/>
          <w:color w:val="auto"/>
          <w:sz w:val="21"/>
          <w:szCs w:val="21"/>
          <w:highlight w:val="none"/>
          <w:shd w:val="clear" w:color="auto" w:fill="FFFFFF"/>
          <w:lang w:val="en-US" w:eastAsia="zh-CN"/>
        </w:rPr>
        <w:t>静态条件下测试，每升空气中大于或等于0.5</w:t>
      </w:r>
      <w:r>
        <w:rPr>
          <w:rFonts w:hint="eastAsia" w:ascii="宋体" w:hAnsi="宋体" w:eastAsia="宋体" w:cs="宋体"/>
          <w:color w:val="auto"/>
          <w:sz w:val="21"/>
          <w:szCs w:val="21"/>
          <w:highlight w:val="none"/>
          <w:lang w:val="en-US" w:eastAsia="zh-CN"/>
        </w:rPr>
        <w:t>μm的尘粒数应少于18000粒</w:t>
      </w:r>
      <w:r>
        <w:rPr>
          <w:rFonts w:hint="eastAsia" w:ascii="宋体" w:hAnsi="宋体" w:eastAsia="宋体" w:cs="宋体"/>
          <w:color w:val="auto"/>
          <w:sz w:val="21"/>
          <w:szCs w:val="21"/>
          <w:highlight w:val="none"/>
          <w:shd w:val="clear" w:color="auto" w:fill="FFFFFF"/>
        </w:rPr>
        <w:t>。</w:t>
      </w:r>
    </w:p>
    <w:p>
      <w:pPr>
        <w:pStyle w:val="7"/>
        <w:pageBreakBefore w:val="0"/>
        <w:kinsoku/>
        <w:wordWrap/>
        <w:overflowPunct/>
        <w:topLinePunct w:val="0"/>
        <w:bidi w:val="0"/>
        <w:spacing w:before="0" w:beforeLines="0"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2、电气要求</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机房宜由专用电力变压器供电，设置专用动力配电箱。有条件的应采用双路供电。</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监测测量设备应采用交流不间断电源系统供电。</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机房配电系统应采用频率50Hz、电压220/380V TN-S或TN-C-S系统。单相负荷应均匀地分配在三相线路上，且三相负荷不平衡度小于20%。</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机房的动力电和照明电应分开。</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电源插座按左零右火连接。</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机房墙壁应设置非业务用（如吸尘器等）电源插座。</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机房内活动地板下的低压线路宜采用屏蔽导线或电缆。电源线应尽可能远离信号线，并避免并排敷设。</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机房内照明度在距地板0.8m处照明度不低于200lx，为节约能源，建议使用LED光源。</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机房内应设应急灯，其照明度在离地板0.8m处不低于5lx。</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电源零线与安全保护地线之间的交流串扰不大于2V。</w:t>
      </w:r>
    </w:p>
    <w:p>
      <w:pPr>
        <w:pStyle w:val="7"/>
        <w:pageBreakBefore w:val="0"/>
        <w:kinsoku/>
        <w:wordWrap/>
        <w:overflowPunct/>
        <w:topLinePunct w:val="0"/>
        <w:bidi w:val="0"/>
        <w:spacing w:before="0" w:beforeLines="0"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3、防雷接地</w:t>
      </w:r>
    </w:p>
    <w:p>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无线电监测站应根据环境因素、雷电活动规律、设备所在雷电防护区和系统抗扰度、雷击事故受损程度以及系统设备的重要性，采取相应的防护措施。本项目建设为固定监测站，监测站</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铁塔机房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天馈线、监测测向设备等</w:t>
      </w:r>
      <w:r>
        <w:rPr>
          <w:rFonts w:hint="eastAsia" w:ascii="宋体" w:hAnsi="宋体" w:eastAsia="宋体" w:cs="宋体"/>
          <w:color w:val="auto"/>
          <w:sz w:val="21"/>
          <w:szCs w:val="21"/>
          <w:highlight w:val="none"/>
        </w:rPr>
        <w:t>的防雷接地措施</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符合YD/T 3285-2017《无线电监测站雷电防护技术要求》</w:t>
      </w:r>
      <w:r>
        <w:rPr>
          <w:rFonts w:hint="eastAsia" w:ascii="宋体" w:hAnsi="宋体" w:eastAsia="宋体" w:cs="宋体"/>
          <w:color w:val="auto"/>
          <w:sz w:val="21"/>
          <w:szCs w:val="21"/>
          <w:highlight w:val="none"/>
          <w:lang w:eastAsia="zh-CN"/>
        </w:rPr>
        <w:t>。</w:t>
      </w:r>
    </w:p>
    <w:p>
      <w:pPr>
        <w:pageBreakBefore w:val="0"/>
        <w:kinsoku/>
        <w:wordWrap/>
        <w:overflowPunct/>
        <w:topLinePunct w:val="0"/>
        <w:autoSpaceDE/>
        <w:autoSpaceDN/>
        <w:bidi w:val="0"/>
        <w:adjustRightInd/>
        <w:spacing w:line="360" w:lineRule="auto"/>
        <w:ind w:firstLine="420" w:firstLineChars="200"/>
        <w:jc w:val="left"/>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本期项目防雷</w:t>
      </w:r>
      <w:r>
        <w:rPr>
          <w:rFonts w:hint="eastAsia" w:ascii="宋体" w:hAnsi="宋体" w:eastAsia="宋体" w:cs="宋体"/>
          <w:color w:val="auto"/>
          <w:sz w:val="21"/>
          <w:szCs w:val="21"/>
          <w:highlight w:val="none"/>
          <w:shd w:val="clear" w:color="auto" w:fill="FFFFFF"/>
          <w:lang w:val="en-US" w:eastAsia="zh-CN"/>
        </w:rPr>
        <w:t>接地</w:t>
      </w:r>
      <w:r>
        <w:rPr>
          <w:rFonts w:hint="eastAsia" w:ascii="宋体" w:hAnsi="宋体" w:eastAsia="宋体" w:cs="宋体"/>
          <w:color w:val="auto"/>
          <w:sz w:val="21"/>
          <w:szCs w:val="21"/>
          <w:highlight w:val="none"/>
        </w:rPr>
        <w:t>设施</w:t>
      </w:r>
      <w:r>
        <w:rPr>
          <w:rFonts w:hint="eastAsia" w:ascii="宋体" w:hAnsi="宋体" w:eastAsia="宋体" w:cs="宋体"/>
          <w:color w:val="auto"/>
          <w:sz w:val="21"/>
          <w:szCs w:val="21"/>
          <w:highlight w:val="none"/>
          <w:lang w:val="en-US" w:eastAsia="zh-CN"/>
        </w:rPr>
        <w:t>按需</w:t>
      </w:r>
      <w:r>
        <w:rPr>
          <w:rFonts w:hint="eastAsia" w:ascii="宋体" w:hAnsi="宋体" w:eastAsia="宋体" w:cs="宋体"/>
          <w:color w:val="auto"/>
          <w:sz w:val="21"/>
          <w:szCs w:val="21"/>
          <w:highlight w:val="none"/>
          <w:shd w:val="clear" w:color="auto" w:fill="FFFFFF"/>
          <w:lang w:val="en-US" w:eastAsia="zh-CN"/>
        </w:rPr>
        <w:t>建设，以满足本项目各类设备设施雷电防护要求。</w:t>
      </w:r>
    </w:p>
    <w:p>
      <w:pPr>
        <w:pageBreakBefore w:val="0"/>
        <w:numPr>
          <w:ilvl w:val="0"/>
          <w:numId w:val="0"/>
        </w:numPr>
        <w:tabs>
          <w:tab w:val="left" w:pos="0"/>
        </w:tabs>
        <w:kinsoku/>
        <w:wordWrap/>
        <w:overflowPunct/>
        <w:topLinePunct w:val="0"/>
        <w:bidi w:val="0"/>
        <w:spacing w:before="0" w:after="0" w:line="360" w:lineRule="auto"/>
        <w:ind w:leftChars="0"/>
        <w:jc w:val="left"/>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5、消防措施</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本项目从可研、设计、建设到运营，均严格执行国家有关消防</w:t>
      </w:r>
      <w:r>
        <w:rPr>
          <w:rFonts w:hint="eastAsia" w:ascii="宋体" w:hAnsi="宋体" w:eastAsia="宋体" w:cs="宋体"/>
          <w:color w:val="auto"/>
          <w:sz w:val="21"/>
          <w:szCs w:val="21"/>
          <w:highlight w:val="none"/>
          <w:shd w:val="clear" w:color="auto" w:fill="FFFFFF"/>
          <w:lang w:eastAsia="zh-CN"/>
        </w:rPr>
        <w:t>法律法规</w:t>
      </w:r>
      <w:r>
        <w:rPr>
          <w:rFonts w:hint="eastAsia" w:ascii="宋体" w:hAnsi="宋体" w:eastAsia="宋体" w:cs="宋体"/>
          <w:color w:val="auto"/>
          <w:sz w:val="21"/>
          <w:szCs w:val="21"/>
          <w:highlight w:val="none"/>
          <w:shd w:val="clear" w:color="auto" w:fill="FFFFFF"/>
        </w:rPr>
        <w:t>、规章和技术规范，遵循“预防为主，消防结合”的方针，严格贯彻执行国家《建筑设计防火规划》。在设备选购、建筑装修等方面设计中采取以下措施：</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消防设备、器材的配备型号和功率要满足消防需要，并随时进行检查和保养，使其始终处于良好的待命状态，并确保</w:t>
      </w:r>
      <w:r>
        <w:rPr>
          <w:rFonts w:hint="eastAsia" w:ascii="宋体" w:hAnsi="宋体" w:eastAsia="宋体" w:cs="宋体"/>
          <w:color w:val="auto"/>
          <w:sz w:val="21"/>
          <w:szCs w:val="21"/>
          <w:highlight w:val="none"/>
          <w:shd w:val="clear" w:color="auto" w:fill="FFFFFF"/>
          <w:lang w:eastAsia="zh-CN"/>
        </w:rPr>
        <w:t>消</w:t>
      </w:r>
      <w:r>
        <w:rPr>
          <w:rFonts w:hint="eastAsia" w:ascii="宋体" w:hAnsi="宋体" w:eastAsia="宋体" w:cs="宋体"/>
          <w:color w:val="auto"/>
          <w:sz w:val="21"/>
          <w:szCs w:val="21"/>
          <w:highlight w:val="none"/>
          <w:shd w:val="clear" w:color="auto" w:fill="FFFFFF"/>
        </w:rPr>
        <w:t>防设施工作正常。</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定期进行防火安全检查。</w:t>
      </w:r>
    </w:p>
    <w:p>
      <w:pPr>
        <w:pageBreakBefore w:val="0"/>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本项目机房的消防</w:t>
      </w:r>
      <w:r>
        <w:rPr>
          <w:rFonts w:hint="eastAsia" w:ascii="宋体" w:hAnsi="宋体" w:eastAsia="宋体" w:cs="宋体"/>
          <w:color w:val="auto"/>
          <w:sz w:val="21"/>
          <w:szCs w:val="21"/>
          <w:highlight w:val="none"/>
          <w:shd w:val="clear" w:color="auto" w:fill="FFFFFF"/>
          <w:lang w:eastAsia="zh-CN"/>
        </w:rPr>
        <w:t>利用</w:t>
      </w:r>
      <w:r>
        <w:rPr>
          <w:rFonts w:hint="eastAsia" w:ascii="宋体" w:hAnsi="宋体" w:eastAsia="宋体" w:cs="宋体"/>
          <w:color w:val="auto"/>
          <w:sz w:val="21"/>
          <w:szCs w:val="21"/>
          <w:highlight w:val="none"/>
          <w:shd w:val="clear" w:color="auto" w:fill="FFFFFF"/>
          <w:lang w:val="en-US" w:eastAsia="zh-CN"/>
        </w:rPr>
        <w:t>第三方铁塔公司相关设施</w:t>
      </w:r>
      <w:r>
        <w:rPr>
          <w:rFonts w:hint="eastAsia" w:ascii="宋体" w:hAnsi="宋体" w:eastAsia="宋体" w:cs="宋体"/>
          <w:color w:val="auto"/>
          <w:sz w:val="21"/>
          <w:szCs w:val="21"/>
          <w:highlight w:val="none"/>
          <w:shd w:val="clear" w:color="auto" w:fill="FFFFFF"/>
          <w:lang w:eastAsia="zh-CN"/>
        </w:rPr>
        <w:t>。</w:t>
      </w:r>
    </w:p>
    <w:p>
      <w:pPr>
        <w:pStyle w:val="8"/>
        <w:pageBreakBefore w:val="0"/>
        <w:kinsoku/>
        <w:wordWrap/>
        <w:overflowPunct/>
        <w:topLinePunct w:val="0"/>
        <w:bidi w:val="0"/>
        <w:spacing w:before="0" w:after="0" w:line="360" w:lineRule="auto"/>
        <w:jc w:val="left"/>
        <w:outlineLvl w:val="3"/>
        <w:rPr>
          <w:rFonts w:hint="eastAsia" w:ascii="宋体" w:hAnsi="宋体" w:eastAsia="宋体" w:cs="宋体"/>
          <w:b/>
          <w:bCs/>
          <w:color w:val="auto"/>
          <w:sz w:val="21"/>
          <w:szCs w:val="21"/>
          <w:highlight w:val="none"/>
          <w:lang w:val="en-US" w:eastAsia="zh-CN"/>
        </w:rPr>
      </w:pPr>
      <w:bookmarkStart w:id="76" w:name="_Toc25864"/>
      <w:r>
        <w:rPr>
          <w:rFonts w:hint="eastAsia" w:ascii="宋体" w:hAnsi="宋体" w:eastAsia="宋体" w:cs="宋体"/>
          <w:b/>
          <w:bCs/>
          <w:color w:val="auto"/>
          <w:sz w:val="21"/>
          <w:szCs w:val="21"/>
          <w:highlight w:val="none"/>
          <w:lang w:val="en-US" w:eastAsia="zh-CN"/>
        </w:rPr>
        <w:t>四、项目配置清单</w:t>
      </w:r>
      <w:bookmarkEnd w:id="76"/>
    </w:p>
    <w:tbl>
      <w:tblPr>
        <w:tblStyle w:val="5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3"/>
        <w:gridCol w:w="1410"/>
        <w:gridCol w:w="5392"/>
        <w:gridCol w:w="392"/>
        <w:gridCol w:w="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31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规格要求</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39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新建四类无线电监测固定站</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bCs/>
                <w:i w:val="0"/>
                <w:iCs w:val="0"/>
                <w:color w:val="auto"/>
                <w:sz w:val="21"/>
                <w:szCs w:val="21"/>
                <w:highlight w:val="none"/>
                <w:u w:val="none"/>
              </w:rPr>
            </w:pP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监测系统</w:t>
            </w:r>
          </w:p>
        </w:tc>
        <w:tc>
          <w:tcPr>
            <w:tcW w:w="31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i w:val="0"/>
                <w:iCs w:val="0"/>
                <w:color w:val="auto"/>
                <w:sz w:val="21"/>
                <w:szCs w:val="21"/>
                <w:highlight w:val="none"/>
                <w:u w:val="none"/>
              </w:rPr>
            </w:pP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bCs/>
                <w:i w:val="0"/>
                <w:iCs w:val="0"/>
                <w:color w:val="auto"/>
                <w:sz w:val="21"/>
                <w:szCs w:val="21"/>
                <w:highlight w:val="none"/>
                <w:u w:val="none"/>
              </w:rPr>
            </w:pP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宽带监测接收机</w:t>
            </w:r>
          </w:p>
        </w:tc>
        <w:tc>
          <w:tcPr>
            <w:tcW w:w="31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1）频率范围：20MHz~8GHz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2）实时中频带宽：≧40MHz</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配套监测天线组及安装、控制配件</w:t>
            </w:r>
          </w:p>
        </w:tc>
        <w:tc>
          <w:tcPr>
            <w:tcW w:w="31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根据需求配置，定制</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827"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配套设施</w:t>
            </w:r>
          </w:p>
        </w:tc>
        <w:tc>
          <w:tcPr>
            <w:tcW w:w="31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i w:val="0"/>
                <w:iCs w:val="0"/>
                <w:color w:val="auto"/>
                <w:sz w:val="21"/>
                <w:szCs w:val="21"/>
                <w:highlight w:val="none"/>
                <w:u w:val="none"/>
              </w:rPr>
            </w:pP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i w:val="0"/>
                <w:iCs w:val="0"/>
                <w:color w:val="auto"/>
                <w:sz w:val="21"/>
                <w:szCs w:val="21"/>
                <w:highlight w:val="none"/>
                <w:u w:val="none"/>
              </w:rPr>
            </w:pP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工控机</w:t>
            </w:r>
          </w:p>
        </w:tc>
        <w:tc>
          <w:tcPr>
            <w:tcW w:w="31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6核6线程或以上处理器/32G或以上 DDR4/企业级128GB SSD硬盘+4TB HDD硬盘/10/100/1000Mbps自适应网口/USB/声卡/19英寸或以上显示器/键盘鼠标</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交换机</w:t>
            </w:r>
          </w:p>
        </w:tc>
        <w:tc>
          <w:tcPr>
            <w:tcW w:w="31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（1）二层网管型交换机；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（2）不少于16*10/100/1000M自适应以太网端口；</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远程遥控设备</w:t>
            </w:r>
          </w:p>
        </w:tc>
        <w:tc>
          <w:tcPr>
            <w:tcW w:w="31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实现监测接收机以及相关监测设备的远程控制开关机</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电源系统</w:t>
            </w:r>
          </w:p>
        </w:tc>
        <w:tc>
          <w:tcPr>
            <w:tcW w:w="31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UPS、蓄电池（后备6小时），配套线缆等。</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视频和动环监控</w:t>
            </w:r>
          </w:p>
        </w:tc>
        <w:tc>
          <w:tcPr>
            <w:tcW w:w="31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1）高清摄像机（含云台）及配套采集、存储和回传设施；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2）温度、湿度、电压、电流、人体移动、红外线传感、烟雾、漏水等传感设施，并配套传感信息采集、回传和控制设施。</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其它</w:t>
            </w:r>
          </w:p>
        </w:tc>
        <w:tc>
          <w:tcPr>
            <w:tcW w:w="31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机柜、安装附件等</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系统软件</w:t>
            </w:r>
          </w:p>
        </w:tc>
        <w:tc>
          <w:tcPr>
            <w:tcW w:w="31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bCs/>
                <w:i w:val="0"/>
                <w:iCs w:val="0"/>
                <w:color w:val="auto"/>
                <w:sz w:val="21"/>
                <w:szCs w:val="21"/>
                <w:highlight w:val="none"/>
                <w:u w:val="none"/>
              </w:rPr>
            </w:pP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bCs/>
                <w:i w:val="0"/>
                <w:iCs w:val="0"/>
                <w:color w:val="auto"/>
                <w:sz w:val="21"/>
                <w:szCs w:val="21"/>
                <w:highlight w:val="none"/>
                <w:u w:val="none"/>
              </w:rPr>
            </w:pP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监测站系统软件</w:t>
            </w:r>
          </w:p>
        </w:tc>
        <w:tc>
          <w:tcPr>
            <w:tcW w:w="31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1）监测站监测测向系统软件平台，须实现系统要求的所有功能。一套软件，含3个监测站部署、调试。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2）依据YD/T 3700.3-2020《超短波监测管理一体化平台技术规范 第3部分：设备操作服务》要求，完成监测站服务封装。需通过一体化平台的一致性测试。</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系统集成和安装</w:t>
            </w:r>
          </w:p>
        </w:tc>
        <w:tc>
          <w:tcPr>
            <w:tcW w:w="31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对所有设备、软件进行统一集成和安装，形成相互关联、统一协调、实际可用的系统。</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39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指挥控制中心</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i w:val="0"/>
                <w:iCs w:val="0"/>
                <w:color w:val="auto"/>
                <w:sz w:val="21"/>
                <w:szCs w:val="21"/>
                <w:highlight w:val="none"/>
                <w:u w:val="none"/>
              </w:rPr>
            </w:pPr>
          </w:p>
        </w:tc>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1"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FAST监测指挥系统软件</w:t>
            </w:r>
          </w:p>
        </w:tc>
        <w:tc>
          <w:tcPr>
            <w:tcW w:w="31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1）可视化电波宁静区电磁环境分析展示子系统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2）可视化电磁兼容分析子系统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3）可视化监测覆盖分析及展示子系统</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827" w:type="pct"/>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一体化平台接入</w:t>
            </w:r>
          </w:p>
        </w:tc>
        <w:tc>
          <w:tcPr>
            <w:tcW w:w="316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将FAST监测指挥系统接入一体化平台应用</w:t>
            </w:r>
          </w:p>
        </w:tc>
        <w:tc>
          <w:tcPr>
            <w:tcW w:w="230"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230" w:type="pct"/>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LED大屏显示系统</w:t>
            </w:r>
          </w:p>
        </w:tc>
        <w:tc>
          <w:tcPr>
            <w:tcW w:w="31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1.像数点间距≦1.2mm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2.规格（含边框尺寸）：3300mm*2020mm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3.显示部分尺寸：3200mm*1920mm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4.压铸铝箱体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5.专业主控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6.音箱、功放</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中央控制系统</w:t>
            </w:r>
          </w:p>
        </w:tc>
        <w:tc>
          <w:tcPr>
            <w:tcW w:w="31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1.中控主机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2.电源控制器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3.编程控制软件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4.电源时序器</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（五）</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会议会商系统</w:t>
            </w:r>
          </w:p>
        </w:tc>
        <w:tc>
          <w:tcPr>
            <w:tcW w:w="31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1.智能数字会议系统主机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2.桌面式发言主席单元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3.桌面式发言代表单元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4.航空安装线缆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5.真分集无线话筒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6.八路天线放大器（室内版）；说明：设有设备间，需要增加天线放大器，增强无线话筒接收信号</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（六）</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音频扩音系统</w:t>
            </w:r>
          </w:p>
        </w:tc>
        <w:tc>
          <w:tcPr>
            <w:tcW w:w="31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1.无源全频音箱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2.双通道专业数字功放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4.专业音频处理器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5.专业自动反馈抑制器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6.模拟调音台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7.莲花-话筒插头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8.卡侬头（母）-卡侬头（公）</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bl>
    <w:p>
      <w:pPr>
        <w:keepNext w:val="0"/>
        <w:keepLines w:val="0"/>
        <w:pageBreakBefore w:val="0"/>
        <w:widowControl w:val="0"/>
        <w:kinsoku/>
        <w:wordWrap/>
        <w:overflowPunct/>
        <w:topLinePunct w:val="0"/>
        <w:autoSpaceDE/>
        <w:autoSpaceDN/>
        <w:bidi w:val="0"/>
        <w:adjustRightInd/>
        <w:snapToGrid/>
        <w:spacing w:before="79" w:beforeLines="25" w:after="79" w:afterLines="25" w:line="360" w:lineRule="auto"/>
        <w:textAlignment w:val="auto"/>
        <w:outlineLvl w:val="2"/>
        <w:rPr>
          <w:rFonts w:hint="eastAsia" w:ascii="Times New Roman" w:hAnsi="Times New Roman" w:eastAsia="宋体" w:cs="宋体"/>
          <w:b/>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二、商务要求</w:t>
      </w:r>
    </w:p>
    <w:p>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（一）</w:t>
      </w:r>
      <w:r>
        <w:rPr>
          <w:rFonts w:hint="eastAsia" w:ascii="宋体" w:hAnsi="宋体"/>
          <w:b/>
          <w:bCs/>
          <w:color w:val="auto"/>
          <w:szCs w:val="21"/>
          <w:highlight w:val="none"/>
        </w:rPr>
        <w:t>合同履约期限：</w:t>
      </w:r>
      <w:r>
        <w:rPr>
          <w:rFonts w:hint="eastAsia" w:ascii="宋体" w:hAnsi="宋体"/>
          <w:color w:val="auto"/>
          <w:szCs w:val="21"/>
          <w:highlight w:val="none"/>
        </w:rPr>
        <w:t>2025年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20</w:t>
      </w:r>
      <w:r>
        <w:rPr>
          <w:rFonts w:hint="eastAsia" w:ascii="宋体" w:hAnsi="宋体"/>
          <w:color w:val="auto"/>
          <w:szCs w:val="21"/>
          <w:highlight w:val="none"/>
        </w:rPr>
        <w:t>日前完成出厂验收，2025年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10</w:t>
      </w:r>
      <w:r>
        <w:rPr>
          <w:rFonts w:hint="eastAsia" w:ascii="宋体" w:hAnsi="宋体"/>
          <w:color w:val="auto"/>
          <w:szCs w:val="21"/>
          <w:highlight w:val="none"/>
        </w:rPr>
        <w:t>日前完成合同验收</w:t>
      </w:r>
      <w:r>
        <w:rPr>
          <w:rFonts w:hint="eastAsia" w:ascii="宋体" w:hAnsi="宋体"/>
          <w:color w:val="auto"/>
          <w:szCs w:val="21"/>
          <w:highlight w:val="none"/>
          <w:lang w:val="en-US" w:eastAsia="zh-CN"/>
        </w:rPr>
        <w:t>，直至完成初步验收及竣工验收。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eastAsia="zh-CN"/>
        </w:rPr>
        <w:t>交货时间：</w:t>
      </w:r>
      <w:r>
        <w:rPr>
          <w:rFonts w:hint="eastAsia" w:ascii="宋体" w:hAnsi="宋体" w:eastAsia="宋体" w:cs="宋体"/>
          <w:b w:val="0"/>
          <w:bCs w:val="0"/>
          <w:color w:val="auto"/>
          <w:sz w:val="21"/>
          <w:szCs w:val="21"/>
          <w:highlight w:val="none"/>
          <w:lang w:val="en-US" w:eastAsia="zh-CN"/>
        </w:rPr>
        <w:t>2025年8月20日前完成出厂验收，2025年10月10日前完成合同验收。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交货地点</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广西区内用户指定地点。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en-US" w:eastAsia="zh-CN"/>
        </w:rPr>
        <w:t>合同签订时间</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自中标通知书发出之日起25日内。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US" w:eastAsia="zh-CN"/>
        </w:rPr>
        <w:t>付款方式</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合同生效后，由本合同的所有使用单位共同支付合同总价的50%（各使用单位应支付的金额由采购单位确定），出厂验收后支付合同总价的30%，合同验收后支付合同总价的17%，竣工验收通过后支付合同总价的3%。乙方收到上述货款之日起10个工作日内开具发票给各付款单位（即使用单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en-US" w:eastAsia="zh-CN"/>
        </w:rPr>
        <w:t>质保期</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整套设备保修期至少</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年，自验收合格正式交付使用之日起计算。按国家有关产品“三包”规定执行“三包”，质保期内免费维修、更换配件。质保期满后，以优惠价格提供维修和备件更换，且免除一切手续费。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val="en-US" w:eastAsia="zh-CN"/>
        </w:rPr>
        <w:t>培训要求</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针对不同的使用者，结合整个项目建设周期进行使用、维护、管理等不同方面的系统培训，使得使用者能够迅速熟练掌握使用本系统。人员培训范围包括平台使用人员培训和系统维护的专业人员培训。具体内容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（1）业务人员培训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业务人员的培训主要包括以下几个方面：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无线电管理相关工作人员应用培训。通过对无线电管理相关工作人员进行系统培训，使他们尽快熟悉掌握系统，并通过系统解决日常工作需求，提高工作效率和工作质量。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（2）技术人员培训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与软硬件有关的技术培训。对相关人员进行设备、软件的功能、性能、安装及使用等进行专门的培训。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项目相关的人员培训由承建单位负责，具体培训人员数量、地点和培训时间由承建单位和建设单位协商确定。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val="en-US" w:eastAsia="zh-CN"/>
        </w:rPr>
        <w:t>售后服务保障或维修响应时间要求</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设备出现故障必须在24小时内做出答复，48小时内安排人员解决问题并排除故障，重大问题或其它无法迅速解决的问题应在一周内解决。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lang w:val="en-US" w:eastAsia="zh-CN"/>
        </w:rPr>
        <w:t>项目验收</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项目验收分为出厂验收、合同验收、初步验收和竣工验收环节。投标人应在每个验收环节实施前将具体的验收计划交采购人审查。某一验收环节中达不到国家或地方无线电管理基础和技术设施建设项目有关验收要求，采购人不予签字认可，中标方须对不符合部分采取措施进行改进，直至符合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val="en-US" w:eastAsia="zh-CN"/>
        </w:rPr>
        <w:t>其他要求</w:t>
      </w:r>
      <w:r>
        <w:rPr>
          <w:rFonts w:hint="eastAsia" w:ascii="宋体" w:hAnsi="宋体" w:cs="宋体"/>
          <w:b/>
          <w:bCs/>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1.本项目为总包干价，所有设备、系统（包括硬件、软件等）的安装调试，第三方检测费用，至项目验收合格交付使用前所发生的所有费用均由中标人负责。</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2.投标人投标时必须提供详细的设计和安装方案（设备型号、主要技术指标和功能的详细描述，系统结构框图、效果图等）。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3.投标人投标时必须提供具体供货时间以及生产、调试、安装、验收时间安排表。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4.中标人必须负责项目所有设备的安装、校准和调试。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5.投标人投标时必须明确自项目验收合格正式交付使用后免费保修期的期限，保修期内，凡因中标人的设备质量原因而造成的故障，中标人应及时予以排除，并承担由此所发生的全部费用。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6.保修期过后，中标人应对其提供的设备、系统（包括硬件、软件等）提供技术支持。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7.中标人负责制定培训计划（包括培训方式、培训内容、培训时间、培训资料等），免费为招标人培训技术人员。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8.中标人必须向招标人提供所有设备、系统（包括硬件、软件等）完整的技术资料，包括技术说明书、操作说明书等。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中标方所提供的设备及其系统在交货验收时必须由具备相应资质的第三方检测机构按照工业和信息化部颁发的《无线电监测设施测试验证工作规定（试行）》（工信部无〔2017〕283号）相关要求进行测试并出具检测报告；第三方检测机构资质必须符合工业和信息化部颁发的《无线电监测设施测试验证工作规定（试行）》（工信部无〔2017〕283号）第十二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10.中标人必须保证招标人在使用设备、服务时不受第三方提出侵犯其专利权、商标权和设计权的指控。一旦出现任何第三方提出侵权指控，中标人必须与第三方交涉，并承担可能发生的一切责任和费用</w:t>
      </w:r>
      <w:r>
        <w:rPr>
          <w:rFonts w:hint="eastAsia" w:ascii="宋体" w:hAnsi="宋体" w:cs="宋体"/>
          <w:color w:val="auto"/>
          <w:sz w:val="21"/>
          <w:szCs w:val="21"/>
          <w:highlight w:val="none"/>
          <w:lang w:val="en-US" w:eastAsia="zh-CN"/>
        </w:rPr>
        <w:t>。</w:t>
      </w:r>
    </w:p>
    <w:p>
      <w:pPr>
        <w:pStyle w:val="259"/>
        <w:pageBreakBefore w:val="0"/>
        <w:kinsoku/>
        <w:wordWrap/>
        <w:overflowPunct/>
        <w:topLinePunct w:val="0"/>
        <w:bidi w:val="0"/>
        <w:ind w:left="0" w:leftChars="0" w:firstLine="0" w:firstLineChars="0"/>
        <w:jc w:val="left"/>
        <w:rPr>
          <w:rFonts w:hint="eastAsia" w:ascii="宋体" w:hAnsi="宋体" w:eastAsia="宋体" w:cs="宋体"/>
          <w:color w:val="auto"/>
          <w:sz w:val="21"/>
          <w:szCs w:val="21"/>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rPr>
        <w:sectPr>
          <w:footerReference r:id="rId7" w:type="first"/>
          <w:headerReference r:id="rId6" w:type="default"/>
          <w:pgSz w:w="11906" w:h="16838"/>
          <w:pgMar w:top="1440" w:right="1800" w:bottom="1440" w:left="1800" w:header="567" w:footer="797" w:gutter="0"/>
          <w:cols w:space="720" w:num="1"/>
          <w:docGrid w:linePitch="312" w:charSpace="0"/>
        </w:sectPr>
      </w:pPr>
    </w:p>
    <w:bookmarkEnd w:id="59"/>
    <w:bookmarkEnd w:id="60"/>
    <w:p>
      <w:pPr>
        <w:pStyle w:val="29"/>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jc w:val="center"/>
        <w:textAlignment w:val="auto"/>
        <w:outlineLvl w:val="0"/>
        <w:rPr>
          <w:rFonts w:hint="eastAsia" w:ascii="Times New Roman" w:hAnsi="Times New Roman" w:cs="Times New Roman"/>
          <w:b/>
          <w:sz w:val="36"/>
          <w:szCs w:val="36"/>
          <w:highlight w:val="none"/>
        </w:rPr>
      </w:pPr>
      <w:bookmarkStart w:id="77" w:name="_Toc25856"/>
      <w:r>
        <w:rPr>
          <w:rFonts w:hint="eastAsia" w:ascii="Times New Roman" w:hAnsi="Times New Roman" w:cs="Times New Roman"/>
          <w:b/>
          <w:sz w:val="36"/>
          <w:szCs w:val="36"/>
          <w:highlight w:val="none"/>
        </w:rPr>
        <w:t xml:space="preserve"> 第三章  供应商须知</w:t>
      </w:r>
      <w:bookmarkEnd w:id="77"/>
      <w:bookmarkStart w:id="78" w:name="_Toc254970667"/>
      <w:bookmarkStart w:id="79" w:name="_Toc254970526"/>
    </w:p>
    <w:bookmarkEnd w:id="78"/>
    <w:bookmarkEnd w:id="79"/>
    <w:p>
      <w:pPr>
        <w:pStyle w:val="3"/>
        <w:widowControl/>
        <w:spacing w:before="40" w:after="40"/>
        <w:jc w:val="center"/>
        <w:rPr>
          <w:rFonts w:ascii="Times New Roman" w:hAnsi="Times New Roman" w:eastAsia="宋体"/>
          <w:sz w:val="28"/>
          <w:szCs w:val="28"/>
          <w:highlight w:val="none"/>
        </w:rPr>
      </w:pPr>
      <w:bookmarkStart w:id="80" w:name="_投标人须知前附表"/>
      <w:bookmarkEnd w:id="80"/>
      <w:bookmarkStart w:id="81" w:name="OLE_LINK1"/>
      <w:bookmarkStart w:id="82" w:name="_Hlk19048934"/>
      <w:r>
        <w:rPr>
          <w:rFonts w:hint="eastAsia" w:ascii="Times New Roman" w:hAnsi="Times New Roman" w:eastAsia="宋体" w:cs="宋体"/>
          <w:sz w:val="28"/>
          <w:szCs w:val="28"/>
          <w:highlight w:val="none"/>
        </w:rPr>
        <w:t>供应商</w:t>
      </w:r>
      <w:bookmarkEnd w:id="81"/>
      <w:r>
        <w:rPr>
          <w:rFonts w:hint="eastAsia" w:ascii="Times New Roman" w:hAnsi="Times New Roman" w:eastAsia="宋体" w:cs="宋体"/>
          <w:sz w:val="28"/>
          <w:szCs w:val="28"/>
          <w:highlight w:val="none"/>
        </w:rPr>
        <w:t>须知前附表</w:t>
      </w:r>
    </w:p>
    <w:tbl>
      <w:tblPr>
        <w:tblStyle w:val="54"/>
        <w:tblW w:w="4999"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746"/>
        <w:gridCol w:w="1346"/>
        <w:gridCol w:w="642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9"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hint="eastAsia" w:ascii="宋体" w:hAnsi="宋体" w:cs="宋体"/>
                <w:b/>
                <w:szCs w:val="21"/>
                <w:highlight w:val="none"/>
              </w:rPr>
              <w:t>条款号</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hint="eastAsia" w:ascii="宋体" w:hAnsi="宋体" w:cs="宋体"/>
                <w:b/>
                <w:szCs w:val="21"/>
                <w:highlight w:val="none"/>
              </w:rPr>
              <w:t>要点</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hint="eastAsia" w:ascii="宋体" w:hAnsi="宋体" w:cs="宋体"/>
                <w:b/>
                <w:szCs w:val="21"/>
                <w:highlight w:val="none"/>
              </w:rPr>
              <w:t>内容、要求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0"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1.3.1</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项目基本信息</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szCs w:val="21"/>
                <w:highlight w:val="none"/>
                <w:lang w:eastAsia="zh-CN"/>
              </w:rPr>
            </w:pPr>
            <w:r>
              <w:rPr>
                <w:rFonts w:hint="eastAsia" w:ascii="宋体" w:hAnsi="宋体" w:cs="宋体"/>
                <w:szCs w:val="21"/>
                <w:highlight w:val="none"/>
                <w:lang w:bidi="ar"/>
              </w:rPr>
              <w:t>项目名称：</w:t>
            </w:r>
            <w:r>
              <w:rPr>
                <w:rFonts w:hint="eastAsia" w:ascii="宋体" w:hAnsi="宋体" w:cs="宋体"/>
                <w:szCs w:val="21"/>
                <w:highlight w:val="none"/>
                <w:lang w:eastAsia="zh-CN" w:bidi="ar"/>
              </w:rPr>
              <w:t>2025年广西无线电管理普通环境监测网覆盖完善和能力提升项目（二）（重）</w:t>
            </w:r>
          </w:p>
          <w:p>
            <w:pPr>
              <w:spacing w:line="360" w:lineRule="exact"/>
              <w:jc w:val="left"/>
              <w:rPr>
                <w:rFonts w:hint="eastAsia" w:ascii="宋体" w:hAnsi="宋体" w:eastAsia="宋体"/>
                <w:szCs w:val="21"/>
                <w:highlight w:val="none"/>
                <w:lang w:eastAsia="zh-CN"/>
              </w:rPr>
            </w:pPr>
            <w:r>
              <w:rPr>
                <w:rFonts w:hint="eastAsia" w:ascii="宋体" w:hAnsi="宋体" w:cs="宋体"/>
                <w:szCs w:val="21"/>
                <w:highlight w:val="none"/>
                <w:lang w:bidi="ar"/>
              </w:rPr>
              <w:t>项目编号：</w:t>
            </w:r>
            <w:r>
              <w:rPr>
                <w:rFonts w:hint="eastAsia" w:ascii="宋体" w:hAnsi="宋体"/>
                <w:szCs w:val="21"/>
                <w:highlight w:val="none"/>
                <w:lang w:eastAsia="zh-CN"/>
              </w:rPr>
              <w:t>GXZC2025-G1-001114-GXCT</w:t>
            </w:r>
          </w:p>
          <w:p>
            <w:pPr>
              <w:spacing w:line="360" w:lineRule="exact"/>
              <w:jc w:val="left"/>
              <w:rPr>
                <w:rFonts w:ascii="宋体" w:hAnsi="宋体"/>
                <w:szCs w:val="21"/>
                <w:highlight w:val="none"/>
              </w:rPr>
            </w:pPr>
            <w:r>
              <w:rPr>
                <w:rFonts w:hint="eastAsia" w:ascii="宋体" w:hAnsi="宋体" w:cs="宋体"/>
                <w:szCs w:val="21"/>
                <w:highlight w:val="none"/>
                <w:lang w:bidi="ar"/>
              </w:rPr>
              <w:t>采购计划号：广西政采[2025]6000号-001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7"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1.3.2</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lang w:val="zh-CN"/>
              </w:rPr>
            </w:pPr>
            <w:r>
              <w:rPr>
                <w:rFonts w:hint="eastAsia" w:ascii="宋体" w:hAnsi="宋体" w:cs="宋体"/>
                <w:szCs w:val="21"/>
                <w:highlight w:val="none"/>
                <w:lang w:val="zh-CN"/>
              </w:rPr>
              <w:t>采购方式</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rPr>
              <w:t>公开招标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1.4.1</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lang w:val="zh-CN"/>
              </w:rPr>
              <w:t>供应商资格条件</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6" w:hRule="atLeast"/>
        </w:trPr>
        <w:tc>
          <w:tcPr>
            <w:tcW w:w="438" w:type="pct"/>
            <w:tcBorders>
              <w:top w:val="single" w:color="auto" w:sz="4" w:space="0"/>
              <w:left w:val="single" w:color="auto" w:sz="4" w:space="0"/>
              <w:bottom w:val="nil"/>
              <w:right w:val="single" w:color="auto" w:sz="4" w:space="0"/>
            </w:tcBorders>
            <w:vAlign w:val="center"/>
          </w:tcPr>
          <w:p>
            <w:pPr>
              <w:spacing w:line="360" w:lineRule="exact"/>
              <w:jc w:val="center"/>
              <w:rPr>
                <w:rFonts w:ascii="宋体" w:hAnsi="宋体"/>
                <w:b/>
                <w:szCs w:val="21"/>
                <w:highlight w:val="none"/>
              </w:rPr>
            </w:pPr>
            <w:bookmarkStart w:id="83" w:name="_Hlk85555568"/>
            <w:r>
              <w:rPr>
                <w:rFonts w:ascii="宋体" w:hAnsi="宋体"/>
                <w:b/>
                <w:szCs w:val="21"/>
                <w:highlight w:val="none"/>
              </w:rPr>
              <w:t>1.4.3</w:t>
            </w:r>
          </w:p>
        </w:tc>
        <w:tc>
          <w:tcPr>
            <w:tcW w:w="790" w:type="pct"/>
            <w:tcBorders>
              <w:top w:val="single" w:color="auto" w:sz="4" w:space="0"/>
              <w:left w:val="single" w:color="auto" w:sz="4" w:space="0"/>
              <w:bottom w:val="nil"/>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联合体</w:t>
            </w:r>
          </w:p>
        </w:tc>
        <w:tc>
          <w:tcPr>
            <w:tcW w:w="3772" w:type="pct"/>
            <w:tcBorders>
              <w:top w:val="single" w:color="auto" w:sz="4" w:space="0"/>
              <w:left w:val="single" w:color="auto" w:sz="4" w:space="0"/>
              <w:bottom w:val="nil"/>
              <w:right w:val="single" w:color="auto" w:sz="4" w:space="0"/>
            </w:tcBorders>
            <w:vAlign w:val="center"/>
          </w:tcPr>
          <w:p>
            <w:pPr>
              <w:spacing w:line="360" w:lineRule="exact"/>
              <w:jc w:val="left"/>
              <w:rPr>
                <w:rFonts w:hint="eastAsia" w:ascii="宋体" w:hAnsi="宋体" w:eastAsia="宋体"/>
                <w:szCs w:val="21"/>
                <w:highlight w:val="none"/>
                <w:u w:val="single"/>
                <w:lang w:eastAsia="zh-CN"/>
              </w:rPr>
            </w:pPr>
            <w:r>
              <w:rPr>
                <w:rFonts w:hint="eastAsia" w:ascii="宋体" w:hAnsi="宋体" w:cs="宋体"/>
                <w:szCs w:val="21"/>
                <w:highlight w:val="none"/>
              </w:rPr>
              <w:t>详见招标公告</w:t>
            </w:r>
            <w:bookmarkEnd w:id="83"/>
            <w:r>
              <w:rPr>
                <w:rFonts w:hint="eastAsia" w:ascii="宋体" w:hAnsi="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1.5</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踏勘</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ascii="宋体" w:hAnsi="宋体" w:cs="Wingdings 2"/>
                <w:szCs w:val="21"/>
                <w:highlight w:val="none"/>
                <w:lang w:bidi="ar"/>
              </w:rPr>
              <w:sym w:font="Wingdings 2" w:char="0052"/>
            </w:r>
            <w:r>
              <w:rPr>
                <w:rFonts w:hint="eastAsia" w:ascii="宋体" w:hAnsi="宋体" w:cs="宋体"/>
                <w:szCs w:val="21"/>
                <w:highlight w:val="none"/>
                <w:lang w:bidi="ar"/>
              </w:rPr>
              <w:t>否</w:t>
            </w:r>
            <w:r>
              <w:rPr>
                <w:rFonts w:ascii="宋体" w:hAnsi="宋体"/>
                <w:szCs w:val="21"/>
                <w:highlight w:val="none"/>
                <w:lang w:bidi="ar"/>
              </w:rPr>
              <w:t xml:space="preserve">   □</w:t>
            </w:r>
            <w:r>
              <w:rPr>
                <w:rFonts w:hint="eastAsia" w:ascii="宋体" w:hAnsi="宋体" w:cs="宋体"/>
                <w:szCs w:val="21"/>
                <w:highlight w:val="none"/>
                <w:lang w:bidi="ar"/>
              </w:rPr>
              <w:t>是</w:t>
            </w:r>
          </w:p>
          <w:p>
            <w:pPr>
              <w:spacing w:line="360" w:lineRule="exact"/>
              <w:rPr>
                <w:rFonts w:ascii="宋体" w:hAnsi="宋体"/>
                <w:szCs w:val="21"/>
                <w:highlight w:val="none"/>
                <w:u w:val="single"/>
              </w:rPr>
            </w:pPr>
            <w:r>
              <w:rPr>
                <w:rFonts w:hint="eastAsia" w:ascii="宋体" w:hAnsi="宋体" w:cs="宋体"/>
                <w:szCs w:val="21"/>
                <w:highlight w:val="none"/>
                <w:lang w:bidi="ar"/>
              </w:rPr>
              <w:t>踏勘时间：</w:t>
            </w:r>
            <w:r>
              <w:rPr>
                <w:rFonts w:ascii="宋体" w:hAnsi="宋体"/>
                <w:szCs w:val="21"/>
                <w:highlight w:val="none"/>
                <w:lang w:bidi="ar"/>
              </w:rPr>
              <w:t>/</w:t>
            </w:r>
          </w:p>
          <w:p>
            <w:pPr>
              <w:spacing w:line="360" w:lineRule="exact"/>
              <w:rPr>
                <w:rFonts w:ascii="宋体" w:hAnsi="宋体"/>
                <w:szCs w:val="21"/>
                <w:highlight w:val="none"/>
                <w:u w:val="single"/>
              </w:rPr>
            </w:pPr>
            <w:r>
              <w:rPr>
                <w:rFonts w:hint="eastAsia" w:ascii="宋体" w:hAnsi="宋体" w:cs="宋体"/>
                <w:szCs w:val="21"/>
                <w:highlight w:val="none"/>
                <w:lang w:bidi="ar"/>
              </w:rPr>
              <w:t>踏勘地点：</w:t>
            </w:r>
            <w:r>
              <w:rPr>
                <w:rFonts w:ascii="宋体" w:hAnsi="宋体"/>
                <w:szCs w:val="21"/>
                <w:highlight w:val="none"/>
                <w:lang w:bidi="ar"/>
              </w:rPr>
              <w:t>/</w:t>
            </w:r>
          </w:p>
          <w:p>
            <w:pPr>
              <w:spacing w:line="360" w:lineRule="exact"/>
              <w:jc w:val="left"/>
              <w:rPr>
                <w:rFonts w:ascii="宋体" w:hAnsi="宋体"/>
                <w:szCs w:val="21"/>
                <w:highlight w:val="none"/>
              </w:rPr>
            </w:pPr>
            <w:r>
              <w:rPr>
                <w:rFonts w:hint="eastAsia" w:ascii="宋体" w:hAnsi="宋体" w:cs="宋体"/>
                <w:szCs w:val="21"/>
                <w:highlight w:val="none"/>
              </w:rPr>
              <w:t>踏勘要求：</w:t>
            </w:r>
            <w:r>
              <w:rPr>
                <w:rFonts w:ascii="宋体" w:hAnsi="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1.6.1</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转包</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rPr>
              <w:t>本项目不允许转包。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1.6.2</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分包</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kern w:val="0"/>
                <w:szCs w:val="21"/>
                <w:highlight w:val="none"/>
              </w:rPr>
            </w:pPr>
            <w:bookmarkStart w:id="84" w:name="OLE_LINK7"/>
            <w:r>
              <w:rPr>
                <w:rFonts w:ascii="宋体" w:hAnsi="宋体" w:cs="Wingdings 2"/>
                <w:szCs w:val="21"/>
                <w:highlight w:val="none"/>
                <w:lang w:bidi="ar"/>
              </w:rPr>
              <w:sym w:font="Wingdings 2" w:char="0052"/>
            </w:r>
            <w:r>
              <w:rPr>
                <w:rFonts w:hint="eastAsia" w:ascii="宋体" w:hAnsi="宋体" w:cs="宋体"/>
                <w:kern w:val="0"/>
                <w:szCs w:val="21"/>
                <w:highlight w:val="none"/>
                <w:lang w:bidi="ar"/>
              </w:rPr>
              <w:t>不允许分包</w:t>
            </w:r>
          </w:p>
          <w:p>
            <w:pPr>
              <w:spacing w:line="360" w:lineRule="exact"/>
              <w:jc w:val="left"/>
              <w:rPr>
                <w:rFonts w:ascii="宋体" w:hAnsi="宋体"/>
                <w:szCs w:val="21"/>
                <w:highlight w:val="none"/>
              </w:rPr>
            </w:pPr>
            <w:r>
              <w:rPr>
                <w:rFonts w:ascii="宋体" w:hAnsi="宋体" w:cs="Wingdings 2"/>
                <w:szCs w:val="21"/>
                <w:highlight w:val="none"/>
                <w:lang w:bidi="ar"/>
              </w:rPr>
              <w:sym w:font="Wingdings 2" w:char="00A3"/>
            </w:r>
            <w:r>
              <w:rPr>
                <w:rFonts w:hint="eastAsia" w:ascii="宋体" w:hAnsi="宋体" w:cs="宋体"/>
                <w:szCs w:val="21"/>
                <w:highlight w:val="none"/>
                <w:lang w:bidi="ar"/>
              </w:rPr>
              <w:t>允许分包，</w:t>
            </w:r>
            <w:bookmarkEnd w:id="84"/>
            <w:r>
              <w:rPr>
                <w:rFonts w:hint="eastAsia" w:ascii="宋体" w:hAnsi="宋体" w:cs="宋体"/>
                <w:szCs w:val="21"/>
                <w:highlight w:val="none"/>
                <w:lang w:bidi="ar"/>
              </w:rPr>
              <w:t>允许非小微企业供应商将采购项目中非主体、非关键性工作分包给一家或者多家小微企业，可以分包的内容</w:t>
            </w:r>
            <w:r>
              <w:rPr>
                <w:rFonts w:ascii="宋体" w:hAnsi="宋体"/>
                <w:szCs w:val="21"/>
                <w:highlight w:val="none"/>
                <w:u w:val="single"/>
                <w:lang w:bidi="ar"/>
              </w:rPr>
              <w:t xml:space="preserve">           </w:t>
            </w:r>
            <w:r>
              <w:rPr>
                <w:rFonts w:hint="eastAsia" w:ascii="宋体" w:hAnsi="宋体" w:cs="宋体"/>
                <w:szCs w:val="21"/>
                <w:highlight w:val="none"/>
                <w:lang w:bidi="ar"/>
              </w:rPr>
              <w:t>；</w:t>
            </w:r>
          </w:p>
          <w:p>
            <w:pPr>
              <w:spacing w:line="360" w:lineRule="exact"/>
              <w:jc w:val="left"/>
              <w:rPr>
                <w:rFonts w:ascii="宋体" w:hAnsi="宋体"/>
                <w:szCs w:val="21"/>
                <w:highlight w:val="none"/>
              </w:rPr>
            </w:pPr>
            <w:r>
              <w:rPr>
                <w:rFonts w:hint="eastAsia" w:ascii="宋体" w:hAnsi="宋体" w:cs="宋体"/>
                <w:szCs w:val="21"/>
                <w:highlight w:val="none"/>
              </w:rPr>
              <w:t>可以分包的比例：</w:t>
            </w:r>
            <w:r>
              <w:rPr>
                <w:rFonts w:ascii="宋体" w:hAnsi="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2.3</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招标文件澄清、修改</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rPr>
              <w:t>在招标公告发布媒介发布。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0"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2.3</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确认收到澄清、修改发布的方式</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rPr>
              <w:t>澄清、修改文件自招标公告发布媒体发布之日起，视为供应商已收到该澄清、修改。供应商未及时关注招标公告发布媒体造成的损失，由供应商自行负责。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9"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3.4.1</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投标有效期</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rPr>
              <w:t>投标截止之日起</w:t>
            </w:r>
            <w:r>
              <w:rPr>
                <w:rFonts w:ascii="宋体" w:hAnsi="宋体"/>
                <w:szCs w:val="21"/>
                <w:highlight w:val="none"/>
              </w:rPr>
              <w:t>90</w:t>
            </w:r>
            <w:r>
              <w:rPr>
                <w:rFonts w:hint="eastAsia" w:ascii="宋体" w:hAnsi="宋体" w:cs="宋体"/>
                <w:szCs w:val="21"/>
                <w:highlight w:val="none"/>
              </w:rPr>
              <w:t>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3.5</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投标保证金</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宋体" w:hAnsi="宋体" w:eastAsia="宋体"/>
                <w:kern w:val="0"/>
                <w:szCs w:val="21"/>
                <w:highlight w:val="none"/>
                <w:lang w:val="en-US" w:eastAsia="zh-CN"/>
              </w:rPr>
            </w:pPr>
            <w:r>
              <w:rPr>
                <w:rFonts w:ascii="宋体" w:hAnsi="宋体" w:cs="Wingdings 2"/>
                <w:szCs w:val="21"/>
                <w:highlight w:val="none"/>
                <w:lang w:bidi="ar"/>
              </w:rPr>
              <w:sym w:font="Wingdings 2" w:char="0052"/>
            </w:r>
            <w:bookmarkStart w:id="85" w:name="OLE_LINK8"/>
            <w:r>
              <w:rPr>
                <w:rFonts w:hint="eastAsia" w:ascii="宋体" w:hAnsi="宋体" w:cs="宋体"/>
                <w:kern w:val="0"/>
                <w:szCs w:val="21"/>
                <w:highlight w:val="none"/>
                <w:lang w:val="en-US" w:eastAsia="zh-CN" w:bidi="ar"/>
              </w:rPr>
              <w:t>本项目不收取投标保证金</w:t>
            </w:r>
            <w:bookmarkEnd w:id="85"/>
          </w:p>
          <w:p>
            <w:pPr>
              <w:spacing w:line="360" w:lineRule="exact"/>
              <w:jc w:val="left"/>
              <w:rPr>
                <w:rFonts w:hint="eastAsia" w:ascii="宋体" w:hAnsi="宋体" w:eastAsia="宋体" w:cs="宋体"/>
                <w:szCs w:val="21"/>
                <w:highlight w:val="none"/>
                <w:lang w:eastAsia="zh-CN" w:bidi="ar"/>
              </w:rPr>
            </w:pPr>
            <w:r>
              <w:rPr>
                <w:rFonts w:ascii="宋体" w:hAnsi="宋体" w:cs="Wingdings 2"/>
                <w:szCs w:val="21"/>
                <w:highlight w:val="none"/>
                <w:lang w:bidi="ar"/>
              </w:rPr>
              <w:sym w:font="Wingdings 2" w:char="00A3"/>
            </w:r>
            <w:r>
              <w:rPr>
                <w:rFonts w:hint="eastAsia" w:ascii="宋体" w:hAnsi="宋体" w:cs="宋体"/>
                <w:kern w:val="0"/>
                <w:szCs w:val="21"/>
                <w:highlight w:val="none"/>
                <w:lang w:val="en-US" w:eastAsia="zh-CN" w:bidi="ar"/>
              </w:rPr>
              <w:t>本项目收取投标保证金</w:t>
            </w:r>
            <w:r>
              <w:rPr>
                <w:rFonts w:hint="eastAsia" w:ascii="宋体" w:hAnsi="宋体" w:cs="宋体"/>
                <w:szCs w:val="21"/>
                <w:highlight w:val="none"/>
                <w:lang w:eastAsia="zh-CN" w:bidi="ar"/>
              </w:rPr>
              <w:t>：</w:t>
            </w:r>
          </w:p>
          <w:p>
            <w:pPr>
              <w:spacing w:line="360" w:lineRule="exact"/>
              <w:jc w:val="left"/>
              <w:rPr>
                <w:rFonts w:ascii="宋体" w:hAnsi="宋体"/>
                <w:szCs w:val="21"/>
                <w:highlight w:val="none"/>
              </w:rPr>
            </w:pPr>
            <w:r>
              <w:rPr>
                <w:rFonts w:hint="eastAsia" w:ascii="宋体" w:hAnsi="宋体" w:cs="宋体"/>
                <w:szCs w:val="21"/>
                <w:highlight w:val="none"/>
                <w:lang w:bidi="ar"/>
              </w:rPr>
              <w:t>投标保证金金额：</w:t>
            </w:r>
            <w:r>
              <w:rPr>
                <w:rFonts w:hint="eastAsia" w:ascii="宋体" w:hAnsi="宋体" w:cs="宋体"/>
                <w:szCs w:val="21"/>
                <w:highlight w:val="none"/>
              </w:rPr>
              <w:t>详见招标公告。</w:t>
            </w:r>
          </w:p>
          <w:p>
            <w:pPr>
              <w:spacing w:line="360" w:lineRule="exact"/>
              <w:jc w:val="left"/>
              <w:rPr>
                <w:rFonts w:ascii="宋体" w:hAnsi="宋体" w:cs="宋体"/>
                <w:szCs w:val="21"/>
                <w:highlight w:val="none"/>
                <w:lang w:bidi="ar"/>
              </w:rPr>
            </w:pPr>
            <w:r>
              <w:rPr>
                <w:rFonts w:hint="eastAsia" w:ascii="宋体" w:hAnsi="宋体" w:cs="宋体"/>
                <w:kern w:val="0"/>
                <w:szCs w:val="21"/>
                <w:highlight w:val="none"/>
              </w:rPr>
              <w:t>投标保证金的交纳方式：银行转账、支票、汇票、本票或者金融、担保机构出具的保函、保单，禁止采用现钞方式。</w:t>
            </w:r>
          </w:p>
          <w:p>
            <w:pPr>
              <w:snapToGrid w:val="0"/>
              <w:spacing w:line="400" w:lineRule="exact"/>
              <w:rPr>
                <w:rFonts w:ascii="宋体" w:hAnsi="宋体" w:cs="宋体"/>
                <w:szCs w:val="21"/>
                <w:highlight w:val="none"/>
              </w:rPr>
            </w:pPr>
            <w:r>
              <w:rPr>
                <w:rFonts w:hint="eastAsia" w:ascii="宋体" w:hAnsi="宋体" w:cs="宋体"/>
                <w:szCs w:val="21"/>
                <w:highlight w:val="none"/>
              </w:rPr>
              <w:t>相关要求：</w:t>
            </w:r>
          </w:p>
          <w:p>
            <w:pPr>
              <w:snapToGrid w:val="0"/>
              <w:spacing w:line="400" w:lineRule="exact"/>
              <w:rPr>
                <w:rFonts w:ascii="宋体" w:hAnsi="宋体"/>
                <w:b/>
                <w:szCs w:val="21"/>
                <w:highlight w:val="none"/>
              </w:rPr>
            </w:pPr>
            <w:r>
              <w:rPr>
                <w:rFonts w:hint="eastAsia" w:ascii="宋体" w:hAnsi="宋体" w:cs="宋体"/>
                <w:szCs w:val="21"/>
                <w:highlight w:val="none"/>
              </w:rPr>
              <w:t>1.投标保证金采用银行转账</w:t>
            </w:r>
            <w:bookmarkStart w:id="86" w:name="OLE_LINK14"/>
            <w:r>
              <w:rPr>
                <w:rFonts w:hint="eastAsia" w:ascii="宋体" w:hAnsi="宋体" w:cs="宋体"/>
                <w:szCs w:val="21"/>
                <w:highlight w:val="none"/>
              </w:rPr>
              <w:t>交纳方式</w:t>
            </w:r>
            <w:bookmarkEnd w:id="86"/>
            <w:r>
              <w:rPr>
                <w:rFonts w:hint="eastAsia" w:ascii="宋体" w:hAnsi="宋体" w:cs="宋体"/>
                <w:szCs w:val="21"/>
                <w:highlight w:val="none"/>
              </w:rPr>
              <w:t>的，在投标文件提交截止时间前交至招标代理机构指定账户并且到账，投标人应将银行转账底单的复印件作为投标保证金提交凭证，放置于投标文件中，</w:t>
            </w:r>
            <w:r>
              <w:rPr>
                <w:rFonts w:hint="eastAsia" w:ascii="宋体" w:hAnsi="宋体"/>
                <w:b/>
                <w:szCs w:val="21"/>
                <w:highlight w:val="none"/>
              </w:rPr>
              <w:t>否则视为无效投标保证金。</w:t>
            </w:r>
          </w:p>
          <w:p>
            <w:pPr>
              <w:snapToGrid w:val="0"/>
              <w:spacing w:line="400" w:lineRule="exact"/>
              <w:rPr>
                <w:rFonts w:ascii="宋体" w:hAnsi="宋体"/>
                <w:b/>
                <w:szCs w:val="21"/>
                <w:highlight w:val="none"/>
              </w:rPr>
            </w:pPr>
            <w:r>
              <w:rPr>
                <w:rFonts w:hint="eastAsia" w:ascii="宋体" w:hAnsi="宋体"/>
                <w:szCs w:val="21"/>
                <w:highlight w:val="none"/>
              </w:rPr>
              <w:t>2.</w:t>
            </w:r>
            <w:r>
              <w:rPr>
                <w:rFonts w:hint="eastAsia" w:ascii="宋体" w:hAnsi="宋体" w:cs="宋体"/>
                <w:szCs w:val="21"/>
                <w:highlight w:val="none"/>
              </w:rPr>
              <w:t>投标</w:t>
            </w:r>
            <w:r>
              <w:rPr>
                <w:rFonts w:hint="eastAsia" w:ascii="宋体" w:hAnsi="宋体"/>
                <w:szCs w:val="21"/>
                <w:highlight w:val="none"/>
              </w:rPr>
              <w:t>保证金采用支票、汇票、本票或者金融、担保机构出具的保函、保单交纳方式的，投标人应将支票、汇票、本票或者金融、担保机构出具的保函、保单的复印件作为</w:t>
            </w:r>
            <w:r>
              <w:rPr>
                <w:rFonts w:hint="eastAsia" w:ascii="宋体" w:hAnsi="宋体" w:cs="宋体"/>
                <w:szCs w:val="21"/>
                <w:highlight w:val="none"/>
              </w:rPr>
              <w:t>投标</w:t>
            </w:r>
            <w:r>
              <w:rPr>
                <w:rFonts w:hint="eastAsia" w:ascii="宋体" w:hAnsi="宋体"/>
                <w:szCs w:val="21"/>
                <w:highlight w:val="none"/>
              </w:rPr>
              <w:t>保证金提交凭证，放置于</w:t>
            </w:r>
            <w:r>
              <w:rPr>
                <w:rFonts w:hint="eastAsia" w:ascii="宋体" w:hAnsi="宋体" w:cs="宋体"/>
                <w:szCs w:val="21"/>
                <w:highlight w:val="none"/>
              </w:rPr>
              <w:t>投标文件</w:t>
            </w:r>
            <w:r>
              <w:rPr>
                <w:rFonts w:hint="eastAsia" w:ascii="宋体" w:hAnsi="宋体"/>
                <w:szCs w:val="21"/>
                <w:highlight w:val="none"/>
              </w:rPr>
              <w:t>中，</w:t>
            </w:r>
            <w:r>
              <w:rPr>
                <w:rFonts w:hint="eastAsia" w:ascii="宋体" w:hAnsi="宋体" w:cs="宋体"/>
                <w:b/>
                <w:szCs w:val="21"/>
                <w:highlight w:val="none"/>
              </w:rPr>
              <w:t>否则视为无效投标保证金。</w:t>
            </w:r>
            <w:r>
              <w:rPr>
                <w:rFonts w:hint="eastAsia" w:ascii="宋体" w:hAnsi="宋体"/>
                <w:szCs w:val="21"/>
                <w:highlight w:val="none"/>
              </w:rPr>
              <w:t>投标人必须于递交投标文件时将支票、汇票、本票或者金融、担保机构出具的保函</w:t>
            </w:r>
            <w:r>
              <w:rPr>
                <w:rFonts w:hint="eastAsia" w:ascii="宋体" w:hAnsi="宋体" w:cs="宋体"/>
                <w:kern w:val="0"/>
                <w:szCs w:val="21"/>
                <w:highlight w:val="none"/>
              </w:rPr>
              <w:t>、保单</w:t>
            </w:r>
            <w:r>
              <w:rPr>
                <w:rFonts w:hint="eastAsia" w:ascii="宋体" w:hAnsi="宋体"/>
                <w:szCs w:val="21"/>
                <w:highlight w:val="none"/>
              </w:rPr>
              <w:t>原件提交至</w:t>
            </w:r>
            <w:r>
              <w:rPr>
                <w:rFonts w:hint="eastAsia" w:ascii="宋体" w:hAnsi="宋体"/>
                <w:b/>
                <w:bCs/>
                <w:szCs w:val="21"/>
                <w:highlight w:val="none"/>
              </w:rPr>
              <w:t>广西壮族自治区公共资源交易中心开标室（具体详见电子屏幕）</w:t>
            </w:r>
            <w:r>
              <w:rPr>
                <w:rFonts w:hint="eastAsia" w:ascii="宋体" w:hAnsi="宋体"/>
                <w:b/>
                <w:bCs/>
                <w:szCs w:val="21"/>
                <w:highlight w:val="none"/>
                <w:lang w:eastAsia="zh-CN"/>
              </w:rPr>
              <w:t>（项目联系人：</w:t>
            </w:r>
            <w:bookmarkStart w:id="87" w:name="OLE_LINK91"/>
            <w:r>
              <w:rPr>
                <w:rFonts w:hint="eastAsia" w:ascii="宋体" w:hAnsi="宋体"/>
                <w:b/>
                <w:bCs/>
                <w:szCs w:val="21"/>
                <w:highlight w:val="none"/>
                <w:lang w:eastAsia="zh-CN"/>
              </w:rPr>
              <w:t>钟家宁，联系方式：15307868806</w:t>
            </w:r>
            <w:bookmarkEnd w:id="87"/>
            <w:r>
              <w:rPr>
                <w:rFonts w:hint="eastAsia" w:ascii="宋体" w:hAnsi="宋体"/>
                <w:b/>
                <w:bCs/>
                <w:szCs w:val="21"/>
                <w:highlight w:val="none"/>
                <w:lang w:eastAsia="zh-CN"/>
              </w:rPr>
              <w:t>）</w:t>
            </w:r>
            <w:r>
              <w:rPr>
                <w:rFonts w:hint="eastAsia" w:ascii="宋体" w:hAnsi="宋体"/>
                <w:szCs w:val="21"/>
                <w:highlight w:val="none"/>
              </w:rPr>
              <w:t>给采购代理机构，</w:t>
            </w:r>
            <w:r>
              <w:rPr>
                <w:rFonts w:hint="eastAsia" w:ascii="宋体" w:hAnsi="宋体"/>
                <w:b/>
                <w:szCs w:val="21"/>
                <w:highlight w:val="none"/>
              </w:rPr>
              <w:t>否则视为无效投标保证金。</w:t>
            </w:r>
          </w:p>
          <w:p>
            <w:pPr>
              <w:snapToGrid w:val="0"/>
              <w:spacing w:line="360" w:lineRule="exact"/>
              <w:jc w:val="left"/>
              <w:rPr>
                <w:rFonts w:ascii="宋体" w:hAnsi="宋体" w:cs="宋体"/>
                <w:b/>
                <w:bCs/>
                <w:szCs w:val="21"/>
                <w:highlight w:val="none"/>
              </w:rPr>
            </w:pPr>
            <w:r>
              <w:rPr>
                <w:rFonts w:hint="eastAsia" w:ascii="宋体" w:hAnsi="宋体" w:cs="宋体"/>
                <w:b/>
                <w:bCs/>
                <w:szCs w:val="21"/>
                <w:highlight w:val="none"/>
              </w:rPr>
              <w:t>3.</w:t>
            </w:r>
            <w:r>
              <w:rPr>
                <w:rFonts w:hint="eastAsia" w:ascii="宋体" w:hAnsi="宋体" w:cs="宋体"/>
                <w:b/>
                <w:bCs/>
                <w:szCs w:val="21"/>
                <w:highlight w:val="none"/>
                <w:lang w:val="en-US" w:eastAsia="zh-CN"/>
              </w:rPr>
              <w:t>投标</w:t>
            </w:r>
            <w:r>
              <w:rPr>
                <w:rFonts w:hint="eastAsia" w:ascii="宋体" w:hAnsi="宋体" w:cs="宋体"/>
                <w:b/>
                <w:bCs/>
                <w:szCs w:val="21"/>
                <w:highlight w:val="none"/>
              </w:rPr>
              <w:t>保证金</w:t>
            </w:r>
            <w:r>
              <w:rPr>
                <w:rFonts w:hint="eastAsia" w:ascii="宋体" w:hAnsi="宋体" w:cs="宋体"/>
                <w:b/>
                <w:bCs/>
                <w:szCs w:val="21"/>
                <w:highlight w:val="none"/>
                <w:lang w:val="en-US" w:eastAsia="zh-CN"/>
              </w:rPr>
              <w:t>收取</w:t>
            </w:r>
            <w:r>
              <w:rPr>
                <w:rFonts w:hint="eastAsia" w:ascii="宋体" w:hAnsi="宋体" w:cs="宋体"/>
                <w:b/>
                <w:bCs/>
                <w:szCs w:val="21"/>
                <w:highlight w:val="none"/>
              </w:rPr>
              <w:t>指定</w:t>
            </w:r>
            <w:r>
              <w:rPr>
                <w:rFonts w:hint="eastAsia" w:ascii="宋体" w:hAnsi="宋体" w:cs="宋体"/>
                <w:b/>
                <w:bCs/>
                <w:szCs w:val="21"/>
                <w:highlight w:val="none"/>
                <w:lang w:val="en-US" w:eastAsia="zh-CN"/>
              </w:rPr>
              <w:t>账</w:t>
            </w:r>
            <w:r>
              <w:rPr>
                <w:rFonts w:hint="eastAsia" w:ascii="宋体" w:hAnsi="宋体" w:cs="宋体"/>
                <w:b/>
                <w:bCs/>
                <w:szCs w:val="21"/>
                <w:highlight w:val="none"/>
              </w:rPr>
              <w:t>户：</w:t>
            </w:r>
          </w:p>
          <w:p>
            <w:pPr>
              <w:snapToGrid w:val="0"/>
              <w:spacing w:line="400" w:lineRule="exact"/>
              <w:rPr>
                <w:rFonts w:hint="eastAsia" w:ascii="宋体" w:hAnsi="宋体" w:cs="宋体"/>
                <w:b w:val="0"/>
                <w:bCs w:val="0"/>
                <w:szCs w:val="21"/>
                <w:highlight w:val="none"/>
              </w:rPr>
            </w:pPr>
            <w:r>
              <w:rPr>
                <w:rFonts w:hint="eastAsia" w:ascii="宋体" w:hAnsi="宋体" w:cs="宋体"/>
                <w:b w:val="0"/>
                <w:bCs w:val="0"/>
                <w:szCs w:val="21"/>
                <w:highlight w:val="none"/>
              </w:rPr>
              <w:t>账户名称：广西城通工程咨询有限责任公司</w:t>
            </w:r>
          </w:p>
          <w:p>
            <w:pPr>
              <w:snapToGrid w:val="0"/>
              <w:spacing w:line="400" w:lineRule="exact"/>
              <w:rPr>
                <w:rFonts w:hint="eastAsia" w:ascii="宋体" w:hAnsi="宋体" w:cs="宋体"/>
                <w:b w:val="0"/>
                <w:bCs w:val="0"/>
                <w:szCs w:val="21"/>
                <w:highlight w:val="none"/>
              </w:rPr>
            </w:pPr>
            <w:r>
              <w:rPr>
                <w:rFonts w:hint="eastAsia" w:ascii="宋体" w:hAnsi="宋体" w:cs="宋体"/>
                <w:b w:val="0"/>
                <w:bCs w:val="0"/>
                <w:szCs w:val="21"/>
                <w:highlight w:val="none"/>
              </w:rPr>
              <w:t>开户银行：交通银行南宁桂雅支行</w:t>
            </w:r>
          </w:p>
          <w:p>
            <w:pPr>
              <w:snapToGrid w:val="0"/>
              <w:spacing w:line="400" w:lineRule="exact"/>
              <w:rPr>
                <w:rFonts w:hint="eastAsia" w:ascii="宋体" w:hAnsi="宋体" w:cs="宋体"/>
                <w:b w:val="0"/>
                <w:bCs w:val="0"/>
                <w:szCs w:val="21"/>
                <w:highlight w:val="none"/>
              </w:rPr>
            </w:pPr>
            <w:r>
              <w:rPr>
                <w:rFonts w:hint="eastAsia" w:ascii="宋体" w:hAnsi="宋体" w:cs="宋体"/>
                <w:b w:val="0"/>
                <w:bCs w:val="0"/>
                <w:szCs w:val="21"/>
                <w:highlight w:val="none"/>
              </w:rPr>
              <w:t>银行账号：451899991013001132468</w:t>
            </w:r>
          </w:p>
          <w:p>
            <w:pPr>
              <w:snapToGrid w:val="0"/>
              <w:spacing w:line="400" w:lineRule="exact"/>
              <w:rPr>
                <w:rFonts w:ascii="宋体" w:hAnsi="宋体" w:cs="宋体"/>
                <w:b/>
                <w:szCs w:val="21"/>
                <w:highlight w:val="none"/>
              </w:rPr>
            </w:pPr>
            <w:r>
              <w:rPr>
                <w:rFonts w:hint="eastAsia" w:ascii="宋体" w:hAnsi="宋体" w:cs="宋体"/>
                <w:szCs w:val="21"/>
                <w:highlight w:val="none"/>
              </w:rPr>
              <w:t>4.投标人为联合体的，可以由联合体中的一方或者多方共同交纳投标保证金，其交纳的保证金对联合体各方均具有约束力。</w:t>
            </w:r>
          </w:p>
          <w:p>
            <w:pPr>
              <w:snapToGrid w:val="0"/>
              <w:spacing w:line="400" w:lineRule="exact"/>
              <w:rPr>
                <w:rFonts w:ascii="宋体" w:hAnsi="宋体" w:cs="宋体"/>
                <w:b/>
                <w:szCs w:val="21"/>
                <w:highlight w:val="none"/>
              </w:rPr>
            </w:pPr>
            <w:r>
              <w:rPr>
                <w:rFonts w:hint="eastAsia" w:ascii="宋体" w:hAnsi="宋体" w:cs="宋体"/>
                <w:b/>
                <w:szCs w:val="21"/>
                <w:highlight w:val="none"/>
              </w:rPr>
              <w:t xml:space="preserve">备注： </w:t>
            </w:r>
          </w:p>
          <w:p>
            <w:pPr>
              <w:snapToGrid w:val="0"/>
              <w:spacing w:line="400" w:lineRule="exact"/>
              <w:rPr>
                <w:rFonts w:ascii="宋体" w:hAnsi="宋体" w:cs="宋体"/>
                <w:b/>
                <w:szCs w:val="21"/>
                <w:highlight w:val="none"/>
              </w:rPr>
            </w:pPr>
            <w:r>
              <w:rPr>
                <w:rFonts w:hint="eastAsia" w:ascii="宋体" w:hAnsi="宋体" w:cs="宋体"/>
                <w:b/>
                <w:szCs w:val="21"/>
                <w:highlight w:val="none"/>
              </w:rPr>
              <w:t>1.投标文件提交截止时间后交纳的，或者未足额交纳的，或者保函、保单额度不足的，视为无效投标保证金。</w:t>
            </w:r>
          </w:p>
          <w:p>
            <w:pPr>
              <w:snapToGrid w:val="0"/>
              <w:spacing w:line="400" w:lineRule="exact"/>
              <w:rPr>
                <w:rFonts w:ascii="宋体" w:hAnsi="宋体" w:cs="宋体"/>
                <w:b/>
                <w:szCs w:val="21"/>
                <w:highlight w:val="none"/>
              </w:rPr>
            </w:pPr>
            <w:r>
              <w:rPr>
                <w:rFonts w:hint="eastAsia" w:ascii="宋体" w:hAnsi="宋体" w:cs="宋体"/>
                <w:b/>
                <w:szCs w:val="21"/>
                <w:highlight w:val="none"/>
              </w:rPr>
              <w:t>2.投标人采用现钞方式或者从个人账户（自然人投标除外）转出的投标保证金，视为无效投标保证金。</w:t>
            </w:r>
          </w:p>
          <w:p>
            <w:pPr>
              <w:snapToGrid w:val="0"/>
              <w:spacing w:line="400" w:lineRule="exact"/>
              <w:rPr>
                <w:rFonts w:ascii="宋体" w:hAnsi="宋体" w:cs="宋体"/>
                <w:b/>
                <w:szCs w:val="21"/>
                <w:highlight w:val="none"/>
              </w:rPr>
            </w:pPr>
            <w:r>
              <w:rPr>
                <w:rFonts w:hint="eastAsia" w:ascii="宋体" w:hAnsi="宋体" w:cs="宋体"/>
                <w:b/>
                <w:szCs w:val="21"/>
                <w:highlight w:val="none"/>
              </w:rPr>
              <w:t>3.支票、汇票或者本票出现无效或者背书情形的，视为无效投标保证金。</w:t>
            </w:r>
          </w:p>
          <w:p>
            <w:pPr>
              <w:snapToGrid w:val="0"/>
              <w:spacing w:line="400" w:lineRule="exact"/>
              <w:rPr>
                <w:rFonts w:ascii="宋体" w:hAnsi="宋体" w:cs="宋体"/>
                <w:b/>
                <w:szCs w:val="21"/>
                <w:highlight w:val="none"/>
              </w:rPr>
            </w:pPr>
            <w:r>
              <w:rPr>
                <w:rFonts w:hint="eastAsia" w:ascii="宋体" w:hAnsi="宋体" w:cs="宋体"/>
                <w:b/>
                <w:szCs w:val="21"/>
                <w:highlight w:val="none"/>
              </w:rPr>
              <w:t>4.保函、保单有效期低于投标有效期的，视为无效投标保证金。</w:t>
            </w:r>
          </w:p>
          <w:p>
            <w:pPr>
              <w:spacing w:line="360" w:lineRule="exact"/>
              <w:jc w:val="left"/>
              <w:rPr>
                <w:rFonts w:ascii="宋体" w:hAnsi="宋体"/>
                <w:b/>
                <w:bCs/>
                <w:szCs w:val="21"/>
                <w:highlight w:val="none"/>
              </w:rPr>
            </w:pPr>
            <w:r>
              <w:rPr>
                <w:rFonts w:hint="eastAsia" w:ascii="宋体" w:hAnsi="宋体" w:cs="宋体"/>
                <w:b/>
                <w:szCs w:val="21"/>
                <w:highlight w:val="none"/>
              </w:rPr>
              <w:t>5</w:t>
            </w:r>
            <w:r>
              <w:rPr>
                <w:rFonts w:hint="eastAsia" w:ascii="宋体" w:hAnsi="宋体" w:cs="宋体"/>
                <w:b/>
                <w:szCs w:val="21"/>
                <w:highlight w:val="none"/>
                <w:lang w:eastAsia="zh-CN"/>
              </w:rPr>
              <w:t>.</w:t>
            </w:r>
            <w:r>
              <w:rPr>
                <w:rFonts w:hint="eastAsia" w:ascii="宋体" w:hAnsi="宋体" w:cs="宋体"/>
                <w:b/>
                <w:szCs w:val="21"/>
                <w:highlight w:val="none"/>
              </w:rPr>
              <w:t>投标保证金采用金融、担保机构出具的保函、保单为有条件保函、保单的，视为无效投标保证金。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5" w:hRule="atLeast"/>
        </w:trPr>
        <w:tc>
          <w:tcPr>
            <w:tcW w:w="438" w:type="pct"/>
            <w:tcBorders>
              <w:top w:val="nil"/>
              <w:left w:val="single" w:color="auto" w:sz="4" w:space="0"/>
              <w:bottom w:val="nil"/>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3.6</w:t>
            </w:r>
          </w:p>
        </w:tc>
        <w:tc>
          <w:tcPr>
            <w:tcW w:w="790" w:type="pct"/>
            <w:tcBorders>
              <w:top w:val="single" w:color="auto" w:sz="4" w:space="0"/>
              <w:left w:val="single" w:color="auto" w:sz="4" w:space="0"/>
              <w:bottom w:val="nil"/>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投标文件的编制</w:t>
            </w:r>
          </w:p>
        </w:tc>
        <w:tc>
          <w:tcPr>
            <w:tcW w:w="3772" w:type="pct"/>
            <w:tcBorders>
              <w:top w:val="single" w:color="auto" w:sz="4" w:space="0"/>
              <w:left w:val="single" w:color="auto" w:sz="4" w:space="0"/>
              <w:bottom w:val="nil"/>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rPr>
              <w:t>投标文件应按</w:t>
            </w:r>
            <w:r>
              <w:rPr>
                <w:rFonts w:hint="eastAsia" w:ascii="宋体" w:hAnsi="宋体" w:cs="宋体"/>
                <w:szCs w:val="21"/>
                <w:highlight w:val="none"/>
                <w:lang w:eastAsia="zh-CN"/>
              </w:rPr>
              <w:t>“</w:t>
            </w:r>
            <w:r>
              <w:rPr>
                <w:rFonts w:hint="eastAsia" w:ascii="宋体" w:hAnsi="宋体" w:cs="宋体"/>
                <w:szCs w:val="21"/>
                <w:highlight w:val="none"/>
              </w:rPr>
              <w:t>第六章</w:t>
            </w:r>
            <w:r>
              <w:rPr>
                <w:rFonts w:hint="eastAsia" w:ascii="宋体" w:hAnsi="宋体" w:cs="宋体"/>
                <w:szCs w:val="21"/>
                <w:highlight w:val="none"/>
                <w:lang w:val="en-US" w:eastAsia="zh-CN"/>
              </w:rPr>
              <w:t xml:space="preserve"> </w:t>
            </w:r>
            <w:r>
              <w:rPr>
                <w:rFonts w:hint="eastAsia" w:ascii="宋体" w:hAnsi="宋体" w:cs="宋体"/>
                <w:szCs w:val="21"/>
                <w:highlight w:val="none"/>
              </w:rPr>
              <w:t>投标文件格式</w:t>
            </w:r>
            <w:r>
              <w:rPr>
                <w:rFonts w:hint="eastAsia" w:ascii="宋体" w:hAnsi="宋体" w:cs="宋体"/>
                <w:szCs w:val="21"/>
                <w:highlight w:val="none"/>
                <w:lang w:eastAsia="zh-CN"/>
              </w:rPr>
              <w:t>”</w:t>
            </w:r>
            <w:r>
              <w:rPr>
                <w:rFonts w:hint="eastAsia" w:ascii="宋体" w:hAnsi="宋体" w:cs="宋体"/>
                <w:szCs w:val="21"/>
                <w:highlight w:val="none"/>
              </w:rPr>
              <w:t>分别编制并使用下载的政采云投标客户端制作并上传。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90"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3.7</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投标文件递交截止时间及开标时间</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kern w:val="0"/>
                <w:szCs w:val="21"/>
                <w:highlight w:val="none"/>
              </w:rPr>
              <w:t>见招标公告要求</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4.2</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0"/>
                <w:highlight w:val="none"/>
              </w:rPr>
            </w:pPr>
            <w:r>
              <w:rPr>
                <w:rFonts w:hint="eastAsia" w:ascii="宋体" w:hAnsi="宋体" w:cs="宋体"/>
                <w:szCs w:val="21"/>
                <w:highlight w:val="none"/>
              </w:rPr>
              <w:t>备份投标文件</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2"/>
                <w:szCs w:val="22"/>
                <w:highlight w:val="none"/>
              </w:rPr>
            </w:pPr>
            <w:r>
              <w:rPr>
                <w:rFonts w:hint="eastAsia" w:ascii="宋体" w:hAnsi="宋体" w:cs="宋体"/>
                <w:szCs w:val="21"/>
                <w:highlight w:val="none"/>
              </w:rPr>
              <w:t xml:space="preserve">本项目  </w:t>
            </w:r>
            <w:r>
              <w:rPr>
                <w:rFonts w:ascii="宋体" w:hAnsi="宋体"/>
                <w:szCs w:val="21"/>
                <w:highlight w:val="none"/>
              </w:rPr>
              <w:t>□</w:t>
            </w:r>
            <w:r>
              <w:rPr>
                <w:rFonts w:hint="eastAsia" w:ascii="宋体" w:hAnsi="宋体" w:cs="宋体"/>
                <w:szCs w:val="21"/>
                <w:highlight w:val="none"/>
              </w:rPr>
              <w:t>接受</w:t>
            </w:r>
            <w:r>
              <w:rPr>
                <w:rFonts w:ascii="宋体" w:hAnsi="宋体"/>
                <w:szCs w:val="21"/>
                <w:highlight w:val="none"/>
              </w:rPr>
              <w:t xml:space="preserve">   </w:t>
            </w:r>
            <w:r>
              <w:rPr>
                <w:rFonts w:ascii="宋体" w:hAnsi="宋体" w:cs="Wingdings 2"/>
                <w:sz w:val="22"/>
                <w:szCs w:val="22"/>
                <w:highlight w:val="none"/>
              </w:rPr>
              <w:sym w:font="Wingdings 2" w:char="0052"/>
            </w:r>
            <w:r>
              <w:rPr>
                <w:rFonts w:hint="eastAsia" w:ascii="宋体" w:hAnsi="宋体" w:cs="宋体"/>
                <w:szCs w:val="21"/>
                <w:highlight w:val="none"/>
              </w:rPr>
              <w:t>不接受备份投标文件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4.3</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0"/>
                <w:highlight w:val="none"/>
              </w:rPr>
              <w:t>演示</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highlight w:val="none"/>
              </w:rPr>
            </w:pPr>
            <w:r>
              <w:rPr>
                <w:rFonts w:ascii="宋体" w:hAnsi="宋体" w:cs="Wingdings 2"/>
                <w:sz w:val="22"/>
                <w:szCs w:val="22"/>
                <w:highlight w:val="none"/>
                <w:lang w:bidi="ar"/>
              </w:rPr>
              <w:sym w:font="Wingdings 2" w:char="0052"/>
            </w:r>
            <w:r>
              <w:rPr>
                <w:rFonts w:hint="eastAsia" w:ascii="宋体" w:hAnsi="宋体" w:cs="宋体"/>
                <w:szCs w:val="21"/>
                <w:highlight w:val="none"/>
                <w:lang w:bidi="ar"/>
              </w:rPr>
              <w:t>否</w:t>
            </w:r>
            <w:r>
              <w:rPr>
                <w:rFonts w:ascii="宋体" w:hAnsi="宋体"/>
                <w:szCs w:val="21"/>
                <w:highlight w:val="none"/>
                <w:lang w:bidi="ar"/>
              </w:rPr>
              <w:t xml:space="preserve">   □</w:t>
            </w:r>
            <w:r>
              <w:rPr>
                <w:rFonts w:hint="eastAsia" w:ascii="宋体" w:hAnsi="宋体" w:cs="宋体"/>
                <w:szCs w:val="21"/>
                <w:highlight w:val="none"/>
                <w:lang w:bidi="ar"/>
              </w:rPr>
              <w:t>是</w:t>
            </w:r>
          </w:p>
          <w:p>
            <w:pPr>
              <w:spacing w:line="360" w:lineRule="exact"/>
              <w:rPr>
                <w:rFonts w:ascii="宋体" w:hAnsi="宋体"/>
                <w:szCs w:val="21"/>
                <w:highlight w:val="none"/>
                <w:u w:val="single"/>
              </w:rPr>
            </w:pPr>
            <w:r>
              <w:rPr>
                <w:rFonts w:hint="eastAsia" w:ascii="宋体" w:hAnsi="宋体" w:cs="宋体"/>
                <w:szCs w:val="21"/>
                <w:highlight w:val="none"/>
                <w:lang w:bidi="ar"/>
              </w:rPr>
              <w:t>演示内容：</w:t>
            </w:r>
            <w:r>
              <w:rPr>
                <w:rFonts w:ascii="宋体" w:hAnsi="宋体"/>
                <w:szCs w:val="21"/>
                <w:highlight w:val="none"/>
                <w:u w:val="single"/>
                <w:lang w:bidi="ar"/>
              </w:rPr>
              <w:t xml:space="preserve">               </w:t>
            </w:r>
          </w:p>
          <w:p>
            <w:pPr>
              <w:spacing w:line="360" w:lineRule="exact"/>
              <w:rPr>
                <w:rFonts w:ascii="宋体" w:hAnsi="宋体"/>
                <w:szCs w:val="21"/>
                <w:highlight w:val="none"/>
              </w:rPr>
            </w:pPr>
            <w:r>
              <w:rPr>
                <w:rFonts w:hint="eastAsia" w:ascii="宋体" w:hAnsi="宋体" w:cs="宋体"/>
                <w:szCs w:val="21"/>
                <w:highlight w:val="none"/>
              </w:rPr>
              <w:t>演示形式：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4.4</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0"/>
                <w:highlight w:val="none"/>
              </w:rPr>
              <w:t>样品</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highlight w:val="none"/>
              </w:rPr>
            </w:pPr>
            <w:r>
              <w:rPr>
                <w:rFonts w:ascii="宋体" w:hAnsi="宋体" w:cs="Wingdings 2"/>
                <w:sz w:val="24"/>
                <w:highlight w:val="none"/>
                <w:lang w:bidi="ar"/>
              </w:rPr>
              <w:sym w:font="Wingdings 2" w:char="0052"/>
            </w:r>
            <w:r>
              <w:rPr>
                <w:rFonts w:hint="eastAsia" w:ascii="宋体" w:hAnsi="宋体" w:cs="宋体"/>
                <w:szCs w:val="21"/>
                <w:highlight w:val="none"/>
                <w:lang w:bidi="ar"/>
              </w:rPr>
              <w:t>否</w:t>
            </w:r>
            <w:r>
              <w:rPr>
                <w:rFonts w:ascii="宋体" w:hAnsi="宋体"/>
                <w:szCs w:val="21"/>
                <w:highlight w:val="none"/>
                <w:lang w:bidi="ar"/>
              </w:rPr>
              <w:t xml:space="preserve">   □</w:t>
            </w:r>
            <w:r>
              <w:rPr>
                <w:rFonts w:hint="eastAsia" w:ascii="宋体" w:hAnsi="宋体" w:cs="宋体"/>
                <w:szCs w:val="21"/>
                <w:highlight w:val="none"/>
                <w:lang w:bidi="ar"/>
              </w:rPr>
              <w:t>是</w:t>
            </w:r>
          </w:p>
          <w:p>
            <w:pPr>
              <w:spacing w:line="360" w:lineRule="exact"/>
              <w:rPr>
                <w:rFonts w:ascii="宋体" w:hAnsi="宋体"/>
                <w:szCs w:val="21"/>
                <w:highlight w:val="none"/>
                <w:u w:val="single"/>
              </w:rPr>
            </w:pPr>
            <w:r>
              <w:rPr>
                <w:rFonts w:hint="eastAsia" w:ascii="宋体" w:hAnsi="宋体" w:cs="宋体"/>
                <w:szCs w:val="21"/>
                <w:highlight w:val="none"/>
                <w:lang w:bidi="ar"/>
              </w:rPr>
              <w:t>样品制作的标准和要求：</w:t>
            </w:r>
            <w:r>
              <w:rPr>
                <w:rFonts w:ascii="宋体" w:hAnsi="宋体"/>
                <w:szCs w:val="21"/>
                <w:highlight w:val="none"/>
                <w:u w:val="single"/>
                <w:lang w:bidi="ar"/>
              </w:rPr>
              <w:t xml:space="preserve">              </w:t>
            </w:r>
          </w:p>
          <w:p>
            <w:pPr>
              <w:spacing w:line="360" w:lineRule="exact"/>
              <w:rPr>
                <w:rFonts w:ascii="宋体" w:hAnsi="宋体"/>
                <w:szCs w:val="21"/>
                <w:highlight w:val="none"/>
                <w:u w:val="single"/>
              </w:rPr>
            </w:pPr>
            <w:r>
              <w:rPr>
                <w:rFonts w:hint="eastAsia" w:ascii="宋体" w:hAnsi="宋体" w:cs="宋体"/>
                <w:szCs w:val="21"/>
                <w:highlight w:val="none"/>
                <w:lang w:bidi="ar"/>
              </w:rPr>
              <w:t>样品检测机构的要求：</w:t>
            </w:r>
            <w:r>
              <w:rPr>
                <w:rFonts w:ascii="宋体" w:hAnsi="宋体"/>
                <w:szCs w:val="21"/>
                <w:highlight w:val="none"/>
                <w:u w:val="single"/>
                <w:lang w:bidi="ar"/>
              </w:rPr>
              <w:t xml:space="preserve">                </w:t>
            </w:r>
          </w:p>
          <w:p>
            <w:pPr>
              <w:spacing w:line="360" w:lineRule="exact"/>
              <w:rPr>
                <w:rFonts w:ascii="宋体" w:hAnsi="宋体"/>
                <w:szCs w:val="21"/>
                <w:highlight w:val="none"/>
                <w:u w:val="single"/>
              </w:rPr>
            </w:pPr>
            <w:r>
              <w:rPr>
                <w:rFonts w:hint="eastAsia" w:ascii="宋体" w:hAnsi="宋体" w:cs="宋体"/>
                <w:szCs w:val="21"/>
                <w:highlight w:val="none"/>
                <w:lang w:bidi="ar"/>
              </w:rPr>
              <w:t>检测内容：</w:t>
            </w:r>
            <w:r>
              <w:rPr>
                <w:rFonts w:ascii="宋体" w:hAnsi="宋体"/>
                <w:szCs w:val="21"/>
                <w:highlight w:val="none"/>
                <w:u w:val="single"/>
                <w:lang w:bidi="ar"/>
              </w:rPr>
              <w:t xml:space="preserve">                     </w:t>
            </w:r>
          </w:p>
          <w:p>
            <w:pPr>
              <w:spacing w:line="360" w:lineRule="exact"/>
              <w:rPr>
                <w:rFonts w:ascii="宋体" w:hAnsi="宋体"/>
                <w:szCs w:val="21"/>
                <w:highlight w:val="none"/>
              </w:rPr>
            </w:pPr>
            <w:r>
              <w:rPr>
                <w:rFonts w:hint="eastAsia" w:ascii="宋体" w:hAnsi="宋体" w:cs="宋体"/>
                <w:szCs w:val="21"/>
                <w:highlight w:val="none"/>
              </w:rPr>
              <w:t>样品递交方式：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6.3.5</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相同品牌推荐方式</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highlight w:val="none"/>
              </w:rPr>
            </w:pPr>
            <w:r>
              <w:rPr>
                <w:rFonts w:ascii="宋体" w:hAnsi="宋体" w:cs="Wingdings 2"/>
                <w:sz w:val="22"/>
                <w:szCs w:val="22"/>
                <w:highlight w:val="none"/>
              </w:rPr>
              <w:sym w:font="Wingdings 2" w:char="0052"/>
            </w:r>
            <w:r>
              <w:rPr>
                <w:rFonts w:hint="eastAsia" w:ascii="宋体" w:hAnsi="宋体" w:cs="宋体"/>
                <w:szCs w:val="21"/>
                <w:highlight w:val="none"/>
              </w:rPr>
              <w:t>采购人委托评审委员会确定</w:t>
            </w:r>
            <w:r>
              <w:rPr>
                <w:rFonts w:ascii="宋体" w:hAnsi="宋体"/>
                <w:szCs w:val="21"/>
                <w:highlight w:val="none"/>
              </w:rPr>
              <w:t xml:space="preserve">   □</w:t>
            </w:r>
            <w:r>
              <w:rPr>
                <w:rFonts w:hint="eastAsia" w:ascii="宋体" w:hAnsi="宋体" w:cs="宋体"/>
                <w:szCs w:val="21"/>
                <w:highlight w:val="none"/>
              </w:rPr>
              <w:t>采购人确定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6.5.1</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结果公告</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rPr>
              <w:t>采购代理机构在采购人依法确认中标人后</w:t>
            </w:r>
            <w:r>
              <w:rPr>
                <w:rFonts w:ascii="宋体" w:hAnsi="宋体"/>
                <w:szCs w:val="21"/>
                <w:highlight w:val="none"/>
              </w:rPr>
              <w:t>2</w:t>
            </w:r>
            <w:r>
              <w:rPr>
                <w:rFonts w:hint="eastAsia" w:ascii="宋体" w:hAnsi="宋体" w:cs="宋体"/>
                <w:szCs w:val="21"/>
                <w:highlight w:val="none"/>
              </w:rPr>
              <w:t>个工作日内在招标公告发布的媒体上发布结果公告。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6.5.2</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中标通知书</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lang w:bidi="ar"/>
              </w:rPr>
              <w:t>采购代理机构通过</w:t>
            </w:r>
            <w:r>
              <w:rPr>
                <w:rFonts w:hint="eastAsia" w:ascii="宋体" w:hAnsi="宋体"/>
                <w:szCs w:val="21"/>
                <w:highlight w:val="none"/>
                <w:lang w:bidi="ar"/>
              </w:rPr>
              <w:t>广西政府采购云平台</w:t>
            </w:r>
            <w:r>
              <w:rPr>
                <w:rFonts w:hint="eastAsia" w:ascii="宋体" w:hAnsi="宋体" w:cs="宋体"/>
                <w:szCs w:val="21"/>
                <w:highlight w:val="none"/>
                <w:lang w:bidi="ar"/>
              </w:rPr>
              <w:t>发出中标通知书。</w:t>
            </w:r>
          </w:p>
          <w:p>
            <w:pPr>
              <w:spacing w:line="360" w:lineRule="exact"/>
              <w:jc w:val="left"/>
              <w:rPr>
                <w:rFonts w:ascii="宋体" w:hAnsi="宋体"/>
                <w:szCs w:val="21"/>
                <w:highlight w:val="none"/>
              </w:rPr>
            </w:pPr>
            <w:r>
              <w:rPr>
                <w:rFonts w:hint="eastAsia" w:ascii="宋体" w:hAnsi="宋体" w:cs="宋体"/>
                <w:szCs w:val="21"/>
                <w:highlight w:val="none"/>
              </w:rPr>
              <w:t>中标通知书在</w:t>
            </w:r>
            <w:r>
              <w:rPr>
                <w:rFonts w:hint="eastAsia" w:ascii="宋体" w:hAnsi="宋体"/>
                <w:szCs w:val="21"/>
                <w:highlight w:val="none"/>
                <w:lang w:bidi="ar"/>
              </w:rPr>
              <w:t>广西政府采购云平台</w:t>
            </w:r>
            <w:r>
              <w:rPr>
                <w:rFonts w:hint="eastAsia" w:ascii="宋体" w:hAnsi="宋体" w:cs="宋体"/>
                <w:szCs w:val="21"/>
                <w:highlight w:val="none"/>
              </w:rPr>
              <w:t>推送之日起，视为中标人已收到，中标人自行承担未及时查收的后果。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6.5.3</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招标结果通知书</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rPr>
              <w:t>采购代理机构通过电子邮件或书面方式发出招标结果通知书，供应商自行承担未及时查收的后果。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b/>
                <w:szCs w:val="21"/>
                <w:highlight w:val="none"/>
                <w:lang w:val="en-US" w:eastAsia="zh-CN"/>
              </w:rPr>
            </w:pPr>
            <w:r>
              <w:rPr>
                <w:rFonts w:hint="eastAsia" w:ascii="宋体" w:hAnsi="宋体"/>
                <w:b/>
                <w:szCs w:val="21"/>
                <w:highlight w:val="none"/>
                <w:lang w:val="en-US" w:eastAsia="zh-CN"/>
              </w:rPr>
              <w:t>7.1</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履约保证金</w:t>
            </w:r>
          </w:p>
        </w:tc>
        <w:tc>
          <w:tcPr>
            <w:tcW w:w="377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000000"/>
                <w:szCs w:val="21"/>
                <w:highlight w:val="none"/>
              </w:rPr>
            </w:pPr>
            <w:r>
              <w:rPr>
                <w:rFonts w:hint="eastAsia" w:ascii="宋体" w:hAnsi="宋体"/>
                <w:color w:val="000000"/>
                <w:szCs w:val="21"/>
                <w:highlight w:val="none"/>
              </w:rPr>
              <w:sym w:font="Wingdings 2" w:char="0052"/>
            </w:r>
            <w:r>
              <w:rPr>
                <w:rFonts w:hint="eastAsia" w:ascii="宋体" w:hAnsi="宋体"/>
                <w:color w:val="000000"/>
                <w:szCs w:val="21"/>
                <w:highlight w:val="none"/>
              </w:rPr>
              <w:t>本项目不收取履约保证金。</w:t>
            </w:r>
          </w:p>
          <w:p>
            <w:pPr>
              <w:autoSpaceDE w:val="0"/>
              <w:autoSpaceDN w:val="0"/>
              <w:snapToGrid w:val="0"/>
              <w:spacing w:line="360" w:lineRule="auto"/>
              <w:textAlignment w:val="bottom"/>
              <w:rPr>
                <w:rFonts w:ascii="宋体" w:hAnsi="宋体"/>
                <w:color w:val="000000"/>
                <w:szCs w:val="21"/>
                <w:highlight w:val="none"/>
              </w:rPr>
            </w:pPr>
            <w:r>
              <w:rPr>
                <w:rFonts w:hint="eastAsia" w:ascii="宋体" w:hAnsi="宋体"/>
                <w:color w:val="000000"/>
                <w:szCs w:val="21"/>
                <w:highlight w:val="none"/>
              </w:rPr>
              <w:sym w:font="Wingdings 2" w:char="00A3"/>
            </w:r>
            <w:r>
              <w:rPr>
                <w:rFonts w:hint="eastAsia" w:ascii="宋体" w:hAnsi="宋体"/>
                <w:color w:val="000000"/>
                <w:szCs w:val="21"/>
                <w:highlight w:val="none"/>
              </w:rPr>
              <w:t>本项目收取履约保证金，具体规定如下：</w:t>
            </w:r>
          </w:p>
          <w:p>
            <w:pPr>
              <w:pStyle w:val="19"/>
              <w:spacing w:line="360" w:lineRule="auto"/>
              <w:rPr>
                <w:rFonts w:hint="eastAsia" w:ascii="宋体" w:hAnsi="宋体"/>
                <w:color w:val="000000"/>
                <w:szCs w:val="21"/>
                <w:highlight w:val="none"/>
              </w:rPr>
            </w:pPr>
            <w:r>
              <w:rPr>
                <w:rFonts w:hint="eastAsia" w:ascii="宋体" w:hAnsi="宋体"/>
                <w:color w:val="000000"/>
                <w:szCs w:val="21"/>
                <w:highlight w:val="none"/>
              </w:rPr>
              <w:t>履约保证金金额：按中标金额的</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w:t>
            </w:r>
            <w:r>
              <w:rPr>
                <w:rFonts w:hint="eastAsia" w:ascii="宋体" w:hAnsi="宋体"/>
                <w:color w:val="000000"/>
                <w:szCs w:val="21"/>
                <w:highlight w:val="none"/>
              </w:rPr>
              <w:t>。（中小企业收取的履约保证金数额为中标金额的2%）</w:t>
            </w:r>
          </w:p>
          <w:p>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履约保证金递交方式：</w:t>
            </w:r>
            <w:r>
              <w:rPr>
                <w:rFonts w:hint="eastAsia" w:ascii="宋体" w:hAnsi="宋体"/>
                <w:color w:val="000000"/>
                <w:szCs w:val="21"/>
                <w:highlight w:val="none"/>
                <w:u w:val="single"/>
              </w:rPr>
              <w:t>银行转账、支票、汇票、本票或者金融、担保机构出具的保函、保险机构的保单等方式。</w:t>
            </w:r>
          </w:p>
          <w:p>
            <w:pPr>
              <w:autoSpaceDE w:val="0"/>
              <w:autoSpaceDN w:val="0"/>
              <w:snapToGrid w:val="0"/>
              <w:spacing w:line="360" w:lineRule="auto"/>
              <w:textAlignment w:val="bottom"/>
              <w:rPr>
                <w:rFonts w:hint="eastAsia" w:ascii="宋体" w:hAnsi="宋体"/>
                <w:color w:val="000000"/>
                <w:szCs w:val="21"/>
                <w:highlight w:val="none"/>
                <w:u w:val="single"/>
              </w:rPr>
            </w:pPr>
            <w:r>
              <w:rPr>
                <w:rFonts w:hint="eastAsia" w:ascii="宋体" w:hAnsi="宋体"/>
                <w:color w:val="000000"/>
                <w:szCs w:val="21"/>
                <w:highlight w:val="none"/>
              </w:rPr>
              <w:t>履约保证金退付方式、时间及条件：</w:t>
            </w:r>
            <w:r>
              <w:rPr>
                <w:rFonts w:hint="eastAsia" w:ascii="宋体" w:hAnsi="宋体"/>
                <w:color w:val="000000"/>
                <w:szCs w:val="21"/>
                <w:highlight w:val="none"/>
                <w:u w:val="single"/>
              </w:rPr>
              <w:t>自项目验收合格及成交供应商履行完合同义务后，由成交供应商向履约保证金收取单位提供《广西壮族自治区政府采购项目合同验收书》及《政府采购项目履约保证金退付意见书》，保证金收取单位在收到合格材料后无息退还。</w:t>
            </w:r>
          </w:p>
          <w:p>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履约保证金指定账户：</w:t>
            </w:r>
          </w:p>
          <w:p>
            <w:pPr>
              <w:autoSpaceDE w:val="0"/>
              <w:autoSpaceDN w:val="0"/>
              <w:snapToGrid w:val="0"/>
              <w:spacing w:line="400" w:lineRule="exact"/>
              <w:textAlignment w:val="bottom"/>
              <w:rPr>
                <w:rFonts w:hint="eastAsia" w:ascii="宋体" w:hAnsi="宋体"/>
                <w:szCs w:val="21"/>
                <w:highlight w:val="none"/>
              </w:rPr>
            </w:pPr>
            <w:r>
              <w:rPr>
                <w:rFonts w:hint="eastAsia" w:ascii="宋体" w:hAnsi="宋体"/>
                <w:szCs w:val="21"/>
                <w:highlight w:val="none"/>
              </w:rPr>
              <w:t>开户名称：</w:t>
            </w:r>
          </w:p>
          <w:p>
            <w:pPr>
              <w:autoSpaceDE w:val="0"/>
              <w:autoSpaceDN w:val="0"/>
              <w:snapToGrid w:val="0"/>
              <w:spacing w:line="400" w:lineRule="exact"/>
              <w:textAlignment w:val="bottom"/>
              <w:rPr>
                <w:rFonts w:hint="eastAsia" w:ascii="宋体" w:hAnsi="宋体"/>
                <w:szCs w:val="21"/>
                <w:highlight w:val="none"/>
              </w:rPr>
            </w:pPr>
            <w:r>
              <w:rPr>
                <w:rFonts w:hint="eastAsia" w:ascii="宋体" w:hAnsi="宋体"/>
                <w:szCs w:val="21"/>
                <w:highlight w:val="none"/>
              </w:rPr>
              <w:t>开户银行：</w:t>
            </w:r>
          </w:p>
          <w:p>
            <w:pPr>
              <w:autoSpaceDE w:val="0"/>
              <w:autoSpaceDN w:val="0"/>
              <w:snapToGrid w:val="0"/>
              <w:spacing w:line="400" w:lineRule="exact"/>
              <w:textAlignment w:val="bottom"/>
              <w:rPr>
                <w:rFonts w:hint="eastAsia" w:ascii="宋体" w:hAnsi="宋体"/>
                <w:szCs w:val="21"/>
                <w:highlight w:val="none"/>
              </w:rPr>
            </w:pPr>
            <w:r>
              <w:rPr>
                <w:rFonts w:hint="eastAsia" w:ascii="宋体" w:hAnsi="宋体"/>
                <w:szCs w:val="21"/>
                <w:highlight w:val="none"/>
              </w:rPr>
              <w:t>银行账号：</w:t>
            </w:r>
          </w:p>
          <w:p>
            <w:pPr>
              <w:spacing w:line="360" w:lineRule="auto"/>
              <w:jc w:val="left"/>
              <w:rPr>
                <w:rFonts w:ascii="宋体" w:hAnsi="宋体" w:cs="Courier New"/>
                <w:color w:val="000000"/>
                <w:szCs w:val="21"/>
                <w:highlight w:val="none"/>
              </w:rPr>
            </w:pPr>
            <w:r>
              <w:rPr>
                <w:rFonts w:ascii="宋体" w:hAnsi="宋体" w:cs="Courier New"/>
                <w:color w:val="000000"/>
                <w:szCs w:val="21"/>
                <w:highlight w:val="none"/>
              </w:rPr>
              <w:t>备注：</w:t>
            </w:r>
          </w:p>
          <w:p>
            <w:pPr>
              <w:spacing w:line="360" w:lineRule="auto"/>
              <w:jc w:val="left"/>
              <w:rPr>
                <w:rFonts w:hint="eastAsia" w:ascii="宋体" w:hAnsi="宋体"/>
                <w:b/>
                <w:color w:val="000000"/>
                <w:szCs w:val="21"/>
                <w:highlight w:val="none"/>
              </w:rPr>
            </w:pPr>
            <w:r>
              <w:rPr>
                <w:rFonts w:hint="eastAsia" w:ascii="宋体" w:hAnsi="宋体"/>
                <w:b/>
                <w:color w:val="000000"/>
                <w:szCs w:val="21"/>
                <w:highlight w:val="none"/>
              </w:rPr>
              <w:t>1.符合桂财采〔2024〕55号《广西壮族自治区财政厅关于持续优化政府采购营商环境推动高质量发展的通知》 文件要求的，按照相关要求执行（中小企业收取的履约保证金数额为中标金额的2%）。</w:t>
            </w:r>
          </w:p>
          <w:p>
            <w:pPr>
              <w:spacing w:line="360" w:lineRule="auto"/>
              <w:jc w:val="left"/>
              <w:rPr>
                <w:rFonts w:hint="eastAsia" w:ascii="宋体" w:hAnsi="宋体"/>
                <w:b/>
                <w:color w:val="000000"/>
                <w:szCs w:val="21"/>
                <w:highlight w:val="none"/>
              </w:rPr>
            </w:pPr>
            <w:r>
              <w:rPr>
                <w:rFonts w:hint="eastAsia" w:ascii="宋体" w:hAnsi="宋体"/>
                <w:b/>
                <w:color w:val="000000"/>
                <w:szCs w:val="21"/>
                <w:highlight w:val="none"/>
              </w:rPr>
              <w:t>2</w:t>
            </w:r>
            <w:r>
              <w:rPr>
                <w:rFonts w:hint="eastAsia" w:ascii="宋体" w:hAnsi="宋体"/>
                <w:b/>
                <w:color w:val="000000"/>
                <w:szCs w:val="21"/>
                <w:highlight w:val="none"/>
                <w:lang w:eastAsia="zh-CN"/>
              </w:rPr>
              <w:t>.</w:t>
            </w:r>
            <w:r>
              <w:rPr>
                <w:rFonts w:hint="eastAsia" w:ascii="宋体" w:hAnsi="宋体"/>
                <w:b/>
                <w:color w:val="000000"/>
                <w:szCs w:val="21"/>
                <w:highlight w:val="none"/>
              </w:rPr>
              <w:t>中标人在签订合同之前，通过转账提交履约保证金的需把履约保证金足额交到采购人指定账户，履约保证金不足额缴纳的，或者金融、担保机构出具的保函、保险机构的保单额度不足的或者保函、保单有效期低于合同履行期限（即签订采购合同之日起至履行完合同约定的权利及义务之日止）的，不予签订合同。采用金融、担保机构出具的保函或者保险机构的保单的，必须为无条件保函或保单，否则不予签订合同。履约保证金自项目验收合格后，待中标人履行完质保义务后无息退还。</w:t>
            </w:r>
          </w:p>
          <w:p>
            <w:pPr>
              <w:spacing w:line="360" w:lineRule="exact"/>
              <w:jc w:val="left"/>
              <w:rPr>
                <w:rFonts w:hint="eastAsia" w:ascii="宋体" w:hAnsi="宋体" w:cs="宋体"/>
                <w:szCs w:val="21"/>
                <w:highlight w:val="none"/>
              </w:rPr>
            </w:pPr>
            <w:r>
              <w:rPr>
                <w:rFonts w:hint="eastAsia" w:ascii="宋体" w:hAnsi="宋体"/>
                <w:b/>
                <w:color w:val="000000"/>
                <w:szCs w:val="21"/>
                <w:highlight w:val="none"/>
              </w:rPr>
              <w:t>3.采用金融、担保机构出具的保函或保险机构的保单的，必须为无条件保函或保单，否则不予签订合同。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8.1</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质疑</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）供应商认为招标文件、采购过程、中标或者成交结果使自己的权益受到损害的，可以在知道或者应知其权益受到损害之日起</w:t>
            </w:r>
            <w:r>
              <w:rPr>
                <w:rFonts w:ascii="宋体" w:hAnsi="宋体"/>
                <w:szCs w:val="21"/>
                <w:highlight w:val="none"/>
                <w:lang w:bidi="ar"/>
              </w:rPr>
              <w:t>7</w:t>
            </w:r>
            <w:r>
              <w:rPr>
                <w:rFonts w:hint="eastAsia" w:ascii="宋体" w:hAnsi="宋体" w:cs="宋体"/>
                <w:szCs w:val="21"/>
                <w:highlight w:val="none"/>
                <w:lang w:bidi="ar"/>
              </w:rPr>
              <w:t>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w:t>
            </w:r>
            <w:r>
              <w:rPr>
                <w:rFonts w:ascii="宋体" w:hAnsi="宋体"/>
                <w:szCs w:val="21"/>
                <w:highlight w:val="none"/>
                <w:lang w:bidi="ar"/>
              </w:rPr>
              <w:t>“</w:t>
            </w:r>
            <w:r>
              <w:rPr>
                <w:rFonts w:hint="eastAsia" w:ascii="宋体" w:hAnsi="宋体" w:cs="宋体"/>
                <w:szCs w:val="21"/>
                <w:highlight w:val="none"/>
                <w:lang w:bidi="ar"/>
              </w:rPr>
              <w:t>质疑函制作说明</w:t>
            </w:r>
            <w:r>
              <w:rPr>
                <w:rFonts w:ascii="宋体" w:hAnsi="宋体"/>
                <w:szCs w:val="21"/>
                <w:highlight w:val="none"/>
                <w:lang w:bidi="ar"/>
              </w:rPr>
              <w:t>”</w:t>
            </w:r>
            <w:r>
              <w:rPr>
                <w:rFonts w:hint="eastAsia" w:ascii="宋体" w:hAnsi="宋体" w:cs="宋体"/>
                <w:szCs w:val="21"/>
                <w:highlight w:val="none"/>
                <w:lang w:bidi="ar"/>
              </w:rPr>
              <w:t>进行制作。</w:t>
            </w:r>
          </w:p>
          <w:p>
            <w:pPr>
              <w:spacing w:line="360" w:lineRule="exact"/>
              <w:jc w:val="left"/>
              <w:rPr>
                <w:rFonts w:ascii="宋体" w:hAnsi="宋体"/>
                <w:szCs w:val="21"/>
                <w:highlight w:val="none"/>
              </w:rPr>
            </w:pPr>
            <w:r>
              <w:rPr>
                <w:rFonts w:hint="eastAsia" w:ascii="宋体" w:hAnsi="宋体" w:cs="宋体"/>
                <w:szCs w:val="21"/>
                <w:highlight w:val="none"/>
              </w:rPr>
              <w:t>（</w:t>
            </w:r>
            <w:r>
              <w:rPr>
                <w:rFonts w:ascii="宋体" w:hAnsi="宋体"/>
                <w:szCs w:val="21"/>
                <w:highlight w:val="none"/>
              </w:rPr>
              <w:t>2</w:t>
            </w:r>
            <w:r>
              <w:rPr>
                <w:rFonts w:hint="eastAsia" w:ascii="宋体" w:hAnsi="宋体" w:cs="宋体"/>
                <w:szCs w:val="21"/>
                <w:highlight w:val="none"/>
              </w:rPr>
              <w:t>）本项目不接受传真、移动通信、政采云平台等方式送达的质疑材料，供应商可通过现场或邮寄方式递交书面质疑材料。供应商应于质疑有效期内将质疑函原件递交或邮寄至招标公告中采购代理机构信息中的联系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4"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9.1</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0"/>
                <w:highlight w:val="none"/>
              </w:rPr>
            </w:pPr>
            <w:r>
              <w:rPr>
                <w:rFonts w:hint="eastAsia" w:ascii="宋体" w:hAnsi="宋体" w:cs="宋体"/>
                <w:szCs w:val="20"/>
                <w:highlight w:val="none"/>
              </w:rPr>
              <w:t>中小企业政策措施</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highlight w:val="none"/>
              </w:rPr>
            </w:pPr>
            <w:r>
              <w:rPr>
                <w:rFonts w:hint="eastAsia" w:ascii="宋体" w:hAnsi="宋体" w:cs="宋体"/>
                <w:szCs w:val="21"/>
                <w:highlight w:val="none"/>
              </w:rPr>
              <w:t>本项目D分标为专门面向中小企业采购的项目。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8"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10.1</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0"/>
                <w:highlight w:val="none"/>
              </w:rPr>
              <w:t>代理服务费</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w:t>
            </w:r>
            <w:r>
              <w:rPr>
                <w:rFonts w:hint="eastAsia" w:ascii="宋体" w:hAnsi="宋体" w:cs="宋体"/>
                <w:szCs w:val="20"/>
                <w:highlight w:val="none"/>
                <w:lang w:bidi="ar"/>
              </w:rPr>
              <w:t>采购代理费支付方式：</w:t>
            </w:r>
          </w:p>
          <w:p>
            <w:pPr>
              <w:spacing w:line="360" w:lineRule="exact"/>
              <w:jc w:val="left"/>
              <w:rPr>
                <w:rFonts w:hint="eastAsia" w:ascii="宋体" w:hAnsi="宋体" w:cs="宋体"/>
                <w:szCs w:val="21"/>
                <w:highlight w:val="none"/>
                <w:lang w:bidi="ar"/>
              </w:rPr>
            </w:pPr>
            <w:r>
              <w:rPr>
                <w:rFonts w:hint="eastAsia" w:ascii="宋体" w:hAnsi="宋体" w:cs="Wingdings 2"/>
                <w:szCs w:val="21"/>
                <w:highlight w:val="none"/>
                <w:lang w:bidi="ar"/>
              </w:rPr>
              <w:t>本项目代理服务费由</w:t>
            </w:r>
            <w:r>
              <w:rPr>
                <w:rFonts w:hint="eastAsia" w:ascii="宋体" w:hAnsi="宋体" w:cs="Wingdings 2"/>
                <w:szCs w:val="21"/>
                <w:highlight w:val="none"/>
                <w:lang w:val="en-US" w:eastAsia="zh-CN" w:bidi="ar"/>
              </w:rPr>
              <w:t>中标人</w:t>
            </w:r>
            <w:r>
              <w:rPr>
                <w:rFonts w:hint="eastAsia" w:ascii="宋体" w:hAnsi="宋体" w:cs="Wingdings 2"/>
                <w:szCs w:val="21"/>
                <w:highlight w:val="none"/>
                <w:lang w:bidi="ar"/>
              </w:rPr>
              <w:t>一次性向采购代理机构支付</w:t>
            </w:r>
            <w:r>
              <w:rPr>
                <w:rFonts w:hint="eastAsia" w:ascii="宋体" w:hAnsi="宋体" w:cs="宋体"/>
                <w:szCs w:val="21"/>
                <w:highlight w:val="none"/>
                <w:lang w:bidi="ar"/>
              </w:rPr>
              <w:t>。</w:t>
            </w:r>
          </w:p>
          <w:p>
            <w:pPr>
              <w:spacing w:line="360" w:lineRule="exact"/>
              <w:jc w:val="left"/>
              <w:rPr>
                <w:rFonts w:hint="eastAsia" w:ascii="宋体" w:hAnsi="宋体" w:cs="宋体"/>
                <w:szCs w:val="21"/>
                <w:highlight w:val="none"/>
                <w:lang w:bidi="ar"/>
              </w:rPr>
            </w:pPr>
            <w:r>
              <w:rPr>
                <w:rFonts w:hint="eastAsia" w:ascii="宋体" w:hAnsi="宋体" w:cs="宋体"/>
                <w:szCs w:val="21"/>
                <w:highlight w:val="none"/>
                <w:lang w:eastAsia="zh-CN" w:bidi="ar"/>
              </w:rPr>
              <w:t>（</w:t>
            </w:r>
            <w:r>
              <w:rPr>
                <w:rFonts w:hint="eastAsia" w:ascii="宋体" w:hAnsi="宋体" w:cs="宋体"/>
                <w:szCs w:val="21"/>
                <w:highlight w:val="none"/>
                <w:lang w:val="en-US" w:eastAsia="zh-CN" w:bidi="ar"/>
              </w:rPr>
              <w:t>2</w:t>
            </w:r>
            <w:r>
              <w:rPr>
                <w:rFonts w:hint="eastAsia" w:ascii="宋体" w:hAnsi="宋体" w:cs="宋体"/>
                <w:szCs w:val="21"/>
                <w:highlight w:val="none"/>
                <w:lang w:eastAsia="zh-CN" w:bidi="ar"/>
              </w:rPr>
              <w:t>）</w:t>
            </w:r>
            <w:r>
              <w:rPr>
                <w:rFonts w:hint="eastAsia" w:ascii="宋体" w:hAnsi="宋体" w:cs="宋体"/>
                <w:szCs w:val="21"/>
                <w:highlight w:val="none"/>
                <w:lang w:bidi="ar"/>
              </w:rPr>
              <w:t>采购代理费收取标准：</w:t>
            </w:r>
          </w:p>
          <w:p>
            <w:pPr>
              <w:spacing w:line="360" w:lineRule="exact"/>
              <w:jc w:val="left"/>
              <w:rPr>
                <w:rFonts w:ascii="宋体" w:hAnsi="宋体"/>
                <w:b/>
                <w:bCs/>
                <w:szCs w:val="21"/>
                <w:highlight w:val="none"/>
              </w:rPr>
            </w:pPr>
            <w:r>
              <w:rPr>
                <w:rFonts w:hint="eastAsia" w:ascii="宋体" w:hAnsi="宋体" w:cs="宋体"/>
                <w:b/>
                <w:bCs/>
                <w:szCs w:val="21"/>
                <w:highlight w:val="none"/>
                <w:lang w:bidi="ar"/>
              </w:rPr>
              <w:t>本项目代理服务费=中标金额</w:t>
            </w:r>
            <w:r>
              <w:rPr>
                <w:rFonts w:ascii="宋体" w:hAnsi="宋体"/>
                <w:b/>
                <w:bCs/>
                <w:szCs w:val="21"/>
                <w:highlight w:val="none"/>
                <w:lang w:bidi="ar"/>
              </w:rPr>
              <w:t>×</w:t>
            </w:r>
            <w:r>
              <w:rPr>
                <w:rFonts w:hint="eastAsia" w:ascii="宋体" w:hAnsi="宋体" w:cs="宋体"/>
                <w:b/>
                <w:bCs/>
                <w:szCs w:val="21"/>
                <w:highlight w:val="none"/>
                <w:lang w:bidi="ar"/>
              </w:rPr>
              <w:t>1.7%。</w:t>
            </w:r>
          </w:p>
          <w:p>
            <w:pPr>
              <w:spacing w:line="360" w:lineRule="exact"/>
              <w:jc w:val="left"/>
              <w:rPr>
                <w:rFonts w:ascii="宋体" w:hAnsi="宋体"/>
                <w:szCs w:val="21"/>
                <w:highlight w:val="none"/>
              </w:rPr>
            </w:pPr>
            <w:r>
              <w:rPr>
                <w:rFonts w:hint="eastAsia" w:ascii="宋体" w:hAnsi="宋体" w:cs="宋体"/>
                <w:szCs w:val="21"/>
                <w:highlight w:val="none"/>
                <w:lang w:bidi="ar"/>
              </w:rPr>
              <w:t>例如：某货物招标代理业务成交金额为</w:t>
            </w:r>
            <w:r>
              <w:rPr>
                <w:rFonts w:hint="eastAsia" w:ascii="宋体" w:hAnsi="宋体"/>
                <w:szCs w:val="21"/>
                <w:highlight w:val="none"/>
                <w:lang w:bidi="ar"/>
              </w:rPr>
              <w:t>2</w:t>
            </w:r>
            <w:r>
              <w:rPr>
                <w:rFonts w:ascii="宋体" w:hAnsi="宋体"/>
                <w:szCs w:val="21"/>
                <w:highlight w:val="none"/>
                <w:lang w:bidi="ar"/>
              </w:rPr>
              <w:t>00</w:t>
            </w:r>
            <w:r>
              <w:rPr>
                <w:rFonts w:hint="eastAsia" w:ascii="宋体" w:hAnsi="宋体" w:cs="宋体"/>
                <w:szCs w:val="21"/>
                <w:highlight w:val="none"/>
                <w:lang w:bidi="ar"/>
              </w:rPr>
              <w:t>万元，招标代理服务费金额按如下计算：</w:t>
            </w:r>
          </w:p>
          <w:p>
            <w:pPr>
              <w:spacing w:line="360" w:lineRule="exact"/>
              <w:jc w:val="left"/>
              <w:rPr>
                <w:rFonts w:ascii="宋体" w:hAnsi="宋体"/>
                <w:szCs w:val="21"/>
                <w:highlight w:val="none"/>
              </w:rPr>
            </w:pPr>
            <w:r>
              <w:rPr>
                <w:rFonts w:hint="eastAsia" w:ascii="宋体" w:hAnsi="宋体"/>
                <w:szCs w:val="21"/>
                <w:highlight w:val="none"/>
                <w:lang w:bidi="ar"/>
              </w:rPr>
              <w:t>2</w:t>
            </w:r>
            <w:r>
              <w:rPr>
                <w:rFonts w:ascii="宋体" w:hAnsi="宋体"/>
                <w:szCs w:val="21"/>
                <w:highlight w:val="none"/>
                <w:lang w:bidi="ar"/>
              </w:rPr>
              <w:t>00</w:t>
            </w:r>
            <w:r>
              <w:rPr>
                <w:rFonts w:hint="eastAsia" w:ascii="宋体" w:hAnsi="宋体" w:cs="宋体"/>
                <w:szCs w:val="21"/>
                <w:highlight w:val="none"/>
                <w:lang w:bidi="ar"/>
              </w:rPr>
              <w:t>万元</w:t>
            </w:r>
            <w:bookmarkStart w:id="88" w:name="OLE_LINK4"/>
            <w:r>
              <w:rPr>
                <w:rFonts w:ascii="宋体" w:hAnsi="宋体"/>
                <w:szCs w:val="21"/>
                <w:highlight w:val="none"/>
                <w:lang w:bidi="ar"/>
              </w:rPr>
              <w:t>×</w:t>
            </w:r>
            <w:bookmarkEnd w:id="88"/>
            <w:r>
              <w:rPr>
                <w:rFonts w:ascii="宋体" w:hAnsi="宋体"/>
                <w:szCs w:val="21"/>
                <w:highlight w:val="none"/>
                <w:lang w:bidi="ar"/>
              </w:rPr>
              <w:t>1.</w:t>
            </w:r>
            <w:r>
              <w:rPr>
                <w:rFonts w:hint="eastAsia" w:ascii="宋体" w:hAnsi="宋体"/>
                <w:szCs w:val="21"/>
                <w:highlight w:val="none"/>
                <w:lang w:bidi="ar"/>
              </w:rPr>
              <w:t>7</w:t>
            </w:r>
            <w:r>
              <w:rPr>
                <w:rFonts w:ascii="宋体" w:hAnsi="宋体"/>
                <w:szCs w:val="21"/>
                <w:highlight w:val="none"/>
                <w:lang w:bidi="ar"/>
              </w:rPr>
              <w:t>%</w:t>
            </w:r>
            <w:r>
              <w:rPr>
                <w:rFonts w:hint="eastAsia" w:ascii="宋体" w:hAnsi="宋体" w:cs="宋体"/>
                <w:szCs w:val="21"/>
                <w:highlight w:val="none"/>
                <w:lang w:bidi="ar"/>
              </w:rPr>
              <w:t>＝</w:t>
            </w:r>
            <w:r>
              <w:rPr>
                <w:rFonts w:hint="eastAsia" w:ascii="宋体" w:hAnsi="宋体"/>
                <w:szCs w:val="21"/>
                <w:highlight w:val="none"/>
                <w:lang w:bidi="ar"/>
              </w:rPr>
              <w:t>3.4</w:t>
            </w:r>
            <w:r>
              <w:rPr>
                <w:rFonts w:hint="eastAsia" w:ascii="宋体" w:hAnsi="宋体" w:cs="宋体"/>
                <w:szCs w:val="21"/>
                <w:highlight w:val="none"/>
                <w:lang w:bidi="ar"/>
              </w:rPr>
              <w:t>万元</w:t>
            </w:r>
          </w:p>
          <w:p>
            <w:pPr>
              <w:spacing w:line="360" w:lineRule="exact"/>
              <w:jc w:val="left"/>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szCs w:val="21"/>
                <w:highlight w:val="none"/>
              </w:rPr>
              <w:t>采购代理费收取银行账户：</w:t>
            </w:r>
          </w:p>
          <w:p>
            <w:pPr>
              <w:spacing w:line="360" w:lineRule="exact"/>
              <w:jc w:val="left"/>
              <w:rPr>
                <w:rFonts w:hint="eastAsia" w:ascii="宋体" w:hAnsi="宋体" w:cs="宋体"/>
                <w:szCs w:val="21"/>
                <w:highlight w:val="none"/>
              </w:rPr>
            </w:pPr>
            <w:r>
              <w:rPr>
                <w:rFonts w:hint="eastAsia" w:ascii="宋体" w:hAnsi="宋体" w:cs="宋体"/>
                <w:szCs w:val="21"/>
                <w:highlight w:val="none"/>
              </w:rPr>
              <w:t>账户名称：广西城通工程咨询有限责任公司</w:t>
            </w:r>
          </w:p>
          <w:p>
            <w:pPr>
              <w:spacing w:line="360" w:lineRule="exact"/>
              <w:jc w:val="left"/>
              <w:rPr>
                <w:rFonts w:hint="eastAsia" w:ascii="宋体" w:hAnsi="宋体" w:cs="宋体"/>
                <w:szCs w:val="21"/>
                <w:highlight w:val="none"/>
              </w:rPr>
            </w:pPr>
            <w:r>
              <w:rPr>
                <w:rFonts w:hint="eastAsia" w:ascii="宋体" w:hAnsi="宋体" w:cs="宋体"/>
                <w:szCs w:val="21"/>
                <w:highlight w:val="none"/>
              </w:rPr>
              <w:t>开户银行：交通银行南宁桂雅支行</w:t>
            </w:r>
          </w:p>
          <w:p>
            <w:pPr>
              <w:spacing w:line="360" w:lineRule="exact"/>
              <w:jc w:val="left"/>
              <w:rPr>
                <w:rFonts w:ascii="宋体" w:hAnsi="宋体"/>
                <w:kern w:val="0"/>
                <w:szCs w:val="21"/>
                <w:highlight w:val="none"/>
              </w:rPr>
            </w:pPr>
            <w:r>
              <w:rPr>
                <w:rFonts w:hint="eastAsia" w:ascii="宋体" w:hAnsi="宋体" w:cs="宋体"/>
                <w:szCs w:val="21"/>
                <w:highlight w:val="none"/>
              </w:rPr>
              <w:t>银行账号：451899991013001132468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2"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10.3</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0"/>
                <w:highlight w:val="none"/>
              </w:rPr>
            </w:pPr>
            <w:r>
              <w:rPr>
                <w:rFonts w:hint="eastAsia" w:ascii="宋体" w:hAnsi="宋体" w:cs="宋体"/>
                <w:szCs w:val="20"/>
                <w:highlight w:val="none"/>
              </w:rPr>
              <w:t>附件</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highlight w:val="none"/>
              </w:rPr>
            </w:pPr>
            <w:r>
              <w:rPr>
                <w:rFonts w:ascii="宋体" w:hAnsi="宋体" w:cs="Wingdings 2"/>
                <w:sz w:val="22"/>
                <w:szCs w:val="22"/>
                <w:highlight w:val="none"/>
                <w:lang w:bidi="ar"/>
              </w:rPr>
              <w:sym w:font="Wingdings 2" w:char="0052"/>
            </w:r>
            <w:r>
              <w:rPr>
                <w:rFonts w:hint="eastAsia" w:ascii="宋体" w:hAnsi="宋体" w:cs="宋体"/>
                <w:szCs w:val="21"/>
                <w:highlight w:val="none"/>
                <w:lang w:bidi="ar"/>
              </w:rPr>
              <w:t>无</w:t>
            </w:r>
          </w:p>
          <w:p>
            <w:pPr>
              <w:spacing w:line="360" w:lineRule="exact"/>
              <w:rPr>
                <w:rFonts w:ascii="宋体" w:hAnsi="宋体"/>
                <w:szCs w:val="21"/>
                <w:highlight w:val="none"/>
                <w:u w:val="single"/>
              </w:rPr>
            </w:pPr>
            <w:r>
              <w:rPr>
                <w:rFonts w:ascii="宋体" w:hAnsi="宋体"/>
                <w:szCs w:val="21"/>
                <w:highlight w:val="none"/>
              </w:rPr>
              <w:t>□</w:t>
            </w:r>
            <w:r>
              <w:rPr>
                <w:rFonts w:hint="eastAsia" w:ascii="宋体" w:hAnsi="宋体" w:cs="宋体"/>
                <w:szCs w:val="21"/>
                <w:highlight w:val="none"/>
              </w:rPr>
              <w:t>有，详见：</w:t>
            </w:r>
            <w:r>
              <w:rPr>
                <w:rFonts w:ascii="宋体" w:hAnsi="宋体"/>
                <w:szCs w:val="21"/>
                <w:highlight w:val="none"/>
                <w:u w:val="single"/>
              </w:rPr>
              <w:t xml:space="preserve">          </w:t>
            </w:r>
            <w:r>
              <w:rPr>
                <w:rFonts w:hint="eastAsia" w:ascii="宋体" w:hAnsi="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6"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10.3</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0"/>
                <w:highlight w:val="none"/>
              </w:rPr>
            </w:pPr>
            <w:r>
              <w:rPr>
                <w:rFonts w:hint="eastAsia" w:ascii="宋体" w:hAnsi="宋体" w:cs="宋体"/>
                <w:szCs w:val="20"/>
                <w:highlight w:val="none"/>
              </w:rPr>
              <w:t>图纸</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highlight w:val="none"/>
              </w:rPr>
            </w:pPr>
            <w:r>
              <w:rPr>
                <w:rFonts w:ascii="宋体" w:hAnsi="宋体" w:cs="Wingdings 2"/>
                <w:sz w:val="22"/>
                <w:szCs w:val="22"/>
                <w:highlight w:val="none"/>
                <w:lang w:bidi="ar"/>
              </w:rPr>
              <w:sym w:font="Wingdings 2" w:char="0052"/>
            </w:r>
            <w:r>
              <w:rPr>
                <w:rFonts w:hint="eastAsia" w:ascii="宋体" w:hAnsi="宋体" w:cs="宋体"/>
                <w:szCs w:val="21"/>
                <w:highlight w:val="none"/>
                <w:lang w:bidi="ar"/>
              </w:rPr>
              <w:t>无</w:t>
            </w:r>
          </w:p>
          <w:p>
            <w:pPr>
              <w:spacing w:line="360" w:lineRule="exact"/>
              <w:rPr>
                <w:rFonts w:ascii="宋体" w:hAnsi="宋体"/>
                <w:szCs w:val="21"/>
                <w:highlight w:val="none"/>
                <w:u w:val="single"/>
              </w:rPr>
            </w:pPr>
            <w:r>
              <w:rPr>
                <w:rFonts w:ascii="宋体" w:hAnsi="宋体"/>
                <w:szCs w:val="21"/>
                <w:highlight w:val="none"/>
              </w:rPr>
              <w:t>□</w:t>
            </w:r>
            <w:r>
              <w:rPr>
                <w:rFonts w:hint="eastAsia" w:ascii="宋体" w:hAnsi="宋体" w:cs="宋体"/>
                <w:szCs w:val="21"/>
                <w:highlight w:val="none"/>
              </w:rPr>
              <w:t>有，详见：</w:t>
            </w:r>
            <w:r>
              <w:rPr>
                <w:rFonts w:ascii="宋体" w:hAnsi="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3"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10.4</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0"/>
                <w:highlight w:val="none"/>
              </w:rPr>
            </w:pPr>
            <w:r>
              <w:rPr>
                <w:rFonts w:hint="eastAsia" w:ascii="宋体" w:hAnsi="宋体" w:cs="宋体"/>
                <w:szCs w:val="20"/>
                <w:highlight w:val="none"/>
              </w:rPr>
              <w:t>其他事项</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highlight w:val="none"/>
              </w:rPr>
            </w:pPr>
            <w:r>
              <w:rPr>
                <w:rFonts w:hint="eastAsia" w:ascii="宋体" w:hAnsi="宋体" w:cs="宋体"/>
                <w:szCs w:val="21"/>
                <w:highlight w:val="none"/>
              </w:rPr>
              <w:t>1.本文件中内容如有前后不一致，以在招标文件先出现的为准。</w:t>
            </w:r>
          </w:p>
          <w:p>
            <w:pPr>
              <w:spacing w:line="360" w:lineRule="exact"/>
              <w:rPr>
                <w:rFonts w:ascii="宋体" w:hAnsi="宋体"/>
                <w:b/>
                <w:sz w:val="24"/>
                <w:highlight w:val="none"/>
              </w:rPr>
            </w:pPr>
            <w:r>
              <w:rPr>
                <w:rFonts w:hint="eastAsia" w:ascii="宋体" w:hAnsi="宋体" w:cs="宋体"/>
                <w:b/>
                <w:szCs w:val="21"/>
                <w:highlight w:val="none"/>
              </w:rPr>
              <w:t>2.签订本项目合同时，中标人须按招标人要求，与资金支付方签订三方合同协议。</w:t>
            </w:r>
          </w:p>
        </w:tc>
      </w:tr>
    </w:tbl>
    <w:p>
      <w:pPr>
        <w:rPr>
          <w:bCs/>
          <w:sz w:val="28"/>
          <w:szCs w:val="28"/>
          <w:highlight w:val="none"/>
          <w:lang w:bidi="ar"/>
        </w:rPr>
        <w:sectPr>
          <w:footerReference r:id="rId8" w:type="default"/>
          <w:pgSz w:w="11906" w:h="16838"/>
          <w:pgMar w:top="1440" w:right="1800" w:bottom="1440" w:left="1800" w:header="851" w:footer="992" w:gutter="0"/>
          <w:cols w:space="720" w:num="1"/>
          <w:docGrid w:type="lines" w:linePitch="331" w:charSpace="0"/>
        </w:sectPr>
      </w:pPr>
    </w:p>
    <w:p>
      <w:pPr>
        <w:spacing w:before="120" w:line="320" w:lineRule="atLeast"/>
        <w:jc w:val="center"/>
        <w:outlineLvl w:val="1"/>
        <w:rPr>
          <w:b/>
          <w:bCs/>
          <w:kern w:val="0"/>
          <w:sz w:val="28"/>
          <w:szCs w:val="28"/>
          <w:highlight w:val="none"/>
          <w:lang w:bidi="ar"/>
        </w:rPr>
      </w:pPr>
      <w:r>
        <w:rPr>
          <w:rFonts w:hint="eastAsia"/>
          <w:b/>
          <w:bCs/>
          <w:kern w:val="0"/>
          <w:sz w:val="28"/>
          <w:szCs w:val="28"/>
          <w:highlight w:val="none"/>
          <w:lang w:bidi="ar"/>
        </w:rPr>
        <w:t>供应商须知正文</w:t>
      </w:r>
    </w:p>
    <w:p>
      <w:pPr>
        <w:spacing w:line="360" w:lineRule="auto"/>
        <w:ind w:firstLine="422" w:firstLineChars="200"/>
        <w:outlineLvl w:val="2"/>
        <w:rPr>
          <w:rFonts w:ascii="宋体" w:hAnsi="宋体"/>
          <w:b/>
          <w:bCs/>
          <w:kern w:val="0"/>
          <w:szCs w:val="21"/>
          <w:highlight w:val="none"/>
        </w:rPr>
      </w:pPr>
      <w:r>
        <w:rPr>
          <w:rFonts w:ascii="宋体" w:hAnsi="宋体"/>
          <w:b/>
          <w:bCs/>
          <w:kern w:val="0"/>
          <w:szCs w:val="21"/>
          <w:highlight w:val="none"/>
          <w:lang w:bidi="ar"/>
        </w:rPr>
        <w:t>1</w:t>
      </w:r>
      <w:r>
        <w:rPr>
          <w:rFonts w:hint="eastAsia" w:ascii="宋体" w:hAnsi="宋体" w:cs="宋体"/>
          <w:b/>
          <w:bCs/>
          <w:kern w:val="0"/>
          <w:szCs w:val="21"/>
          <w:highlight w:val="none"/>
          <w:lang w:bidi="ar"/>
        </w:rPr>
        <w:t>．总则</w:t>
      </w:r>
    </w:p>
    <w:p>
      <w:pPr>
        <w:spacing w:line="360" w:lineRule="auto"/>
        <w:ind w:firstLine="422" w:firstLineChars="200"/>
        <w:outlineLvl w:val="3"/>
        <w:rPr>
          <w:rFonts w:ascii="宋体" w:hAnsi="宋体"/>
          <w:b/>
          <w:bCs/>
          <w:kern w:val="0"/>
          <w:szCs w:val="21"/>
          <w:highlight w:val="none"/>
        </w:rPr>
      </w:pPr>
      <w:bookmarkStart w:id="89" w:name="_Toc254970668"/>
      <w:bookmarkStart w:id="90" w:name="_Toc254970527"/>
      <w:r>
        <w:rPr>
          <w:rFonts w:ascii="宋体" w:hAnsi="宋体"/>
          <w:b/>
          <w:bCs/>
          <w:kern w:val="0"/>
          <w:szCs w:val="21"/>
          <w:highlight w:val="none"/>
          <w:lang w:bidi="ar"/>
        </w:rPr>
        <w:t>1.1</w:t>
      </w:r>
      <w:r>
        <w:rPr>
          <w:rFonts w:hint="eastAsia" w:ascii="宋体" w:hAnsi="宋体" w:cs="宋体"/>
          <w:b/>
          <w:bCs/>
          <w:kern w:val="0"/>
          <w:szCs w:val="21"/>
          <w:highlight w:val="none"/>
          <w:lang w:bidi="ar"/>
        </w:rPr>
        <w:t>适用范围</w:t>
      </w:r>
      <w:bookmarkEnd w:id="89"/>
      <w:bookmarkEnd w:id="90"/>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本招标文件适用于供应商须知前附表所述项目的政府采购活动。</w:t>
      </w:r>
    </w:p>
    <w:p>
      <w:pPr>
        <w:spacing w:line="360" w:lineRule="auto"/>
        <w:ind w:firstLine="422" w:firstLineChars="200"/>
        <w:outlineLvl w:val="3"/>
        <w:rPr>
          <w:rFonts w:ascii="宋体" w:hAnsi="宋体"/>
          <w:b/>
          <w:bCs/>
          <w:kern w:val="0"/>
          <w:szCs w:val="21"/>
          <w:highlight w:val="none"/>
          <w:lang w:bidi="ar"/>
        </w:rPr>
      </w:pPr>
      <w:bookmarkStart w:id="91" w:name="_Toc254970528"/>
      <w:bookmarkStart w:id="92" w:name="_Toc254970669"/>
      <w:r>
        <w:rPr>
          <w:rFonts w:ascii="宋体" w:hAnsi="宋体"/>
          <w:b/>
          <w:bCs/>
          <w:kern w:val="0"/>
          <w:szCs w:val="21"/>
          <w:highlight w:val="none"/>
          <w:lang w:bidi="ar"/>
        </w:rPr>
        <w:t>1.2</w:t>
      </w:r>
      <w:r>
        <w:rPr>
          <w:rFonts w:hint="eastAsia" w:ascii="宋体" w:hAnsi="宋体"/>
          <w:b/>
          <w:bCs/>
          <w:kern w:val="0"/>
          <w:szCs w:val="21"/>
          <w:highlight w:val="none"/>
          <w:lang w:bidi="ar"/>
        </w:rPr>
        <w:t>定义</w:t>
      </w:r>
      <w:bookmarkEnd w:id="91"/>
      <w:bookmarkEnd w:id="92"/>
    </w:p>
    <w:p>
      <w:pPr>
        <w:spacing w:line="360" w:lineRule="auto"/>
        <w:ind w:firstLine="420" w:firstLineChars="200"/>
        <w:rPr>
          <w:rFonts w:ascii="宋体" w:hAnsi="宋体"/>
          <w:szCs w:val="21"/>
          <w:highlight w:val="none"/>
        </w:rPr>
      </w:pPr>
      <w:r>
        <w:rPr>
          <w:rFonts w:ascii="宋体" w:hAnsi="宋体"/>
          <w:szCs w:val="21"/>
          <w:highlight w:val="none"/>
          <w:lang w:bidi="ar"/>
        </w:rPr>
        <w:t>1.2.1</w:t>
      </w:r>
      <w:r>
        <w:rPr>
          <w:rFonts w:hint="eastAsia" w:ascii="宋体" w:hAnsi="宋体"/>
          <w:szCs w:val="21"/>
          <w:highlight w:val="none"/>
          <w:lang w:bidi="ar"/>
        </w:rPr>
        <w:t>“</w:t>
      </w:r>
      <w:r>
        <w:rPr>
          <w:rFonts w:hint="eastAsia" w:ascii="宋体" w:hAnsi="宋体" w:cs="宋体"/>
          <w:szCs w:val="21"/>
          <w:highlight w:val="none"/>
          <w:lang w:bidi="ar"/>
        </w:rPr>
        <w:t>采购人</w:t>
      </w:r>
      <w:r>
        <w:rPr>
          <w:rFonts w:hint="eastAsia" w:ascii="宋体" w:hAnsi="宋体"/>
          <w:szCs w:val="21"/>
          <w:highlight w:val="none"/>
          <w:lang w:bidi="ar"/>
        </w:rPr>
        <w:t>”</w:t>
      </w:r>
      <w:r>
        <w:rPr>
          <w:rFonts w:hint="eastAsia" w:ascii="宋体" w:hAnsi="宋体" w:cs="宋体"/>
          <w:szCs w:val="21"/>
          <w:highlight w:val="none"/>
          <w:lang w:bidi="ar"/>
        </w:rPr>
        <w:t>系指依法进行政府采购的国家机关、事业单位、团体组织。</w:t>
      </w:r>
    </w:p>
    <w:p>
      <w:pPr>
        <w:spacing w:line="360" w:lineRule="auto"/>
        <w:ind w:firstLine="420" w:firstLineChars="200"/>
        <w:rPr>
          <w:rFonts w:ascii="宋体" w:hAnsi="宋体"/>
          <w:szCs w:val="21"/>
          <w:highlight w:val="none"/>
        </w:rPr>
      </w:pPr>
      <w:r>
        <w:rPr>
          <w:rFonts w:ascii="宋体" w:hAnsi="宋体"/>
          <w:szCs w:val="21"/>
          <w:highlight w:val="none"/>
          <w:lang w:bidi="ar"/>
        </w:rPr>
        <w:t>1.2.2“</w:t>
      </w:r>
      <w:r>
        <w:rPr>
          <w:rFonts w:hint="eastAsia" w:ascii="宋体" w:hAnsi="宋体" w:cs="宋体"/>
          <w:szCs w:val="21"/>
          <w:highlight w:val="none"/>
          <w:lang w:bidi="ar"/>
        </w:rPr>
        <w:t>供应商</w:t>
      </w:r>
      <w:r>
        <w:rPr>
          <w:rFonts w:ascii="宋体" w:hAnsi="宋体"/>
          <w:szCs w:val="21"/>
          <w:highlight w:val="none"/>
          <w:lang w:bidi="ar"/>
        </w:rPr>
        <w:t>”</w:t>
      </w:r>
      <w:r>
        <w:rPr>
          <w:rFonts w:hint="eastAsia" w:ascii="宋体" w:hAnsi="宋体" w:cs="宋体"/>
          <w:szCs w:val="21"/>
          <w:highlight w:val="none"/>
          <w:lang w:bidi="ar"/>
        </w:rPr>
        <w:t>系</w:t>
      </w:r>
      <w:r>
        <w:rPr>
          <w:rFonts w:hint="eastAsia" w:ascii="宋体" w:hAnsi="宋体" w:cs="宋体"/>
          <w:highlight w:val="none"/>
          <w:lang w:bidi="ar"/>
        </w:rPr>
        <w:t>指响应招标、参加投标竞争的法人、其他组织或者自然人</w:t>
      </w:r>
      <w:r>
        <w:rPr>
          <w:rFonts w:hint="eastAsia" w:ascii="宋体" w:hAnsi="宋体" w:cs="宋体"/>
          <w:szCs w:val="21"/>
          <w:highlight w:val="none"/>
          <w:lang w:bidi="ar"/>
        </w:rPr>
        <w:t>。</w:t>
      </w:r>
    </w:p>
    <w:p>
      <w:pPr>
        <w:spacing w:line="360" w:lineRule="auto"/>
        <w:ind w:firstLine="420" w:firstLineChars="200"/>
        <w:rPr>
          <w:rFonts w:ascii="宋体" w:hAnsi="宋体"/>
          <w:highlight w:val="none"/>
        </w:rPr>
      </w:pPr>
      <w:r>
        <w:rPr>
          <w:rFonts w:ascii="宋体" w:hAnsi="宋体"/>
          <w:highlight w:val="none"/>
          <w:lang w:bidi="ar"/>
        </w:rPr>
        <w:t>1.2.3</w:t>
      </w:r>
      <w:r>
        <w:rPr>
          <w:rFonts w:hint="eastAsia" w:ascii="宋体" w:hAnsi="宋体" w:cs="宋体"/>
          <w:highlight w:val="none"/>
          <w:lang w:bidi="ar"/>
        </w:rPr>
        <w:t>本文件中的</w:t>
      </w:r>
      <w:r>
        <w:rPr>
          <w:rFonts w:ascii="宋体" w:hAnsi="宋体"/>
          <w:highlight w:val="none"/>
          <w:lang w:bidi="ar"/>
        </w:rPr>
        <w:t>“</w:t>
      </w:r>
      <w:r>
        <w:rPr>
          <w:rFonts w:hint="eastAsia" w:ascii="宋体" w:hAnsi="宋体" w:cs="宋体"/>
          <w:highlight w:val="none"/>
          <w:lang w:bidi="ar"/>
        </w:rPr>
        <w:t>法定代表人</w:t>
      </w:r>
      <w:r>
        <w:rPr>
          <w:rFonts w:ascii="宋体" w:hAnsi="宋体"/>
          <w:highlight w:val="none"/>
          <w:lang w:bidi="ar"/>
        </w:rPr>
        <w:t>”</w:t>
      </w:r>
      <w:r>
        <w:rPr>
          <w:rFonts w:hint="eastAsia" w:ascii="宋体" w:hAnsi="宋体" w:cs="宋体"/>
          <w:highlight w:val="none"/>
          <w:lang w:bidi="ar"/>
        </w:rPr>
        <w:t>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spacing w:line="360" w:lineRule="auto"/>
        <w:ind w:firstLine="420" w:firstLineChars="200"/>
        <w:rPr>
          <w:rFonts w:ascii="宋体" w:hAnsi="宋体"/>
          <w:highlight w:val="none"/>
        </w:rPr>
      </w:pPr>
      <w:r>
        <w:rPr>
          <w:rFonts w:ascii="宋体" w:hAnsi="宋体"/>
          <w:highlight w:val="none"/>
          <w:lang w:bidi="ar"/>
        </w:rPr>
        <w:t>1.2.4</w:t>
      </w:r>
      <w:r>
        <w:rPr>
          <w:rFonts w:hint="eastAsia" w:ascii="宋体" w:hAnsi="宋体" w:cs="宋体"/>
          <w:highlight w:val="none"/>
          <w:lang w:bidi="ar"/>
        </w:rPr>
        <w:t>本文件中的</w:t>
      </w:r>
      <w:r>
        <w:rPr>
          <w:rFonts w:hint="eastAsia" w:ascii="宋体" w:hAnsi="宋体"/>
          <w:highlight w:val="none"/>
          <w:lang w:bidi="ar"/>
        </w:rPr>
        <w:t>“</w:t>
      </w:r>
      <w:r>
        <w:rPr>
          <w:rFonts w:hint="eastAsia" w:ascii="宋体" w:hAnsi="宋体" w:cs="宋体"/>
          <w:highlight w:val="none"/>
          <w:lang w:bidi="ar"/>
        </w:rPr>
        <w:t>公章</w:t>
      </w:r>
      <w:r>
        <w:rPr>
          <w:rFonts w:hint="eastAsia" w:ascii="宋体" w:hAnsi="宋体"/>
          <w:highlight w:val="none"/>
          <w:lang w:bidi="ar"/>
        </w:rPr>
        <w:t>”</w:t>
      </w:r>
      <w:r>
        <w:rPr>
          <w:rFonts w:hint="eastAsia" w:ascii="宋体" w:hAnsi="宋体" w:cs="宋体"/>
          <w:highlight w:val="none"/>
          <w:lang w:bidi="ar"/>
        </w:rPr>
        <w:t>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w:t>
      </w:r>
    </w:p>
    <w:p>
      <w:pPr>
        <w:widowControl/>
        <w:spacing w:line="360" w:lineRule="auto"/>
        <w:ind w:firstLine="420" w:firstLineChars="200"/>
        <w:jc w:val="left"/>
        <w:rPr>
          <w:rFonts w:ascii="宋体" w:hAnsi="宋体"/>
          <w:szCs w:val="21"/>
          <w:highlight w:val="none"/>
        </w:rPr>
      </w:pPr>
      <w:r>
        <w:rPr>
          <w:rFonts w:ascii="宋体" w:hAnsi="宋体"/>
          <w:szCs w:val="21"/>
          <w:highlight w:val="none"/>
          <w:lang w:bidi="ar"/>
        </w:rPr>
        <w:t>1.2.5</w:t>
      </w:r>
      <w:r>
        <w:rPr>
          <w:rFonts w:hint="eastAsia" w:ascii="宋体" w:hAnsi="宋体"/>
          <w:szCs w:val="21"/>
          <w:highlight w:val="none"/>
          <w:lang w:bidi="ar"/>
        </w:rPr>
        <w:t>“</w:t>
      </w:r>
      <w:r>
        <w:rPr>
          <w:rFonts w:hint="eastAsia" w:ascii="宋体" w:hAnsi="宋体" w:cs="宋体"/>
          <w:szCs w:val="21"/>
          <w:highlight w:val="none"/>
          <w:lang w:bidi="ar"/>
        </w:rPr>
        <w:t>书面形式</w:t>
      </w:r>
      <w:r>
        <w:rPr>
          <w:rFonts w:hint="eastAsia" w:ascii="宋体" w:hAnsi="宋体"/>
          <w:szCs w:val="21"/>
          <w:highlight w:val="none"/>
          <w:lang w:bidi="ar"/>
        </w:rPr>
        <w:t>”</w:t>
      </w:r>
      <w:r>
        <w:rPr>
          <w:rFonts w:hint="eastAsia" w:ascii="宋体" w:hAnsi="宋体" w:cs="宋体"/>
          <w:szCs w:val="21"/>
          <w:highlight w:val="none"/>
          <w:lang w:bidi="ar"/>
        </w:rPr>
        <w:t>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w:t>
      </w:r>
    </w:p>
    <w:p>
      <w:pPr>
        <w:spacing w:line="360" w:lineRule="auto"/>
        <w:ind w:firstLine="420" w:firstLineChars="200"/>
        <w:rPr>
          <w:rFonts w:ascii="宋体" w:hAnsi="宋体"/>
          <w:szCs w:val="21"/>
          <w:highlight w:val="none"/>
        </w:rPr>
      </w:pPr>
      <w:r>
        <w:rPr>
          <w:rFonts w:ascii="宋体" w:hAnsi="宋体"/>
          <w:szCs w:val="21"/>
          <w:highlight w:val="none"/>
          <w:lang w:bidi="ar"/>
        </w:rPr>
        <w:t>1.2.6</w:t>
      </w:r>
      <w:r>
        <w:rPr>
          <w:rFonts w:hint="eastAsia" w:ascii="宋体" w:hAnsi="宋体" w:cs="宋体"/>
          <w:szCs w:val="21"/>
          <w:highlight w:val="none"/>
          <w:lang w:bidi="ar"/>
        </w:rPr>
        <w:t>本项目的技术商务要求重要性分为</w:t>
      </w:r>
      <w:r>
        <w:rPr>
          <w:rFonts w:ascii="宋体" w:hAnsi="宋体"/>
          <w:szCs w:val="21"/>
          <w:highlight w:val="none"/>
          <w:lang w:bidi="ar"/>
        </w:rPr>
        <w:t>“▲”</w:t>
      </w:r>
      <w:r>
        <w:rPr>
          <w:rFonts w:hint="eastAsia" w:ascii="宋体" w:hAnsi="宋体" w:cs="宋体"/>
          <w:szCs w:val="21"/>
          <w:highlight w:val="none"/>
          <w:lang w:bidi="ar"/>
        </w:rPr>
        <w:t>（如有）、</w:t>
      </w:r>
      <w:r>
        <w:rPr>
          <w:rFonts w:ascii="宋体" w:hAnsi="宋体"/>
          <w:szCs w:val="21"/>
          <w:highlight w:val="none"/>
          <w:lang w:bidi="ar"/>
        </w:rPr>
        <w:t>“#”</w:t>
      </w:r>
      <w:r>
        <w:rPr>
          <w:rFonts w:hint="eastAsia" w:ascii="宋体" w:hAnsi="宋体" w:cs="宋体"/>
          <w:szCs w:val="21"/>
          <w:highlight w:val="none"/>
          <w:lang w:bidi="ar"/>
        </w:rPr>
        <w:t>（如有）和一般无标识指标。</w:t>
      </w:r>
      <w:r>
        <w:rPr>
          <w:rFonts w:ascii="宋体" w:hAnsi="宋体"/>
          <w:szCs w:val="21"/>
          <w:highlight w:val="none"/>
          <w:lang w:bidi="ar"/>
        </w:rPr>
        <w:t>▲</w:t>
      </w:r>
      <w:r>
        <w:rPr>
          <w:rFonts w:hint="eastAsia" w:ascii="宋体" w:hAnsi="宋体" w:cs="宋体"/>
          <w:szCs w:val="21"/>
          <w:highlight w:val="none"/>
          <w:lang w:bidi="ar"/>
        </w:rPr>
        <w:t>代表实质性要求指标，</w:t>
      </w:r>
      <w:r>
        <w:rPr>
          <w:rFonts w:hint="eastAsia" w:ascii="宋体" w:hAnsi="宋体" w:cs="宋体"/>
          <w:b/>
          <w:bCs/>
          <w:szCs w:val="21"/>
          <w:highlight w:val="none"/>
          <w:lang w:bidi="ar"/>
        </w:rPr>
        <w:t>不满足该指标项将导致投标被否决</w:t>
      </w:r>
      <w:r>
        <w:rPr>
          <w:rFonts w:hint="eastAsia" w:ascii="宋体" w:hAnsi="宋体" w:cs="宋体"/>
          <w:szCs w:val="21"/>
          <w:highlight w:val="none"/>
          <w:lang w:bidi="ar"/>
        </w:rPr>
        <w:t>，</w:t>
      </w:r>
      <w:r>
        <w:rPr>
          <w:rFonts w:ascii="宋体" w:hAnsi="宋体"/>
          <w:szCs w:val="21"/>
          <w:highlight w:val="none"/>
          <w:lang w:bidi="ar"/>
        </w:rPr>
        <w:t>#</w:t>
      </w:r>
      <w:r>
        <w:rPr>
          <w:rFonts w:hint="eastAsia" w:ascii="宋体" w:hAnsi="宋体" w:cs="宋体"/>
          <w:szCs w:val="21"/>
          <w:highlight w:val="none"/>
          <w:lang w:bidi="ar"/>
        </w:rPr>
        <w:t>代表重要指标，无标识则表示一般指标项。</w:t>
      </w:r>
    </w:p>
    <w:p>
      <w:pPr>
        <w:spacing w:line="360" w:lineRule="auto"/>
        <w:ind w:firstLine="420" w:firstLineChars="200"/>
        <w:rPr>
          <w:rFonts w:ascii="宋体" w:hAnsi="宋体"/>
          <w:szCs w:val="21"/>
          <w:highlight w:val="none"/>
        </w:rPr>
      </w:pPr>
      <w:r>
        <w:rPr>
          <w:rFonts w:ascii="宋体" w:hAnsi="宋体"/>
          <w:szCs w:val="21"/>
          <w:highlight w:val="none"/>
          <w:lang w:bidi="ar"/>
        </w:rPr>
        <w:t xml:space="preserve">1.2.7 </w:t>
      </w:r>
      <w:r>
        <w:rPr>
          <w:rFonts w:hint="eastAsia" w:ascii="宋体" w:hAnsi="宋体" w:cs="宋体"/>
          <w:szCs w:val="21"/>
          <w:highlight w:val="none"/>
          <w:lang w:bidi="ar"/>
        </w:rPr>
        <w:t>本招标文件出现多种选项的条款，以</w:t>
      </w:r>
      <w:r>
        <w:rPr>
          <w:rFonts w:ascii="宋体" w:hAnsi="宋体"/>
          <w:szCs w:val="21"/>
          <w:highlight w:val="none"/>
          <w:lang w:bidi="ar"/>
        </w:rPr>
        <w:t>“</w:t>
      </w:r>
      <w:r>
        <w:rPr>
          <w:rFonts w:ascii="宋体" w:hAnsi="宋体" w:cs="Wingdings 2"/>
          <w:highlight w:val="none"/>
          <w:lang w:bidi="ar"/>
        </w:rPr>
        <w:sym w:font="Wingdings 2" w:char="0052"/>
      </w:r>
      <w:r>
        <w:rPr>
          <w:rFonts w:ascii="宋体" w:hAnsi="宋体"/>
          <w:szCs w:val="21"/>
          <w:highlight w:val="none"/>
          <w:lang w:bidi="ar"/>
        </w:rPr>
        <w:t>”</w:t>
      </w:r>
      <w:r>
        <w:rPr>
          <w:rFonts w:hint="eastAsia" w:ascii="宋体" w:hAnsi="宋体" w:cs="宋体"/>
          <w:szCs w:val="21"/>
          <w:highlight w:val="none"/>
          <w:lang w:bidi="ar"/>
        </w:rPr>
        <w:t>表示本条款所选择的方式。</w:t>
      </w:r>
    </w:p>
    <w:p>
      <w:pPr>
        <w:spacing w:line="360" w:lineRule="auto"/>
        <w:ind w:firstLine="420" w:firstLineChars="200"/>
        <w:rPr>
          <w:rFonts w:ascii="宋体" w:hAnsi="宋体"/>
          <w:szCs w:val="21"/>
          <w:highlight w:val="none"/>
        </w:rPr>
      </w:pPr>
      <w:r>
        <w:rPr>
          <w:rFonts w:ascii="宋体" w:hAnsi="宋体"/>
          <w:szCs w:val="21"/>
          <w:highlight w:val="none"/>
          <w:lang w:bidi="ar"/>
        </w:rPr>
        <w:t>1.2.8 “</w:t>
      </w:r>
      <w:r>
        <w:rPr>
          <w:rFonts w:hint="eastAsia" w:ascii="宋体" w:hAnsi="宋体" w:cs="宋体"/>
          <w:szCs w:val="21"/>
          <w:highlight w:val="none"/>
          <w:lang w:bidi="ar"/>
        </w:rPr>
        <w:t>电子交易平台</w:t>
      </w:r>
      <w:r>
        <w:rPr>
          <w:rFonts w:ascii="宋体" w:hAnsi="宋体"/>
          <w:szCs w:val="21"/>
          <w:highlight w:val="none"/>
          <w:lang w:bidi="ar"/>
        </w:rPr>
        <w:t>”</w:t>
      </w:r>
      <w:r>
        <w:rPr>
          <w:rFonts w:hint="eastAsia" w:ascii="宋体" w:hAnsi="宋体" w:cs="宋体"/>
          <w:szCs w:val="21"/>
          <w:highlight w:val="none"/>
          <w:lang w:bidi="ar"/>
        </w:rPr>
        <w:t>是指以数据电文形式在线完成采购活动的信息平台，本招标文件中也称</w:t>
      </w:r>
      <w:r>
        <w:rPr>
          <w:rFonts w:ascii="宋体" w:hAnsi="宋体"/>
          <w:szCs w:val="21"/>
          <w:highlight w:val="none"/>
          <w:lang w:bidi="ar"/>
        </w:rPr>
        <w:t>“</w:t>
      </w:r>
      <w:r>
        <w:rPr>
          <w:rFonts w:hint="eastAsia" w:ascii="宋体" w:hAnsi="宋体" w:cs="宋体"/>
          <w:szCs w:val="21"/>
          <w:highlight w:val="none"/>
          <w:lang w:bidi="ar"/>
        </w:rPr>
        <w:t>广西政府采购云平台</w:t>
      </w:r>
      <w:r>
        <w:rPr>
          <w:rFonts w:ascii="宋体" w:hAnsi="宋体"/>
          <w:szCs w:val="21"/>
          <w:highlight w:val="none"/>
          <w:lang w:bidi="ar"/>
        </w:rPr>
        <w:t>”</w:t>
      </w:r>
      <w:r>
        <w:rPr>
          <w:rFonts w:hint="eastAsia" w:ascii="宋体" w:hAnsi="宋体" w:cs="宋体"/>
          <w:szCs w:val="21"/>
          <w:highlight w:val="none"/>
          <w:lang w:bidi="ar"/>
        </w:rPr>
        <w:t>。</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1.3</w:t>
      </w:r>
      <w:r>
        <w:rPr>
          <w:rFonts w:hint="eastAsia" w:ascii="宋体" w:hAnsi="宋体"/>
          <w:b/>
          <w:bCs/>
          <w:kern w:val="0"/>
          <w:szCs w:val="21"/>
          <w:highlight w:val="none"/>
          <w:lang w:bidi="ar"/>
        </w:rPr>
        <w:t>项目信息</w:t>
      </w:r>
    </w:p>
    <w:p>
      <w:pPr>
        <w:spacing w:line="360" w:lineRule="auto"/>
        <w:ind w:firstLine="420" w:firstLineChars="200"/>
        <w:rPr>
          <w:rFonts w:ascii="宋体" w:hAnsi="宋体"/>
          <w:szCs w:val="21"/>
          <w:highlight w:val="none"/>
        </w:rPr>
      </w:pPr>
      <w:r>
        <w:rPr>
          <w:rFonts w:ascii="宋体" w:hAnsi="宋体"/>
          <w:szCs w:val="21"/>
          <w:highlight w:val="none"/>
          <w:lang w:bidi="ar"/>
        </w:rPr>
        <w:t>1.3.1</w:t>
      </w:r>
      <w:r>
        <w:rPr>
          <w:rFonts w:hint="eastAsia" w:ascii="宋体" w:hAnsi="宋体" w:cs="宋体"/>
          <w:szCs w:val="21"/>
          <w:highlight w:val="none"/>
          <w:lang w:bidi="ar"/>
        </w:rPr>
        <w:t>项目名称及编号：详见供应商须知前附表</w:t>
      </w:r>
    </w:p>
    <w:p>
      <w:pPr>
        <w:spacing w:line="360" w:lineRule="auto"/>
        <w:ind w:firstLine="420" w:firstLineChars="200"/>
        <w:rPr>
          <w:rFonts w:ascii="宋体" w:hAnsi="宋体"/>
          <w:szCs w:val="21"/>
          <w:highlight w:val="none"/>
        </w:rPr>
      </w:pPr>
      <w:r>
        <w:rPr>
          <w:rFonts w:ascii="宋体" w:hAnsi="宋体"/>
          <w:szCs w:val="21"/>
          <w:highlight w:val="none"/>
          <w:lang w:bidi="ar"/>
        </w:rPr>
        <w:t>1.3.2</w:t>
      </w:r>
      <w:r>
        <w:rPr>
          <w:rFonts w:hint="eastAsia" w:ascii="宋体" w:hAnsi="宋体" w:cs="宋体"/>
          <w:szCs w:val="21"/>
          <w:highlight w:val="none"/>
          <w:lang w:bidi="ar"/>
        </w:rPr>
        <w:t>采购方式：详见供应商须知前附表</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1.4</w:t>
      </w:r>
      <w:r>
        <w:rPr>
          <w:rFonts w:hint="eastAsia" w:ascii="宋体" w:hAnsi="宋体"/>
          <w:b/>
          <w:bCs/>
          <w:kern w:val="0"/>
          <w:szCs w:val="21"/>
          <w:highlight w:val="none"/>
          <w:lang w:bidi="ar"/>
        </w:rPr>
        <w:t>供应商资格要求</w:t>
      </w:r>
    </w:p>
    <w:p>
      <w:pPr>
        <w:spacing w:line="360" w:lineRule="auto"/>
        <w:ind w:firstLine="420" w:firstLineChars="200"/>
        <w:rPr>
          <w:rFonts w:ascii="宋体" w:hAnsi="宋体"/>
          <w:szCs w:val="21"/>
          <w:highlight w:val="none"/>
        </w:rPr>
      </w:pPr>
      <w:r>
        <w:rPr>
          <w:rFonts w:ascii="宋体" w:hAnsi="宋体"/>
          <w:szCs w:val="21"/>
          <w:highlight w:val="none"/>
          <w:lang w:bidi="ar"/>
        </w:rPr>
        <w:t>1.4.1</w:t>
      </w:r>
      <w:r>
        <w:rPr>
          <w:rFonts w:hint="eastAsia" w:ascii="宋体" w:hAnsi="宋体" w:cs="宋体"/>
          <w:szCs w:val="21"/>
          <w:highlight w:val="none"/>
          <w:lang w:bidi="ar"/>
        </w:rPr>
        <w:t>供应商资格要求：详见供应商须知前附表</w:t>
      </w:r>
    </w:p>
    <w:p>
      <w:pPr>
        <w:spacing w:line="360" w:lineRule="auto"/>
        <w:ind w:firstLine="420" w:firstLineChars="200"/>
        <w:rPr>
          <w:rFonts w:ascii="宋体" w:hAnsi="宋体"/>
          <w:szCs w:val="21"/>
          <w:highlight w:val="none"/>
        </w:rPr>
      </w:pPr>
      <w:r>
        <w:rPr>
          <w:rFonts w:ascii="宋体" w:hAnsi="宋体"/>
          <w:szCs w:val="21"/>
          <w:highlight w:val="none"/>
          <w:lang w:bidi="ar"/>
        </w:rPr>
        <w:t>1.4.2</w:t>
      </w:r>
      <w:r>
        <w:rPr>
          <w:rFonts w:hint="eastAsia" w:ascii="宋体" w:hAnsi="宋体" w:cs="宋体"/>
          <w:szCs w:val="21"/>
          <w:highlight w:val="none"/>
          <w:lang w:bidi="ar"/>
        </w:rPr>
        <w:t>按照招标公告的规定获得招标文件。</w:t>
      </w:r>
    </w:p>
    <w:p>
      <w:pPr>
        <w:spacing w:line="360" w:lineRule="auto"/>
        <w:ind w:firstLine="420" w:firstLineChars="200"/>
        <w:rPr>
          <w:rFonts w:ascii="宋体" w:hAnsi="宋体"/>
          <w:szCs w:val="21"/>
          <w:highlight w:val="none"/>
        </w:rPr>
      </w:pPr>
      <w:r>
        <w:rPr>
          <w:rFonts w:ascii="宋体" w:hAnsi="宋体"/>
          <w:szCs w:val="21"/>
          <w:highlight w:val="none"/>
          <w:lang w:bidi="ar"/>
        </w:rPr>
        <w:t>1.4.3</w:t>
      </w:r>
      <w:r>
        <w:rPr>
          <w:rFonts w:hint="eastAsia" w:ascii="宋体" w:hAnsi="宋体" w:cs="宋体"/>
          <w:szCs w:val="21"/>
          <w:highlight w:val="none"/>
          <w:lang w:bidi="ar"/>
        </w:rPr>
        <w:t>本项目是否接受联合体投标，见</w:t>
      </w:r>
      <w:r>
        <w:rPr>
          <w:rFonts w:ascii="宋体" w:hAnsi="宋体"/>
          <w:szCs w:val="21"/>
          <w:highlight w:val="none"/>
          <w:lang w:bidi="ar"/>
        </w:rPr>
        <w:t>“</w:t>
      </w:r>
      <w:r>
        <w:rPr>
          <w:rFonts w:hint="eastAsia" w:ascii="宋体" w:hAnsi="宋体" w:cs="宋体"/>
          <w:szCs w:val="21"/>
          <w:highlight w:val="none"/>
          <w:lang w:bidi="ar"/>
        </w:rPr>
        <w:t>供应商须知前附表</w:t>
      </w:r>
      <w:r>
        <w:rPr>
          <w:rFonts w:ascii="宋体" w:hAnsi="宋体"/>
          <w:szCs w:val="21"/>
          <w:highlight w:val="none"/>
          <w:lang w:bidi="ar"/>
        </w:rPr>
        <w:t>”</w:t>
      </w:r>
      <w:r>
        <w:rPr>
          <w:rFonts w:hint="eastAsia" w:ascii="宋体" w:hAnsi="宋体" w:cs="宋体"/>
          <w:szCs w:val="21"/>
          <w:highlight w:val="none"/>
          <w:lang w:bidi="ar"/>
        </w:rPr>
        <w:t>规定。</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如接受联合体投标，联合体投标要求如下：</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）供应商可以组成一个投标联合体，以一个供应商的身份共同参加投标。联合体投标的，须提供《联合体协议书》（格式后附）</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3</w:t>
      </w:r>
      <w:r>
        <w:rPr>
          <w:rFonts w:hint="eastAsia" w:ascii="宋体" w:hAnsi="宋体" w:cs="宋体"/>
          <w:szCs w:val="21"/>
          <w:highlight w:val="none"/>
          <w:lang w:bidi="ar"/>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4</w:t>
      </w:r>
      <w:r>
        <w:rPr>
          <w:rFonts w:hint="eastAsia" w:ascii="宋体" w:hAnsi="宋体" w:cs="宋体"/>
          <w:szCs w:val="21"/>
          <w:highlight w:val="none"/>
          <w:lang w:bidi="ar"/>
        </w:rPr>
        <w:t>）以联合体形式参加政府采购活动的，联合体各方不得再单独参加或者与其他供应商另外组成联合体参加同一合同项下的政府采购活动。</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5</w:t>
      </w:r>
      <w:r>
        <w:rPr>
          <w:rFonts w:hint="eastAsia" w:ascii="宋体" w:hAnsi="宋体" w:cs="宋体"/>
          <w:szCs w:val="21"/>
          <w:highlight w:val="none"/>
          <w:lang w:bidi="ar"/>
        </w:rPr>
        <w:t>）联合体中有同类资质的供应商按照联合体分工承担相同工作的，应当按照资质等级较低的供应商确定资质等级。</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6</w:t>
      </w:r>
      <w:r>
        <w:rPr>
          <w:rFonts w:hint="eastAsia" w:ascii="宋体" w:hAnsi="宋体" w:cs="宋体"/>
          <w:szCs w:val="21"/>
          <w:highlight w:val="none"/>
          <w:lang w:bidi="ar"/>
        </w:rPr>
        <w:t>）联合体投标业绩、履约能力按照联合体各方其中较高的一方认定并计算（招标文件其他章节另有规定的除外）。</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7</w:t>
      </w:r>
      <w:r>
        <w:rPr>
          <w:rFonts w:hint="eastAsia" w:ascii="宋体" w:hAnsi="宋体" w:cs="宋体"/>
          <w:szCs w:val="21"/>
          <w:highlight w:val="none"/>
          <w:lang w:bidi="ar"/>
        </w:rPr>
        <w:t>）供应商为联合体的，可以由联合体中的一方或者多方共同交纳投标保证金，其交纳的保证金对联合体各方均具有约束力。</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8</w:t>
      </w:r>
      <w:r>
        <w:rPr>
          <w:rFonts w:hint="eastAsia" w:ascii="宋体" w:hAnsi="宋体" w:cs="宋体"/>
          <w:szCs w:val="21"/>
          <w:highlight w:val="none"/>
          <w:lang w:bidi="ar"/>
        </w:rPr>
        <w:t>）联合体各方均应按照招标文件的规定提交资格证明文件。</w:t>
      </w:r>
    </w:p>
    <w:p>
      <w:pPr>
        <w:spacing w:line="360" w:lineRule="auto"/>
        <w:ind w:firstLine="422" w:firstLineChars="200"/>
        <w:outlineLvl w:val="3"/>
        <w:rPr>
          <w:rFonts w:ascii="宋体" w:hAnsi="宋体"/>
          <w:b/>
          <w:bCs/>
          <w:kern w:val="0"/>
          <w:szCs w:val="21"/>
          <w:highlight w:val="none"/>
          <w:lang w:bidi="ar"/>
        </w:rPr>
      </w:pPr>
      <w:bookmarkStart w:id="93" w:name="_Toc254970531"/>
      <w:bookmarkStart w:id="94" w:name="_Toc254970672"/>
      <w:r>
        <w:rPr>
          <w:rFonts w:ascii="宋体" w:hAnsi="宋体"/>
          <w:b/>
          <w:bCs/>
          <w:kern w:val="0"/>
          <w:szCs w:val="21"/>
          <w:highlight w:val="none"/>
          <w:lang w:bidi="ar"/>
        </w:rPr>
        <w:t>1.5</w:t>
      </w:r>
      <w:r>
        <w:rPr>
          <w:rFonts w:hint="eastAsia" w:ascii="宋体" w:hAnsi="宋体"/>
          <w:b/>
          <w:bCs/>
          <w:kern w:val="0"/>
          <w:szCs w:val="21"/>
          <w:highlight w:val="none"/>
          <w:lang w:bidi="ar"/>
        </w:rPr>
        <w:t>现场踏勘及投标费用</w:t>
      </w:r>
      <w:bookmarkEnd w:id="93"/>
      <w:bookmarkEnd w:id="94"/>
    </w:p>
    <w:p>
      <w:pPr>
        <w:spacing w:line="360" w:lineRule="auto"/>
        <w:ind w:firstLine="420" w:firstLineChars="200"/>
        <w:rPr>
          <w:rFonts w:ascii="宋体" w:hAnsi="宋体"/>
          <w:szCs w:val="21"/>
          <w:highlight w:val="none"/>
        </w:rPr>
      </w:pPr>
      <w:r>
        <w:rPr>
          <w:rFonts w:ascii="宋体" w:hAnsi="宋体"/>
          <w:szCs w:val="21"/>
          <w:highlight w:val="none"/>
          <w:lang w:bidi="ar"/>
        </w:rPr>
        <w:t>1.5.1</w:t>
      </w:r>
      <w:r>
        <w:rPr>
          <w:rFonts w:hint="eastAsia" w:ascii="宋体" w:hAnsi="宋体" w:cs="宋体"/>
          <w:szCs w:val="21"/>
          <w:highlight w:val="none"/>
          <w:lang w:bidi="ar"/>
        </w:rPr>
        <w:t>前附表如规定现场踏勘的，供应商应按规定时间地点参加踏勘。</w:t>
      </w:r>
    </w:p>
    <w:p>
      <w:pPr>
        <w:spacing w:line="360" w:lineRule="auto"/>
        <w:ind w:firstLine="420" w:firstLineChars="200"/>
        <w:rPr>
          <w:rFonts w:ascii="宋体" w:hAnsi="宋体"/>
          <w:szCs w:val="21"/>
          <w:highlight w:val="none"/>
        </w:rPr>
      </w:pPr>
      <w:r>
        <w:rPr>
          <w:rFonts w:ascii="宋体" w:hAnsi="宋体"/>
          <w:szCs w:val="21"/>
          <w:highlight w:val="none"/>
          <w:lang w:bidi="ar"/>
        </w:rPr>
        <w:t>1.5.2</w:t>
      </w:r>
      <w:r>
        <w:rPr>
          <w:rFonts w:hint="eastAsia" w:ascii="宋体" w:hAnsi="宋体" w:cs="宋体"/>
          <w:szCs w:val="21"/>
          <w:highlight w:val="none"/>
          <w:lang w:bidi="ar"/>
        </w:rPr>
        <w:t>供应商均应自行承担所有与投标有关的全部费用（招标文件有相关的规定除外）。</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1.6</w:t>
      </w:r>
      <w:r>
        <w:rPr>
          <w:rFonts w:hint="eastAsia" w:ascii="宋体" w:hAnsi="宋体"/>
          <w:b/>
          <w:bCs/>
          <w:kern w:val="0"/>
          <w:szCs w:val="21"/>
          <w:highlight w:val="none"/>
          <w:lang w:bidi="ar"/>
        </w:rPr>
        <w:t>转包与分包</w:t>
      </w:r>
    </w:p>
    <w:p>
      <w:pPr>
        <w:spacing w:line="360" w:lineRule="auto"/>
        <w:ind w:firstLine="420" w:firstLineChars="200"/>
        <w:rPr>
          <w:rFonts w:ascii="宋体" w:hAnsi="宋体"/>
          <w:szCs w:val="21"/>
          <w:highlight w:val="none"/>
        </w:rPr>
      </w:pPr>
      <w:r>
        <w:rPr>
          <w:rFonts w:ascii="宋体" w:hAnsi="宋体"/>
          <w:szCs w:val="21"/>
          <w:highlight w:val="none"/>
          <w:lang w:bidi="ar"/>
        </w:rPr>
        <w:t>1.6.1</w:t>
      </w:r>
      <w:r>
        <w:rPr>
          <w:rFonts w:hint="eastAsia" w:ascii="宋体" w:hAnsi="宋体" w:cs="宋体"/>
          <w:szCs w:val="21"/>
          <w:highlight w:val="none"/>
          <w:lang w:bidi="ar"/>
        </w:rPr>
        <w:t>如招标文件其他地方无特别规定，本项目不允许转包。</w:t>
      </w:r>
    </w:p>
    <w:p>
      <w:pPr>
        <w:spacing w:line="360" w:lineRule="auto"/>
        <w:ind w:firstLine="420" w:firstLineChars="200"/>
        <w:rPr>
          <w:rFonts w:ascii="宋体" w:hAnsi="宋体"/>
          <w:szCs w:val="21"/>
          <w:highlight w:val="none"/>
        </w:rPr>
      </w:pPr>
      <w:r>
        <w:rPr>
          <w:rFonts w:ascii="宋体" w:hAnsi="宋体"/>
          <w:szCs w:val="21"/>
          <w:highlight w:val="none"/>
          <w:lang w:bidi="ar"/>
        </w:rPr>
        <w:t>1.6.2</w:t>
      </w:r>
      <w:r>
        <w:rPr>
          <w:rFonts w:hint="eastAsia" w:ascii="宋体" w:hAnsi="宋体" w:cs="宋体"/>
          <w:szCs w:val="21"/>
          <w:highlight w:val="none"/>
          <w:lang w:bidi="ar"/>
        </w:rPr>
        <w:t>本项目是否允许分包详见</w:t>
      </w:r>
      <w:r>
        <w:rPr>
          <w:rFonts w:ascii="宋体" w:hAnsi="宋体"/>
          <w:szCs w:val="21"/>
          <w:highlight w:val="none"/>
          <w:lang w:bidi="ar"/>
        </w:rPr>
        <w:t>“</w:t>
      </w:r>
      <w:r>
        <w:rPr>
          <w:rFonts w:hint="eastAsia" w:ascii="宋体" w:hAnsi="宋体" w:cs="宋体"/>
          <w:szCs w:val="21"/>
          <w:highlight w:val="none"/>
          <w:lang w:bidi="ar"/>
        </w:rPr>
        <w:t>供应商须知前附表</w:t>
      </w:r>
      <w:r>
        <w:rPr>
          <w:rFonts w:ascii="宋体" w:hAnsi="宋体"/>
          <w:szCs w:val="21"/>
          <w:highlight w:val="none"/>
          <w:lang w:bidi="ar"/>
        </w:rPr>
        <w:t>”</w:t>
      </w:r>
      <w:r>
        <w:rPr>
          <w:rFonts w:hint="eastAsia" w:ascii="宋体" w:hAnsi="宋体" w:cs="宋体"/>
          <w:szCs w:val="21"/>
          <w:highlight w:val="none"/>
          <w:lang w:bidi="ar"/>
        </w:rPr>
        <w:t>，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2" w:firstLineChars="200"/>
        <w:outlineLvl w:val="3"/>
        <w:rPr>
          <w:rFonts w:ascii="宋体" w:hAnsi="宋体"/>
          <w:b/>
          <w:bCs/>
          <w:kern w:val="0"/>
          <w:szCs w:val="21"/>
          <w:highlight w:val="none"/>
          <w:lang w:bidi="ar"/>
        </w:rPr>
      </w:pPr>
      <w:bookmarkStart w:id="95" w:name="_Toc254970673"/>
      <w:bookmarkStart w:id="96" w:name="_Toc254970532"/>
      <w:r>
        <w:rPr>
          <w:rFonts w:ascii="宋体" w:hAnsi="宋体"/>
          <w:b/>
          <w:bCs/>
          <w:kern w:val="0"/>
          <w:szCs w:val="21"/>
          <w:highlight w:val="none"/>
          <w:lang w:bidi="ar"/>
        </w:rPr>
        <w:t>1.7</w:t>
      </w:r>
      <w:r>
        <w:rPr>
          <w:rFonts w:hint="eastAsia" w:ascii="宋体" w:hAnsi="宋体"/>
          <w:b/>
          <w:bCs/>
          <w:kern w:val="0"/>
          <w:szCs w:val="21"/>
          <w:highlight w:val="none"/>
          <w:lang w:bidi="ar"/>
        </w:rPr>
        <w:t>特别说明</w:t>
      </w:r>
      <w:bookmarkEnd w:id="95"/>
      <w:bookmarkEnd w:id="96"/>
    </w:p>
    <w:p>
      <w:pPr>
        <w:spacing w:line="360" w:lineRule="auto"/>
        <w:ind w:firstLine="420" w:firstLineChars="200"/>
        <w:rPr>
          <w:rFonts w:ascii="宋体" w:hAnsi="宋体"/>
          <w:szCs w:val="21"/>
          <w:highlight w:val="none"/>
        </w:rPr>
      </w:pPr>
      <w:r>
        <w:rPr>
          <w:rFonts w:ascii="宋体" w:hAnsi="宋体"/>
          <w:szCs w:val="21"/>
          <w:highlight w:val="none"/>
          <w:lang w:bidi="ar"/>
        </w:rPr>
        <w:t xml:space="preserve">1.7.1 </w:t>
      </w:r>
      <w:r>
        <w:rPr>
          <w:rFonts w:hint="eastAsia" w:ascii="宋体" w:hAnsi="宋体" w:cs="宋体"/>
          <w:szCs w:val="21"/>
          <w:highlight w:val="none"/>
          <w:lang w:bidi="ar"/>
        </w:rPr>
        <w:t>供应商应保证其提供的联系方式（电话、传真、电子邮件）有效，以保证往来函件（澄清、修改等）能及时通知供应商，并能及时反馈，否则采购人及代理机构不承担由此引起的一切后果。</w:t>
      </w:r>
    </w:p>
    <w:p>
      <w:pPr>
        <w:spacing w:line="360" w:lineRule="auto"/>
        <w:ind w:firstLine="420" w:firstLineChars="200"/>
        <w:rPr>
          <w:rFonts w:ascii="宋体" w:hAnsi="宋体"/>
          <w:szCs w:val="21"/>
          <w:highlight w:val="none"/>
        </w:rPr>
      </w:pPr>
      <w:r>
        <w:rPr>
          <w:rFonts w:ascii="宋体" w:hAnsi="宋体"/>
          <w:szCs w:val="21"/>
          <w:highlight w:val="none"/>
          <w:lang w:bidi="ar"/>
        </w:rPr>
        <w:t>1.7.2</w:t>
      </w:r>
      <w:r>
        <w:rPr>
          <w:rFonts w:hint="eastAsia" w:ascii="宋体" w:hAnsi="宋体" w:cs="宋体"/>
          <w:szCs w:val="21"/>
          <w:highlight w:val="none"/>
          <w:lang w:bidi="ar"/>
        </w:rPr>
        <w:t>供应商应仔细阅读招标文件的所有内容，按照招标文件的要求提交投标文件，并对所提供的全部资料的真实性承担法律责任。</w:t>
      </w:r>
    </w:p>
    <w:p>
      <w:pPr>
        <w:spacing w:line="360" w:lineRule="auto"/>
        <w:ind w:firstLine="420" w:firstLineChars="200"/>
        <w:rPr>
          <w:rFonts w:ascii="宋体" w:hAnsi="宋体"/>
          <w:szCs w:val="21"/>
          <w:highlight w:val="none"/>
        </w:rPr>
      </w:pPr>
      <w:r>
        <w:rPr>
          <w:rFonts w:ascii="宋体" w:hAnsi="宋体"/>
          <w:szCs w:val="21"/>
          <w:highlight w:val="none"/>
          <w:lang w:bidi="ar"/>
        </w:rPr>
        <w:t>1.7.3</w:t>
      </w:r>
      <w:r>
        <w:rPr>
          <w:rFonts w:hint="eastAsia" w:ascii="宋体" w:hAnsi="宋体" w:cs="宋体"/>
          <w:szCs w:val="21"/>
          <w:highlight w:val="none"/>
          <w:lang w:bidi="ar"/>
        </w:rPr>
        <w:t>供应商在投标活动中提供任何虚假材料，将报监管部门查处。</w:t>
      </w:r>
    </w:p>
    <w:p>
      <w:pPr>
        <w:spacing w:line="360" w:lineRule="auto"/>
        <w:ind w:firstLine="422" w:firstLineChars="200"/>
        <w:outlineLvl w:val="2"/>
        <w:rPr>
          <w:rFonts w:ascii="宋体" w:hAnsi="宋体"/>
          <w:b/>
          <w:bCs/>
          <w:kern w:val="0"/>
          <w:szCs w:val="21"/>
          <w:highlight w:val="none"/>
        </w:rPr>
      </w:pPr>
      <w:bookmarkStart w:id="97" w:name="_Toc254970534"/>
      <w:bookmarkStart w:id="98" w:name="_Toc254970675"/>
      <w:r>
        <w:rPr>
          <w:rFonts w:ascii="宋体" w:hAnsi="宋体"/>
          <w:b/>
          <w:bCs/>
          <w:kern w:val="0"/>
          <w:szCs w:val="21"/>
          <w:highlight w:val="none"/>
          <w:lang w:bidi="ar"/>
        </w:rPr>
        <w:t>2</w:t>
      </w:r>
      <w:r>
        <w:rPr>
          <w:rFonts w:hint="eastAsia" w:ascii="宋体" w:hAnsi="宋体" w:cs="宋体"/>
          <w:b/>
          <w:bCs/>
          <w:kern w:val="0"/>
          <w:szCs w:val="21"/>
          <w:highlight w:val="none"/>
          <w:lang w:bidi="ar"/>
        </w:rPr>
        <w:t>．招标文件</w:t>
      </w:r>
      <w:bookmarkEnd w:id="97"/>
      <w:bookmarkEnd w:id="98"/>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2.1</w:t>
      </w:r>
      <w:r>
        <w:rPr>
          <w:rFonts w:hint="eastAsia" w:ascii="宋体" w:hAnsi="宋体"/>
          <w:b/>
          <w:bCs/>
          <w:kern w:val="0"/>
          <w:szCs w:val="21"/>
          <w:highlight w:val="none"/>
          <w:lang w:bidi="ar"/>
        </w:rPr>
        <w:t>招标文件的构成</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第一章</w:t>
      </w:r>
      <w:r>
        <w:rPr>
          <w:rFonts w:ascii="宋体" w:hAnsi="宋体"/>
          <w:szCs w:val="21"/>
          <w:highlight w:val="none"/>
          <w:lang w:bidi="ar"/>
        </w:rPr>
        <w:t xml:space="preserve"> </w:t>
      </w:r>
      <w:r>
        <w:rPr>
          <w:rFonts w:hint="eastAsia" w:ascii="宋体" w:hAnsi="宋体" w:cs="宋体"/>
          <w:szCs w:val="21"/>
          <w:highlight w:val="none"/>
          <w:lang w:bidi="ar"/>
        </w:rPr>
        <w:t>招标公告</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第二章</w:t>
      </w:r>
      <w:r>
        <w:rPr>
          <w:rFonts w:ascii="宋体" w:hAnsi="宋体"/>
          <w:szCs w:val="21"/>
          <w:highlight w:val="none"/>
          <w:lang w:bidi="ar"/>
        </w:rPr>
        <w:t xml:space="preserve"> </w:t>
      </w:r>
      <w:r>
        <w:rPr>
          <w:rFonts w:hint="eastAsia" w:ascii="宋体" w:hAnsi="宋体" w:cs="宋体"/>
          <w:szCs w:val="21"/>
          <w:highlight w:val="none"/>
          <w:lang w:bidi="ar"/>
        </w:rPr>
        <w:t>采购需求</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第三章</w:t>
      </w:r>
      <w:r>
        <w:rPr>
          <w:rFonts w:ascii="宋体" w:hAnsi="宋体"/>
          <w:szCs w:val="21"/>
          <w:highlight w:val="none"/>
          <w:lang w:bidi="ar"/>
        </w:rPr>
        <w:t xml:space="preserve"> </w:t>
      </w:r>
      <w:r>
        <w:rPr>
          <w:rFonts w:hint="eastAsia" w:ascii="宋体" w:hAnsi="宋体" w:cs="宋体"/>
          <w:szCs w:val="21"/>
          <w:highlight w:val="none"/>
          <w:lang w:bidi="ar"/>
        </w:rPr>
        <w:t>供应商须知</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第四章</w:t>
      </w:r>
      <w:r>
        <w:rPr>
          <w:rFonts w:ascii="宋体" w:hAnsi="宋体"/>
          <w:szCs w:val="21"/>
          <w:highlight w:val="none"/>
          <w:lang w:bidi="ar"/>
        </w:rPr>
        <w:t xml:space="preserve"> </w:t>
      </w:r>
      <w:r>
        <w:rPr>
          <w:rFonts w:hint="eastAsia" w:ascii="宋体" w:hAnsi="宋体" w:cs="宋体"/>
          <w:szCs w:val="21"/>
          <w:highlight w:val="none"/>
          <w:lang w:bidi="ar"/>
        </w:rPr>
        <w:t>评审方法及标准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第五章</w:t>
      </w:r>
      <w:r>
        <w:rPr>
          <w:rFonts w:ascii="宋体" w:hAnsi="宋体"/>
          <w:szCs w:val="21"/>
          <w:highlight w:val="none"/>
          <w:lang w:bidi="ar"/>
        </w:rPr>
        <w:t xml:space="preserve"> </w:t>
      </w:r>
      <w:r>
        <w:rPr>
          <w:rFonts w:hint="eastAsia" w:ascii="宋体" w:hAnsi="宋体" w:cs="宋体"/>
          <w:szCs w:val="21"/>
          <w:highlight w:val="none"/>
          <w:lang w:bidi="ar"/>
        </w:rPr>
        <w:t>合同主要条款格式</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第六章</w:t>
      </w:r>
      <w:r>
        <w:rPr>
          <w:rFonts w:ascii="宋体" w:hAnsi="宋体"/>
          <w:szCs w:val="21"/>
          <w:highlight w:val="none"/>
          <w:lang w:bidi="ar"/>
        </w:rPr>
        <w:t xml:space="preserve"> </w:t>
      </w:r>
      <w:r>
        <w:rPr>
          <w:rFonts w:hint="eastAsia" w:ascii="宋体" w:hAnsi="宋体" w:cs="宋体"/>
          <w:szCs w:val="21"/>
          <w:highlight w:val="none"/>
          <w:lang w:bidi="ar"/>
        </w:rPr>
        <w:t>投标文件格式</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2.2</w:t>
      </w:r>
      <w:r>
        <w:rPr>
          <w:rFonts w:hint="eastAsia" w:ascii="宋体" w:hAnsi="宋体"/>
          <w:b/>
          <w:bCs/>
          <w:kern w:val="0"/>
          <w:szCs w:val="21"/>
          <w:highlight w:val="none"/>
          <w:lang w:bidi="ar"/>
        </w:rPr>
        <w:t>供应商的风险</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供应商没有按照招标文件要求提供全部资料，或者供应商没有对招标文件在各方面作出实质性响应是供应商的风险，并可能导致其投标被否决。</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2.3</w:t>
      </w:r>
      <w:r>
        <w:rPr>
          <w:rFonts w:hint="eastAsia" w:ascii="宋体" w:hAnsi="宋体"/>
          <w:b/>
          <w:bCs/>
          <w:kern w:val="0"/>
          <w:szCs w:val="21"/>
          <w:highlight w:val="none"/>
          <w:lang w:bidi="ar"/>
        </w:rPr>
        <w:t>招标文件的澄清与修改</w:t>
      </w:r>
    </w:p>
    <w:p>
      <w:pPr>
        <w:spacing w:line="360" w:lineRule="auto"/>
        <w:ind w:firstLine="420" w:firstLineChars="200"/>
        <w:rPr>
          <w:rFonts w:ascii="宋体" w:hAnsi="宋体"/>
          <w:szCs w:val="21"/>
          <w:highlight w:val="none"/>
        </w:rPr>
      </w:pPr>
      <w:r>
        <w:rPr>
          <w:rFonts w:ascii="宋体" w:hAnsi="宋体"/>
          <w:szCs w:val="21"/>
          <w:highlight w:val="none"/>
          <w:lang w:bidi="ar"/>
        </w:rPr>
        <w:t>2.3.1</w:t>
      </w:r>
      <w:r>
        <w:rPr>
          <w:rFonts w:hint="eastAsia" w:ascii="宋体" w:hAnsi="宋体" w:cs="宋体"/>
          <w:szCs w:val="21"/>
          <w:highlight w:val="none"/>
          <w:lang w:bidi="ar"/>
        </w:rPr>
        <w:t>任何已获得招标文件的潜在供应商，均可以书面形式要求采购代理机构作出书面解释、澄清。</w:t>
      </w:r>
    </w:p>
    <w:p>
      <w:pPr>
        <w:spacing w:line="360" w:lineRule="auto"/>
        <w:ind w:firstLine="420" w:firstLineChars="200"/>
        <w:rPr>
          <w:rFonts w:ascii="宋体" w:hAnsi="宋体"/>
          <w:szCs w:val="21"/>
          <w:highlight w:val="none"/>
        </w:rPr>
      </w:pPr>
      <w:r>
        <w:rPr>
          <w:rFonts w:ascii="宋体" w:hAnsi="宋体"/>
          <w:szCs w:val="21"/>
          <w:highlight w:val="none"/>
          <w:lang w:bidi="ar"/>
        </w:rPr>
        <w:t>2.3.2</w:t>
      </w:r>
      <w:r>
        <w:rPr>
          <w:rFonts w:hint="eastAsia" w:ascii="宋体" w:hAnsi="宋体" w:cs="宋体"/>
          <w:szCs w:val="21"/>
          <w:highlight w:val="none"/>
          <w:lang w:bidi="ar"/>
        </w:rPr>
        <w:t>采购人、采购代理机构对已发出的招标文件进行必要澄清或者修改的，按供应商须知前附表规定发布。</w:t>
      </w:r>
    </w:p>
    <w:p>
      <w:pPr>
        <w:spacing w:line="360" w:lineRule="auto"/>
        <w:ind w:firstLine="420" w:firstLineChars="200"/>
        <w:rPr>
          <w:rFonts w:ascii="宋体" w:hAnsi="宋体"/>
          <w:szCs w:val="21"/>
          <w:highlight w:val="none"/>
        </w:rPr>
      </w:pPr>
      <w:r>
        <w:rPr>
          <w:rFonts w:ascii="宋体" w:hAnsi="宋体"/>
          <w:szCs w:val="21"/>
          <w:highlight w:val="none"/>
          <w:lang w:bidi="ar"/>
        </w:rPr>
        <w:t>2.3.3</w:t>
      </w:r>
      <w:r>
        <w:rPr>
          <w:rFonts w:hint="eastAsia" w:ascii="宋体" w:hAnsi="宋体" w:cs="宋体"/>
          <w:szCs w:val="21"/>
          <w:highlight w:val="none"/>
          <w:lang w:bidi="ar"/>
        </w:rPr>
        <w:t>招标文件澄清、答复、修改、补充的内容为招标文件的组成部分。当招标文件与招标文件的答复、澄清、修改、补充通知就同一内容的表述不一致时，以最后发出的公告或书面文件为准。</w:t>
      </w:r>
    </w:p>
    <w:p>
      <w:pPr>
        <w:spacing w:line="360" w:lineRule="auto"/>
        <w:ind w:firstLine="422" w:firstLineChars="200"/>
        <w:outlineLvl w:val="2"/>
        <w:rPr>
          <w:rFonts w:ascii="宋体" w:hAnsi="宋体"/>
          <w:b/>
          <w:bCs/>
          <w:kern w:val="0"/>
          <w:szCs w:val="21"/>
          <w:highlight w:val="none"/>
          <w:lang w:bidi="ar"/>
        </w:rPr>
      </w:pPr>
      <w:bookmarkStart w:id="99" w:name="_Toc254970676"/>
      <w:bookmarkStart w:id="100" w:name="_Toc254970535"/>
      <w:r>
        <w:rPr>
          <w:rFonts w:ascii="宋体" w:hAnsi="宋体"/>
          <w:b/>
          <w:bCs/>
          <w:kern w:val="0"/>
          <w:szCs w:val="21"/>
          <w:highlight w:val="none"/>
          <w:lang w:bidi="ar"/>
        </w:rPr>
        <w:t>3</w:t>
      </w:r>
      <w:r>
        <w:rPr>
          <w:rFonts w:hint="eastAsia" w:ascii="宋体" w:hAnsi="宋体"/>
          <w:b/>
          <w:bCs/>
          <w:kern w:val="0"/>
          <w:szCs w:val="21"/>
          <w:highlight w:val="none"/>
          <w:lang w:bidi="ar"/>
        </w:rPr>
        <w:t>．投标文件</w:t>
      </w:r>
      <w:bookmarkEnd w:id="99"/>
      <w:bookmarkEnd w:id="100"/>
    </w:p>
    <w:p>
      <w:pPr>
        <w:spacing w:line="360" w:lineRule="auto"/>
        <w:ind w:firstLine="422" w:firstLineChars="200"/>
        <w:outlineLvl w:val="3"/>
        <w:rPr>
          <w:rFonts w:ascii="宋体" w:hAnsi="宋体"/>
          <w:b/>
          <w:bCs/>
          <w:kern w:val="0"/>
          <w:szCs w:val="21"/>
          <w:highlight w:val="none"/>
          <w:lang w:bidi="ar"/>
        </w:rPr>
      </w:pPr>
      <w:bookmarkStart w:id="101" w:name="_Toc254970536"/>
      <w:bookmarkStart w:id="102" w:name="_Toc254970677"/>
      <w:r>
        <w:rPr>
          <w:rFonts w:ascii="宋体" w:hAnsi="宋体"/>
          <w:b/>
          <w:bCs/>
          <w:kern w:val="0"/>
          <w:szCs w:val="21"/>
          <w:highlight w:val="none"/>
          <w:lang w:bidi="ar"/>
        </w:rPr>
        <w:t>3.1</w:t>
      </w:r>
      <w:r>
        <w:rPr>
          <w:rFonts w:hint="eastAsia" w:ascii="宋体" w:hAnsi="宋体"/>
          <w:b/>
          <w:bCs/>
          <w:kern w:val="0"/>
          <w:szCs w:val="21"/>
          <w:highlight w:val="none"/>
          <w:lang w:bidi="ar"/>
        </w:rPr>
        <w:t>投标文件的组成</w:t>
      </w:r>
      <w:bookmarkEnd w:id="101"/>
      <w:bookmarkEnd w:id="102"/>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投标文件由第六章</w:t>
      </w:r>
      <w:r>
        <w:rPr>
          <w:rFonts w:ascii="宋体" w:hAnsi="宋体"/>
          <w:szCs w:val="21"/>
          <w:highlight w:val="none"/>
          <w:lang w:bidi="ar"/>
        </w:rPr>
        <w:t>“</w:t>
      </w:r>
      <w:r>
        <w:rPr>
          <w:rFonts w:hint="eastAsia" w:ascii="宋体" w:hAnsi="宋体" w:cs="宋体"/>
          <w:szCs w:val="21"/>
          <w:highlight w:val="none"/>
          <w:lang w:bidi="ar"/>
        </w:rPr>
        <w:t>投标文件格式</w:t>
      </w:r>
      <w:r>
        <w:rPr>
          <w:rFonts w:ascii="宋体" w:hAnsi="宋体"/>
          <w:szCs w:val="21"/>
          <w:highlight w:val="none"/>
          <w:lang w:bidi="ar"/>
        </w:rPr>
        <w:t>”</w:t>
      </w:r>
      <w:r>
        <w:rPr>
          <w:rFonts w:hint="eastAsia" w:ascii="宋体" w:hAnsi="宋体" w:cs="宋体"/>
          <w:szCs w:val="21"/>
          <w:highlight w:val="none"/>
          <w:lang w:bidi="ar"/>
        </w:rPr>
        <w:t>规定的内容和供应商所作的一切有效补充、修改和承诺等文件组成。</w:t>
      </w:r>
    </w:p>
    <w:p>
      <w:pPr>
        <w:spacing w:line="360" w:lineRule="auto"/>
        <w:ind w:firstLine="422" w:firstLineChars="200"/>
        <w:outlineLvl w:val="3"/>
        <w:rPr>
          <w:rFonts w:ascii="宋体" w:hAnsi="宋体"/>
          <w:b/>
          <w:bCs/>
          <w:kern w:val="0"/>
          <w:szCs w:val="21"/>
          <w:highlight w:val="none"/>
          <w:lang w:bidi="ar"/>
        </w:rPr>
      </w:pPr>
      <w:bookmarkStart w:id="103" w:name="_Toc254970537"/>
      <w:bookmarkStart w:id="104" w:name="_Toc254970678"/>
      <w:r>
        <w:rPr>
          <w:rFonts w:ascii="宋体" w:hAnsi="宋体"/>
          <w:b/>
          <w:bCs/>
          <w:kern w:val="0"/>
          <w:szCs w:val="21"/>
          <w:highlight w:val="none"/>
          <w:lang w:bidi="ar"/>
        </w:rPr>
        <w:t>3.2</w:t>
      </w:r>
      <w:r>
        <w:rPr>
          <w:rFonts w:hint="eastAsia" w:ascii="宋体" w:hAnsi="宋体"/>
          <w:b/>
          <w:bCs/>
          <w:kern w:val="0"/>
          <w:szCs w:val="21"/>
          <w:highlight w:val="none"/>
          <w:lang w:bidi="ar"/>
        </w:rPr>
        <w:t>投标文件的语言及计量</w:t>
      </w:r>
      <w:bookmarkEnd w:id="103"/>
      <w:bookmarkEnd w:id="104"/>
    </w:p>
    <w:p>
      <w:pPr>
        <w:spacing w:line="360" w:lineRule="auto"/>
        <w:ind w:firstLine="420" w:firstLineChars="200"/>
        <w:rPr>
          <w:rFonts w:ascii="宋体" w:hAnsi="宋体"/>
          <w:szCs w:val="21"/>
          <w:highlight w:val="none"/>
        </w:rPr>
      </w:pPr>
      <w:r>
        <w:rPr>
          <w:rFonts w:ascii="宋体" w:hAnsi="宋体"/>
          <w:szCs w:val="21"/>
          <w:highlight w:val="none"/>
          <w:lang w:bidi="ar"/>
        </w:rPr>
        <w:t>3.2.1</w:t>
      </w:r>
      <w:r>
        <w:rPr>
          <w:rFonts w:hint="eastAsia" w:ascii="宋体" w:hAnsi="宋体" w:cs="宋体"/>
          <w:szCs w:val="21"/>
          <w:highlight w:val="none"/>
          <w:lang w:bidi="ar"/>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ascii="宋体" w:hAnsi="宋体"/>
          <w:szCs w:val="21"/>
          <w:highlight w:val="none"/>
        </w:rPr>
      </w:pPr>
      <w:r>
        <w:rPr>
          <w:rFonts w:ascii="宋体" w:hAnsi="宋体"/>
          <w:szCs w:val="21"/>
          <w:highlight w:val="none"/>
          <w:lang w:bidi="ar"/>
        </w:rPr>
        <w:t>3.2.2</w:t>
      </w:r>
      <w:r>
        <w:rPr>
          <w:rFonts w:hint="eastAsia" w:ascii="宋体" w:hAnsi="宋体" w:cs="宋体"/>
          <w:szCs w:val="21"/>
          <w:highlight w:val="none"/>
          <w:lang w:bidi="ar"/>
        </w:rPr>
        <w:t>计量单位招标文件已有明确规定的，投标使用招标文件规定的计量单位；招标文件没有规定的，应采用中华人民共和国法定计量单位。</w:t>
      </w:r>
    </w:p>
    <w:p>
      <w:pPr>
        <w:spacing w:line="360" w:lineRule="auto"/>
        <w:ind w:firstLine="422" w:firstLineChars="200"/>
        <w:outlineLvl w:val="3"/>
        <w:rPr>
          <w:rFonts w:ascii="宋体" w:hAnsi="宋体"/>
          <w:b/>
          <w:bCs/>
          <w:kern w:val="0"/>
          <w:szCs w:val="21"/>
          <w:highlight w:val="none"/>
          <w:lang w:bidi="ar"/>
        </w:rPr>
      </w:pPr>
      <w:bookmarkStart w:id="105" w:name="_Toc254970538"/>
      <w:bookmarkStart w:id="106" w:name="_Toc254970679"/>
      <w:r>
        <w:rPr>
          <w:rFonts w:ascii="宋体" w:hAnsi="宋体"/>
          <w:b/>
          <w:bCs/>
          <w:kern w:val="0"/>
          <w:szCs w:val="21"/>
          <w:highlight w:val="none"/>
          <w:lang w:bidi="ar"/>
        </w:rPr>
        <w:t>3.3</w:t>
      </w:r>
      <w:r>
        <w:rPr>
          <w:rFonts w:hint="eastAsia" w:ascii="宋体" w:hAnsi="宋体"/>
          <w:b/>
          <w:bCs/>
          <w:kern w:val="0"/>
          <w:szCs w:val="21"/>
          <w:highlight w:val="none"/>
          <w:lang w:bidi="ar"/>
        </w:rPr>
        <w:t>投标报价</w:t>
      </w:r>
      <w:bookmarkEnd w:id="105"/>
      <w:bookmarkEnd w:id="106"/>
    </w:p>
    <w:p>
      <w:pPr>
        <w:spacing w:line="360" w:lineRule="auto"/>
        <w:ind w:firstLine="420" w:firstLineChars="200"/>
        <w:rPr>
          <w:rFonts w:ascii="宋体" w:hAnsi="宋体"/>
          <w:szCs w:val="21"/>
          <w:highlight w:val="none"/>
        </w:rPr>
      </w:pPr>
      <w:r>
        <w:rPr>
          <w:rFonts w:ascii="宋体" w:hAnsi="宋体"/>
          <w:szCs w:val="21"/>
          <w:highlight w:val="none"/>
          <w:lang w:bidi="ar"/>
        </w:rPr>
        <w:t>3.3.1</w:t>
      </w:r>
      <w:r>
        <w:rPr>
          <w:rFonts w:hint="eastAsia" w:ascii="宋体" w:hAnsi="宋体" w:cs="宋体"/>
          <w:szCs w:val="21"/>
          <w:highlight w:val="none"/>
          <w:lang w:bidi="ar"/>
        </w:rPr>
        <w:t>投标报价应按招标文件中相关附表格式填写。</w:t>
      </w:r>
    </w:p>
    <w:p>
      <w:pPr>
        <w:spacing w:line="360" w:lineRule="auto"/>
        <w:ind w:firstLine="420" w:firstLineChars="200"/>
        <w:rPr>
          <w:rFonts w:ascii="宋体" w:hAnsi="宋体"/>
          <w:szCs w:val="21"/>
          <w:highlight w:val="none"/>
        </w:rPr>
      </w:pPr>
      <w:r>
        <w:rPr>
          <w:rFonts w:ascii="宋体" w:hAnsi="宋体"/>
          <w:szCs w:val="21"/>
          <w:highlight w:val="none"/>
          <w:lang w:bidi="ar"/>
        </w:rPr>
        <w:t>3.3.2</w:t>
      </w:r>
      <w:r>
        <w:rPr>
          <w:rFonts w:hint="eastAsia" w:ascii="宋体" w:hAnsi="宋体" w:cs="宋体"/>
          <w:szCs w:val="21"/>
          <w:highlight w:val="none"/>
          <w:lang w:bidi="ar"/>
        </w:rPr>
        <w:t>投标文件只允许有一个报价，有选择的或有条件的报价将不予接受。</w:t>
      </w:r>
    </w:p>
    <w:p>
      <w:pPr>
        <w:suppressAutoHyphens/>
        <w:spacing w:line="360" w:lineRule="auto"/>
        <w:ind w:firstLine="420" w:firstLineChars="200"/>
        <w:rPr>
          <w:rFonts w:ascii="宋体" w:hAnsi="宋体"/>
          <w:kern w:val="1"/>
          <w:szCs w:val="21"/>
          <w:highlight w:val="none"/>
        </w:rPr>
      </w:pPr>
      <w:r>
        <w:rPr>
          <w:rFonts w:ascii="宋体" w:hAnsi="宋体"/>
          <w:kern w:val="1"/>
          <w:szCs w:val="21"/>
          <w:highlight w:val="none"/>
          <w:lang w:bidi="ar"/>
        </w:rPr>
        <w:t>3.3.3</w:t>
      </w:r>
      <w:r>
        <w:rPr>
          <w:rFonts w:hint="eastAsia" w:ascii="宋体" w:hAnsi="宋体" w:cs="宋体"/>
          <w:kern w:val="1"/>
          <w:szCs w:val="21"/>
          <w:highlight w:val="none"/>
          <w:lang w:bidi="ar"/>
        </w:rPr>
        <w:t>对于本文件中未列明，而供应商认为必需的费用也需列入投标报价。在合同实施时，采购人将不予支付中标人没有列入的项目费用，并认为此项目的费用已包括在投标报价中。</w:t>
      </w:r>
    </w:p>
    <w:p>
      <w:pPr>
        <w:suppressAutoHyphens/>
        <w:spacing w:line="360" w:lineRule="auto"/>
        <w:ind w:firstLine="420" w:firstLineChars="200"/>
        <w:rPr>
          <w:rFonts w:ascii="宋体" w:hAnsi="宋体"/>
          <w:b/>
          <w:bCs/>
          <w:kern w:val="1"/>
          <w:szCs w:val="21"/>
          <w:highlight w:val="none"/>
        </w:rPr>
      </w:pPr>
      <w:r>
        <w:rPr>
          <w:rFonts w:ascii="宋体" w:hAnsi="宋体"/>
          <w:kern w:val="1"/>
          <w:szCs w:val="21"/>
          <w:highlight w:val="none"/>
          <w:lang w:bidi="ar"/>
        </w:rPr>
        <w:t>3.3.4</w:t>
      </w:r>
      <w:r>
        <w:rPr>
          <w:rFonts w:hint="eastAsia" w:ascii="宋体" w:hAnsi="宋体" w:cs="宋体"/>
          <w:kern w:val="1"/>
          <w:szCs w:val="21"/>
          <w:highlight w:val="none"/>
          <w:lang w:bidi="ar"/>
        </w:rPr>
        <w:t>采购人不接受供应商给予的赠品、回扣或者与采购无关的其他商品、服务。</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3.4</w:t>
      </w:r>
      <w:r>
        <w:rPr>
          <w:rFonts w:hint="eastAsia" w:ascii="宋体" w:hAnsi="宋体"/>
          <w:b/>
          <w:bCs/>
          <w:kern w:val="0"/>
          <w:szCs w:val="21"/>
          <w:highlight w:val="none"/>
          <w:lang w:bidi="ar"/>
        </w:rPr>
        <w:t>投标有效期</w:t>
      </w:r>
    </w:p>
    <w:p>
      <w:pPr>
        <w:spacing w:line="360" w:lineRule="auto"/>
        <w:ind w:firstLine="420" w:firstLineChars="200"/>
        <w:rPr>
          <w:rFonts w:ascii="宋体" w:hAnsi="宋体"/>
          <w:szCs w:val="21"/>
          <w:highlight w:val="none"/>
        </w:rPr>
      </w:pPr>
      <w:r>
        <w:rPr>
          <w:rFonts w:ascii="宋体" w:hAnsi="宋体"/>
          <w:szCs w:val="21"/>
          <w:highlight w:val="none"/>
          <w:lang w:bidi="ar"/>
        </w:rPr>
        <w:t>3.4.1</w:t>
      </w:r>
      <w:r>
        <w:rPr>
          <w:rFonts w:hint="eastAsia" w:ascii="宋体" w:hAnsi="宋体" w:cs="宋体"/>
          <w:szCs w:val="21"/>
          <w:highlight w:val="none"/>
          <w:lang w:bidi="ar"/>
        </w:rPr>
        <w:t>如招标文件其他地方无特别规定，投标有效期则为投标截止之日起</w:t>
      </w:r>
      <w:r>
        <w:rPr>
          <w:rFonts w:ascii="宋体" w:hAnsi="宋体"/>
          <w:szCs w:val="21"/>
          <w:highlight w:val="none"/>
          <w:lang w:bidi="ar"/>
        </w:rPr>
        <w:t>90</w:t>
      </w:r>
      <w:r>
        <w:rPr>
          <w:rFonts w:hint="eastAsia" w:ascii="宋体" w:hAnsi="宋体" w:cs="宋体"/>
          <w:szCs w:val="21"/>
          <w:highlight w:val="none"/>
          <w:lang w:bidi="ar"/>
        </w:rPr>
        <w:t>天。在投标有效期内投标文件应保持有效。</w:t>
      </w:r>
      <w:r>
        <w:rPr>
          <w:rFonts w:hint="eastAsia" w:ascii="宋体" w:hAnsi="宋体" w:cs="宋体"/>
          <w:b/>
          <w:bCs/>
          <w:szCs w:val="21"/>
          <w:highlight w:val="none"/>
          <w:lang w:bidi="ar"/>
        </w:rPr>
        <w:t>有效期不足的投标文件将被否决</w:t>
      </w:r>
      <w:r>
        <w:rPr>
          <w:rFonts w:hint="eastAsia" w:ascii="宋体" w:hAnsi="宋体" w:cs="宋体"/>
          <w:szCs w:val="21"/>
          <w:highlight w:val="none"/>
          <w:lang w:bidi="ar"/>
        </w:rPr>
        <w:t>。</w:t>
      </w:r>
    </w:p>
    <w:p>
      <w:pPr>
        <w:spacing w:line="360" w:lineRule="auto"/>
        <w:ind w:firstLine="420" w:firstLineChars="200"/>
        <w:rPr>
          <w:rFonts w:ascii="宋体" w:hAnsi="宋体"/>
          <w:szCs w:val="21"/>
          <w:highlight w:val="none"/>
        </w:rPr>
      </w:pPr>
      <w:r>
        <w:rPr>
          <w:rFonts w:ascii="宋体" w:hAnsi="宋体"/>
          <w:szCs w:val="21"/>
          <w:highlight w:val="none"/>
          <w:lang w:bidi="ar"/>
        </w:rPr>
        <w:t>3.4.2</w:t>
      </w:r>
      <w:r>
        <w:rPr>
          <w:rFonts w:hint="eastAsia" w:ascii="宋体" w:hAnsi="宋体" w:cs="宋体"/>
          <w:szCs w:val="21"/>
          <w:highlight w:val="none"/>
          <w:lang w:bidi="ar"/>
        </w:rPr>
        <w:t>在特殊情况下，采购人可与供应商协商延长投标文件的有效期，这种要求和答复均以书面形式进行。</w:t>
      </w:r>
    </w:p>
    <w:p>
      <w:pPr>
        <w:spacing w:line="360" w:lineRule="auto"/>
        <w:ind w:firstLine="420" w:firstLineChars="200"/>
        <w:rPr>
          <w:rFonts w:ascii="宋体" w:hAnsi="宋体"/>
          <w:szCs w:val="21"/>
          <w:highlight w:val="none"/>
        </w:rPr>
      </w:pPr>
      <w:r>
        <w:rPr>
          <w:rFonts w:ascii="宋体" w:hAnsi="宋体"/>
          <w:szCs w:val="21"/>
          <w:highlight w:val="none"/>
          <w:lang w:bidi="ar"/>
        </w:rPr>
        <w:t>3.4.3</w:t>
      </w:r>
      <w:r>
        <w:rPr>
          <w:rFonts w:hint="eastAsia" w:ascii="宋体" w:hAnsi="宋体" w:cs="宋体"/>
          <w:szCs w:val="21"/>
          <w:highlight w:val="none"/>
          <w:lang w:bidi="ar"/>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pPr>
        <w:spacing w:line="360" w:lineRule="auto"/>
        <w:ind w:firstLine="422" w:firstLineChars="200"/>
        <w:outlineLvl w:val="3"/>
        <w:rPr>
          <w:rFonts w:ascii="宋体" w:hAnsi="宋体"/>
          <w:b/>
          <w:bCs/>
          <w:kern w:val="0"/>
          <w:szCs w:val="21"/>
          <w:highlight w:val="none"/>
          <w:lang w:bidi="ar"/>
        </w:rPr>
      </w:pPr>
      <w:bookmarkStart w:id="107" w:name="_Toc254970682"/>
      <w:bookmarkStart w:id="108" w:name="_Toc254970541"/>
      <w:r>
        <w:rPr>
          <w:rFonts w:ascii="宋体" w:hAnsi="宋体"/>
          <w:b/>
          <w:bCs/>
          <w:kern w:val="0"/>
          <w:szCs w:val="21"/>
          <w:highlight w:val="none"/>
          <w:lang w:bidi="ar"/>
        </w:rPr>
        <w:t>3.5</w:t>
      </w:r>
      <w:r>
        <w:rPr>
          <w:rFonts w:hint="eastAsia" w:ascii="宋体" w:hAnsi="宋体"/>
          <w:b/>
          <w:bCs/>
          <w:kern w:val="0"/>
          <w:szCs w:val="21"/>
          <w:highlight w:val="none"/>
          <w:lang w:bidi="ar"/>
        </w:rPr>
        <w:t>投标保证金</w:t>
      </w:r>
      <w:bookmarkEnd w:id="107"/>
      <w:bookmarkEnd w:id="108"/>
    </w:p>
    <w:p>
      <w:pPr>
        <w:spacing w:line="360" w:lineRule="auto"/>
        <w:ind w:firstLine="420" w:firstLineChars="200"/>
        <w:rPr>
          <w:rFonts w:ascii="宋体" w:hAnsi="宋体"/>
          <w:szCs w:val="21"/>
          <w:highlight w:val="none"/>
        </w:rPr>
      </w:pPr>
      <w:r>
        <w:rPr>
          <w:rFonts w:ascii="宋体" w:hAnsi="宋体"/>
          <w:szCs w:val="21"/>
          <w:highlight w:val="none"/>
          <w:lang w:bidi="ar"/>
        </w:rPr>
        <w:t>3.5.1</w:t>
      </w:r>
      <w:r>
        <w:rPr>
          <w:rFonts w:hint="eastAsia" w:ascii="宋体" w:hAnsi="宋体" w:cs="宋体"/>
          <w:szCs w:val="21"/>
          <w:highlight w:val="none"/>
          <w:lang w:bidi="ar"/>
        </w:rPr>
        <w:t>供应商须按须知前附表规定提交投标保证金，</w:t>
      </w:r>
      <w:r>
        <w:rPr>
          <w:rFonts w:hint="eastAsia" w:ascii="宋体" w:hAnsi="宋体" w:cs="宋体"/>
          <w:b/>
          <w:bCs/>
          <w:szCs w:val="21"/>
          <w:highlight w:val="none"/>
          <w:lang w:bidi="ar"/>
        </w:rPr>
        <w:t>否则其投标将被否决</w:t>
      </w:r>
      <w:r>
        <w:rPr>
          <w:rFonts w:hint="eastAsia" w:ascii="宋体" w:hAnsi="宋体" w:cs="宋体"/>
          <w:szCs w:val="21"/>
          <w:highlight w:val="none"/>
          <w:lang w:bidi="ar"/>
        </w:rPr>
        <w:t>。除招标文件规定不予退还保证金的情形外，代理机构在规定时间内退回供应商的投标保证金（供应商自行承担因未按供应商须知前附表要求交纳导致投标保证金无法及时退还的责任）。</w:t>
      </w:r>
    </w:p>
    <w:p>
      <w:pPr>
        <w:spacing w:line="360" w:lineRule="auto"/>
        <w:ind w:firstLine="420" w:firstLineChars="200"/>
        <w:rPr>
          <w:rFonts w:ascii="宋体" w:hAnsi="宋体"/>
          <w:szCs w:val="21"/>
          <w:highlight w:val="none"/>
        </w:rPr>
      </w:pPr>
      <w:r>
        <w:rPr>
          <w:rFonts w:ascii="宋体" w:hAnsi="宋体"/>
          <w:szCs w:val="21"/>
          <w:highlight w:val="none"/>
          <w:lang w:bidi="ar"/>
        </w:rPr>
        <w:t>3.5.2</w:t>
      </w:r>
      <w:r>
        <w:rPr>
          <w:rFonts w:hint="eastAsia" w:ascii="宋体" w:hAnsi="宋体" w:cs="宋体"/>
          <w:szCs w:val="21"/>
          <w:highlight w:val="none"/>
          <w:lang w:bidi="ar"/>
        </w:rPr>
        <w:t>投标保证金币种应与投标报价币种相同。</w:t>
      </w:r>
    </w:p>
    <w:p>
      <w:pPr>
        <w:spacing w:line="360" w:lineRule="auto"/>
        <w:ind w:firstLine="420" w:firstLineChars="200"/>
        <w:rPr>
          <w:rFonts w:ascii="宋体" w:hAnsi="宋体"/>
          <w:szCs w:val="21"/>
          <w:highlight w:val="none"/>
        </w:rPr>
      </w:pPr>
      <w:r>
        <w:rPr>
          <w:rFonts w:ascii="宋体" w:hAnsi="宋体"/>
          <w:szCs w:val="21"/>
          <w:highlight w:val="none"/>
          <w:lang w:bidi="ar"/>
        </w:rPr>
        <w:t>3.5.3</w:t>
      </w:r>
      <w:r>
        <w:rPr>
          <w:rFonts w:hint="eastAsia" w:ascii="宋体" w:hAnsi="宋体" w:cs="宋体"/>
          <w:szCs w:val="21"/>
          <w:highlight w:val="none"/>
          <w:lang w:bidi="ar"/>
        </w:rPr>
        <w:t>未中标人的投标保证金在中标通知书发出后</w:t>
      </w:r>
      <w:r>
        <w:rPr>
          <w:rFonts w:ascii="宋体" w:hAnsi="宋体"/>
          <w:szCs w:val="21"/>
          <w:highlight w:val="none"/>
          <w:lang w:bidi="ar"/>
        </w:rPr>
        <w:t>5</w:t>
      </w:r>
      <w:r>
        <w:rPr>
          <w:rFonts w:hint="eastAsia" w:ascii="宋体" w:hAnsi="宋体" w:cs="宋体"/>
          <w:szCs w:val="21"/>
          <w:highlight w:val="none"/>
          <w:lang w:bidi="ar"/>
        </w:rPr>
        <w:t>个工作日内退还。中标人的投标保证金在合同签订后</w:t>
      </w:r>
      <w:r>
        <w:rPr>
          <w:rFonts w:ascii="宋体" w:hAnsi="宋体"/>
          <w:szCs w:val="21"/>
          <w:highlight w:val="none"/>
          <w:lang w:bidi="ar"/>
        </w:rPr>
        <w:t>5</w:t>
      </w:r>
      <w:r>
        <w:rPr>
          <w:rFonts w:hint="eastAsia" w:ascii="宋体" w:hAnsi="宋体" w:cs="宋体"/>
          <w:szCs w:val="21"/>
          <w:highlight w:val="none"/>
          <w:lang w:bidi="ar"/>
        </w:rPr>
        <w:t>个工作日内退还（办理退还手续时需要向采购代理机构提供两份合同复印件）。</w:t>
      </w:r>
    </w:p>
    <w:p>
      <w:pPr>
        <w:spacing w:line="360" w:lineRule="auto"/>
        <w:ind w:firstLine="420" w:firstLineChars="200"/>
        <w:rPr>
          <w:rFonts w:ascii="宋体" w:hAnsi="宋体"/>
          <w:szCs w:val="21"/>
          <w:highlight w:val="none"/>
        </w:rPr>
      </w:pPr>
      <w:r>
        <w:rPr>
          <w:rFonts w:ascii="宋体" w:hAnsi="宋体"/>
          <w:szCs w:val="21"/>
          <w:highlight w:val="none"/>
          <w:lang w:bidi="ar"/>
        </w:rPr>
        <w:t>3.5.4</w:t>
      </w:r>
      <w:r>
        <w:rPr>
          <w:rFonts w:hint="eastAsia" w:ascii="宋体" w:hAnsi="宋体" w:cs="宋体"/>
          <w:szCs w:val="21"/>
          <w:highlight w:val="none"/>
          <w:lang w:bidi="ar"/>
        </w:rPr>
        <w:t>供应商有下列情形之一的，投标保证金将不予退还：</w:t>
      </w:r>
    </w:p>
    <w:p>
      <w:pPr>
        <w:numPr>
          <w:ilvl w:val="0"/>
          <w:numId w:val="6"/>
        </w:numPr>
        <w:spacing w:line="360" w:lineRule="auto"/>
        <w:ind w:left="0" w:firstLine="420" w:firstLineChars="200"/>
        <w:rPr>
          <w:rFonts w:ascii="宋体" w:hAnsi="宋体"/>
          <w:szCs w:val="21"/>
          <w:highlight w:val="none"/>
        </w:rPr>
      </w:pPr>
      <w:r>
        <w:rPr>
          <w:rFonts w:hint="eastAsia" w:ascii="宋体" w:hAnsi="宋体" w:cs="宋体"/>
          <w:szCs w:val="21"/>
          <w:highlight w:val="none"/>
          <w:lang w:bidi="ar"/>
        </w:rPr>
        <w:t>供应商在投标有效期内撤销投标文件的；</w:t>
      </w:r>
    </w:p>
    <w:p>
      <w:pPr>
        <w:numPr>
          <w:ilvl w:val="0"/>
          <w:numId w:val="6"/>
        </w:numPr>
        <w:spacing w:line="360" w:lineRule="auto"/>
        <w:ind w:left="0" w:firstLine="420" w:firstLineChars="200"/>
        <w:rPr>
          <w:rFonts w:ascii="宋体" w:hAnsi="宋体"/>
          <w:szCs w:val="21"/>
          <w:highlight w:val="none"/>
        </w:rPr>
      </w:pPr>
      <w:r>
        <w:rPr>
          <w:rFonts w:hint="eastAsia" w:ascii="宋体" w:hAnsi="宋体" w:cs="宋体"/>
          <w:szCs w:val="21"/>
          <w:highlight w:val="none"/>
          <w:lang w:bidi="ar"/>
        </w:rPr>
        <w:t>供应商在投标过程中弄虚作假，提供虚假材料的；</w:t>
      </w:r>
    </w:p>
    <w:p>
      <w:pPr>
        <w:numPr>
          <w:ilvl w:val="0"/>
          <w:numId w:val="6"/>
        </w:numPr>
        <w:spacing w:line="360" w:lineRule="auto"/>
        <w:ind w:left="0" w:firstLine="420" w:firstLineChars="200"/>
        <w:rPr>
          <w:rFonts w:ascii="宋体" w:hAnsi="宋体"/>
          <w:szCs w:val="21"/>
          <w:highlight w:val="none"/>
        </w:rPr>
      </w:pPr>
      <w:r>
        <w:rPr>
          <w:rFonts w:hint="eastAsia" w:ascii="宋体" w:hAnsi="宋体" w:cs="宋体"/>
          <w:szCs w:val="21"/>
          <w:highlight w:val="none"/>
          <w:lang w:bidi="ar"/>
        </w:rPr>
        <w:t>中标人无正当理由不与采购人签订合同的；</w:t>
      </w:r>
    </w:p>
    <w:p>
      <w:pPr>
        <w:numPr>
          <w:ilvl w:val="0"/>
          <w:numId w:val="6"/>
        </w:numPr>
        <w:spacing w:line="360" w:lineRule="auto"/>
        <w:ind w:left="0" w:firstLine="420" w:firstLineChars="200"/>
        <w:rPr>
          <w:rFonts w:ascii="宋体" w:hAnsi="宋体"/>
          <w:szCs w:val="21"/>
          <w:highlight w:val="none"/>
        </w:rPr>
      </w:pPr>
      <w:r>
        <w:rPr>
          <w:rFonts w:hint="eastAsia" w:ascii="宋体" w:hAnsi="宋体" w:cs="宋体"/>
          <w:szCs w:val="21"/>
          <w:highlight w:val="none"/>
          <w:lang w:bidi="ar"/>
        </w:rPr>
        <w:t>将中标项目转让给他人或者在投标文件中未说明且未经采购人同意，将中标项目分包给他人的；</w:t>
      </w:r>
    </w:p>
    <w:p>
      <w:pPr>
        <w:numPr>
          <w:ilvl w:val="0"/>
          <w:numId w:val="6"/>
        </w:numPr>
        <w:spacing w:line="360" w:lineRule="auto"/>
        <w:ind w:left="0" w:firstLine="420" w:firstLineChars="200"/>
        <w:rPr>
          <w:rFonts w:ascii="宋体" w:hAnsi="宋体"/>
          <w:szCs w:val="21"/>
          <w:highlight w:val="none"/>
        </w:rPr>
      </w:pPr>
      <w:r>
        <w:rPr>
          <w:rFonts w:hint="eastAsia" w:ascii="宋体" w:hAnsi="宋体" w:cs="宋体"/>
          <w:szCs w:val="21"/>
          <w:highlight w:val="none"/>
          <w:lang w:bidi="ar"/>
        </w:rPr>
        <w:t>拒绝履行合同义务的；</w:t>
      </w:r>
    </w:p>
    <w:p>
      <w:pPr>
        <w:numPr>
          <w:ilvl w:val="0"/>
          <w:numId w:val="6"/>
        </w:numPr>
        <w:spacing w:line="360" w:lineRule="auto"/>
        <w:ind w:left="0" w:firstLine="420" w:firstLineChars="200"/>
        <w:rPr>
          <w:rFonts w:ascii="宋体" w:hAnsi="宋体"/>
          <w:szCs w:val="21"/>
          <w:highlight w:val="none"/>
        </w:rPr>
      </w:pPr>
      <w:r>
        <w:rPr>
          <w:rFonts w:hint="eastAsia" w:ascii="宋体" w:hAnsi="宋体" w:cs="宋体"/>
          <w:szCs w:val="21"/>
          <w:highlight w:val="none"/>
          <w:lang w:bidi="ar"/>
        </w:rPr>
        <w:t>其他严重扰乱招投标程序的。</w:t>
      </w:r>
    </w:p>
    <w:p>
      <w:pPr>
        <w:spacing w:line="360" w:lineRule="auto"/>
        <w:ind w:firstLine="422" w:firstLineChars="200"/>
        <w:outlineLvl w:val="3"/>
        <w:rPr>
          <w:rFonts w:ascii="宋体" w:hAnsi="宋体"/>
          <w:b/>
          <w:bCs/>
          <w:kern w:val="0"/>
          <w:szCs w:val="21"/>
          <w:highlight w:val="none"/>
          <w:lang w:bidi="ar"/>
        </w:rPr>
      </w:pPr>
      <w:bookmarkStart w:id="109" w:name="_Toc254970683"/>
      <w:bookmarkStart w:id="110" w:name="_Toc254970542"/>
      <w:r>
        <w:rPr>
          <w:rFonts w:ascii="宋体" w:hAnsi="宋体"/>
          <w:b/>
          <w:bCs/>
          <w:kern w:val="0"/>
          <w:szCs w:val="21"/>
          <w:highlight w:val="none"/>
          <w:lang w:bidi="ar"/>
        </w:rPr>
        <w:t>3.6</w:t>
      </w:r>
      <w:r>
        <w:rPr>
          <w:rFonts w:hint="eastAsia" w:ascii="宋体" w:hAnsi="宋体"/>
          <w:b/>
          <w:bCs/>
          <w:kern w:val="0"/>
          <w:szCs w:val="21"/>
          <w:highlight w:val="none"/>
          <w:lang w:bidi="ar"/>
        </w:rPr>
        <w:t>投标文件的</w:t>
      </w:r>
      <w:bookmarkEnd w:id="109"/>
      <w:bookmarkEnd w:id="110"/>
      <w:r>
        <w:rPr>
          <w:rFonts w:hint="eastAsia" w:ascii="宋体" w:hAnsi="宋体"/>
          <w:b/>
          <w:bCs/>
          <w:kern w:val="0"/>
          <w:szCs w:val="21"/>
          <w:highlight w:val="none"/>
          <w:lang w:bidi="ar"/>
        </w:rPr>
        <w:t>编制要求</w:t>
      </w:r>
    </w:p>
    <w:p>
      <w:pPr>
        <w:spacing w:line="360" w:lineRule="auto"/>
        <w:ind w:firstLine="420" w:firstLineChars="200"/>
        <w:rPr>
          <w:rFonts w:ascii="宋体" w:hAnsi="宋体"/>
          <w:b/>
          <w:bCs/>
          <w:kern w:val="0"/>
          <w:szCs w:val="21"/>
          <w:highlight w:val="none"/>
        </w:rPr>
      </w:pPr>
      <w:r>
        <w:rPr>
          <w:rFonts w:ascii="宋体" w:hAnsi="宋体"/>
          <w:kern w:val="0"/>
          <w:szCs w:val="21"/>
          <w:highlight w:val="none"/>
          <w:lang w:bidi="ar"/>
        </w:rPr>
        <w:t>3.6.1</w:t>
      </w:r>
      <w:r>
        <w:rPr>
          <w:rFonts w:hint="eastAsia" w:ascii="宋体" w:hAnsi="宋体" w:cs="宋体"/>
          <w:szCs w:val="21"/>
          <w:highlight w:val="none"/>
          <w:lang w:bidi="ar"/>
        </w:rPr>
        <w:t>供应商应先安装</w:t>
      </w:r>
      <w:r>
        <w:rPr>
          <w:rFonts w:ascii="宋体" w:hAnsi="宋体"/>
          <w:szCs w:val="21"/>
          <w:highlight w:val="none"/>
          <w:lang w:bidi="ar"/>
        </w:rPr>
        <w:t>“</w:t>
      </w:r>
      <w:r>
        <w:rPr>
          <w:rFonts w:hint="eastAsia" w:ascii="宋体" w:hAnsi="宋体" w:cs="宋体"/>
          <w:szCs w:val="21"/>
          <w:highlight w:val="none"/>
          <w:lang w:bidi="ar"/>
        </w:rPr>
        <w:t>广西政府采购云平台新版客户端</w:t>
      </w:r>
      <w:r>
        <w:rPr>
          <w:rFonts w:ascii="宋体" w:hAnsi="宋体"/>
          <w:szCs w:val="21"/>
          <w:highlight w:val="none"/>
          <w:lang w:bidi="ar"/>
        </w:rPr>
        <w:t>”</w:t>
      </w:r>
      <w:r>
        <w:rPr>
          <w:rFonts w:hint="eastAsia" w:ascii="宋体" w:hAnsi="宋体" w:cs="宋体"/>
          <w:szCs w:val="21"/>
          <w:highlight w:val="none"/>
          <w:lang w:bidi="ar"/>
        </w:rPr>
        <w:t>（请自行前往广西政府采购云平台进行下载），通过账号密码或</w:t>
      </w:r>
      <w:r>
        <w:rPr>
          <w:rFonts w:ascii="宋体" w:hAnsi="宋体"/>
          <w:szCs w:val="21"/>
          <w:highlight w:val="none"/>
          <w:lang w:bidi="ar"/>
        </w:rPr>
        <w:t>CA</w:t>
      </w:r>
      <w:r>
        <w:rPr>
          <w:rFonts w:hint="eastAsia" w:ascii="宋体" w:hAnsi="宋体" w:cs="宋体"/>
          <w:szCs w:val="21"/>
          <w:highlight w:val="none"/>
          <w:lang w:bidi="ar"/>
        </w:rPr>
        <w:t>登录客户端制作投标文件。</w:t>
      </w:r>
    </w:p>
    <w:p>
      <w:pPr>
        <w:spacing w:line="360" w:lineRule="auto"/>
        <w:ind w:firstLine="420" w:firstLineChars="200"/>
        <w:rPr>
          <w:rFonts w:ascii="宋体" w:hAnsi="宋体"/>
          <w:szCs w:val="21"/>
          <w:highlight w:val="none"/>
        </w:rPr>
      </w:pPr>
      <w:r>
        <w:rPr>
          <w:rFonts w:ascii="宋体" w:hAnsi="宋体"/>
          <w:szCs w:val="21"/>
          <w:highlight w:val="none"/>
          <w:lang w:bidi="ar"/>
        </w:rPr>
        <w:t>3.6.2</w:t>
      </w:r>
      <w:r>
        <w:rPr>
          <w:rFonts w:hint="eastAsia" w:ascii="宋体" w:hAnsi="宋体" w:cs="宋体"/>
          <w:szCs w:val="21"/>
          <w:highlight w:val="none"/>
          <w:lang w:bidi="ar"/>
        </w:rPr>
        <w:t>供应商应按本招标文件规定的格式和顺序编制、装订投标文件并编制完整的页码、目录，投标文件内容不完整、编排混乱导致投标文件被误读、漏读或者查找不到相关内容的，由供应商自行负责。</w:t>
      </w:r>
    </w:p>
    <w:p>
      <w:pPr>
        <w:spacing w:line="360" w:lineRule="auto"/>
        <w:ind w:firstLine="420" w:firstLineChars="200"/>
        <w:rPr>
          <w:rFonts w:ascii="宋体" w:hAnsi="宋体"/>
          <w:szCs w:val="21"/>
          <w:highlight w:val="none"/>
        </w:rPr>
      </w:pPr>
      <w:bookmarkStart w:id="111" w:name="_Hlk93046800"/>
      <w:r>
        <w:rPr>
          <w:rFonts w:ascii="宋体" w:hAnsi="宋体"/>
          <w:szCs w:val="21"/>
          <w:highlight w:val="none"/>
          <w:lang w:bidi="ar"/>
        </w:rPr>
        <w:t>3.6.3</w:t>
      </w:r>
      <w:r>
        <w:rPr>
          <w:rFonts w:hint="eastAsia" w:ascii="宋体" w:hAnsi="宋体" w:cs="宋体"/>
          <w:szCs w:val="21"/>
          <w:highlight w:val="none"/>
          <w:lang w:bidi="ar"/>
        </w:rPr>
        <w:t>投标文件按照招标文件第六章格式要求在规定位置进行签署、盖章。投标人的投标文件未按照招标文件要求签署、盖章的，</w:t>
      </w:r>
      <w:r>
        <w:rPr>
          <w:rFonts w:hint="eastAsia" w:ascii="宋体" w:hAnsi="宋体" w:cs="宋体"/>
          <w:b/>
          <w:bCs/>
          <w:szCs w:val="21"/>
          <w:highlight w:val="none"/>
          <w:lang w:bidi="ar"/>
        </w:rPr>
        <w:t>其投标无效</w:t>
      </w:r>
      <w:r>
        <w:rPr>
          <w:rFonts w:hint="eastAsia" w:ascii="宋体" w:hAnsi="宋体" w:cs="宋体"/>
          <w:szCs w:val="21"/>
          <w:highlight w:val="none"/>
          <w:lang w:bidi="ar"/>
        </w:rPr>
        <w:t>。骑缝盖公章不视为在规定位置盖章。</w:t>
      </w:r>
    </w:p>
    <w:bookmarkEnd w:id="111"/>
    <w:p>
      <w:pPr>
        <w:spacing w:line="360" w:lineRule="auto"/>
        <w:ind w:firstLine="420" w:firstLineChars="200"/>
        <w:rPr>
          <w:rFonts w:ascii="宋体" w:hAnsi="宋体"/>
          <w:szCs w:val="21"/>
          <w:highlight w:val="none"/>
        </w:rPr>
      </w:pPr>
      <w:r>
        <w:rPr>
          <w:rFonts w:ascii="宋体" w:hAnsi="宋体"/>
          <w:szCs w:val="21"/>
          <w:highlight w:val="none"/>
          <w:lang w:bidi="ar"/>
        </w:rPr>
        <w:t>3.6.4</w:t>
      </w:r>
      <w:r>
        <w:rPr>
          <w:rFonts w:hint="eastAsia" w:ascii="宋体" w:hAnsi="宋体" w:cs="宋体"/>
          <w:szCs w:val="21"/>
          <w:highlight w:val="none"/>
          <w:lang w:bidi="ar"/>
        </w:rPr>
        <w:t>为确保网上操作合法、有效和安全，供应商应当在投标截止时间前完成在</w:t>
      </w:r>
      <w:r>
        <w:rPr>
          <w:rFonts w:ascii="宋体" w:hAnsi="宋体"/>
          <w:szCs w:val="21"/>
          <w:highlight w:val="none"/>
          <w:lang w:bidi="ar"/>
        </w:rPr>
        <w:t>“</w:t>
      </w:r>
      <w:r>
        <w:rPr>
          <w:rFonts w:hint="eastAsia" w:ascii="宋体" w:hAnsi="宋体" w:cs="宋体"/>
          <w:szCs w:val="21"/>
          <w:highlight w:val="none"/>
          <w:lang w:bidi="ar"/>
        </w:rPr>
        <w:t>政采云</w:t>
      </w:r>
      <w:r>
        <w:rPr>
          <w:rFonts w:ascii="宋体" w:hAnsi="宋体"/>
          <w:szCs w:val="21"/>
          <w:highlight w:val="none"/>
          <w:lang w:bidi="ar"/>
        </w:rPr>
        <w:t>”</w:t>
      </w:r>
      <w:r>
        <w:rPr>
          <w:rFonts w:hint="eastAsia" w:ascii="宋体" w:hAnsi="宋体" w:cs="宋体"/>
          <w:szCs w:val="21"/>
          <w:highlight w:val="none"/>
          <w:lang w:bidi="ar"/>
        </w:rPr>
        <w:t>平台的身份认证，确保在电子投标过程中能够对相关数据电文进行加密和使用电子签名。</w:t>
      </w:r>
    </w:p>
    <w:p>
      <w:pPr>
        <w:spacing w:line="360" w:lineRule="auto"/>
        <w:ind w:firstLine="420" w:firstLineChars="200"/>
        <w:rPr>
          <w:rFonts w:ascii="宋体" w:hAnsi="宋体"/>
          <w:szCs w:val="21"/>
          <w:highlight w:val="none"/>
        </w:rPr>
      </w:pPr>
      <w:r>
        <w:rPr>
          <w:rFonts w:ascii="宋体" w:hAnsi="宋体"/>
          <w:szCs w:val="21"/>
          <w:highlight w:val="none"/>
          <w:lang w:bidi="ar"/>
        </w:rPr>
        <w:t>3.6.5</w:t>
      </w:r>
      <w:r>
        <w:rPr>
          <w:rFonts w:hint="eastAsia" w:ascii="宋体" w:hAnsi="宋体" w:cs="宋体"/>
          <w:szCs w:val="21"/>
          <w:highlight w:val="none"/>
          <w:lang w:bidi="ar"/>
        </w:rPr>
        <w:t>投标文件中标注的供应商名称应与主体资格证明（如营业执照、事业单位法人证书、执业许可证、个体工商户营业执照、自然人身份证等）和公章</w:t>
      </w:r>
      <w:r>
        <w:rPr>
          <w:rFonts w:ascii="宋体" w:hAnsi="宋体"/>
          <w:szCs w:val="21"/>
          <w:highlight w:val="none"/>
          <w:lang w:bidi="ar"/>
        </w:rPr>
        <w:t>/</w:t>
      </w:r>
      <w:r>
        <w:rPr>
          <w:rFonts w:hint="eastAsia" w:ascii="宋体" w:hAnsi="宋体" w:cs="宋体"/>
          <w:szCs w:val="21"/>
          <w:highlight w:val="none"/>
          <w:lang w:bidi="ar"/>
        </w:rPr>
        <w:t>电子签章一致，</w:t>
      </w:r>
      <w:r>
        <w:rPr>
          <w:rFonts w:hint="eastAsia" w:ascii="宋体" w:hAnsi="宋体" w:cs="宋体"/>
          <w:b/>
          <w:bCs/>
          <w:szCs w:val="21"/>
          <w:highlight w:val="none"/>
          <w:lang w:bidi="ar"/>
        </w:rPr>
        <w:t>否则作无效投标处理。</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3.7</w:t>
      </w:r>
      <w:r>
        <w:rPr>
          <w:rFonts w:hint="eastAsia" w:ascii="宋体" w:hAnsi="宋体"/>
          <w:b/>
          <w:bCs/>
          <w:kern w:val="0"/>
          <w:szCs w:val="21"/>
          <w:highlight w:val="none"/>
          <w:lang w:bidi="ar"/>
        </w:rPr>
        <w:t>投标文件的递交、修改和撤回</w:t>
      </w:r>
    </w:p>
    <w:p>
      <w:pPr>
        <w:spacing w:line="360" w:lineRule="auto"/>
        <w:ind w:firstLine="420" w:firstLineChars="200"/>
        <w:rPr>
          <w:rFonts w:ascii="宋体" w:hAnsi="宋体"/>
          <w:szCs w:val="21"/>
          <w:highlight w:val="none"/>
        </w:rPr>
      </w:pPr>
      <w:r>
        <w:rPr>
          <w:rFonts w:ascii="宋体" w:hAnsi="宋体"/>
          <w:szCs w:val="21"/>
          <w:highlight w:val="none"/>
          <w:lang w:bidi="ar"/>
        </w:rPr>
        <w:t>3.7.1</w:t>
      </w:r>
      <w:r>
        <w:rPr>
          <w:rFonts w:hint="eastAsia" w:ascii="宋体" w:hAnsi="宋体" w:cs="宋体"/>
          <w:szCs w:val="21"/>
          <w:highlight w:val="none"/>
          <w:lang w:bidi="ar"/>
        </w:rPr>
        <w:t>供应商必须在</w:t>
      </w:r>
      <w:r>
        <w:rPr>
          <w:rFonts w:ascii="宋体" w:hAnsi="宋体"/>
          <w:szCs w:val="21"/>
          <w:highlight w:val="none"/>
          <w:lang w:bidi="ar"/>
        </w:rPr>
        <w:t>“</w:t>
      </w:r>
      <w:r>
        <w:rPr>
          <w:rFonts w:hint="eastAsia" w:ascii="宋体" w:hAnsi="宋体" w:cs="宋体"/>
          <w:szCs w:val="21"/>
          <w:highlight w:val="none"/>
          <w:lang w:bidi="ar"/>
        </w:rPr>
        <w:t>供应商须知前附表</w:t>
      </w:r>
      <w:r>
        <w:rPr>
          <w:rFonts w:ascii="宋体" w:hAnsi="宋体"/>
          <w:szCs w:val="21"/>
          <w:highlight w:val="none"/>
          <w:lang w:bidi="ar"/>
        </w:rPr>
        <w:t>”</w:t>
      </w:r>
      <w:r>
        <w:rPr>
          <w:rFonts w:hint="eastAsia" w:ascii="宋体" w:hAnsi="宋体" w:cs="宋体"/>
          <w:szCs w:val="21"/>
          <w:highlight w:val="none"/>
          <w:lang w:bidi="ar"/>
        </w:rPr>
        <w:t>规定的投标文件开标时间和投标地点提交电子版投标文件。电子投标文件应在制作完成后，在投标截止时间前通过有效数字证书（</w:t>
      </w:r>
      <w:r>
        <w:rPr>
          <w:rFonts w:ascii="宋体" w:hAnsi="宋体"/>
          <w:szCs w:val="21"/>
          <w:highlight w:val="none"/>
          <w:lang w:bidi="ar"/>
        </w:rPr>
        <w:t>CA</w:t>
      </w:r>
      <w:r>
        <w:rPr>
          <w:rFonts w:hint="eastAsia" w:ascii="宋体" w:hAnsi="宋体" w:cs="宋体"/>
          <w:szCs w:val="21"/>
          <w:highlight w:val="none"/>
          <w:lang w:bidi="ar"/>
        </w:rPr>
        <w:t>认证锁）进行电子签章、加密，然后通过网络将加密的电子投标文件递交至</w:t>
      </w:r>
      <w:r>
        <w:rPr>
          <w:rFonts w:ascii="宋体" w:hAnsi="宋体"/>
          <w:szCs w:val="21"/>
          <w:highlight w:val="none"/>
          <w:lang w:bidi="ar"/>
        </w:rPr>
        <w:t>“</w:t>
      </w:r>
      <w:r>
        <w:rPr>
          <w:rFonts w:hint="eastAsia" w:ascii="宋体" w:hAnsi="宋体" w:cs="宋体"/>
          <w:szCs w:val="21"/>
          <w:highlight w:val="none"/>
          <w:lang w:bidi="ar"/>
        </w:rPr>
        <w:t>广西政府采购云平台</w:t>
      </w:r>
      <w:r>
        <w:rPr>
          <w:rFonts w:ascii="宋体" w:hAnsi="宋体"/>
          <w:szCs w:val="21"/>
          <w:highlight w:val="none"/>
          <w:lang w:bidi="ar"/>
        </w:rPr>
        <w:t>”</w:t>
      </w:r>
      <w:r>
        <w:rPr>
          <w:rFonts w:hint="eastAsia" w:ascii="宋体" w:hAnsi="宋体" w:cs="宋体"/>
          <w:szCs w:val="21"/>
          <w:highlight w:val="none"/>
          <w:lang w:bidi="ar"/>
        </w:rPr>
        <w:t>。</w:t>
      </w:r>
    </w:p>
    <w:p>
      <w:pPr>
        <w:spacing w:line="360" w:lineRule="auto"/>
        <w:ind w:firstLine="420" w:firstLineChars="200"/>
        <w:rPr>
          <w:rFonts w:ascii="宋体" w:hAnsi="宋体"/>
          <w:szCs w:val="21"/>
          <w:highlight w:val="none"/>
        </w:rPr>
      </w:pPr>
      <w:r>
        <w:rPr>
          <w:rFonts w:ascii="宋体" w:hAnsi="宋体"/>
          <w:szCs w:val="21"/>
          <w:highlight w:val="none"/>
          <w:lang w:bidi="ar"/>
        </w:rPr>
        <w:t>3.7.2</w:t>
      </w:r>
      <w:r>
        <w:rPr>
          <w:rFonts w:hint="eastAsia" w:ascii="宋体" w:hAnsi="宋体" w:cs="宋体"/>
          <w:szCs w:val="21"/>
          <w:highlight w:val="none"/>
          <w:lang w:bidi="ar"/>
        </w:rPr>
        <w:t>未在规定时间内提交或者未按照招标文件要求签章、加密的电子投标文件，广西政府采购云平台将拒收。</w:t>
      </w:r>
      <w:r>
        <w:rPr>
          <w:rFonts w:ascii="宋体" w:hAnsi="宋体"/>
          <w:szCs w:val="21"/>
          <w:highlight w:val="none"/>
          <w:lang w:bidi="ar"/>
        </w:rPr>
        <w:t xml:space="preserve"> </w:t>
      </w:r>
    </w:p>
    <w:p>
      <w:pPr>
        <w:spacing w:line="360" w:lineRule="auto"/>
        <w:ind w:firstLine="420" w:firstLineChars="200"/>
        <w:rPr>
          <w:rFonts w:ascii="宋体" w:hAnsi="宋体"/>
          <w:szCs w:val="21"/>
          <w:highlight w:val="none"/>
        </w:rPr>
      </w:pPr>
      <w:bookmarkStart w:id="112" w:name="_Toc254970685"/>
      <w:bookmarkStart w:id="113" w:name="_Toc254970544"/>
      <w:r>
        <w:rPr>
          <w:rFonts w:ascii="宋体" w:hAnsi="宋体"/>
          <w:szCs w:val="21"/>
          <w:highlight w:val="none"/>
          <w:lang w:bidi="ar"/>
        </w:rPr>
        <w:t>3.7.3</w:t>
      </w:r>
      <w:r>
        <w:rPr>
          <w:rFonts w:hint="eastAsia" w:ascii="宋体" w:hAnsi="宋体" w:cs="宋体"/>
          <w:szCs w:val="21"/>
          <w:highlight w:val="none"/>
          <w:lang w:bidi="ar"/>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pPr>
        <w:spacing w:line="360" w:lineRule="auto"/>
        <w:ind w:firstLine="420" w:firstLineChars="200"/>
        <w:rPr>
          <w:rFonts w:ascii="宋体" w:hAnsi="宋体"/>
          <w:szCs w:val="21"/>
          <w:highlight w:val="none"/>
        </w:rPr>
      </w:pPr>
      <w:r>
        <w:rPr>
          <w:rFonts w:ascii="宋体" w:hAnsi="宋体"/>
          <w:szCs w:val="21"/>
          <w:highlight w:val="none"/>
          <w:lang w:bidi="ar"/>
        </w:rPr>
        <w:t>3.7.4</w:t>
      </w:r>
      <w:r>
        <w:rPr>
          <w:rFonts w:hint="eastAsia" w:ascii="宋体" w:hAnsi="宋体" w:cs="宋体"/>
          <w:szCs w:val="21"/>
          <w:highlight w:val="none"/>
          <w:lang w:bidi="ar"/>
        </w:rPr>
        <w:t>在投标截止时间前，除供应商补充、修改或者撤回投标文件外，任何单位和个人不得解密或提取投标文件。</w:t>
      </w:r>
    </w:p>
    <w:p>
      <w:pPr>
        <w:spacing w:line="360" w:lineRule="auto"/>
        <w:ind w:firstLine="420" w:firstLineChars="200"/>
        <w:rPr>
          <w:rFonts w:ascii="宋体" w:hAnsi="宋体"/>
          <w:szCs w:val="21"/>
          <w:highlight w:val="none"/>
        </w:rPr>
      </w:pPr>
      <w:r>
        <w:rPr>
          <w:rFonts w:ascii="宋体" w:hAnsi="宋体"/>
          <w:szCs w:val="21"/>
          <w:highlight w:val="none"/>
          <w:lang w:bidi="ar"/>
        </w:rPr>
        <w:t>3.7.5</w:t>
      </w:r>
      <w:r>
        <w:rPr>
          <w:rFonts w:hint="eastAsia" w:ascii="宋体" w:hAnsi="宋体" w:cs="宋体"/>
          <w:szCs w:val="21"/>
          <w:highlight w:val="none"/>
          <w:lang w:bidi="ar"/>
        </w:rPr>
        <w:t>在投标截止时间止提交电子版投标文件的供应商不足</w:t>
      </w:r>
      <w:r>
        <w:rPr>
          <w:rFonts w:ascii="宋体" w:hAnsi="宋体"/>
          <w:szCs w:val="21"/>
          <w:highlight w:val="none"/>
          <w:lang w:bidi="ar"/>
        </w:rPr>
        <w:t>3</w:t>
      </w:r>
      <w:r>
        <w:rPr>
          <w:rFonts w:hint="eastAsia" w:ascii="宋体" w:hAnsi="宋体" w:cs="宋体"/>
          <w:szCs w:val="21"/>
          <w:highlight w:val="none"/>
          <w:lang w:bidi="ar"/>
        </w:rPr>
        <w:t>家时，电子版投标文件由代理机构在广西政府采购云平台操作退回，除此之外采购人和采购代理机构对已提交的投标文件概不退回。</w:t>
      </w:r>
    </w:p>
    <w:p>
      <w:pPr>
        <w:spacing w:line="360" w:lineRule="auto"/>
        <w:ind w:firstLine="420" w:firstLineChars="200"/>
        <w:rPr>
          <w:rFonts w:ascii="宋体" w:hAnsi="宋体"/>
          <w:szCs w:val="21"/>
          <w:highlight w:val="none"/>
        </w:rPr>
      </w:pPr>
      <w:bookmarkStart w:id="114" w:name="_Hlk93046827"/>
      <w:r>
        <w:rPr>
          <w:rFonts w:ascii="宋体" w:hAnsi="宋体"/>
          <w:szCs w:val="21"/>
          <w:highlight w:val="none"/>
          <w:lang w:bidi="ar"/>
        </w:rPr>
        <w:t>3.7.6</w:t>
      </w:r>
      <w:r>
        <w:rPr>
          <w:rFonts w:hint="eastAsia" w:ascii="宋体" w:hAnsi="宋体" w:cs="宋体"/>
          <w:szCs w:val="21"/>
          <w:highlight w:val="none"/>
          <w:lang w:bidi="ar"/>
        </w:rPr>
        <w:t>招标文件未允许提供备选文件，但存在</w:t>
      </w:r>
      <w:r>
        <w:rPr>
          <w:rFonts w:hint="eastAsia" w:ascii="宋体" w:hAnsi="宋体" w:cs="宋体"/>
          <w:highlight w:val="none"/>
          <w:lang w:bidi="ar"/>
        </w:rPr>
        <w:t>同</w:t>
      </w:r>
      <w:r>
        <w:rPr>
          <w:rFonts w:hint="eastAsia" w:ascii="宋体" w:hAnsi="宋体" w:cs="宋体"/>
          <w:szCs w:val="21"/>
          <w:highlight w:val="none"/>
          <w:lang w:bidi="ar"/>
        </w:rPr>
        <w:t>一供应商提交两个或以上不同的投标文件，</w:t>
      </w:r>
      <w:r>
        <w:rPr>
          <w:rFonts w:hint="eastAsia" w:ascii="宋体" w:hAnsi="宋体" w:cs="宋体"/>
          <w:b/>
          <w:bCs/>
          <w:szCs w:val="21"/>
          <w:highlight w:val="none"/>
          <w:lang w:bidi="ar"/>
        </w:rPr>
        <w:t>其投标无效。</w:t>
      </w:r>
      <w:r>
        <w:rPr>
          <w:rFonts w:hint="eastAsia" w:ascii="宋体" w:hAnsi="宋体" w:cs="宋体"/>
          <w:szCs w:val="21"/>
          <w:highlight w:val="none"/>
          <w:lang w:bidi="ar"/>
        </w:rPr>
        <w:t>供应商在同一投标文件中对某项技术、商务要求提供有选择性的响应参数或方案等同于提交两个或以上不同的投标文件。</w:t>
      </w:r>
    </w:p>
    <w:bookmarkEnd w:id="114"/>
    <w:p>
      <w:pPr>
        <w:spacing w:line="360" w:lineRule="auto"/>
        <w:ind w:firstLine="422" w:firstLineChars="200"/>
        <w:outlineLvl w:val="2"/>
        <w:rPr>
          <w:rFonts w:ascii="宋体" w:hAnsi="宋体"/>
          <w:b/>
          <w:bCs/>
          <w:kern w:val="0"/>
          <w:szCs w:val="21"/>
          <w:highlight w:val="none"/>
          <w:lang w:bidi="ar"/>
        </w:rPr>
      </w:pPr>
      <w:r>
        <w:rPr>
          <w:rFonts w:ascii="宋体" w:hAnsi="宋体"/>
          <w:b/>
          <w:bCs/>
          <w:kern w:val="0"/>
          <w:szCs w:val="21"/>
          <w:highlight w:val="none"/>
          <w:lang w:bidi="ar"/>
        </w:rPr>
        <w:t>4</w:t>
      </w:r>
      <w:r>
        <w:rPr>
          <w:rFonts w:hint="eastAsia" w:ascii="宋体" w:hAnsi="宋体"/>
          <w:b/>
          <w:bCs/>
          <w:kern w:val="0"/>
          <w:szCs w:val="21"/>
          <w:highlight w:val="none"/>
          <w:lang w:bidi="ar"/>
        </w:rPr>
        <w:t>．开标</w:t>
      </w:r>
      <w:bookmarkEnd w:id="112"/>
      <w:bookmarkEnd w:id="113"/>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4.1</w:t>
      </w:r>
      <w:r>
        <w:rPr>
          <w:rFonts w:hint="eastAsia" w:ascii="宋体" w:hAnsi="宋体"/>
          <w:b/>
          <w:bCs/>
          <w:kern w:val="0"/>
          <w:szCs w:val="21"/>
          <w:highlight w:val="none"/>
          <w:lang w:bidi="ar"/>
        </w:rPr>
        <w:t>开标准备</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本项目投标截止时间及地点见</w:t>
      </w:r>
      <w:r>
        <w:rPr>
          <w:rFonts w:ascii="宋体" w:hAnsi="宋体"/>
          <w:szCs w:val="21"/>
          <w:highlight w:val="none"/>
          <w:lang w:bidi="ar"/>
        </w:rPr>
        <w:t>“</w:t>
      </w:r>
      <w:r>
        <w:rPr>
          <w:rFonts w:hint="eastAsia" w:ascii="宋体" w:hAnsi="宋体" w:cs="宋体"/>
          <w:szCs w:val="21"/>
          <w:highlight w:val="none"/>
          <w:lang w:bidi="ar"/>
        </w:rPr>
        <w:t>供应商须知前附表</w:t>
      </w:r>
      <w:r>
        <w:rPr>
          <w:rFonts w:ascii="宋体" w:hAnsi="宋体"/>
          <w:szCs w:val="21"/>
          <w:highlight w:val="none"/>
          <w:lang w:bidi="ar"/>
        </w:rPr>
        <w:t>”</w:t>
      </w:r>
      <w:r>
        <w:rPr>
          <w:rFonts w:hint="eastAsia" w:ascii="宋体" w:hAnsi="宋体" w:cs="宋体"/>
          <w:szCs w:val="21"/>
          <w:highlight w:val="none"/>
          <w:lang w:bidi="ar"/>
        </w:rPr>
        <w:t>规定。</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cs="宋体"/>
          <w:szCs w:val="21"/>
          <w:highlight w:val="none"/>
          <w:lang w:bidi="ar"/>
        </w:rPr>
        <w:t>全流程电子化项目没有现场递交投标文件及现场开标环节。采购代理机构将按照招标文件规定的时间通过广西政府采购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如供应商成功解密投标文件，但未在广西政府采购云平台电子开标大厅参加开标的，视同认可开标过程和结果，由此产生的后果由供应商自行负责。</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4.2</w:t>
      </w:r>
      <w:r>
        <w:rPr>
          <w:rFonts w:hint="eastAsia" w:ascii="宋体" w:hAnsi="宋体"/>
          <w:b/>
          <w:bCs/>
          <w:kern w:val="0"/>
          <w:szCs w:val="21"/>
          <w:highlight w:val="none"/>
          <w:lang w:bidi="ar"/>
        </w:rPr>
        <w:t>开标程序</w:t>
      </w:r>
    </w:p>
    <w:p>
      <w:pPr>
        <w:spacing w:line="360" w:lineRule="auto"/>
        <w:ind w:firstLine="420" w:firstLineChars="200"/>
        <w:rPr>
          <w:rFonts w:ascii="宋体" w:hAnsi="宋体"/>
          <w:szCs w:val="21"/>
          <w:highlight w:val="none"/>
        </w:rPr>
      </w:pPr>
      <w:r>
        <w:rPr>
          <w:rFonts w:ascii="宋体" w:hAnsi="宋体"/>
          <w:szCs w:val="21"/>
          <w:highlight w:val="none"/>
          <w:lang w:bidi="ar"/>
        </w:rPr>
        <w:t>4.2.1</w:t>
      </w:r>
      <w:r>
        <w:rPr>
          <w:rFonts w:hint="eastAsia" w:ascii="宋体" w:hAnsi="宋体" w:cs="宋体"/>
          <w:szCs w:val="21"/>
          <w:highlight w:val="none"/>
          <w:lang w:bidi="ar"/>
        </w:rPr>
        <w:t>供应商登录广西政府采购云平台进入开标大厅签到。</w:t>
      </w:r>
    </w:p>
    <w:p>
      <w:pPr>
        <w:spacing w:line="360" w:lineRule="auto"/>
        <w:ind w:firstLine="420" w:firstLineChars="200"/>
        <w:rPr>
          <w:rFonts w:ascii="宋体" w:hAnsi="宋体" w:cs="宋体"/>
          <w:szCs w:val="21"/>
          <w:highlight w:val="none"/>
          <w:lang w:bidi="ar"/>
        </w:rPr>
      </w:pPr>
      <w:r>
        <w:rPr>
          <w:rFonts w:ascii="宋体" w:hAnsi="宋体" w:cs="宋体"/>
          <w:szCs w:val="21"/>
          <w:highlight w:val="none"/>
          <w:lang w:bidi="ar"/>
        </w:rPr>
        <w:t>4.2.2</w:t>
      </w:r>
      <w:r>
        <w:rPr>
          <w:rFonts w:hint="eastAsia" w:ascii="宋体" w:hAnsi="宋体" w:cs="宋体"/>
          <w:szCs w:val="21"/>
          <w:highlight w:val="none"/>
          <w:lang w:bidi="ar"/>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w:t>
      </w:r>
      <w:r>
        <w:rPr>
          <w:rFonts w:ascii="宋体" w:hAnsi="宋体" w:cs="宋体"/>
          <w:szCs w:val="21"/>
          <w:highlight w:val="none"/>
          <w:lang w:bidi="ar"/>
        </w:rPr>
        <w:t>CA</w:t>
      </w:r>
      <w:r>
        <w:rPr>
          <w:rFonts w:hint="eastAsia" w:ascii="宋体" w:hAnsi="宋体" w:cs="宋体"/>
          <w:szCs w:val="21"/>
          <w:highlight w:val="none"/>
          <w:lang w:bidi="ar"/>
        </w:rPr>
        <w:t>锁准时登录到广西政府采购云平台电子开标大厅签到并对电子投标文件解密。开标后供应商未及时进行解密的，代理机构可通知供应商。通知后，投标文件仍未在上述规定时间内解密，或者供应商没预留联系方式或预留联系方式无效导致代理机构无法联系到供应商进行解密的，均视为无效投标。</w:t>
      </w:r>
    </w:p>
    <w:p>
      <w:pPr>
        <w:spacing w:line="360" w:lineRule="auto"/>
        <w:ind w:firstLine="420" w:firstLineChars="200"/>
        <w:rPr>
          <w:rFonts w:ascii="宋体" w:hAnsi="宋体"/>
          <w:szCs w:val="21"/>
          <w:highlight w:val="none"/>
        </w:rPr>
      </w:pPr>
      <w:r>
        <w:rPr>
          <w:rFonts w:ascii="宋体" w:hAnsi="宋体"/>
          <w:szCs w:val="21"/>
          <w:highlight w:val="none"/>
          <w:lang w:bidi="ar"/>
        </w:rPr>
        <w:t>4.2.3</w:t>
      </w:r>
      <w:r>
        <w:rPr>
          <w:rFonts w:hint="eastAsia" w:ascii="宋体" w:hAnsi="宋体" w:cs="宋体"/>
          <w:szCs w:val="21"/>
          <w:highlight w:val="none"/>
          <w:lang w:bidi="ar"/>
        </w:rPr>
        <w:t>是否接受备份投标文件详见供应商须知前附表。</w:t>
      </w:r>
    </w:p>
    <w:p>
      <w:pPr>
        <w:spacing w:line="360" w:lineRule="auto"/>
        <w:ind w:firstLine="420" w:firstLineChars="200"/>
        <w:rPr>
          <w:rFonts w:ascii="宋体" w:hAnsi="宋体"/>
          <w:szCs w:val="21"/>
          <w:highlight w:val="none"/>
        </w:rPr>
      </w:pPr>
      <w:r>
        <w:rPr>
          <w:rFonts w:ascii="宋体" w:hAnsi="宋体"/>
          <w:szCs w:val="21"/>
          <w:highlight w:val="none"/>
          <w:lang w:bidi="ar"/>
        </w:rPr>
        <w:t>4.2.4</w:t>
      </w:r>
      <w:r>
        <w:rPr>
          <w:rFonts w:hint="eastAsia" w:ascii="宋体" w:hAnsi="宋体" w:cs="宋体"/>
          <w:szCs w:val="21"/>
          <w:highlight w:val="none"/>
          <w:lang w:bidi="ar"/>
        </w:rPr>
        <w:t>供应商对报价进行确认。</w:t>
      </w:r>
    </w:p>
    <w:p>
      <w:pPr>
        <w:spacing w:line="360" w:lineRule="auto"/>
        <w:ind w:firstLine="420" w:firstLineChars="200"/>
        <w:rPr>
          <w:rFonts w:ascii="宋体" w:hAnsi="宋体"/>
          <w:szCs w:val="21"/>
          <w:highlight w:val="none"/>
        </w:rPr>
      </w:pPr>
      <w:r>
        <w:rPr>
          <w:rFonts w:ascii="宋体" w:hAnsi="宋体"/>
          <w:szCs w:val="21"/>
          <w:highlight w:val="none"/>
          <w:lang w:bidi="ar"/>
        </w:rPr>
        <w:t>4.2.5</w:t>
      </w:r>
      <w:r>
        <w:rPr>
          <w:rFonts w:hint="eastAsia" w:ascii="宋体" w:hAnsi="宋体" w:cs="宋体"/>
          <w:szCs w:val="21"/>
          <w:highlight w:val="none"/>
          <w:lang w:bidi="ar"/>
        </w:rPr>
        <w:t>开标结束。</w:t>
      </w:r>
    </w:p>
    <w:p>
      <w:pPr>
        <w:pStyle w:val="49"/>
        <w:widowControl w:val="0"/>
        <w:snapToGrid w:val="0"/>
        <w:spacing w:before="0" w:beforeAutospacing="0" w:after="0" w:afterAutospacing="0" w:line="360" w:lineRule="auto"/>
        <w:ind w:firstLine="422" w:firstLineChars="200"/>
        <w:jc w:val="both"/>
        <w:rPr>
          <w:highlight w:val="none"/>
        </w:rPr>
      </w:pPr>
      <w:r>
        <w:rPr>
          <w:rFonts w:hint="eastAsia"/>
          <w:b/>
          <w:bCs/>
          <w:kern w:val="2"/>
          <w:sz w:val="21"/>
          <w:szCs w:val="21"/>
          <w:highlight w:val="none"/>
          <w:lang w:bidi="ar"/>
        </w:rPr>
        <w:t>特别说明：</w:t>
      </w:r>
      <w:r>
        <w:rPr>
          <w:rFonts w:hint="eastAsia"/>
          <w:kern w:val="2"/>
          <w:sz w:val="21"/>
          <w:szCs w:val="21"/>
          <w:highlight w:val="none"/>
          <w:lang w:bidi="ar"/>
        </w:rPr>
        <w:t>如遇广西政府采购云平台电子化开标或评审程序调整的，按调整后的程序执行。</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4.3</w:t>
      </w:r>
      <w:r>
        <w:rPr>
          <w:rFonts w:hint="eastAsia" w:ascii="宋体" w:hAnsi="宋体"/>
          <w:b/>
          <w:bCs/>
          <w:kern w:val="0"/>
          <w:szCs w:val="21"/>
          <w:highlight w:val="none"/>
          <w:lang w:bidi="ar"/>
        </w:rPr>
        <w:t>演示</w:t>
      </w:r>
    </w:p>
    <w:p>
      <w:pPr>
        <w:spacing w:line="360" w:lineRule="auto"/>
        <w:ind w:firstLine="420" w:firstLineChars="200"/>
        <w:rPr>
          <w:rFonts w:ascii="宋体" w:hAnsi="宋体"/>
          <w:szCs w:val="21"/>
          <w:highlight w:val="none"/>
        </w:rPr>
      </w:pPr>
      <w:r>
        <w:rPr>
          <w:rFonts w:ascii="宋体" w:hAnsi="宋体"/>
          <w:szCs w:val="21"/>
          <w:highlight w:val="none"/>
          <w:lang w:bidi="ar"/>
        </w:rPr>
        <w:t>4.3.1“</w:t>
      </w:r>
      <w:r>
        <w:rPr>
          <w:rFonts w:hint="eastAsia" w:ascii="宋体" w:hAnsi="宋体" w:cs="宋体"/>
          <w:szCs w:val="21"/>
          <w:highlight w:val="none"/>
          <w:lang w:bidi="ar"/>
        </w:rPr>
        <w:t>供应商须知前附表</w:t>
      </w:r>
      <w:r>
        <w:rPr>
          <w:rFonts w:ascii="宋体" w:hAnsi="宋体"/>
          <w:szCs w:val="21"/>
          <w:highlight w:val="none"/>
          <w:lang w:bidi="ar"/>
        </w:rPr>
        <w:t>”</w:t>
      </w:r>
      <w:r>
        <w:rPr>
          <w:rFonts w:hint="eastAsia" w:ascii="宋体" w:hAnsi="宋体" w:cs="宋体"/>
          <w:szCs w:val="21"/>
          <w:highlight w:val="none"/>
          <w:lang w:bidi="ar"/>
        </w:rPr>
        <w:t>规定在开标会议结束后进行演示的，供应商应按规定进行演示。</w:t>
      </w:r>
    </w:p>
    <w:p>
      <w:pPr>
        <w:spacing w:line="360" w:lineRule="auto"/>
        <w:ind w:firstLine="420" w:firstLineChars="200"/>
        <w:rPr>
          <w:rFonts w:ascii="宋体" w:hAnsi="宋体"/>
          <w:szCs w:val="21"/>
          <w:highlight w:val="none"/>
        </w:rPr>
      </w:pPr>
      <w:r>
        <w:rPr>
          <w:rFonts w:ascii="宋体" w:hAnsi="宋体"/>
          <w:szCs w:val="21"/>
          <w:highlight w:val="none"/>
          <w:lang w:bidi="ar"/>
        </w:rPr>
        <w:t>4.3.2</w:t>
      </w:r>
      <w:r>
        <w:rPr>
          <w:rFonts w:hint="eastAsia" w:ascii="宋体" w:hAnsi="宋体" w:cs="宋体"/>
          <w:szCs w:val="21"/>
          <w:highlight w:val="none"/>
          <w:lang w:bidi="ar"/>
        </w:rPr>
        <w:t>未按规定时间进行演示可能引起的演示分数被计为</w:t>
      </w:r>
      <w:r>
        <w:rPr>
          <w:rFonts w:ascii="宋体" w:hAnsi="宋体"/>
          <w:szCs w:val="21"/>
          <w:highlight w:val="none"/>
          <w:lang w:bidi="ar"/>
        </w:rPr>
        <w:t>0</w:t>
      </w:r>
      <w:r>
        <w:rPr>
          <w:rFonts w:hint="eastAsia" w:ascii="宋体" w:hAnsi="宋体" w:cs="宋体"/>
          <w:szCs w:val="21"/>
          <w:highlight w:val="none"/>
          <w:lang w:bidi="ar"/>
        </w:rPr>
        <w:t>分或投标无效等后果由供应商自行承担。</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4.4</w:t>
      </w:r>
      <w:r>
        <w:rPr>
          <w:rFonts w:hint="eastAsia" w:ascii="宋体" w:hAnsi="宋体"/>
          <w:b/>
          <w:bCs/>
          <w:kern w:val="0"/>
          <w:szCs w:val="21"/>
          <w:highlight w:val="none"/>
          <w:lang w:bidi="ar"/>
        </w:rPr>
        <w:t>样品</w:t>
      </w:r>
    </w:p>
    <w:p>
      <w:pPr>
        <w:spacing w:line="360" w:lineRule="auto"/>
        <w:ind w:firstLine="420" w:firstLineChars="200"/>
        <w:rPr>
          <w:rFonts w:ascii="宋体" w:hAnsi="宋体"/>
          <w:szCs w:val="21"/>
          <w:highlight w:val="none"/>
        </w:rPr>
      </w:pPr>
      <w:r>
        <w:rPr>
          <w:rFonts w:ascii="宋体" w:hAnsi="宋体"/>
          <w:szCs w:val="21"/>
          <w:highlight w:val="none"/>
          <w:lang w:bidi="ar"/>
        </w:rPr>
        <w:t>4.4.1“</w:t>
      </w:r>
      <w:r>
        <w:rPr>
          <w:rFonts w:hint="eastAsia" w:ascii="宋体" w:hAnsi="宋体" w:cs="宋体"/>
          <w:szCs w:val="21"/>
          <w:highlight w:val="none"/>
          <w:lang w:bidi="ar"/>
        </w:rPr>
        <w:t>供应商须知前附表</w:t>
      </w:r>
      <w:r>
        <w:rPr>
          <w:rFonts w:ascii="宋体" w:hAnsi="宋体"/>
          <w:szCs w:val="21"/>
          <w:highlight w:val="none"/>
          <w:lang w:bidi="ar"/>
        </w:rPr>
        <w:t>”</w:t>
      </w:r>
      <w:r>
        <w:rPr>
          <w:rFonts w:hint="eastAsia" w:ascii="宋体" w:hAnsi="宋体" w:cs="宋体"/>
          <w:szCs w:val="21"/>
          <w:highlight w:val="none"/>
          <w:lang w:bidi="ar"/>
        </w:rPr>
        <w:t>规定递交样品的，供应商应按前附表规定递交样品，递交样品时应附样品递交表（格式见第六章）。</w:t>
      </w:r>
    </w:p>
    <w:p>
      <w:pPr>
        <w:spacing w:line="360" w:lineRule="auto"/>
        <w:ind w:firstLine="420" w:firstLineChars="200"/>
        <w:rPr>
          <w:rFonts w:ascii="宋体" w:hAnsi="宋体"/>
          <w:szCs w:val="21"/>
          <w:highlight w:val="none"/>
        </w:rPr>
      </w:pPr>
      <w:r>
        <w:rPr>
          <w:rFonts w:ascii="宋体" w:hAnsi="宋体"/>
          <w:szCs w:val="21"/>
          <w:highlight w:val="none"/>
          <w:lang w:bidi="ar"/>
        </w:rPr>
        <w:t>4.4.2</w:t>
      </w:r>
      <w:r>
        <w:rPr>
          <w:rFonts w:hint="eastAsia" w:ascii="宋体" w:hAnsi="宋体" w:cs="宋体"/>
          <w:szCs w:val="21"/>
          <w:highlight w:val="none"/>
          <w:lang w:bidi="ar"/>
        </w:rPr>
        <w:t>未按规定时间递交样品可能引起的样品分数被计为</w:t>
      </w:r>
      <w:r>
        <w:rPr>
          <w:rFonts w:ascii="宋体" w:hAnsi="宋体"/>
          <w:szCs w:val="21"/>
          <w:highlight w:val="none"/>
          <w:lang w:bidi="ar"/>
        </w:rPr>
        <w:t>0</w:t>
      </w:r>
      <w:r>
        <w:rPr>
          <w:rFonts w:hint="eastAsia" w:ascii="宋体" w:hAnsi="宋体" w:cs="宋体"/>
          <w:szCs w:val="21"/>
          <w:highlight w:val="none"/>
          <w:lang w:bidi="ar"/>
        </w:rPr>
        <w:t>分或投标无效等后果由供应商自行承担。</w:t>
      </w:r>
    </w:p>
    <w:p>
      <w:pPr>
        <w:spacing w:line="360" w:lineRule="auto"/>
        <w:ind w:firstLine="420" w:firstLineChars="200"/>
        <w:rPr>
          <w:rFonts w:ascii="宋体" w:hAnsi="宋体"/>
          <w:szCs w:val="21"/>
          <w:highlight w:val="none"/>
        </w:rPr>
      </w:pPr>
      <w:bookmarkStart w:id="115" w:name="_Toc254970686"/>
      <w:bookmarkStart w:id="116" w:name="_Toc254970545"/>
      <w:r>
        <w:rPr>
          <w:rFonts w:ascii="宋体" w:hAnsi="宋体"/>
          <w:szCs w:val="21"/>
          <w:highlight w:val="none"/>
          <w:lang w:bidi="ar"/>
        </w:rPr>
        <w:t>4.4.3</w:t>
      </w:r>
      <w:r>
        <w:rPr>
          <w:rFonts w:hint="eastAsia" w:ascii="宋体" w:hAnsi="宋体" w:cs="宋体"/>
          <w:szCs w:val="21"/>
          <w:highlight w:val="none"/>
          <w:lang w:bidi="ar"/>
        </w:rPr>
        <w:t>样品封存或退还的说明请见第六章投标文件格式所附样品递交表。</w:t>
      </w:r>
    </w:p>
    <w:p>
      <w:pPr>
        <w:spacing w:line="360" w:lineRule="auto"/>
        <w:ind w:firstLine="422" w:firstLineChars="200"/>
        <w:outlineLvl w:val="2"/>
        <w:rPr>
          <w:rFonts w:ascii="宋体" w:hAnsi="宋体"/>
          <w:b/>
          <w:bCs/>
          <w:kern w:val="0"/>
          <w:szCs w:val="21"/>
          <w:highlight w:val="none"/>
          <w:lang w:bidi="ar"/>
        </w:rPr>
      </w:pPr>
      <w:bookmarkStart w:id="117" w:name="_Hlk93420947"/>
      <w:r>
        <w:rPr>
          <w:rFonts w:ascii="宋体" w:hAnsi="宋体"/>
          <w:b/>
          <w:bCs/>
          <w:kern w:val="0"/>
          <w:szCs w:val="21"/>
          <w:highlight w:val="none"/>
          <w:lang w:bidi="ar"/>
        </w:rPr>
        <w:t>5</w:t>
      </w:r>
      <w:r>
        <w:rPr>
          <w:rFonts w:hint="eastAsia" w:ascii="宋体" w:hAnsi="宋体"/>
          <w:b/>
          <w:bCs/>
          <w:kern w:val="0"/>
          <w:szCs w:val="21"/>
          <w:highlight w:val="none"/>
          <w:lang w:bidi="ar"/>
        </w:rPr>
        <w:t>．资格审查</w:t>
      </w:r>
    </w:p>
    <w:p>
      <w:pPr>
        <w:spacing w:line="360" w:lineRule="auto"/>
        <w:ind w:firstLine="420" w:firstLineChars="200"/>
        <w:outlineLvl w:val="3"/>
        <w:rPr>
          <w:rFonts w:ascii="宋体" w:hAnsi="宋体"/>
          <w:bCs/>
          <w:kern w:val="0"/>
          <w:szCs w:val="21"/>
          <w:highlight w:val="none"/>
          <w:lang w:bidi="ar"/>
        </w:rPr>
      </w:pPr>
      <w:r>
        <w:rPr>
          <w:rFonts w:ascii="宋体" w:hAnsi="宋体"/>
          <w:bCs/>
          <w:kern w:val="0"/>
          <w:szCs w:val="21"/>
          <w:highlight w:val="none"/>
          <w:lang w:bidi="ar"/>
        </w:rPr>
        <w:t>5.1</w:t>
      </w:r>
      <w:r>
        <w:rPr>
          <w:rFonts w:hint="eastAsia" w:ascii="宋体" w:hAnsi="宋体"/>
          <w:bCs/>
          <w:kern w:val="0"/>
          <w:szCs w:val="21"/>
          <w:highlight w:val="none"/>
          <w:lang w:bidi="ar"/>
        </w:rPr>
        <w:t>开标结束后，采购人或者采购代理机构通过电子交易平台对供应商的资格进行线上审查。资格审查是根据法律法规和招标文件的规定，对供应商的基本资格条件、特定资格条件进行审查。</w:t>
      </w:r>
    </w:p>
    <w:p>
      <w:pPr>
        <w:spacing w:line="360" w:lineRule="auto"/>
        <w:ind w:firstLine="420" w:firstLineChars="200"/>
        <w:outlineLvl w:val="3"/>
        <w:rPr>
          <w:rFonts w:ascii="宋体" w:hAnsi="宋体"/>
          <w:bCs/>
          <w:kern w:val="0"/>
          <w:szCs w:val="21"/>
          <w:highlight w:val="none"/>
          <w:lang w:bidi="ar"/>
        </w:rPr>
      </w:pPr>
      <w:r>
        <w:rPr>
          <w:rFonts w:ascii="宋体" w:hAnsi="宋体"/>
          <w:bCs/>
          <w:kern w:val="0"/>
          <w:szCs w:val="21"/>
          <w:highlight w:val="none"/>
          <w:lang w:bidi="ar"/>
        </w:rPr>
        <w:t>5.2</w:t>
      </w:r>
      <w:r>
        <w:rPr>
          <w:rFonts w:hint="eastAsia" w:ascii="宋体" w:hAnsi="宋体"/>
          <w:bCs/>
          <w:kern w:val="0"/>
          <w:szCs w:val="21"/>
          <w:highlight w:val="none"/>
          <w:lang w:bidi="ar"/>
        </w:rPr>
        <w:t>资格审查标准在第四章评审方法及标准中规定，符合资格审查标准要求的供应商即为资格审查合格。</w:t>
      </w:r>
    </w:p>
    <w:p>
      <w:pPr>
        <w:spacing w:line="360" w:lineRule="auto"/>
        <w:ind w:firstLine="420" w:firstLineChars="200"/>
        <w:outlineLvl w:val="3"/>
        <w:rPr>
          <w:rFonts w:ascii="宋体" w:hAnsi="宋体"/>
          <w:bCs/>
          <w:kern w:val="0"/>
          <w:szCs w:val="21"/>
          <w:highlight w:val="none"/>
          <w:lang w:bidi="ar"/>
        </w:rPr>
      </w:pPr>
      <w:r>
        <w:rPr>
          <w:rFonts w:ascii="宋体" w:hAnsi="宋体"/>
          <w:bCs/>
          <w:kern w:val="0"/>
          <w:szCs w:val="21"/>
          <w:highlight w:val="none"/>
          <w:lang w:bidi="ar"/>
        </w:rPr>
        <w:t>5.3</w:t>
      </w:r>
      <w:r>
        <w:rPr>
          <w:rFonts w:hint="eastAsia" w:ascii="宋体" w:hAnsi="宋体"/>
          <w:bCs/>
          <w:kern w:val="0"/>
          <w:szCs w:val="21"/>
          <w:highlight w:val="none"/>
          <w:lang w:bidi="ar"/>
        </w:rPr>
        <w:t>供应商有下列情形之一的，资格审查不合格，作无效投标处理：</w:t>
      </w:r>
    </w:p>
    <w:p>
      <w:pPr>
        <w:spacing w:line="360" w:lineRule="auto"/>
        <w:ind w:firstLine="420" w:firstLineChars="200"/>
        <w:outlineLvl w:val="3"/>
        <w:rPr>
          <w:rFonts w:ascii="宋体" w:hAnsi="宋体"/>
          <w:highlight w:val="none"/>
        </w:rPr>
      </w:pPr>
      <w:r>
        <w:rPr>
          <w:rFonts w:ascii="宋体" w:hAnsi="宋体"/>
          <w:szCs w:val="21"/>
          <w:highlight w:val="none"/>
          <w:lang w:bidi="ar"/>
        </w:rPr>
        <w:t>5.3.1</w:t>
      </w:r>
      <w:r>
        <w:rPr>
          <w:rFonts w:hint="eastAsia" w:ascii="宋体" w:hAnsi="宋体" w:cs="宋体"/>
          <w:szCs w:val="21"/>
          <w:highlight w:val="none"/>
          <w:lang w:bidi="ar"/>
        </w:rPr>
        <w:t>不具备招标文件中规定的资格要求或资格条件的；</w:t>
      </w:r>
      <w:r>
        <w:rPr>
          <w:rFonts w:hint="eastAsia" w:ascii="宋体" w:hAnsi="宋体" w:cs="宋体"/>
          <w:highlight w:val="none"/>
          <w:lang w:bidi="ar"/>
        </w:rPr>
        <w:t>（注：其中信用查询规则见</w:t>
      </w:r>
      <w:r>
        <w:rPr>
          <w:rFonts w:ascii="宋体" w:hAnsi="宋体"/>
          <w:highlight w:val="none"/>
          <w:lang w:bidi="ar"/>
        </w:rPr>
        <w:t>“</w:t>
      </w:r>
      <w:r>
        <w:rPr>
          <w:rFonts w:hint="eastAsia" w:ascii="宋体" w:hAnsi="宋体" w:cs="宋体"/>
          <w:highlight w:val="none"/>
          <w:lang w:bidi="ar"/>
        </w:rPr>
        <w:t>投标人须知前附表</w:t>
      </w:r>
      <w:r>
        <w:rPr>
          <w:rFonts w:ascii="宋体" w:hAnsi="宋体"/>
          <w:highlight w:val="none"/>
          <w:lang w:bidi="ar"/>
        </w:rPr>
        <w:t>”</w:t>
      </w:r>
      <w:r>
        <w:rPr>
          <w:rFonts w:hint="eastAsia" w:ascii="宋体" w:hAnsi="宋体" w:cs="宋体"/>
          <w:highlight w:val="none"/>
          <w:lang w:bidi="ar"/>
        </w:rPr>
        <w:t>，</w:t>
      </w:r>
      <w:r>
        <w:rPr>
          <w:rFonts w:hint="eastAsia"/>
          <w:highlight w:val="none"/>
        </w:rPr>
        <w:t xml:space="preserve"> </w:t>
      </w:r>
      <w:r>
        <w:rPr>
          <w:rFonts w:hint="eastAsia" w:ascii="宋体" w:hAnsi="宋体"/>
          <w:highlight w:val="none"/>
          <w:lang w:bidi="ar"/>
        </w:rPr>
        <w:t>广西政府采购云平台</w:t>
      </w:r>
      <w:r>
        <w:rPr>
          <w:rFonts w:hint="eastAsia" w:ascii="宋体" w:hAnsi="宋体" w:cs="宋体"/>
          <w:highlight w:val="none"/>
          <w:lang w:bidi="ar"/>
        </w:rPr>
        <w:t>已与</w:t>
      </w:r>
      <w:r>
        <w:rPr>
          <w:rFonts w:ascii="宋体" w:hAnsi="宋体"/>
          <w:highlight w:val="none"/>
          <w:lang w:bidi="ar"/>
        </w:rPr>
        <w:t>“</w:t>
      </w:r>
      <w:r>
        <w:rPr>
          <w:rFonts w:hint="eastAsia" w:ascii="宋体" w:hAnsi="宋体" w:cs="宋体"/>
          <w:highlight w:val="none"/>
          <w:lang w:bidi="ar"/>
        </w:rPr>
        <w:t>信用中国</w:t>
      </w:r>
      <w:r>
        <w:rPr>
          <w:rFonts w:ascii="宋体" w:hAnsi="宋体"/>
          <w:highlight w:val="none"/>
          <w:lang w:bidi="ar"/>
        </w:rPr>
        <w:t>”</w:t>
      </w:r>
      <w:r>
        <w:rPr>
          <w:rFonts w:hint="eastAsia" w:ascii="宋体" w:hAnsi="宋体" w:cs="宋体"/>
          <w:highlight w:val="none"/>
          <w:lang w:bidi="ar"/>
        </w:rPr>
        <w:t>平台做接口，可直接在线查询）</w:t>
      </w:r>
    </w:p>
    <w:p>
      <w:pPr>
        <w:spacing w:line="360" w:lineRule="auto"/>
        <w:ind w:firstLine="420" w:firstLineChars="200"/>
        <w:outlineLvl w:val="3"/>
        <w:rPr>
          <w:rFonts w:ascii="宋体" w:hAnsi="宋体"/>
          <w:szCs w:val="21"/>
          <w:highlight w:val="none"/>
        </w:rPr>
      </w:pPr>
      <w:r>
        <w:rPr>
          <w:rFonts w:ascii="宋体" w:hAnsi="宋体"/>
          <w:szCs w:val="21"/>
          <w:highlight w:val="none"/>
          <w:lang w:bidi="ar"/>
        </w:rPr>
        <w:t>5.3.2</w:t>
      </w:r>
      <w:r>
        <w:rPr>
          <w:rFonts w:hint="eastAsia" w:ascii="宋体" w:hAnsi="宋体" w:cs="宋体"/>
          <w:szCs w:val="21"/>
          <w:highlight w:val="none"/>
          <w:lang w:bidi="ar"/>
        </w:rPr>
        <w:t>投标文件缺少任何一项资格证明文件或不符合第四章评审方法及标准中资格审查标准规定的评审内容的；</w:t>
      </w:r>
    </w:p>
    <w:p>
      <w:pPr>
        <w:spacing w:line="360" w:lineRule="auto"/>
        <w:ind w:firstLine="420" w:firstLineChars="200"/>
        <w:outlineLvl w:val="3"/>
        <w:rPr>
          <w:rFonts w:ascii="宋体" w:hAnsi="宋体"/>
          <w:bCs/>
          <w:kern w:val="0"/>
          <w:szCs w:val="21"/>
          <w:highlight w:val="none"/>
          <w:lang w:bidi="ar"/>
        </w:rPr>
      </w:pPr>
      <w:r>
        <w:rPr>
          <w:rFonts w:ascii="宋体" w:hAnsi="宋体"/>
          <w:bCs/>
          <w:kern w:val="0"/>
          <w:szCs w:val="21"/>
          <w:highlight w:val="none"/>
          <w:lang w:bidi="ar"/>
        </w:rPr>
        <w:t>5.4</w:t>
      </w:r>
      <w:r>
        <w:rPr>
          <w:rFonts w:hint="eastAsia" w:ascii="宋体" w:hAnsi="宋体"/>
          <w:bCs/>
          <w:kern w:val="0"/>
          <w:szCs w:val="21"/>
          <w:highlight w:val="none"/>
          <w:lang w:bidi="ar"/>
        </w:rPr>
        <w:t>资格审查合格的供应商不足</w:t>
      </w:r>
      <w:r>
        <w:rPr>
          <w:rFonts w:ascii="宋体" w:hAnsi="宋体"/>
          <w:bCs/>
          <w:kern w:val="0"/>
          <w:szCs w:val="21"/>
          <w:highlight w:val="none"/>
          <w:lang w:bidi="ar"/>
        </w:rPr>
        <w:t>3</w:t>
      </w:r>
      <w:r>
        <w:rPr>
          <w:rFonts w:hint="eastAsia" w:ascii="宋体" w:hAnsi="宋体"/>
          <w:bCs/>
          <w:kern w:val="0"/>
          <w:szCs w:val="21"/>
          <w:highlight w:val="none"/>
          <w:lang w:bidi="ar"/>
        </w:rPr>
        <w:t>家的，不得评审。</w:t>
      </w:r>
    </w:p>
    <w:bookmarkEnd w:id="117"/>
    <w:p>
      <w:pPr>
        <w:spacing w:line="360" w:lineRule="auto"/>
        <w:ind w:firstLine="422" w:firstLineChars="200"/>
        <w:outlineLvl w:val="2"/>
        <w:rPr>
          <w:rFonts w:ascii="宋体" w:hAnsi="宋体"/>
          <w:b/>
          <w:bCs/>
          <w:kern w:val="0"/>
          <w:szCs w:val="21"/>
          <w:highlight w:val="none"/>
          <w:lang w:bidi="ar"/>
        </w:rPr>
      </w:pPr>
      <w:bookmarkStart w:id="118" w:name="_Hlk93420990"/>
      <w:r>
        <w:rPr>
          <w:rFonts w:ascii="宋体" w:hAnsi="宋体"/>
          <w:b/>
          <w:bCs/>
          <w:kern w:val="0"/>
          <w:szCs w:val="21"/>
          <w:highlight w:val="none"/>
          <w:lang w:bidi="ar"/>
        </w:rPr>
        <w:t>6</w:t>
      </w:r>
      <w:r>
        <w:rPr>
          <w:rFonts w:hint="eastAsia" w:ascii="宋体" w:hAnsi="宋体"/>
          <w:b/>
          <w:bCs/>
          <w:kern w:val="0"/>
          <w:szCs w:val="21"/>
          <w:highlight w:val="none"/>
          <w:lang w:bidi="ar"/>
        </w:rPr>
        <w:t>．评审</w:t>
      </w:r>
      <w:bookmarkEnd w:id="115"/>
      <w:bookmarkEnd w:id="116"/>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6.1</w:t>
      </w:r>
      <w:r>
        <w:rPr>
          <w:rFonts w:hint="eastAsia" w:ascii="宋体" w:hAnsi="宋体"/>
          <w:b/>
          <w:bCs/>
          <w:kern w:val="0"/>
          <w:szCs w:val="21"/>
          <w:highlight w:val="none"/>
          <w:lang w:bidi="ar"/>
        </w:rPr>
        <w:t>评审委员会及评审原则</w:t>
      </w:r>
    </w:p>
    <w:p>
      <w:pPr>
        <w:spacing w:line="360" w:lineRule="auto"/>
        <w:ind w:firstLine="420" w:firstLineChars="200"/>
        <w:rPr>
          <w:rFonts w:ascii="宋体" w:hAnsi="宋体"/>
          <w:szCs w:val="21"/>
          <w:highlight w:val="none"/>
        </w:rPr>
      </w:pPr>
      <w:bookmarkStart w:id="119" w:name="_Hlk91249317"/>
      <w:r>
        <w:rPr>
          <w:rFonts w:ascii="宋体" w:hAnsi="宋体"/>
          <w:szCs w:val="21"/>
          <w:highlight w:val="none"/>
          <w:lang w:bidi="ar"/>
        </w:rPr>
        <w:t>6.1.1</w:t>
      </w:r>
      <w:r>
        <w:rPr>
          <w:rFonts w:hint="eastAsia" w:ascii="宋体" w:hAnsi="宋体" w:cs="宋体"/>
          <w:szCs w:val="21"/>
          <w:highlight w:val="none"/>
          <w:lang w:bidi="ar"/>
        </w:rPr>
        <w:t>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pPr>
        <w:spacing w:line="360" w:lineRule="auto"/>
        <w:ind w:firstLine="420" w:firstLineChars="200"/>
        <w:rPr>
          <w:rFonts w:ascii="宋体" w:hAnsi="宋体"/>
          <w:szCs w:val="21"/>
          <w:highlight w:val="none"/>
        </w:rPr>
      </w:pPr>
      <w:r>
        <w:rPr>
          <w:rFonts w:ascii="宋体" w:hAnsi="宋体"/>
          <w:szCs w:val="21"/>
          <w:highlight w:val="none"/>
          <w:lang w:bidi="ar"/>
        </w:rPr>
        <w:t>6.1.2</w:t>
      </w:r>
      <w:r>
        <w:rPr>
          <w:rFonts w:hint="eastAsia" w:ascii="宋体" w:hAnsi="宋体" w:cs="宋体"/>
          <w:szCs w:val="21"/>
          <w:highlight w:val="none"/>
          <w:lang w:bidi="ar"/>
        </w:rPr>
        <w:t>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pPr>
        <w:spacing w:line="360" w:lineRule="auto"/>
        <w:ind w:firstLine="420" w:firstLineChars="200"/>
        <w:rPr>
          <w:rFonts w:ascii="宋体" w:hAnsi="宋体"/>
          <w:szCs w:val="21"/>
          <w:highlight w:val="none"/>
        </w:rPr>
      </w:pPr>
      <w:r>
        <w:rPr>
          <w:rFonts w:ascii="宋体" w:hAnsi="宋体"/>
          <w:szCs w:val="21"/>
          <w:highlight w:val="none"/>
          <w:lang w:bidi="ar"/>
        </w:rPr>
        <w:t>6.1.3</w:t>
      </w:r>
      <w:r>
        <w:rPr>
          <w:rFonts w:hint="eastAsia" w:ascii="宋体" w:hAnsi="宋体" w:cs="宋体"/>
          <w:szCs w:val="21"/>
          <w:highlight w:val="none"/>
          <w:lang w:bidi="ar"/>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pPr>
        <w:spacing w:line="360" w:lineRule="auto"/>
        <w:ind w:firstLine="420" w:firstLineChars="200"/>
        <w:rPr>
          <w:rFonts w:ascii="宋体" w:hAnsi="宋体"/>
          <w:szCs w:val="21"/>
          <w:highlight w:val="none"/>
        </w:rPr>
      </w:pPr>
      <w:r>
        <w:rPr>
          <w:rFonts w:ascii="宋体" w:hAnsi="宋体"/>
          <w:szCs w:val="21"/>
          <w:highlight w:val="none"/>
          <w:lang w:bidi="ar"/>
        </w:rPr>
        <w:t>6.1.4</w:t>
      </w:r>
      <w:r>
        <w:rPr>
          <w:rFonts w:hint="eastAsia" w:ascii="宋体" w:hAnsi="宋体" w:cs="宋体"/>
          <w:szCs w:val="21"/>
          <w:highlight w:val="none"/>
          <w:lang w:bidi="ar"/>
        </w:rPr>
        <w:t>本项目评审过程实行全程网上留痕及录音、录像监控，供应商在评审过程中所进行的试图影响评审结果的不公正活动，可能导致其投标按无效处理。</w:t>
      </w:r>
    </w:p>
    <w:bookmarkEnd w:id="119"/>
    <w:p>
      <w:pPr>
        <w:spacing w:line="360" w:lineRule="auto"/>
        <w:ind w:firstLine="422" w:firstLineChars="200"/>
        <w:outlineLvl w:val="3"/>
        <w:rPr>
          <w:rFonts w:ascii="宋体" w:hAnsi="宋体"/>
          <w:b/>
          <w:bCs/>
          <w:kern w:val="0"/>
          <w:szCs w:val="21"/>
          <w:highlight w:val="none"/>
          <w:lang w:bidi="ar"/>
        </w:rPr>
      </w:pPr>
      <w:bookmarkStart w:id="120" w:name="_Hlk91324148"/>
      <w:r>
        <w:rPr>
          <w:rFonts w:ascii="宋体" w:hAnsi="宋体"/>
          <w:b/>
          <w:bCs/>
          <w:kern w:val="0"/>
          <w:szCs w:val="21"/>
          <w:highlight w:val="none"/>
          <w:lang w:bidi="ar"/>
        </w:rPr>
        <w:t>6.2</w:t>
      </w:r>
      <w:r>
        <w:rPr>
          <w:rFonts w:hint="eastAsia" w:ascii="宋体" w:hAnsi="宋体"/>
          <w:b/>
          <w:bCs/>
          <w:kern w:val="0"/>
          <w:szCs w:val="21"/>
          <w:highlight w:val="none"/>
          <w:lang w:bidi="ar"/>
        </w:rPr>
        <w:t>评审方法及依据</w:t>
      </w:r>
    </w:p>
    <w:p>
      <w:pPr>
        <w:spacing w:line="360" w:lineRule="auto"/>
        <w:ind w:firstLine="420" w:firstLineChars="200"/>
        <w:rPr>
          <w:rFonts w:ascii="宋体" w:hAnsi="宋体"/>
          <w:bCs/>
          <w:kern w:val="0"/>
          <w:szCs w:val="21"/>
          <w:highlight w:val="none"/>
        </w:rPr>
      </w:pPr>
      <w:r>
        <w:rPr>
          <w:rFonts w:ascii="宋体" w:hAnsi="宋体"/>
          <w:bCs/>
          <w:kern w:val="0"/>
          <w:szCs w:val="21"/>
          <w:highlight w:val="none"/>
          <w:lang w:bidi="ar"/>
        </w:rPr>
        <w:t>6.2.1</w:t>
      </w:r>
      <w:r>
        <w:rPr>
          <w:rFonts w:hint="eastAsia" w:ascii="宋体" w:hAnsi="宋体" w:cs="宋体"/>
          <w:bCs/>
          <w:kern w:val="0"/>
          <w:szCs w:val="21"/>
          <w:highlight w:val="none"/>
          <w:lang w:bidi="ar"/>
        </w:rPr>
        <w:t>本项目采用第四章评审方法及标准规定的方法进行评审。</w:t>
      </w:r>
    </w:p>
    <w:p>
      <w:pPr>
        <w:suppressAutoHyphens/>
        <w:spacing w:line="360" w:lineRule="auto"/>
        <w:ind w:firstLine="420" w:firstLineChars="200"/>
        <w:rPr>
          <w:rFonts w:ascii="宋体" w:hAnsi="宋体"/>
          <w:bCs/>
          <w:kern w:val="0"/>
          <w:szCs w:val="21"/>
          <w:highlight w:val="none"/>
        </w:rPr>
      </w:pPr>
      <w:r>
        <w:rPr>
          <w:rFonts w:ascii="宋体" w:hAnsi="宋体"/>
          <w:bCs/>
          <w:kern w:val="0"/>
          <w:szCs w:val="21"/>
          <w:highlight w:val="none"/>
          <w:lang w:bidi="ar"/>
        </w:rPr>
        <w:t>6.2.2</w:t>
      </w:r>
      <w:r>
        <w:rPr>
          <w:rFonts w:hint="eastAsia" w:ascii="宋体" w:hAnsi="宋体" w:cs="宋体"/>
          <w:highlight w:val="none"/>
          <w:lang w:bidi="ar"/>
        </w:rPr>
        <w:t>评标委员会以招标文件、补充文件、投标文件、澄清及答复为评审依据，</w:t>
      </w:r>
      <w:r>
        <w:rPr>
          <w:rFonts w:hint="eastAsia" w:ascii="宋体" w:hAnsi="宋体" w:cs="宋体"/>
          <w:bCs/>
          <w:kern w:val="0"/>
          <w:szCs w:val="21"/>
          <w:highlight w:val="none"/>
          <w:lang w:bidi="ar"/>
        </w:rPr>
        <w:t>第四章评审方法及标准没有规定的评审方法、标准及因素，不得作为评审依据。</w:t>
      </w:r>
    </w:p>
    <w:bookmarkEnd w:id="120"/>
    <w:p>
      <w:pPr>
        <w:spacing w:line="360" w:lineRule="auto"/>
        <w:ind w:firstLine="422" w:firstLineChars="200"/>
        <w:outlineLvl w:val="3"/>
        <w:rPr>
          <w:rFonts w:ascii="宋体" w:hAnsi="宋体"/>
          <w:b/>
          <w:bCs/>
          <w:kern w:val="0"/>
          <w:szCs w:val="21"/>
          <w:highlight w:val="none"/>
          <w:lang w:bidi="ar"/>
        </w:rPr>
      </w:pPr>
      <w:bookmarkStart w:id="121" w:name="_Hlk91324322"/>
      <w:r>
        <w:rPr>
          <w:rFonts w:ascii="宋体" w:hAnsi="宋体"/>
          <w:b/>
          <w:bCs/>
          <w:kern w:val="0"/>
          <w:szCs w:val="21"/>
          <w:highlight w:val="none"/>
          <w:lang w:bidi="ar"/>
        </w:rPr>
        <w:t>6.3</w:t>
      </w:r>
      <w:r>
        <w:rPr>
          <w:rFonts w:hint="eastAsia" w:ascii="宋体" w:hAnsi="宋体"/>
          <w:b/>
          <w:bCs/>
          <w:kern w:val="0"/>
          <w:szCs w:val="21"/>
          <w:highlight w:val="none"/>
          <w:lang w:bidi="ar"/>
        </w:rPr>
        <w:t>评审程序</w:t>
      </w:r>
    </w:p>
    <w:p>
      <w:pPr>
        <w:spacing w:line="360" w:lineRule="auto"/>
        <w:ind w:firstLine="420" w:firstLineChars="200"/>
        <w:rPr>
          <w:rFonts w:ascii="宋体" w:hAnsi="宋体"/>
          <w:highlight w:val="none"/>
        </w:rPr>
      </w:pPr>
      <w:r>
        <w:rPr>
          <w:rFonts w:ascii="宋体" w:hAnsi="宋体"/>
          <w:highlight w:val="none"/>
          <w:lang w:bidi="ar"/>
        </w:rPr>
        <w:t>6.</w:t>
      </w:r>
      <w:bookmarkStart w:id="122" w:name="_Hlk80956880"/>
      <w:r>
        <w:rPr>
          <w:rFonts w:ascii="宋体" w:hAnsi="宋体"/>
          <w:highlight w:val="none"/>
          <w:lang w:bidi="ar"/>
        </w:rPr>
        <w:t>3.1</w:t>
      </w:r>
      <w:r>
        <w:rPr>
          <w:rFonts w:hint="eastAsia" w:ascii="宋体" w:hAnsi="宋体" w:cs="宋体"/>
          <w:highlight w:val="none"/>
          <w:lang w:bidi="ar"/>
        </w:rPr>
        <w:t>符合性审查</w:t>
      </w:r>
    </w:p>
    <w:p>
      <w:pPr>
        <w:spacing w:line="360" w:lineRule="auto"/>
        <w:ind w:firstLine="420" w:firstLineChars="200"/>
        <w:rPr>
          <w:rFonts w:ascii="宋体" w:hAnsi="宋体"/>
          <w:szCs w:val="21"/>
          <w:highlight w:val="none"/>
        </w:rPr>
      </w:pPr>
      <w:r>
        <w:rPr>
          <w:rFonts w:hint="eastAsia" w:ascii="宋体" w:hAnsi="宋体" w:cs="宋体"/>
          <w:bCs/>
          <w:kern w:val="1"/>
          <w:szCs w:val="21"/>
          <w:highlight w:val="none"/>
          <w:lang w:bidi="ar"/>
        </w:rPr>
        <w:t>资格审查结束后，</w:t>
      </w:r>
      <w:r>
        <w:rPr>
          <w:rFonts w:hint="eastAsia" w:ascii="宋体" w:hAnsi="宋体" w:cs="宋体"/>
          <w:highlight w:val="none"/>
          <w:lang w:bidi="ar"/>
        </w:rPr>
        <w:t>评审委员会对通过资格审查的供应商的投标文件报价、商务资信、技术等方面实质性内容进行符合性审查，</w:t>
      </w:r>
      <w:r>
        <w:rPr>
          <w:rFonts w:hint="eastAsia" w:ascii="宋体" w:hAnsi="宋体" w:cs="宋体"/>
          <w:szCs w:val="21"/>
          <w:highlight w:val="none"/>
          <w:lang w:bidi="ar"/>
        </w:rPr>
        <w:t>符合性审查标准详见第四章评审方法及标准。</w:t>
      </w:r>
    </w:p>
    <w:bookmarkEnd w:id="122"/>
    <w:p>
      <w:pPr>
        <w:spacing w:line="360" w:lineRule="auto"/>
        <w:ind w:firstLine="420" w:firstLineChars="200"/>
        <w:rPr>
          <w:rFonts w:ascii="宋体" w:hAnsi="宋体"/>
          <w:szCs w:val="21"/>
          <w:highlight w:val="none"/>
        </w:rPr>
      </w:pPr>
      <w:r>
        <w:rPr>
          <w:rFonts w:ascii="宋体" w:hAnsi="宋体"/>
          <w:szCs w:val="21"/>
          <w:highlight w:val="none"/>
          <w:lang w:bidi="ar"/>
        </w:rPr>
        <w:t>6.3.2</w:t>
      </w:r>
      <w:r>
        <w:rPr>
          <w:rFonts w:hint="eastAsia" w:ascii="宋体" w:hAnsi="宋体" w:cs="宋体"/>
          <w:highlight w:val="none"/>
          <w:lang w:bidi="ar"/>
        </w:rPr>
        <w:t>强制性</w:t>
      </w:r>
      <w:r>
        <w:rPr>
          <w:rFonts w:hint="eastAsia" w:ascii="宋体" w:hAnsi="宋体" w:cs="宋体"/>
          <w:szCs w:val="21"/>
          <w:highlight w:val="none"/>
          <w:lang w:bidi="ar"/>
        </w:rPr>
        <w:t>采购要求（仅适用于货物采购项目）</w:t>
      </w:r>
    </w:p>
    <w:p>
      <w:pPr>
        <w:suppressAutoHyphens/>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）根据《财政部</w:t>
      </w:r>
      <w:r>
        <w:rPr>
          <w:rFonts w:ascii="宋体" w:hAnsi="宋体"/>
          <w:szCs w:val="21"/>
          <w:highlight w:val="none"/>
          <w:lang w:bidi="ar"/>
        </w:rPr>
        <w:t xml:space="preserve"> </w:t>
      </w:r>
      <w:r>
        <w:rPr>
          <w:rFonts w:hint="eastAsia" w:ascii="宋体" w:hAnsi="宋体" w:cs="宋体"/>
          <w:szCs w:val="21"/>
          <w:highlight w:val="none"/>
          <w:lang w:bidi="ar"/>
        </w:rPr>
        <w:t>发展改革委</w:t>
      </w:r>
      <w:r>
        <w:rPr>
          <w:rFonts w:ascii="宋体" w:hAnsi="宋体"/>
          <w:szCs w:val="21"/>
          <w:highlight w:val="none"/>
          <w:lang w:bidi="ar"/>
        </w:rPr>
        <w:t xml:space="preserve"> </w:t>
      </w:r>
      <w:r>
        <w:rPr>
          <w:rFonts w:hint="eastAsia" w:ascii="宋体" w:hAnsi="宋体" w:cs="宋体"/>
          <w:szCs w:val="21"/>
          <w:highlight w:val="none"/>
          <w:lang w:bidi="ar"/>
        </w:rPr>
        <w:t>生态环境部</w:t>
      </w:r>
      <w:r>
        <w:rPr>
          <w:rFonts w:ascii="宋体" w:hAnsi="宋体"/>
          <w:szCs w:val="21"/>
          <w:highlight w:val="none"/>
          <w:lang w:bidi="ar"/>
        </w:rPr>
        <w:t xml:space="preserve"> </w:t>
      </w:r>
      <w:r>
        <w:rPr>
          <w:rFonts w:hint="eastAsia" w:ascii="宋体" w:hAnsi="宋体" w:cs="宋体"/>
          <w:szCs w:val="21"/>
          <w:highlight w:val="none"/>
          <w:lang w:bidi="ar"/>
        </w:rPr>
        <w:t>市场监管总局关于调整优化节能产品、环境标志产品政府采购执行机制的通知》（财库〔</w:t>
      </w:r>
      <w:r>
        <w:rPr>
          <w:rFonts w:ascii="宋体" w:hAnsi="宋体"/>
          <w:szCs w:val="21"/>
          <w:highlight w:val="none"/>
          <w:lang w:bidi="ar"/>
        </w:rPr>
        <w:t>2019</w:t>
      </w:r>
      <w:r>
        <w:rPr>
          <w:rFonts w:hint="eastAsia" w:ascii="宋体" w:hAnsi="宋体" w:cs="宋体"/>
          <w:szCs w:val="21"/>
          <w:highlight w:val="none"/>
          <w:lang w:bidi="ar"/>
        </w:rPr>
        <w:t>〕</w:t>
      </w:r>
      <w:r>
        <w:rPr>
          <w:rFonts w:ascii="宋体" w:hAnsi="宋体"/>
          <w:szCs w:val="21"/>
          <w:highlight w:val="none"/>
          <w:lang w:bidi="ar"/>
        </w:rPr>
        <w:t>9</w:t>
      </w:r>
      <w:r>
        <w:rPr>
          <w:rFonts w:hint="eastAsia" w:ascii="宋体" w:hAnsi="宋体" w:cs="宋体"/>
          <w:szCs w:val="21"/>
          <w:highlight w:val="none"/>
          <w:lang w:bidi="ar"/>
        </w:rPr>
        <w:t>号）和《关于印发节能产品政府采购品目清单的通知》（财库〔</w:t>
      </w:r>
      <w:r>
        <w:rPr>
          <w:rFonts w:ascii="宋体" w:hAnsi="宋体"/>
          <w:szCs w:val="21"/>
          <w:highlight w:val="none"/>
          <w:lang w:bidi="ar"/>
        </w:rPr>
        <w:t>2019</w:t>
      </w:r>
      <w:r>
        <w:rPr>
          <w:rFonts w:hint="eastAsia" w:ascii="宋体" w:hAnsi="宋体" w:cs="宋体"/>
          <w:szCs w:val="21"/>
          <w:highlight w:val="none"/>
          <w:lang w:bidi="ar"/>
        </w:rPr>
        <w:t>〕</w:t>
      </w:r>
      <w:r>
        <w:rPr>
          <w:rFonts w:ascii="宋体" w:hAnsi="宋体"/>
          <w:szCs w:val="21"/>
          <w:highlight w:val="none"/>
          <w:lang w:bidi="ar"/>
        </w:rPr>
        <w:t>19</w:t>
      </w:r>
      <w:r>
        <w:rPr>
          <w:rFonts w:hint="eastAsia" w:ascii="宋体" w:hAnsi="宋体" w:cs="宋体"/>
          <w:szCs w:val="21"/>
          <w:highlight w:val="none"/>
          <w:lang w:bidi="ar"/>
        </w:rPr>
        <w:t>号）规定，本项目采购需求中的产品属于节能产品政府采购品目清单内标注</w:t>
      </w:r>
      <w:r>
        <w:rPr>
          <w:rFonts w:ascii="宋体" w:hAnsi="宋体"/>
          <w:szCs w:val="21"/>
          <w:highlight w:val="none"/>
          <w:lang w:bidi="ar"/>
        </w:rPr>
        <w:t>“</w:t>
      </w:r>
      <w:r>
        <w:rPr>
          <w:rFonts w:ascii="宋体" w:hAnsi="宋体" w:cs="Segoe UI Symbol"/>
          <w:szCs w:val="21"/>
          <w:highlight w:val="none"/>
          <w:lang w:bidi="ar"/>
        </w:rPr>
        <w:t>★</w:t>
      </w:r>
      <w:r>
        <w:rPr>
          <w:rFonts w:ascii="宋体" w:hAnsi="宋体"/>
          <w:szCs w:val="21"/>
          <w:highlight w:val="none"/>
          <w:lang w:bidi="ar"/>
        </w:rPr>
        <w:t>”</w:t>
      </w:r>
      <w:r>
        <w:rPr>
          <w:rFonts w:hint="eastAsia" w:ascii="宋体" w:hAnsi="宋体" w:cs="宋体"/>
          <w:szCs w:val="21"/>
          <w:highlight w:val="none"/>
          <w:lang w:bidi="ar"/>
        </w:rPr>
        <w:t>的，供应商的投标货物必须使用政府强制采购的节能产品，否则投标文件作无效处理；属于品目清单内非标注</w:t>
      </w:r>
      <w:r>
        <w:rPr>
          <w:rFonts w:ascii="宋体" w:hAnsi="宋体"/>
          <w:szCs w:val="21"/>
          <w:highlight w:val="none"/>
          <w:lang w:bidi="ar"/>
        </w:rPr>
        <w:t>“</w:t>
      </w:r>
      <w:r>
        <w:rPr>
          <w:rFonts w:ascii="宋体" w:hAnsi="宋体" w:cs="Segoe UI Symbol"/>
          <w:szCs w:val="21"/>
          <w:highlight w:val="none"/>
          <w:lang w:bidi="ar"/>
        </w:rPr>
        <w:t>★</w:t>
      </w:r>
      <w:r>
        <w:rPr>
          <w:rFonts w:ascii="宋体" w:hAnsi="宋体"/>
          <w:szCs w:val="21"/>
          <w:highlight w:val="none"/>
          <w:lang w:bidi="ar"/>
        </w:rPr>
        <w:t>”</w:t>
      </w:r>
      <w:r>
        <w:rPr>
          <w:rFonts w:hint="eastAsia" w:ascii="宋体" w:hAnsi="宋体" w:cs="宋体"/>
          <w:szCs w:val="21"/>
          <w:highlight w:val="none"/>
          <w:lang w:bidi="ar"/>
        </w:rPr>
        <w:t>的产品时，应优先采购。</w:t>
      </w:r>
    </w:p>
    <w:p>
      <w:pPr>
        <w:spacing w:line="360" w:lineRule="auto"/>
        <w:ind w:firstLine="420" w:firstLineChars="200"/>
        <w:rPr>
          <w:rFonts w:ascii="宋体" w:hAnsi="宋体"/>
          <w:highlight w:val="none"/>
        </w:rPr>
      </w:pPr>
      <w:r>
        <w:rPr>
          <w:rFonts w:ascii="宋体" w:hAnsi="宋体"/>
          <w:highlight w:val="none"/>
          <w:lang w:bidi="ar"/>
        </w:rPr>
        <w:t>6.3.3</w:t>
      </w:r>
      <w:r>
        <w:rPr>
          <w:rFonts w:hint="eastAsia" w:ascii="宋体" w:hAnsi="宋体" w:cs="宋体"/>
          <w:highlight w:val="none"/>
          <w:lang w:bidi="ar"/>
        </w:rPr>
        <w:t>澄清、说明或补正</w:t>
      </w:r>
    </w:p>
    <w:p>
      <w:pPr>
        <w:spacing w:line="360" w:lineRule="auto"/>
        <w:ind w:firstLine="420" w:firstLineChars="200"/>
        <w:rPr>
          <w:rFonts w:ascii="宋体" w:hAnsi="宋体"/>
          <w:highlight w:val="none"/>
        </w:rPr>
      </w:pPr>
      <w:r>
        <w:rPr>
          <w:rFonts w:hint="eastAsia" w:ascii="宋体" w:hAnsi="宋体" w:cs="宋体"/>
          <w:highlight w:val="none"/>
          <w:lang w:bidi="ar"/>
        </w:rPr>
        <w:t>（</w:t>
      </w:r>
      <w:r>
        <w:rPr>
          <w:rFonts w:ascii="宋体" w:hAnsi="宋体"/>
          <w:highlight w:val="none"/>
          <w:lang w:bidi="ar"/>
        </w:rPr>
        <w:t>1</w:t>
      </w:r>
      <w:r>
        <w:rPr>
          <w:rFonts w:hint="eastAsia" w:ascii="宋体" w:hAnsi="宋体" w:cs="宋体"/>
          <w:highlight w:val="none"/>
          <w:lang w:bidi="ar"/>
        </w:rPr>
        <w:t>）对投标文件中含义不明确、同类问题表述不一致或者有明显文字和计算错误的内容，评审委员会应在</w:t>
      </w:r>
      <w:r>
        <w:rPr>
          <w:rFonts w:hint="eastAsia" w:ascii="宋体" w:hAnsi="宋体"/>
          <w:highlight w:val="none"/>
          <w:lang w:bidi="ar"/>
        </w:rPr>
        <w:t>广西政府采购云平台</w:t>
      </w:r>
      <w:r>
        <w:rPr>
          <w:rFonts w:hint="eastAsia" w:ascii="宋体" w:hAnsi="宋体" w:cs="宋体"/>
          <w:highlight w:val="none"/>
          <w:lang w:bidi="ar"/>
        </w:rPr>
        <w:t>发布电子澄清函，要求供应商在平台设置的时间内作出必要的澄清、说明或者补正。供应商在</w:t>
      </w:r>
      <w:r>
        <w:rPr>
          <w:rFonts w:hint="eastAsia" w:ascii="宋体" w:hAnsi="宋体"/>
          <w:highlight w:val="none"/>
          <w:lang w:bidi="ar"/>
        </w:rPr>
        <w:t>广西政府采购云平台</w:t>
      </w:r>
      <w:r>
        <w:rPr>
          <w:rFonts w:hint="eastAsia" w:ascii="宋体" w:hAnsi="宋体" w:cs="宋体"/>
          <w:highlight w:val="none"/>
          <w:lang w:bidi="ar"/>
        </w:rPr>
        <w:t>接收到电子澄清函后根据澄清函内容直接在线编辑或上传</w:t>
      </w:r>
      <w:r>
        <w:rPr>
          <w:rFonts w:ascii="宋体" w:hAnsi="宋体"/>
          <w:highlight w:val="none"/>
          <w:lang w:bidi="ar"/>
        </w:rPr>
        <w:t>PDF</w:t>
      </w:r>
      <w:r>
        <w:rPr>
          <w:rFonts w:hint="eastAsia" w:ascii="宋体" w:hAnsi="宋体" w:cs="宋体"/>
          <w:highlight w:val="none"/>
          <w:lang w:bidi="ar"/>
        </w:rPr>
        <w:t>格式回函，电子澄清答复函使用</w:t>
      </w:r>
      <w:r>
        <w:rPr>
          <w:rFonts w:ascii="宋体" w:hAnsi="宋体"/>
          <w:highlight w:val="none"/>
          <w:lang w:bidi="ar"/>
        </w:rPr>
        <w:t>CA</w:t>
      </w:r>
      <w:r>
        <w:rPr>
          <w:rFonts w:hint="eastAsia" w:ascii="宋体" w:hAnsi="宋体" w:cs="宋体"/>
          <w:highlight w:val="none"/>
          <w:lang w:bidi="ar"/>
        </w:rPr>
        <w:t>证书加盖单位电子签章后提交至评审委员会。供应商的澄清、说明或者补正不得超出投标文件的范围或者改变投标文件的实质性内容。供应商未在规定时间内进行澄清、说明或者补正的，按无效投标处理。</w:t>
      </w:r>
    </w:p>
    <w:p>
      <w:pPr>
        <w:spacing w:line="360" w:lineRule="auto"/>
        <w:ind w:firstLine="420" w:firstLineChars="200"/>
        <w:rPr>
          <w:rFonts w:ascii="宋体" w:hAnsi="宋体"/>
          <w:highlight w:val="none"/>
        </w:rPr>
      </w:pPr>
      <w:r>
        <w:rPr>
          <w:rFonts w:hint="eastAsia" w:ascii="宋体" w:hAnsi="宋体" w:cs="宋体"/>
          <w:highlight w:val="none"/>
          <w:lang w:bidi="ar"/>
        </w:rPr>
        <w:t>（</w:t>
      </w:r>
      <w:r>
        <w:rPr>
          <w:rFonts w:ascii="宋体" w:hAnsi="宋体"/>
          <w:highlight w:val="none"/>
          <w:lang w:bidi="ar"/>
        </w:rPr>
        <w:t>2</w:t>
      </w:r>
      <w:r>
        <w:rPr>
          <w:rFonts w:hint="eastAsia" w:ascii="宋体" w:hAnsi="宋体" w:cs="宋体"/>
          <w:highlight w:val="none"/>
          <w:lang w:bidi="ar"/>
        </w:rPr>
        <w:t>）异常情况处理：如遇无法正常使用线上发送澄清函的情况，将以书面形式执行。以书面形式执行的情况下，评审委员会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420" w:firstLineChars="200"/>
        <w:rPr>
          <w:rFonts w:ascii="宋体" w:hAnsi="宋体"/>
          <w:highlight w:val="none"/>
        </w:rPr>
      </w:pPr>
      <w:r>
        <w:rPr>
          <w:rFonts w:ascii="宋体" w:hAnsi="宋体"/>
          <w:highlight w:val="none"/>
          <w:lang w:bidi="ar"/>
        </w:rPr>
        <w:t>6.3.4</w:t>
      </w:r>
      <w:r>
        <w:rPr>
          <w:rFonts w:hint="eastAsia" w:ascii="宋体" w:hAnsi="宋体" w:cs="宋体"/>
          <w:highlight w:val="none"/>
          <w:lang w:bidi="ar"/>
        </w:rPr>
        <w:t>报价修正</w:t>
      </w:r>
    </w:p>
    <w:p>
      <w:pPr>
        <w:spacing w:line="360" w:lineRule="auto"/>
        <w:ind w:firstLine="420" w:firstLineChars="200"/>
        <w:rPr>
          <w:rFonts w:ascii="宋体" w:hAnsi="宋体"/>
          <w:highlight w:val="none"/>
        </w:rPr>
      </w:pPr>
      <w:r>
        <w:rPr>
          <w:rFonts w:hint="eastAsia" w:ascii="宋体" w:hAnsi="宋体" w:cs="宋体"/>
          <w:highlight w:val="none"/>
          <w:lang w:bidi="ar"/>
        </w:rPr>
        <w:t>（</w:t>
      </w:r>
      <w:r>
        <w:rPr>
          <w:rFonts w:ascii="宋体" w:hAnsi="宋体"/>
          <w:highlight w:val="none"/>
          <w:lang w:bidi="ar"/>
        </w:rPr>
        <w:t>1</w:t>
      </w:r>
      <w:r>
        <w:rPr>
          <w:rFonts w:hint="eastAsia" w:ascii="宋体" w:hAnsi="宋体" w:cs="宋体"/>
          <w:highlight w:val="none"/>
          <w:lang w:bidi="ar"/>
        </w:rPr>
        <w:t>）报价出现前后不一致的，按照下列规定修正：</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①投标文件中开标一览表（报价表）内容与投标文件中相应内容不一致的，以开标一览表（报价表）为准；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②大写金额和小写金额不一致的，以大写金额为准；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③单价金额小数点或者百分比有明显错位的，以开标一览表的总价为准，并修改单价；</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④总价金额与按单价汇总金额不一致的，以单价金额计算结果为准。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同时出现两种以上不一致的，按照上述①</w:t>
      </w:r>
      <w:r>
        <w:rPr>
          <w:rFonts w:ascii="宋体" w:hAnsi="宋体"/>
          <w:szCs w:val="21"/>
          <w:highlight w:val="none"/>
          <w:lang w:bidi="ar"/>
        </w:rPr>
        <w:t>-</w:t>
      </w:r>
      <w:r>
        <w:rPr>
          <w:rFonts w:hint="eastAsia" w:ascii="宋体" w:hAnsi="宋体" w:cs="宋体"/>
          <w:szCs w:val="21"/>
          <w:highlight w:val="none"/>
          <w:lang w:bidi="ar"/>
        </w:rPr>
        <w:t>④顺序修正。修正后的报价按照上述</w:t>
      </w:r>
      <w:r>
        <w:rPr>
          <w:rFonts w:ascii="宋体" w:hAnsi="宋体"/>
          <w:szCs w:val="21"/>
          <w:highlight w:val="none"/>
          <w:lang w:bidi="ar"/>
        </w:rPr>
        <w:t>“6.3.3</w:t>
      </w:r>
      <w:r>
        <w:rPr>
          <w:rFonts w:hint="eastAsia" w:ascii="宋体" w:hAnsi="宋体" w:cs="宋体"/>
          <w:szCs w:val="21"/>
          <w:highlight w:val="none"/>
          <w:lang w:bidi="ar"/>
        </w:rPr>
        <w:t>澄清、说明或补正</w:t>
      </w:r>
      <w:r>
        <w:rPr>
          <w:rFonts w:ascii="宋体" w:hAnsi="宋体"/>
          <w:szCs w:val="21"/>
          <w:highlight w:val="none"/>
          <w:lang w:bidi="ar"/>
        </w:rPr>
        <w:t>”</w:t>
      </w:r>
      <w:r>
        <w:rPr>
          <w:rFonts w:hint="eastAsia" w:ascii="宋体" w:hAnsi="宋体" w:cs="宋体"/>
          <w:szCs w:val="21"/>
          <w:highlight w:val="none"/>
          <w:lang w:bidi="ar"/>
        </w:rPr>
        <w:t>的规定经供应商确认后产生约束力，供应商不确认的，其投标无效。</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rFonts w:ascii="宋体" w:hAnsi="宋体"/>
          <w:szCs w:val="21"/>
          <w:highlight w:val="none"/>
          <w:lang w:bidi="ar"/>
        </w:rPr>
        <w:t>“6.3.3</w:t>
      </w:r>
      <w:r>
        <w:rPr>
          <w:rFonts w:hint="eastAsia" w:ascii="宋体" w:hAnsi="宋体" w:cs="宋体"/>
          <w:szCs w:val="21"/>
          <w:highlight w:val="none"/>
          <w:lang w:bidi="ar"/>
        </w:rPr>
        <w:t>澄清、说明或补正</w:t>
      </w:r>
      <w:r>
        <w:rPr>
          <w:rFonts w:ascii="宋体" w:hAnsi="宋体"/>
          <w:szCs w:val="21"/>
          <w:highlight w:val="none"/>
          <w:lang w:bidi="ar"/>
        </w:rPr>
        <w:t>”</w:t>
      </w:r>
      <w:r>
        <w:rPr>
          <w:rFonts w:hint="eastAsia" w:ascii="宋体" w:hAnsi="宋体" w:cs="宋体"/>
          <w:szCs w:val="21"/>
          <w:highlight w:val="none"/>
          <w:lang w:bidi="ar"/>
        </w:rPr>
        <w:t>的规定提交。供应商未按规定提交或不能证明其报价合理性的，评审委员会应当将其作为无效投标处理。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3</w:t>
      </w:r>
      <w:r>
        <w:rPr>
          <w:rFonts w:hint="eastAsia" w:ascii="宋体" w:hAnsi="宋体" w:cs="宋体"/>
          <w:szCs w:val="21"/>
          <w:highlight w:val="none"/>
          <w:lang w:bidi="ar"/>
        </w:rPr>
        <w:t>）经供应商确认修正后的报价若超过采购预算金额或者最高限价，其投标文件作无效投标处理。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4</w:t>
      </w:r>
      <w:r>
        <w:rPr>
          <w:rFonts w:hint="eastAsia" w:ascii="宋体" w:hAnsi="宋体" w:cs="宋体"/>
          <w:szCs w:val="21"/>
          <w:highlight w:val="none"/>
          <w:lang w:bidi="ar"/>
        </w:rPr>
        <w:t>）经</w:t>
      </w:r>
      <w:r>
        <w:rPr>
          <w:rFonts w:hint="eastAsia" w:ascii="宋体" w:hAnsi="宋体" w:cs="宋体"/>
          <w:szCs w:val="21"/>
          <w:highlight w:val="none"/>
          <w:lang w:val="en-US" w:eastAsia="zh-CN" w:bidi="ar"/>
        </w:rPr>
        <w:t>供应商</w:t>
      </w:r>
      <w:r>
        <w:rPr>
          <w:rFonts w:hint="eastAsia" w:ascii="宋体" w:hAnsi="宋体" w:cs="宋体"/>
          <w:szCs w:val="21"/>
          <w:highlight w:val="none"/>
          <w:lang w:bidi="ar"/>
        </w:rPr>
        <w:t>确认修正后的报价作为签订合同的依据，并以此报价计算价格分。</w:t>
      </w:r>
    </w:p>
    <w:p>
      <w:pPr>
        <w:spacing w:line="360" w:lineRule="auto"/>
        <w:ind w:firstLine="420" w:firstLineChars="200"/>
        <w:rPr>
          <w:rFonts w:ascii="宋体" w:hAnsi="宋体"/>
          <w:szCs w:val="21"/>
          <w:highlight w:val="none"/>
        </w:rPr>
      </w:pPr>
      <w:r>
        <w:rPr>
          <w:rFonts w:ascii="宋体" w:hAnsi="宋体"/>
          <w:szCs w:val="21"/>
          <w:highlight w:val="none"/>
          <w:lang w:bidi="ar"/>
        </w:rPr>
        <w:t>6.3.5</w:t>
      </w:r>
      <w:r>
        <w:rPr>
          <w:rFonts w:hint="eastAsia" w:ascii="宋体" w:hAnsi="宋体" w:cs="宋体"/>
          <w:szCs w:val="21"/>
          <w:highlight w:val="none"/>
          <w:lang w:bidi="ar"/>
        </w:rPr>
        <w:t>相同品牌认定（仅适用于货物采购项目）</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）单一产品采购项目，</w:t>
      </w:r>
      <w:r>
        <w:rPr>
          <w:rFonts w:hint="eastAsia" w:ascii="宋体" w:hAnsi="宋体" w:cs="宋体"/>
          <w:highlight w:val="none"/>
          <w:lang w:bidi="ar"/>
        </w:rPr>
        <w:t>不同供应商提供的产品品牌相同时，按以下规定确定</w:t>
      </w:r>
      <w:r>
        <w:rPr>
          <w:rFonts w:hint="eastAsia" w:ascii="宋体" w:hAnsi="宋体" w:cs="宋体"/>
          <w:bCs/>
          <w:kern w:val="0"/>
          <w:szCs w:val="21"/>
          <w:highlight w:val="none"/>
          <w:lang w:bidi="ar"/>
        </w:rPr>
        <w:t>相同品牌的投标有效性</w:t>
      </w:r>
      <w:r>
        <w:rPr>
          <w:rFonts w:hint="eastAsia" w:ascii="宋体" w:hAnsi="宋体" w:cs="宋体"/>
          <w:highlight w:val="none"/>
          <w:lang w:bidi="ar"/>
        </w:rPr>
        <w:t>。</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①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②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pPr>
        <w:spacing w:line="360" w:lineRule="auto"/>
        <w:ind w:firstLine="420" w:firstLineChars="200"/>
        <w:rPr>
          <w:rFonts w:ascii="宋体" w:hAnsi="宋体"/>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）非单一产品采购项目，采购人应当确定核心产品，并在招标文件中载明。不同供应商提供的核心产品品牌相同的，按上述规定处理。核心产品在第二章采购需求规定。</w:t>
      </w:r>
    </w:p>
    <w:p>
      <w:pPr>
        <w:spacing w:line="360" w:lineRule="auto"/>
        <w:ind w:firstLine="420" w:firstLineChars="200"/>
        <w:rPr>
          <w:rFonts w:ascii="宋体" w:hAnsi="宋体"/>
          <w:szCs w:val="21"/>
          <w:highlight w:val="none"/>
        </w:rPr>
      </w:pPr>
      <w:r>
        <w:rPr>
          <w:rFonts w:ascii="宋体" w:hAnsi="宋体"/>
          <w:szCs w:val="21"/>
          <w:highlight w:val="none"/>
          <w:lang w:bidi="ar"/>
        </w:rPr>
        <w:t>6.3.6</w:t>
      </w:r>
      <w:r>
        <w:rPr>
          <w:rFonts w:hint="eastAsia" w:ascii="宋体" w:hAnsi="宋体" w:cs="宋体"/>
          <w:szCs w:val="21"/>
          <w:highlight w:val="none"/>
          <w:lang w:bidi="ar"/>
        </w:rPr>
        <w:t>串通投标认定</w:t>
      </w:r>
    </w:p>
    <w:p>
      <w:pPr>
        <w:spacing w:line="360" w:lineRule="auto"/>
        <w:ind w:firstLine="420" w:firstLineChars="200"/>
        <w:rPr>
          <w:rFonts w:ascii="宋体" w:hAnsi="宋体"/>
          <w:highlight w:val="none"/>
        </w:rPr>
      </w:pPr>
      <w:r>
        <w:rPr>
          <w:rFonts w:hint="eastAsia" w:ascii="宋体" w:hAnsi="宋体" w:cs="宋体"/>
          <w:szCs w:val="21"/>
          <w:highlight w:val="none"/>
          <w:lang w:bidi="ar"/>
        </w:rPr>
        <w:t>评审委员会须根据以下规定认定供应商是否有</w:t>
      </w:r>
      <w:r>
        <w:rPr>
          <w:rFonts w:hint="eastAsia" w:ascii="宋体" w:hAnsi="宋体" w:cs="宋体"/>
          <w:bCs/>
          <w:kern w:val="0"/>
          <w:szCs w:val="21"/>
          <w:highlight w:val="none"/>
          <w:lang w:bidi="ar"/>
        </w:rPr>
        <w:t>串通投标的行为</w:t>
      </w:r>
      <w:r>
        <w:rPr>
          <w:rFonts w:hint="eastAsia" w:ascii="宋体" w:hAnsi="宋体" w:cs="宋体"/>
          <w:highlight w:val="none"/>
          <w:lang w:bidi="ar"/>
        </w:rPr>
        <w:t>。</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）根据《关于防治政府采购招标中串通投标行为的通知》（桂财采</w:t>
      </w:r>
      <w:r>
        <w:rPr>
          <w:rFonts w:ascii="宋体" w:hAnsi="宋体"/>
          <w:szCs w:val="21"/>
          <w:highlight w:val="none"/>
          <w:lang w:bidi="ar"/>
        </w:rPr>
        <w:t>[2016]42</w:t>
      </w:r>
      <w:r>
        <w:rPr>
          <w:rFonts w:hint="eastAsia" w:ascii="宋体" w:hAnsi="宋体" w:cs="宋体"/>
          <w:szCs w:val="21"/>
          <w:highlight w:val="none"/>
          <w:lang w:bidi="ar"/>
        </w:rPr>
        <w:t>号）规定，出现下述情况的，相关供应商的投标作无效投标处理。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①单位负责人为同一人或者存在直接控股、管理关系，参加同一合同项下政府采购活动的不同供应商。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②授权给供应商后参加同一合同项（分标、分包）投标的生产厂商。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③视为或被认定为串通投标的相关供应商。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）根据《关于防治政府采购招标中串通投标行为的通知》（桂财采</w:t>
      </w:r>
      <w:r>
        <w:rPr>
          <w:rFonts w:ascii="宋体" w:hAnsi="宋体"/>
          <w:szCs w:val="21"/>
          <w:highlight w:val="none"/>
          <w:lang w:bidi="ar"/>
        </w:rPr>
        <w:t>[2016]42</w:t>
      </w:r>
      <w:r>
        <w:rPr>
          <w:rFonts w:hint="eastAsia" w:ascii="宋体" w:hAnsi="宋体" w:cs="宋体"/>
          <w:szCs w:val="21"/>
          <w:highlight w:val="none"/>
          <w:lang w:bidi="ar"/>
        </w:rPr>
        <w:t>号）规定，有下列情形之一的视为供应商相互串通投标，投标文件将被视为无效。</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①不同供应商的投标文件由同一单位或者个人编制；或不同供应商报名的</w:t>
      </w:r>
      <w:r>
        <w:rPr>
          <w:rFonts w:ascii="宋体" w:hAnsi="宋体"/>
          <w:szCs w:val="21"/>
          <w:highlight w:val="none"/>
          <w:lang w:bidi="ar"/>
        </w:rPr>
        <w:t>IP</w:t>
      </w:r>
      <w:r>
        <w:rPr>
          <w:rFonts w:hint="eastAsia" w:ascii="宋体" w:hAnsi="宋体" w:cs="宋体"/>
          <w:szCs w:val="21"/>
          <w:highlight w:val="none"/>
          <w:lang w:bidi="ar"/>
        </w:rPr>
        <w:t>地址一致的；</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②不同供应商委托同一单位或者个人办理投标事宜；</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③不同的供应商的投标文件载明的项目管理员为同一个人；</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④不同供应商的投标文件异常一致或投标报价呈规律性差异；</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⑤不同供应商的投标文件相互混装；</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⑥不同供应商的保证金从同一单位或者个人账户转出。</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3</w:t>
      </w:r>
      <w:r>
        <w:rPr>
          <w:rFonts w:hint="eastAsia" w:ascii="宋体" w:hAnsi="宋体" w:cs="宋体"/>
          <w:szCs w:val="21"/>
          <w:highlight w:val="none"/>
          <w:lang w:bidi="ar"/>
        </w:rPr>
        <w:t>）根据《关于防治政府采购招标中串通投标行为的通知》（桂财采</w:t>
      </w:r>
      <w:r>
        <w:rPr>
          <w:rFonts w:ascii="宋体" w:hAnsi="宋体"/>
          <w:szCs w:val="21"/>
          <w:highlight w:val="none"/>
          <w:lang w:bidi="ar"/>
        </w:rPr>
        <w:t>[2016]42</w:t>
      </w:r>
      <w:r>
        <w:rPr>
          <w:rFonts w:hint="eastAsia" w:ascii="宋体" w:hAnsi="宋体" w:cs="宋体"/>
          <w:szCs w:val="21"/>
          <w:highlight w:val="none"/>
          <w:lang w:bidi="ar"/>
        </w:rPr>
        <w:t>号）规定，供应商有下列情形之一的，属于恶意串通行为，投标文件将被视为无效。</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①供应商直接或者间接从采购人或者采购代理机构处获得其他供应商的相关信息并修改其投标文件或者响应文件；</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②供应商按照采购人或者采购代理机构的授意撤换、修改投标文件或者响应文件</w:t>
      </w:r>
      <w:r>
        <w:rPr>
          <w:rFonts w:ascii="宋体" w:hAnsi="宋体"/>
          <w:szCs w:val="21"/>
          <w:highlight w:val="none"/>
          <w:lang w:bidi="ar"/>
        </w:rPr>
        <w:t>;</w:t>
      </w:r>
      <w:r>
        <w:rPr>
          <w:rFonts w:hint="eastAsia" w:ascii="宋体" w:hAnsi="宋体" w:cs="宋体"/>
          <w:szCs w:val="21"/>
          <w:highlight w:val="none"/>
          <w:lang w:bidi="ar"/>
        </w:rPr>
        <w:t>；</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③供应商之间协商报价、技术方案等投标文件或者响应文件的实质性内容；</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④属于同一集团、协会、商会等组织成员的供应商按照该组织要求协同参加政府采购活动；</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⑤供应商之间事先约定一致抬高或者压低投标报价，或者在招标项目中事先约定轮流以高价位或者低价位中标，或者事先约定由某一特定供应商中标，然后再参加投标；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⑥供应商之间商定部分供应商放弃参加政府采购活动或者放弃中标；</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⑦供应商与采购人或者采购代理机构之间、供应商相互之间，为谋求特定供应商中标或者排斥其他供应商的其他串通行为。</w:t>
      </w:r>
    </w:p>
    <w:p>
      <w:pPr>
        <w:spacing w:line="360" w:lineRule="auto"/>
        <w:ind w:firstLine="420" w:firstLineChars="200"/>
        <w:rPr>
          <w:rFonts w:ascii="宋体" w:hAnsi="宋体"/>
          <w:szCs w:val="21"/>
          <w:highlight w:val="none"/>
        </w:rPr>
      </w:pPr>
      <w:r>
        <w:rPr>
          <w:rFonts w:ascii="宋体" w:hAnsi="宋体"/>
          <w:szCs w:val="21"/>
          <w:highlight w:val="none"/>
          <w:lang w:bidi="ar"/>
        </w:rPr>
        <w:t>6.3.7</w:t>
      </w:r>
      <w:r>
        <w:rPr>
          <w:rFonts w:hint="eastAsia" w:ascii="宋体" w:hAnsi="宋体" w:cs="宋体"/>
          <w:szCs w:val="21"/>
          <w:highlight w:val="none"/>
          <w:lang w:bidi="ar"/>
        </w:rPr>
        <w:t>投标无效认定</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）在评审过程中如发现下列情形之一的，投标文件将被视为无效：</w:t>
      </w:r>
    </w:p>
    <w:p>
      <w:pPr>
        <w:spacing w:line="360" w:lineRule="auto"/>
        <w:ind w:firstLine="420" w:firstLineChars="200"/>
        <w:rPr>
          <w:rFonts w:ascii="宋体" w:hAnsi="宋体"/>
          <w:highlight w:val="none"/>
        </w:rPr>
      </w:pPr>
      <w:r>
        <w:rPr>
          <w:rFonts w:hint="eastAsia" w:ascii="宋体" w:hAnsi="宋体" w:cs="宋体"/>
          <w:szCs w:val="21"/>
          <w:highlight w:val="none"/>
          <w:lang w:bidi="ar"/>
        </w:rPr>
        <w:t>①投标文件存在法律、法规及监督部门有关文件规定的无效情形。</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②投标文件存在招标文件规定的无效情形。</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）根据财库《关于促进政府采购公平竞争优化营商环境的通知》（〔</w:t>
      </w:r>
      <w:r>
        <w:rPr>
          <w:rFonts w:ascii="宋体" w:hAnsi="宋体"/>
          <w:szCs w:val="21"/>
          <w:highlight w:val="none"/>
          <w:lang w:bidi="ar"/>
        </w:rPr>
        <w:t>2019</w:t>
      </w:r>
      <w:r>
        <w:rPr>
          <w:rFonts w:hint="eastAsia" w:ascii="宋体" w:hAnsi="宋体" w:cs="宋体"/>
          <w:szCs w:val="21"/>
          <w:highlight w:val="none"/>
          <w:lang w:bidi="ar"/>
        </w:rPr>
        <w:t>〕</w:t>
      </w:r>
      <w:r>
        <w:rPr>
          <w:rFonts w:ascii="宋体" w:hAnsi="宋体"/>
          <w:szCs w:val="21"/>
          <w:highlight w:val="none"/>
          <w:lang w:bidi="ar"/>
        </w:rPr>
        <w:t>38</w:t>
      </w:r>
      <w:r>
        <w:rPr>
          <w:rFonts w:hint="eastAsia" w:ascii="宋体" w:hAnsi="宋体" w:cs="宋体"/>
          <w:szCs w:val="21"/>
          <w:highlight w:val="none"/>
          <w:lang w:bidi="ar"/>
        </w:rPr>
        <w:t>号）以及《广西壮族自治区财政厅转发财政部关于促进政府采购公平竞争优化营商环境的通知》（桂财采〔</w:t>
      </w:r>
      <w:r>
        <w:rPr>
          <w:rFonts w:ascii="宋体" w:hAnsi="宋体"/>
          <w:szCs w:val="21"/>
          <w:highlight w:val="none"/>
          <w:lang w:bidi="ar"/>
        </w:rPr>
        <w:t>2019</w:t>
      </w:r>
      <w:r>
        <w:rPr>
          <w:rFonts w:hint="eastAsia" w:ascii="宋体" w:hAnsi="宋体" w:cs="宋体"/>
          <w:szCs w:val="21"/>
          <w:highlight w:val="none"/>
          <w:lang w:bidi="ar"/>
        </w:rPr>
        <w:t>〕</w:t>
      </w:r>
      <w:r>
        <w:rPr>
          <w:rFonts w:ascii="宋体" w:hAnsi="宋体"/>
          <w:szCs w:val="21"/>
          <w:highlight w:val="none"/>
          <w:lang w:bidi="ar"/>
        </w:rPr>
        <w:t>41</w:t>
      </w:r>
      <w:r>
        <w:rPr>
          <w:rFonts w:hint="eastAsia" w:ascii="宋体" w:hAnsi="宋体" w:cs="宋体"/>
          <w:szCs w:val="21"/>
          <w:highlight w:val="none"/>
          <w:lang w:bidi="ar"/>
        </w:rPr>
        <w:t>号）规定，评审委员会不得因装订、纸张、文件排序等非实质性的格式、形式问题认定投标无效或否决投标，从而限制和影响供应商投标（响应）。</w:t>
      </w:r>
    </w:p>
    <w:p>
      <w:pPr>
        <w:spacing w:line="360" w:lineRule="auto"/>
        <w:ind w:firstLine="420" w:firstLineChars="200"/>
        <w:rPr>
          <w:rFonts w:ascii="宋体" w:hAnsi="宋体"/>
          <w:szCs w:val="21"/>
          <w:highlight w:val="none"/>
        </w:rPr>
      </w:pPr>
      <w:r>
        <w:rPr>
          <w:rFonts w:ascii="宋体" w:hAnsi="宋体"/>
          <w:szCs w:val="21"/>
          <w:highlight w:val="none"/>
          <w:lang w:bidi="ar"/>
        </w:rPr>
        <w:t>6.3.8</w:t>
      </w:r>
      <w:r>
        <w:rPr>
          <w:rFonts w:hint="eastAsia" w:ascii="宋体" w:hAnsi="宋体" w:cs="宋体"/>
          <w:szCs w:val="21"/>
          <w:highlight w:val="none"/>
          <w:lang w:bidi="ar"/>
        </w:rPr>
        <w:t>比较与评价</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）评审委员会按招标文件中规定的评审方法和标准，对符合性审查合格的投标文件进行综合比较与评价。</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）评审委员会各成员独立对每个有效供应商的投标文件进行评价。评价有误的应及时进行修正。评分标准如有客观分定义，评审委员会所有成员的客观分评分分值应当一致。</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3</w:t>
      </w:r>
      <w:r>
        <w:rPr>
          <w:rFonts w:hint="eastAsia" w:ascii="宋体" w:hAnsi="宋体" w:cs="宋体"/>
          <w:szCs w:val="21"/>
          <w:highlight w:val="none"/>
          <w:lang w:bidi="ar"/>
        </w:rPr>
        <w:t>）评审委员会按综合评分由高到低的排列顺序推荐综合评分排名第一的为第一中标候选人。若中标候选人综合得分相同的，按投标报价由低到高顺序排列；综合得分且投标报价相同的并列；中标候选人并列的，由采购人按技术部分得分由高到低顺序排列，若综合得分、投标报价、技术部分均相同的，按商务部分得分由高到低顺序排列。</w:t>
      </w:r>
    </w:p>
    <w:p>
      <w:pPr>
        <w:spacing w:line="360" w:lineRule="auto"/>
        <w:ind w:firstLine="420" w:firstLineChars="200"/>
        <w:rPr>
          <w:rFonts w:ascii="宋体" w:hAnsi="宋体"/>
          <w:highlight w:val="none"/>
        </w:rPr>
      </w:pPr>
      <w:r>
        <w:rPr>
          <w:rFonts w:hint="eastAsia" w:ascii="宋体" w:hAnsi="宋体" w:cs="宋体"/>
          <w:szCs w:val="21"/>
          <w:highlight w:val="none"/>
          <w:lang w:bidi="ar"/>
        </w:rPr>
        <w:t>（</w:t>
      </w:r>
      <w:r>
        <w:rPr>
          <w:rFonts w:ascii="宋体" w:hAnsi="宋体"/>
          <w:szCs w:val="21"/>
          <w:highlight w:val="none"/>
          <w:lang w:bidi="ar"/>
        </w:rPr>
        <w:t>4</w:t>
      </w:r>
      <w:r>
        <w:rPr>
          <w:rFonts w:hint="eastAsia" w:ascii="宋体" w:hAnsi="宋体" w:cs="宋体"/>
          <w:szCs w:val="21"/>
          <w:highlight w:val="none"/>
          <w:lang w:bidi="ar"/>
        </w:rPr>
        <w:t>）评审委员会根据评审记录及评审结果编写评审报告，评审委员会成员均应当在评审报告上签字，对自己的评审意见承担法律责任。</w:t>
      </w:r>
      <w:r>
        <w:rPr>
          <w:rFonts w:hint="eastAsia" w:ascii="宋体" w:hAnsi="宋体" w:cs="宋体"/>
          <w:highlight w:val="none"/>
          <w:lang w:bidi="ar"/>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pPr>
        <w:spacing w:line="360" w:lineRule="auto"/>
        <w:ind w:firstLine="420" w:firstLineChars="200"/>
        <w:rPr>
          <w:rFonts w:ascii="宋体" w:hAnsi="宋体"/>
          <w:highlight w:val="none"/>
        </w:rPr>
      </w:pPr>
      <w:r>
        <w:rPr>
          <w:rFonts w:hint="eastAsia" w:ascii="宋体" w:hAnsi="宋体" w:cs="宋体"/>
          <w:highlight w:val="none"/>
          <w:lang w:bidi="ar"/>
        </w:rPr>
        <w:t>分值汇总计算错误的；分项评分超出评分标准范围的；评审委员会成员对客观评审因素评分不一致的；经评审委员会认定评分畸高、畸低的。</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6.4</w:t>
      </w:r>
      <w:r>
        <w:rPr>
          <w:rFonts w:hint="eastAsia" w:ascii="宋体" w:hAnsi="宋体"/>
          <w:b/>
          <w:bCs/>
          <w:kern w:val="0"/>
          <w:szCs w:val="21"/>
          <w:highlight w:val="none"/>
          <w:lang w:bidi="ar"/>
        </w:rPr>
        <w:t>确定中标人</w:t>
      </w:r>
    </w:p>
    <w:p>
      <w:pPr>
        <w:spacing w:line="360" w:lineRule="auto"/>
        <w:ind w:firstLine="420" w:firstLineChars="200"/>
        <w:rPr>
          <w:rFonts w:ascii="宋体" w:hAnsi="宋体"/>
          <w:szCs w:val="21"/>
          <w:highlight w:val="none"/>
        </w:rPr>
      </w:pPr>
      <w:r>
        <w:rPr>
          <w:rFonts w:ascii="宋体" w:hAnsi="宋体"/>
          <w:szCs w:val="21"/>
          <w:highlight w:val="none"/>
          <w:lang w:bidi="ar"/>
        </w:rPr>
        <w:t>6.4.1</w:t>
      </w:r>
      <w:r>
        <w:rPr>
          <w:rFonts w:hint="eastAsia" w:ascii="宋体" w:hAnsi="宋体" w:cs="宋体"/>
          <w:szCs w:val="21"/>
          <w:highlight w:val="none"/>
          <w:lang w:bidi="ar"/>
        </w:rPr>
        <w:t>采购代理机构在评审结束后</w:t>
      </w:r>
      <w:r>
        <w:rPr>
          <w:rFonts w:ascii="宋体" w:hAnsi="宋体"/>
          <w:szCs w:val="21"/>
          <w:highlight w:val="none"/>
          <w:lang w:bidi="ar"/>
        </w:rPr>
        <w:t>2</w:t>
      </w:r>
      <w:r>
        <w:rPr>
          <w:rFonts w:hint="eastAsia" w:ascii="宋体" w:hAnsi="宋体" w:cs="宋体"/>
          <w:szCs w:val="21"/>
          <w:highlight w:val="none"/>
          <w:lang w:bidi="ar"/>
        </w:rPr>
        <w:t>个工作日内将评审报告送采购人，采购人在</w:t>
      </w:r>
      <w:r>
        <w:rPr>
          <w:rFonts w:ascii="宋体" w:hAnsi="宋体"/>
          <w:szCs w:val="21"/>
          <w:highlight w:val="none"/>
          <w:lang w:bidi="ar"/>
        </w:rPr>
        <w:t>5</w:t>
      </w:r>
      <w:r>
        <w:rPr>
          <w:rFonts w:hint="eastAsia" w:ascii="宋体" w:hAnsi="宋体" w:cs="宋体"/>
          <w:szCs w:val="21"/>
          <w:highlight w:val="none"/>
          <w:lang w:bidi="ar"/>
        </w:rPr>
        <w:t>个工作日内按照评审报告中推荐的中标候选供应商顺序确定中标人。</w:t>
      </w:r>
    </w:p>
    <w:p>
      <w:pPr>
        <w:spacing w:line="360" w:lineRule="auto"/>
        <w:ind w:firstLine="420" w:firstLineChars="200"/>
        <w:rPr>
          <w:rFonts w:ascii="宋体" w:hAnsi="宋体"/>
          <w:szCs w:val="21"/>
          <w:highlight w:val="none"/>
        </w:rPr>
      </w:pPr>
      <w:r>
        <w:rPr>
          <w:rFonts w:ascii="宋体" w:hAnsi="宋体"/>
          <w:szCs w:val="21"/>
          <w:highlight w:val="none"/>
          <w:lang w:bidi="ar"/>
        </w:rPr>
        <w:t>6.4.2</w:t>
      </w:r>
      <w:r>
        <w:rPr>
          <w:rFonts w:hint="eastAsia" w:ascii="宋体" w:hAnsi="宋体" w:cs="宋体"/>
          <w:szCs w:val="21"/>
          <w:highlight w:val="none"/>
          <w:lang w:bidi="ar"/>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6.5</w:t>
      </w:r>
      <w:r>
        <w:rPr>
          <w:rFonts w:hint="eastAsia" w:ascii="宋体" w:hAnsi="宋体"/>
          <w:b/>
          <w:bCs/>
          <w:kern w:val="0"/>
          <w:szCs w:val="21"/>
          <w:highlight w:val="none"/>
          <w:lang w:bidi="ar"/>
        </w:rPr>
        <w:t>结果公告</w:t>
      </w:r>
    </w:p>
    <w:p>
      <w:pPr>
        <w:spacing w:line="360" w:lineRule="auto"/>
        <w:ind w:firstLine="420" w:firstLineChars="200"/>
        <w:rPr>
          <w:rFonts w:ascii="宋体" w:hAnsi="宋体"/>
          <w:szCs w:val="21"/>
          <w:highlight w:val="none"/>
        </w:rPr>
      </w:pPr>
      <w:r>
        <w:rPr>
          <w:rFonts w:ascii="宋体" w:hAnsi="宋体"/>
          <w:szCs w:val="21"/>
          <w:highlight w:val="none"/>
          <w:lang w:bidi="ar"/>
        </w:rPr>
        <w:t>6.5.1</w:t>
      </w:r>
      <w:r>
        <w:rPr>
          <w:rFonts w:hint="eastAsia" w:ascii="宋体" w:hAnsi="宋体" w:cs="宋体"/>
          <w:szCs w:val="21"/>
          <w:highlight w:val="none"/>
          <w:lang w:bidi="ar"/>
        </w:rPr>
        <w:t>自中标人确定后</w:t>
      </w:r>
      <w:r>
        <w:rPr>
          <w:rFonts w:ascii="宋体" w:hAnsi="宋体"/>
          <w:szCs w:val="21"/>
          <w:highlight w:val="none"/>
          <w:lang w:bidi="ar"/>
        </w:rPr>
        <w:t>2</w:t>
      </w:r>
      <w:r>
        <w:rPr>
          <w:rFonts w:hint="eastAsia" w:ascii="宋体" w:hAnsi="宋体" w:cs="宋体"/>
          <w:szCs w:val="21"/>
          <w:highlight w:val="none"/>
          <w:lang w:bidi="ar"/>
        </w:rPr>
        <w:t>个工作日内，采购代理机构按照供应商须知</w:t>
      </w:r>
      <w:r>
        <w:rPr>
          <w:rFonts w:hint="eastAsia" w:ascii="宋体" w:hAnsi="宋体" w:cs="宋体"/>
          <w:kern w:val="0"/>
          <w:szCs w:val="21"/>
          <w:highlight w:val="none"/>
          <w:lang w:bidi="ar"/>
        </w:rPr>
        <w:t>前附表的规定公告</w:t>
      </w:r>
      <w:r>
        <w:rPr>
          <w:rFonts w:hint="eastAsia" w:ascii="宋体" w:hAnsi="宋体" w:cs="宋体"/>
          <w:szCs w:val="21"/>
          <w:highlight w:val="none"/>
          <w:lang w:bidi="ar"/>
        </w:rPr>
        <w:t>中标结果。</w:t>
      </w:r>
    </w:p>
    <w:p>
      <w:pPr>
        <w:spacing w:line="360" w:lineRule="auto"/>
        <w:ind w:firstLine="420" w:firstLineChars="200"/>
        <w:rPr>
          <w:rFonts w:ascii="宋体" w:hAnsi="宋体"/>
          <w:szCs w:val="21"/>
          <w:highlight w:val="none"/>
        </w:rPr>
      </w:pPr>
      <w:r>
        <w:rPr>
          <w:rFonts w:ascii="宋体" w:hAnsi="宋体"/>
          <w:szCs w:val="21"/>
          <w:highlight w:val="none"/>
          <w:lang w:bidi="ar"/>
        </w:rPr>
        <w:t>6.5.2</w:t>
      </w:r>
      <w:r>
        <w:rPr>
          <w:rFonts w:hint="eastAsia" w:ascii="宋体" w:hAnsi="宋体" w:cs="宋体"/>
          <w:szCs w:val="21"/>
          <w:highlight w:val="none"/>
          <w:lang w:bidi="ar"/>
        </w:rPr>
        <w:t>在发布结果公告的同时，采购代理机构以供应商须知前附表规定的形式向中标人发出中标通知书。中标通知书发出后，采购人改变中标结果，或者中标人放弃中标，应当承担相应的法律责任。</w:t>
      </w:r>
    </w:p>
    <w:p>
      <w:pPr>
        <w:spacing w:line="360" w:lineRule="auto"/>
        <w:ind w:firstLine="420" w:firstLineChars="200"/>
        <w:rPr>
          <w:rFonts w:ascii="宋体" w:hAnsi="宋体"/>
          <w:b/>
          <w:bCs/>
          <w:kern w:val="0"/>
          <w:szCs w:val="21"/>
          <w:highlight w:val="none"/>
        </w:rPr>
      </w:pPr>
      <w:r>
        <w:rPr>
          <w:rFonts w:ascii="宋体" w:hAnsi="宋体"/>
          <w:szCs w:val="21"/>
          <w:highlight w:val="none"/>
          <w:lang w:bidi="ar"/>
        </w:rPr>
        <w:t>6.5.3</w:t>
      </w:r>
      <w:r>
        <w:rPr>
          <w:rFonts w:hint="eastAsia" w:ascii="宋体" w:hAnsi="宋体" w:cs="宋体"/>
          <w:szCs w:val="21"/>
          <w:highlight w:val="none"/>
          <w:lang w:bidi="ar"/>
        </w:rPr>
        <w:t>在发布结果公告的同时，采购代理机构以供应商须知前附表规定的形式向未中标人发出招标结果通知书，供应商自行承担未及时查收的后果。</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6.6</w:t>
      </w:r>
      <w:r>
        <w:rPr>
          <w:rFonts w:hint="eastAsia" w:ascii="宋体" w:hAnsi="宋体"/>
          <w:b/>
          <w:bCs/>
          <w:kern w:val="0"/>
          <w:szCs w:val="21"/>
          <w:highlight w:val="none"/>
          <w:lang w:bidi="ar"/>
        </w:rPr>
        <w:t>废标</w:t>
      </w:r>
    </w:p>
    <w:p>
      <w:pPr>
        <w:spacing w:line="360" w:lineRule="auto"/>
        <w:ind w:firstLine="420" w:firstLineChars="200"/>
        <w:rPr>
          <w:rFonts w:ascii="宋体" w:hAnsi="宋体"/>
          <w:kern w:val="1"/>
          <w:szCs w:val="21"/>
          <w:highlight w:val="none"/>
        </w:rPr>
      </w:pPr>
      <w:r>
        <w:rPr>
          <w:rFonts w:ascii="宋体" w:hAnsi="宋体"/>
          <w:kern w:val="1"/>
          <w:szCs w:val="21"/>
          <w:highlight w:val="none"/>
          <w:lang w:bidi="ar"/>
        </w:rPr>
        <w:t>6.6.1</w:t>
      </w:r>
      <w:r>
        <w:rPr>
          <w:rFonts w:hint="eastAsia" w:ascii="宋体" w:hAnsi="宋体" w:cs="宋体"/>
          <w:kern w:val="1"/>
          <w:szCs w:val="21"/>
          <w:highlight w:val="none"/>
          <w:lang w:bidi="ar"/>
        </w:rPr>
        <w:t>出现下列情形之一，将导致项目废标：</w:t>
      </w:r>
      <w:r>
        <w:rPr>
          <w:rFonts w:ascii="宋体" w:hAnsi="宋体"/>
          <w:kern w:val="1"/>
          <w:szCs w:val="21"/>
          <w:highlight w:val="none"/>
          <w:lang w:bidi="ar"/>
        </w:rPr>
        <w:t xml:space="preserve"> </w:t>
      </w:r>
    </w:p>
    <w:p>
      <w:pPr>
        <w:spacing w:line="360" w:lineRule="auto"/>
        <w:ind w:firstLine="420" w:firstLineChars="200"/>
        <w:rPr>
          <w:rFonts w:ascii="宋体" w:hAnsi="宋体"/>
          <w:szCs w:val="21"/>
          <w:highlight w:val="none"/>
        </w:rPr>
      </w:pPr>
      <w:r>
        <w:rPr>
          <w:rFonts w:hint="eastAsia" w:ascii="宋体" w:hAnsi="宋体" w:cs="宋体"/>
          <w:kern w:val="1"/>
          <w:szCs w:val="21"/>
          <w:highlight w:val="none"/>
          <w:lang w:bidi="ar"/>
        </w:rPr>
        <w:t>（</w:t>
      </w:r>
      <w:r>
        <w:rPr>
          <w:rFonts w:ascii="宋体" w:hAnsi="宋体"/>
          <w:kern w:val="1"/>
          <w:szCs w:val="21"/>
          <w:highlight w:val="none"/>
          <w:lang w:bidi="ar"/>
        </w:rPr>
        <w:t>1</w:t>
      </w:r>
      <w:r>
        <w:rPr>
          <w:rFonts w:hint="eastAsia" w:ascii="宋体" w:hAnsi="宋体" w:cs="宋体"/>
          <w:szCs w:val="21"/>
          <w:highlight w:val="none"/>
          <w:lang w:bidi="ar"/>
        </w:rPr>
        <w:t>）符合专业条件的供应商或者对招标文件做实质性响应的供应商不足三家；</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）出现影响采购公正的违法、违规行为的；</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3</w:t>
      </w:r>
      <w:r>
        <w:rPr>
          <w:rFonts w:hint="eastAsia" w:ascii="宋体" w:hAnsi="宋体" w:cs="宋体"/>
          <w:szCs w:val="21"/>
          <w:highlight w:val="none"/>
          <w:lang w:bidi="ar"/>
        </w:rPr>
        <w:t>）供应商的报价均超过了采购预算，采购人不能支付的；</w:t>
      </w:r>
    </w:p>
    <w:p>
      <w:pPr>
        <w:spacing w:line="360" w:lineRule="auto"/>
        <w:ind w:firstLine="420" w:firstLineChars="200"/>
        <w:rPr>
          <w:rFonts w:ascii="宋体" w:hAnsi="宋体"/>
          <w:highlight w:val="none"/>
        </w:rPr>
      </w:pPr>
      <w:r>
        <w:rPr>
          <w:rFonts w:hint="eastAsia" w:ascii="宋体" w:hAnsi="宋体" w:cs="宋体"/>
          <w:szCs w:val="21"/>
          <w:highlight w:val="none"/>
          <w:lang w:bidi="ar"/>
        </w:rPr>
        <w:t>（</w:t>
      </w:r>
      <w:r>
        <w:rPr>
          <w:rFonts w:ascii="宋体" w:hAnsi="宋体"/>
          <w:szCs w:val="21"/>
          <w:highlight w:val="none"/>
          <w:lang w:bidi="ar"/>
        </w:rPr>
        <w:t>4</w:t>
      </w:r>
      <w:r>
        <w:rPr>
          <w:rFonts w:hint="eastAsia" w:ascii="宋体" w:hAnsi="宋体" w:cs="宋体"/>
          <w:szCs w:val="21"/>
          <w:highlight w:val="none"/>
          <w:lang w:bidi="ar"/>
        </w:rPr>
        <w:t>）</w:t>
      </w:r>
      <w:r>
        <w:rPr>
          <w:rFonts w:hint="eastAsia" w:ascii="宋体" w:hAnsi="宋体" w:cs="宋体"/>
          <w:highlight w:val="none"/>
          <w:lang w:bidi="ar"/>
        </w:rPr>
        <w:t>因发生重大变故或采购任务取消的。</w:t>
      </w:r>
    </w:p>
    <w:p>
      <w:pPr>
        <w:spacing w:line="360" w:lineRule="auto"/>
        <w:ind w:firstLine="420" w:firstLineChars="200"/>
        <w:rPr>
          <w:rFonts w:ascii="宋体" w:hAnsi="宋体"/>
          <w:szCs w:val="21"/>
          <w:highlight w:val="none"/>
        </w:rPr>
      </w:pPr>
      <w:r>
        <w:rPr>
          <w:rFonts w:ascii="宋体" w:hAnsi="宋体"/>
          <w:kern w:val="1"/>
          <w:szCs w:val="21"/>
          <w:highlight w:val="none"/>
          <w:lang w:bidi="ar"/>
        </w:rPr>
        <w:t>6.6.2</w:t>
      </w:r>
      <w:r>
        <w:rPr>
          <w:rFonts w:hint="eastAsia" w:ascii="宋体" w:hAnsi="宋体" w:cs="宋体"/>
          <w:kern w:val="1"/>
          <w:szCs w:val="21"/>
          <w:highlight w:val="none"/>
          <w:lang w:bidi="ar"/>
        </w:rPr>
        <w:t>废标后</w:t>
      </w:r>
      <w:r>
        <w:rPr>
          <w:rFonts w:hint="eastAsia" w:ascii="宋体" w:hAnsi="宋体" w:cs="宋体"/>
          <w:szCs w:val="21"/>
          <w:highlight w:val="none"/>
          <w:lang w:bidi="ar"/>
        </w:rPr>
        <w:t>采购</w:t>
      </w:r>
      <w:r>
        <w:rPr>
          <w:rFonts w:hint="eastAsia" w:ascii="宋体" w:hAnsi="宋体" w:cs="宋体"/>
          <w:kern w:val="1"/>
          <w:szCs w:val="21"/>
          <w:highlight w:val="none"/>
          <w:lang w:bidi="ar"/>
        </w:rPr>
        <w:t>代理机构将发布废标公告通知供应商。</w:t>
      </w:r>
      <w:bookmarkEnd w:id="121"/>
    </w:p>
    <w:bookmarkEnd w:id="118"/>
    <w:p>
      <w:pPr>
        <w:spacing w:line="360" w:lineRule="auto"/>
        <w:ind w:firstLine="422" w:firstLineChars="200"/>
        <w:outlineLvl w:val="2"/>
        <w:rPr>
          <w:rFonts w:ascii="宋体" w:hAnsi="宋体"/>
          <w:b/>
          <w:bCs/>
          <w:kern w:val="0"/>
          <w:szCs w:val="21"/>
          <w:highlight w:val="none"/>
          <w:lang w:bidi="ar"/>
        </w:rPr>
      </w:pPr>
      <w:r>
        <w:rPr>
          <w:rFonts w:ascii="宋体" w:hAnsi="宋体"/>
          <w:b/>
          <w:bCs/>
          <w:kern w:val="0"/>
          <w:szCs w:val="21"/>
          <w:highlight w:val="none"/>
          <w:lang w:bidi="ar"/>
        </w:rPr>
        <w:t>7</w:t>
      </w:r>
      <w:r>
        <w:rPr>
          <w:rFonts w:hint="eastAsia" w:ascii="宋体" w:hAnsi="宋体"/>
          <w:b/>
          <w:bCs/>
          <w:kern w:val="0"/>
          <w:szCs w:val="21"/>
          <w:highlight w:val="none"/>
          <w:lang w:bidi="ar"/>
        </w:rPr>
        <w:t>．合同</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7.1</w:t>
      </w:r>
      <w:r>
        <w:rPr>
          <w:rFonts w:hint="eastAsia" w:ascii="宋体" w:hAnsi="宋体"/>
          <w:b/>
          <w:bCs/>
          <w:kern w:val="0"/>
          <w:szCs w:val="21"/>
          <w:highlight w:val="none"/>
          <w:lang w:bidi="ar"/>
        </w:rPr>
        <w:t>合同授予标准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w:t>
      </w:r>
      <w:r>
        <w:rPr>
          <w:rFonts w:ascii="宋体" w:hAnsi="宋体"/>
          <w:szCs w:val="21"/>
          <w:highlight w:val="none"/>
          <w:lang w:bidi="ar"/>
        </w:rPr>
        <w:t xml:space="preserve"> </w:t>
      </w:r>
      <w:r>
        <w:rPr>
          <w:rFonts w:hint="eastAsia" w:ascii="宋体" w:hAnsi="宋体" w:cs="宋体"/>
          <w:szCs w:val="21"/>
          <w:highlight w:val="none"/>
          <w:lang w:bidi="ar"/>
        </w:rPr>
        <w:t>，应在中标通知书发出前或签订合同前及时书面告知采购人，未主动告知，给采购人造成损失的，采购人有权取消其中标资格并没收投标保证金。</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7.2</w:t>
      </w:r>
      <w:r>
        <w:rPr>
          <w:rFonts w:hint="eastAsia" w:ascii="宋体" w:hAnsi="宋体"/>
          <w:b/>
          <w:bCs/>
          <w:kern w:val="0"/>
          <w:szCs w:val="21"/>
          <w:highlight w:val="none"/>
          <w:lang w:bidi="ar"/>
        </w:rPr>
        <w:t>签订合同</w:t>
      </w:r>
    </w:p>
    <w:p>
      <w:pPr>
        <w:spacing w:line="360" w:lineRule="auto"/>
        <w:ind w:firstLine="420" w:firstLineChars="200"/>
        <w:rPr>
          <w:rFonts w:ascii="宋体" w:hAnsi="宋体"/>
          <w:szCs w:val="21"/>
          <w:highlight w:val="none"/>
        </w:rPr>
      </w:pPr>
      <w:bookmarkStart w:id="123" w:name="_Hlk93421039"/>
      <w:r>
        <w:rPr>
          <w:rFonts w:ascii="宋体" w:hAnsi="宋体"/>
          <w:szCs w:val="21"/>
          <w:highlight w:val="none"/>
          <w:lang w:bidi="ar"/>
        </w:rPr>
        <w:t>7.2.1</w:t>
      </w:r>
      <w:r>
        <w:rPr>
          <w:rFonts w:hint="eastAsia" w:ascii="宋体" w:hAnsi="宋体" w:cs="宋体"/>
          <w:szCs w:val="21"/>
          <w:highlight w:val="none"/>
          <w:lang w:bidi="ar"/>
        </w:rPr>
        <w:t>如招标文件无特别规定，中标人按招标文件确定的事项签订政府采购合同。</w:t>
      </w:r>
    </w:p>
    <w:p>
      <w:pPr>
        <w:spacing w:line="360" w:lineRule="auto"/>
        <w:ind w:firstLine="420" w:firstLineChars="200"/>
        <w:rPr>
          <w:rFonts w:ascii="宋体" w:hAnsi="宋体"/>
          <w:szCs w:val="21"/>
          <w:highlight w:val="none"/>
        </w:rPr>
      </w:pPr>
      <w:r>
        <w:rPr>
          <w:rFonts w:ascii="宋体" w:hAnsi="宋体"/>
          <w:szCs w:val="21"/>
          <w:highlight w:val="none"/>
          <w:lang w:bidi="ar"/>
        </w:rPr>
        <w:t>7.2.2</w:t>
      </w:r>
      <w:r>
        <w:rPr>
          <w:rFonts w:hint="eastAsia" w:ascii="宋体" w:hAnsi="宋体" w:cs="宋体"/>
          <w:szCs w:val="21"/>
          <w:highlight w:val="none"/>
          <w:lang w:bidi="ar"/>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pPr>
        <w:spacing w:line="360" w:lineRule="auto"/>
        <w:ind w:firstLine="420" w:firstLineChars="200"/>
        <w:rPr>
          <w:rFonts w:ascii="宋体" w:hAnsi="宋体"/>
          <w:szCs w:val="21"/>
          <w:highlight w:val="none"/>
        </w:rPr>
      </w:pPr>
      <w:r>
        <w:rPr>
          <w:rFonts w:ascii="宋体" w:hAnsi="宋体"/>
          <w:szCs w:val="21"/>
          <w:highlight w:val="none"/>
          <w:lang w:bidi="ar"/>
        </w:rPr>
        <w:t>7.2.3</w:t>
      </w:r>
      <w:r>
        <w:rPr>
          <w:rFonts w:hint="eastAsia" w:ascii="宋体" w:hAnsi="宋体" w:cs="宋体"/>
          <w:szCs w:val="21"/>
          <w:highlight w:val="none"/>
          <w:lang w:bidi="ar"/>
        </w:rPr>
        <w:t>如中标人不按中标通知书的规定签订合同，其投标保证金将不予退还，并报由同级政府采购监督管理部门处理。</w:t>
      </w:r>
    </w:p>
    <w:p>
      <w:pPr>
        <w:spacing w:line="360" w:lineRule="auto"/>
        <w:ind w:firstLine="420" w:firstLineChars="200"/>
        <w:rPr>
          <w:rFonts w:ascii="宋体" w:hAnsi="宋体"/>
          <w:szCs w:val="21"/>
          <w:highlight w:val="none"/>
        </w:rPr>
      </w:pPr>
      <w:r>
        <w:rPr>
          <w:rFonts w:ascii="宋体" w:hAnsi="宋体"/>
          <w:szCs w:val="21"/>
          <w:highlight w:val="none"/>
          <w:lang w:bidi="ar"/>
        </w:rPr>
        <w:t>7.2.4</w:t>
      </w:r>
      <w:r>
        <w:rPr>
          <w:rFonts w:hint="eastAsia" w:ascii="宋体" w:hAnsi="宋体" w:cs="宋体"/>
          <w:szCs w:val="21"/>
          <w:highlight w:val="none"/>
          <w:lang w:bidi="ar"/>
        </w:rPr>
        <w:t>中标人拒绝与采购人签订合同的，采购人可以按照评审报告推荐的中标候选人名单排序，确定下一候选人为中标人，也可以重新开展政府采购活动。</w:t>
      </w:r>
    </w:p>
    <w:bookmarkEnd w:id="123"/>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7.3</w:t>
      </w:r>
      <w:r>
        <w:rPr>
          <w:rFonts w:hint="eastAsia" w:ascii="宋体" w:hAnsi="宋体"/>
          <w:b/>
          <w:bCs/>
          <w:kern w:val="0"/>
          <w:szCs w:val="21"/>
          <w:highlight w:val="none"/>
          <w:lang w:bidi="ar"/>
        </w:rPr>
        <w:t>合同公告</w:t>
      </w:r>
    </w:p>
    <w:p>
      <w:pPr>
        <w:spacing w:line="360" w:lineRule="auto"/>
        <w:ind w:firstLine="420" w:firstLineChars="200"/>
        <w:rPr>
          <w:rFonts w:ascii="宋体" w:hAnsi="宋体"/>
          <w:szCs w:val="21"/>
          <w:highlight w:val="none"/>
        </w:rPr>
      </w:pPr>
      <w:bookmarkStart w:id="124" w:name="_Hlk93421052"/>
      <w:r>
        <w:rPr>
          <w:rFonts w:ascii="宋体" w:hAnsi="宋体"/>
          <w:szCs w:val="21"/>
          <w:highlight w:val="none"/>
          <w:lang w:bidi="ar"/>
        </w:rPr>
        <w:t>7.3.1</w:t>
      </w:r>
      <w:r>
        <w:rPr>
          <w:rFonts w:hint="eastAsia" w:ascii="宋体" w:hAnsi="宋体" w:cs="宋体"/>
          <w:szCs w:val="21"/>
          <w:highlight w:val="none"/>
          <w:lang w:bidi="ar"/>
        </w:rPr>
        <w:t>如招标文件无特殊规定，中标人应在签订合同后</w:t>
      </w:r>
      <w:r>
        <w:rPr>
          <w:rFonts w:ascii="宋体" w:hAnsi="宋体"/>
          <w:szCs w:val="21"/>
          <w:highlight w:val="none"/>
          <w:lang w:bidi="ar"/>
        </w:rPr>
        <w:t>1</w:t>
      </w:r>
      <w:r>
        <w:rPr>
          <w:rFonts w:hint="eastAsia" w:ascii="宋体" w:hAnsi="宋体" w:cs="宋体"/>
          <w:szCs w:val="21"/>
          <w:highlight w:val="none"/>
          <w:lang w:bidi="ar"/>
        </w:rPr>
        <w:t>个工作日内，将政府采购合同副本送采购代理机构存档。</w:t>
      </w:r>
    </w:p>
    <w:p>
      <w:pPr>
        <w:spacing w:line="360" w:lineRule="auto"/>
        <w:ind w:firstLine="420" w:firstLineChars="200"/>
        <w:rPr>
          <w:rFonts w:ascii="宋体" w:hAnsi="宋体"/>
          <w:szCs w:val="21"/>
          <w:highlight w:val="none"/>
        </w:rPr>
      </w:pPr>
      <w:r>
        <w:rPr>
          <w:rFonts w:ascii="宋体" w:hAnsi="宋体"/>
          <w:szCs w:val="21"/>
          <w:highlight w:val="none"/>
          <w:lang w:bidi="ar"/>
        </w:rPr>
        <w:t>7.3.2</w:t>
      </w:r>
      <w:r>
        <w:rPr>
          <w:rFonts w:hint="eastAsia" w:ascii="宋体" w:hAnsi="宋体" w:cs="宋体"/>
          <w:szCs w:val="21"/>
          <w:highlight w:val="none"/>
          <w:lang w:bidi="ar"/>
        </w:rPr>
        <w:t>采购人应当自政府采购合同签订之日起</w:t>
      </w:r>
      <w:r>
        <w:rPr>
          <w:rFonts w:ascii="宋体" w:hAnsi="宋体"/>
          <w:szCs w:val="21"/>
          <w:highlight w:val="none"/>
          <w:lang w:bidi="ar"/>
        </w:rPr>
        <w:t>2</w:t>
      </w:r>
      <w:r>
        <w:rPr>
          <w:rFonts w:hint="eastAsia" w:ascii="宋体" w:hAnsi="宋体" w:cs="宋体"/>
          <w:szCs w:val="21"/>
          <w:highlight w:val="none"/>
          <w:lang w:bidi="ar"/>
        </w:rPr>
        <w:t>个工作日内，将政府采购合同在省级以上人民政府财政部门指定的媒体上公告，但政府采购合同中涉及国家秘密、商业秘密的内容除外。</w:t>
      </w:r>
    </w:p>
    <w:bookmarkEnd w:id="124"/>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 xml:space="preserve">7.4 </w:t>
      </w:r>
      <w:r>
        <w:rPr>
          <w:rFonts w:hint="eastAsia" w:ascii="宋体" w:hAnsi="宋体"/>
          <w:b/>
          <w:bCs/>
          <w:kern w:val="0"/>
          <w:szCs w:val="21"/>
          <w:highlight w:val="none"/>
          <w:lang w:bidi="ar"/>
        </w:rPr>
        <w:t>履行合同</w:t>
      </w:r>
    </w:p>
    <w:p>
      <w:pPr>
        <w:spacing w:line="360" w:lineRule="auto"/>
        <w:ind w:firstLine="420" w:firstLineChars="200"/>
        <w:rPr>
          <w:rFonts w:ascii="宋体" w:hAnsi="宋体"/>
          <w:szCs w:val="21"/>
          <w:highlight w:val="none"/>
        </w:rPr>
      </w:pPr>
      <w:bookmarkStart w:id="125" w:name="_Hlk93421061"/>
      <w:r>
        <w:rPr>
          <w:rFonts w:ascii="宋体" w:hAnsi="宋体"/>
          <w:szCs w:val="21"/>
          <w:highlight w:val="none"/>
          <w:lang w:bidi="ar"/>
        </w:rPr>
        <w:t>7.4.1</w:t>
      </w:r>
      <w:bookmarkStart w:id="126" w:name="_Toc308164814"/>
      <w:bookmarkStart w:id="127" w:name="_Toc217446070"/>
      <w:r>
        <w:rPr>
          <w:rFonts w:hint="eastAsia" w:ascii="宋体" w:hAnsi="宋体" w:cs="宋体"/>
          <w:szCs w:val="21"/>
          <w:highlight w:val="none"/>
          <w:lang w:bidi="ar"/>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pPr>
        <w:spacing w:line="360" w:lineRule="auto"/>
        <w:ind w:firstLine="420" w:firstLineChars="200"/>
        <w:rPr>
          <w:rFonts w:ascii="宋体" w:hAnsi="宋体"/>
          <w:szCs w:val="21"/>
          <w:highlight w:val="none"/>
        </w:rPr>
      </w:pPr>
      <w:r>
        <w:rPr>
          <w:rFonts w:ascii="宋体" w:hAnsi="宋体"/>
          <w:szCs w:val="21"/>
          <w:highlight w:val="none"/>
          <w:lang w:bidi="ar"/>
        </w:rPr>
        <w:t>7.4.2</w:t>
      </w:r>
      <w:r>
        <w:rPr>
          <w:rFonts w:hint="eastAsia" w:ascii="宋体" w:hAnsi="宋体" w:cs="宋体"/>
          <w:szCs w:val="21"/>
          <w:highlight w:val="none"/>
          <w:lang w:bidi="ar"/>
        </w:rPr>
        <w:t>对于双方解除合同的情况，</w:t>
      </w:r>
      <w:bookmarkStart w:id="128" w:name="_Hlk92189915"/>
      <w:r>
        <w:rPr>
          <w:rFonts w:hint="eastAsia" w:ascii="宋体" w:hAnsi="宋体" w:cs="宋体"/>
          <w:szCs w:val="21"/>
          <w:highlight w:val="none"/>
          <w:lang w:bidi="ar"/>
        </w:rPr>
        <w:t>应当按照民法典合同编有关规定或者合同约定执行。需要重新选定供应商的，应当重新开展采购活动。</w:t>
      </w:r>
      <w:bookmarkEnd w:id="128"/>
    </w:p>
    <w:bookmarkEnd w:id="125"/>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7.5</w:t>
      </w:r>
      <w:r>
        <w:rPr>
          <w:rFonts w:hint="eastAsia" w:ascii="宋体" w:hAnsi="宋体"/>
          <w:b/>
          <w:bCs/>
          <w:kern w:val="0"/>
          <w:szCs w:val="21"/>
          <w:highlight w:val="none"/>
          <w:lang w:bidi="ar"/>
        </w:rPr>
        <w:t>履约验收</w:t>
      </w:r>
      <w:bookmarkEnd w:id="126"/>
      <w:bookmarkEnd w:id="127"/>
    </w:p>
    <w:p>
      <w:pPr>
        <w:spacing w:line="360" w:lineRule="auto"/>
        <w:ind w:firstLine="420" w:firstLineChars="200"/>
        <w:rPr>
          <w:rFonts w:ascii="宋体" w:hAnsi="宋体"/>
          <w:szCs w:val="21"/>
          <w:highlight w:val="none"/>
        </w:rPr>
      </w:pPr>
      <w:bookmarkStart w:id="129" w:name="_Hlk93421069"/>
      <w:r>
        <w:rPr>
          <w:rFonts w:ascii="宋体" w:hAnsi="宋体"/>
          <w:szCs w:val="21"/>
          <w:highlight w:val="none"/>
          <w:lang w:bidi="ar"/>
        </w:rPr>
        <w:t>7.5.1</w:t>
      </w:r>
      <w:r>
        <w:rPr>
          <w:rFonts w:hint="eastAsia" w:ascii="宋体" w:hAnsi="宋体" w:cs="宋体"/>
          <w:szCs w:val="21"/>
          <w:highlight w:val="none"/>
          <w:lang w:bidi="ar"/>
        </w:rPr>
        <w:t>采购人可以根据政府采购项目具体情况自行组织验收，或者委托政府采购代理机构、国家认可的质量检测机构开展采购项目履约验收工作。</w:t>
      </w:r>
    </w:p>
    <w:p>
      <w:pPr>
        <w:spacing w:line="360" w:lineRule="auto"/>
        <w:ind w:firstLine="420" w:firstLineChars="200"/>
        <w:rPr>
          <w:rFonts w:ascii="宋体" w:hAnsi="宋体"/>
          <w:szCs w:val="21"/>
          <w:highlight w:val="none"/>
        </w:rPr>
      </w:pPr>
      <w:r>
        <w:rPr>
          <w:rFonts w:ascii="宋体" w:hAnsi="宋体"/>
          <w:szCs w:val="21"/>
          <w:highlight w:val="none"/>
          <w:lang w:bidi="ar"/>
        </w:rPr>
        <w:t>7.5.2</w:t>
      </w:r>
      <w:r>
        <w:rPr>
          <w:rFonts w:hint="eastAsia" w:ascii="宋体" w:hAnsi="宋体" w:cs="宋体"/>
          <w:szCs w:val="21"/>
          <w:highlight w:val="none"/>
          <w:lang w:bidi="ar"/>
        </w:rPr>
        <w:t>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pPr>
        <w:spacing w:line="360" w:lineRule="auto"/>
        <w:ind w:firstLine="420" w:firstLineChars="200"/>
        <w:rPr>
          <w:rFonts w:ascii="宋体" w:hAnsi="宋体"/>
          <w:szCs w:val="21"/>
          <w:highlight w:val="none"/>
        </w:rPr>
      </w:pPr>
      <w:r>
        <w:rPr>
          <w:rFonts w:ascii="宋体" w:hAnsi="宋体"/>
          <w:szCs w:val="21"/>
          <w:highlight w:val="none"/>
          <w:lang w:bidi="ar"/>
        </w:rPr>
        <w:t>7.5.3</w:t>
      </w:r>
      <w:r>
        <w:rPr>
          <w:rFonts w:hint="eastAsia" w:ascii="宋体" w:hAnsi="宋体" w:cs="宋体"/>
          <w:szCs w:val="21"/>
          <w:highlight w:val="none"/>
          <w:lang w:bidi="ar"/>
        </w:rPr>
        <w:t>采购合同项目完成验收后，采购人应当将验收原始记录、验收书等资料作为该采购项目档案妥善保管，不得伪造、变造、隐匿或者销毁，验收资料保存期为采购结束之日起至少保存</w:t>
      </w:r>
      <w:r>
        <w:rPr>
          <w:rFonts w:ascii="宋体" w:hAnsi="宋体"/>
          <w:szCs w:val="21"/>
          <w:highlight w:val="none"/>
          <w:lang w:bidi="ar"/>
        </w:rPr>
        <w:t>15</w:t>
      </w:r>
      <w:r>
        <w:rPr>
          <w:rFonts w:hint="eastAsia" w:ascii="宋体" w:hAnsi="宋体" w:cs="宋体"/>
          <w:szCs w:val="21"/>
          <w:highlight w:val="none"/>
          <w:lang w:bidi="ar"/>
        </w:rPr>
        <w:t>年。</w:t>
      </w:r>
    </w:p>
    <w:p>
      <w:pPr>
        <w:spacing w:line="360" w:lineRule="auto"/>
        <w:ind w:firstLine="420" w:firstLineChars="200"/>
        <w:rPr>
          <w:rFonts w:ascii="宋体" w:hAnsi="宋体"/>
          <w:szCs w:val="21"/>
          <w:highlight w:val="none"/>
        </w:rPr>
      </w:pPr>
      <w:r>
        <w:rPr>
          <w:rFonts w:ascii="宋体" w:hAnsi="宋体"/>
          <w:szCs w:val="21"/>
          <w:highlight w:val="none"/>
          <w:lang w:bidi="ar"/>
        </w:rPr>
        <w:t>7.5.4</w:t>
      </w:r>
      <w:r>
        <w:rPr>
          <w:rFonts w:hint="eastAsia" w:ascii="宋体" w:hAnsi="宋体" w:cs="宋体"/>
          <w:szCs w:val="21"/>
          <w:highlight w:val="none"/>
          <w:lang w:bidi="ar"/>
        </w:rPr>
        <w:t>本项目将严格按照本招标文件及合同有关规定进行合同履约验收。招标文件或合同未规定的按财政部关于进一步加强政府采购需求和履约验收管理的指导意见（财库〔</w:t>
      </w:r>
      <w:r>
        <w:rPr>
          <w:rFonts w:ascii="宋体" w:hAnsi="宋体"/>
          <w:szCs w:val="21"/>
          <w:highlight w:val="none"/>
          <w:lang w:bidi="ar"/>
        </w:rPr>
        <w:t>2016</w:t>
      </w:r>
      <w:r>
        <w:rPr>
          <w:rFonts w:hint="eastAsia" w:ascii="宋体" w:hAnsi="宋体" w:cs="宋体"/>
          <w:szCs w:val="21"/>
          <w:highlight w:val="none"/>
          <w:lang w:bidi="ar"/>
        </w:rPr>
        <w:t>〕</w:t>
      </w:r>
      <w:r>
        <w:rPr>
          <w:rFonts w:ascii="宋体" w:hAnsi="宋体"/>
          <w:szCs w:val="21"/>
          <w:highlight w:val="none"/>
          <w:lang w:bidi="ar"/>
        </w:rPr>
        <w:t>205</w:t>
      </w:r>
      <w:r>
        <w:rPr>
          <w:rFonts w:hint="eastAsia" w:ascii="宋体" w:hAnsi="宋体" w:cs="宋体"/>
          <w:szCs w:val="21"/>
          <w:highlight w:val="none"/>
          <w:lang w:bidi="ar"/>
        </w:rPr>
        <w:t>号）以及《广西壮族自治区政府采购项目履约验收管理办法》（桂财采〔</w:t>
      </w:r>
      <w:r>
        <w:rPr>
          <w:rFonts w:ascii="宋体" w:hAnsi="宋体"/>
          <w:szCs w:val="21"/>
          <w:highlight w:val="none"/>
          <w:lang w:bidi="ar"/>
        </w:rPr>
        <w:t>2015</w:t>
      </w:r>
      <w:r>
        <w:rPr>
          <w:rFonts w:hint="eastAsia" w:ascii="宋体" w:hAnsi="宋体" w:cs="宋体"/>
          <w:szCs w:val="21"/>
          <w:highlight w:val="none"/>
          <w:lang w:bidi="ar"/>
        </w:rPr>
        <w:t>〕</w:t>
      </w:r>
      <w:r>
        <w:rPr>
          <w:rFonts w:ascii="宋体" w:hAnsi="宋体"/>
          <w:szCs w:val="21"/>
          <w:highlight w:val="none"/>
          <w:lang w:bidi="ar"/>
        </w:rPr>
        <w:t>22</w:t>
      </w:r>
      <w:r>
        <w:rPr>
          <w:rFonts w:hint="eastAsia" w:ascii="宋体" w:hAnsi="宋体" w:cs="宋体"/>
          <w:szCs w:val="21"/>
          <w:highlight w:val="none"/>
          <w:lang w:bidi="ar"/>
        </w:rPr>
        <w:t>号）的规定执行。</w:t>
      </w:r>
    </w:p>
    <w:bookmarkEnd w:id="129"/>
    <w:p>
      <w:pPr>
        <w:spacing w:line="360" w:lineRule="auto"/>
        <w:ind w:firstLine="422" w:firstLineChars="200"/>
        <w:outlineLvl w:val="2"/>
        <w:rPr>
          <w:rFonts w:ascii="宋体" w:hAnsi="宋体"/>
          <w:b/>
          <w:bCs/>
          <w:kern w:val="0"/>
          <w:szCs w:val="21"/>
          <w:highlight w:val="none"/>
          <w:lang w:bidi="ar"/>
        </w:rPr>
      </w:pPr>
      <w:bookmarkStart w:id="130" w:name="_Toc254970533"/>
      <w:bookmarkStart w:id="131" w:name="_Toc254970674"/>
      <w:r>
        <w:rPr>
          <w:rFonts w:ascii="宋体" w:hAnsi="宋体"/>
          <w:b/>
          <w:bCs/>
          <w:kern w:val="0"/>
          <w:szCs w:val="21"/>
          <w:highlight w:val="none"/>
          <w:lang w:bidi="ar"/>
        </w:rPr>
        <w:t>8</w:t>
      </w:r>
      <w:r>
        <w:rPr>
          <w:rFonts w:hint="eastAsia" w:ascii="宋体" w:hAnsi="宋体"/>
          <w:b/>
          <w:bCs/>
          <w:kern w:val="0"/>
          <w:szCs w:val="21"/>
          <w:highlight w:val="none"/>
          <w:lang w:bidi="ar"/>
        </w:rPr>
        <w:t>．质疑和投诉</w:t>
      </w:r>
      <w:bookmarkEnd w:id="130"/>
      <w:bookmarkEnd w:id="131"/>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8.1</w:t>
      </w:r>
      <w:r>
        <w:rPr>
          <w:rFonts w:hint="eastAsia" w:ascii="宋体" w:hAnsi="宋体"/>
          <w:b/>
          <w:bCs/>
          <w:kern w:val="0"/>
          <w:szCs w:val="21"/>
          <w:highlight w:val="none"/>
          <w:lang w:bidi="ar"/>
        </w:rPr>
        <w:t>质疑</w:t>
      </w:r>
    </w:p>
    <w:p>
      <w:pPr>
        <w:spacing w:line="360" w:lineRule="auto"/>
        <w:ind w:firstLine="420" w:firstLineChars="200"/>
        <w:rPr>
          <w:rFonts w:ascii="宋体" w:hAnsi="宋体"/>
          <w:szCs w:val="21"/>
          <w:highlight w:val="none"/>
        </w:rPr>
      </w:pPr>
      <w:r>
        <w:rPr>
          <w:rFonts w:ascii="宋体" w:hAnsi="宋体"/>
          <w:szCs w:val="21"/>
          <w:highlight w:val="none"/>
          <w:lang w:bidi="ar"/>
        </w:rPr>
        <w:t>8.1.1</w:t>
      </w:r>
      <w:r>
        <w:rPr>
          <w:rFonts w:hint="eastAsia" w:ascii="宋体" w:hAnsi="宋体" w:cs="宋体"/>
          <w:szCs w:val="21"/>
          <w:highlight w:val="none"/>
          <w:lang w:bidi="ar"/>
        </w:rPr>
        <w:t>质疑内容、时限</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）供应商对政府采购活动有疑问的，可以向采购人或采购代理机构提出询问。采购人或者采购代理机构应当在</w:t>
      </w:r>
      <w:r>
        <w:rPr>
          <w:rFonts w:ascii="宋体" w:hAnsi="宋体"/>
          <w:szCs w:val="21"/>
          <w:highlight w:val="none"/>
          <w:lang w:bidi="ar"/>
        </w:rPr>
        <w:t>3</w:t>
      </w:r>
      <w:r>
        <w:rPr>
          <w:rFonts w:hint="eastAsia" w:ascii="宋体" w:hAnsi="宋体" w:cs="宋体"/>
          <w:szCs w:val="21"/>
          <w:highlight w:val="none"/>
          <w:lang w:bidi="ar"/>
        </w:rPr>
        <w:t>个工作日内对供应商依法提出的询问作出答复。</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）供应商为认为招标文件、采购过程、中标或者成交结果使自己的权益受到损害的，可以在知道或者应知其权益受到损害之日起</w:t>
      </w:r>
      <w:r>
        <w:rPr>
          <w:rFonts w:ascii="宋体" w:hAnsi="宋体"/>
          <w:szCs w:val="21"/>
          <w:highlight w:val="none"/>
          <w:lang w:bidi="ar"/>
        </w:rPr>
        <w:t>7</w:t>
      </w:r>
      <w:r>
        <w:rPr>
          <w:rFonts w:hint="eastAsia" w:ascii="宋体" w:hAnsi="宋体" w:cs="宋体"/>
          <w:szCs w:val="21"/>
          <w:highlight w:val="none"/>
          <w:lang w:bidi="ar"/>
        </w:rPr>
        <w:t>个工作日内向采购人或采购代理机构提出质疑。采购人或采购代理机构在收到供应商书面质疑后</w:t>
      </w:r>
      <w:r>
        <w:rPr>
          <w:rFonts w:ascii="宋体" w:hAnsi="宋体"/>
          <w:szCs w:val="21"/>
          <w:highlight w:val="none"/>
          <w:lang w:bidi="ar"/>
        </w:rPr>
        <w:t>7</w:t>
      </w:r>
      <w:r>
        <w:rPr>
          <w:rFonts w:hint="eastAsia" w:ascii="宋体" w:hAnsi="宋体" w:cs="宋体"/>
          <w:szCs w:val="21"/>
          <w:highlight w:val="none"/>
          <w:lang w:bidi="ar"/>
        </w:rPr>
        <w:t>个工作日内，对质疑内容作出答复。</w:t>
      </w:r>
    </w:p>
    <w:p>
      <w:pPr>
        <w:spacing w:line="360" w:lineRule="auto"/>
        <w:ind w:firstLine="420" w:firstLineChars="200"/>
        <w:rPr>
          <w:rFonts w:ascii="宋体" w:hAnsi="宋体"/>
          <w:szCs w:val="21"/>
          <w:highlight w:val="none"/>
        </w:rPr>
      </w:pPr>
      <w:r>
        <w:rPr>
          <w:rFonts w:ascii="宋体" w:hAnsi="宋体"/>
          <w:szCs w:val="21"/>
          <w:highlight w:val="none"/>
          <w:lang w:bidi="ar"/>
        </w:rPr>
        <w:t>8.1.2</w:t>
      </w:r>
      <w:r>
        <w:rPr>
          <w:rFonts w:hint="eastAsia" w:ascii="宋体" w:hAnsi="宋体" w:cs="宋体"/>
          <w:szCs w:val="21"/>
          <w:highlight w:val="none"/>
          <w:lang w:bidi="ar"/>
        </w:rPr>
        <w:t>质疑形式</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pPr>
        <w:spacing w:line="360" w:lineRule="auto"/>
        <w:ind w:firstLine="420" w:firstLineChars="200"/>
        <w:rPr>
          <w:rFonts w:ascii="宋体" w:hAnsi="宋体"/>
          <w:szCs w:val="21"/>
          <w:highlight w:val="none"/>
        </w:rPr>
      </w:pPr>
      <w:r>
        <w:rPr>
          <w:rFonts w:ascii="宋体" w:hAnsi="宋体"/>
          <w:szCs w:val="21"/>
          <w:highlight w:val="none"/>
          <w:lang w:bidi="ar"/>
        </w:rPr>
        <w:t>8.1.3</w:t>
      </w:r>
      <w:r>
        <w:rPr>
          <w:rFonts w:ascii="宋体" w:hAnsi="宋体"/>
          <w:highlight w:val="none"/>
          <w:lang w:bidi="ar"/>
        </w:rPr>
        <w:t xml:space="preserve"> </w:t>
      </w:r>
      <w:r>
        <w:rPr>
          <w:rFonts w:hint="eastAsia" w:ascii="宋体" w:hAnsi="宋体" w:cs="宋体"/>
          <w:szCs w:val="21"/>
          <w:highlight w:val="none"/>
          <w:lang w:bidi="ar"/>
        </w:rPr>
        <w:t>供应商提出质疑应当提交质疑函和必要的证明材料。质疑函应当包括下列内容：</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w:t>
      </w:r>
      <w:r>
        <w:rPr>
          <w:rFonts w:ascii="宋体" w:hAnsi="宋体"/>
          <w:szCs w:val="21"/>
          <w:highlight w:val="none"/>
          <w:lang w:bidi="ar"/>
        </w:rPr>
        <w:tab/>
      </w:r>
      <w:r>
        <w:rPr>
          <w:rFonts w:hint="eastAsia" w:ascii="宋体" w:hAnsi="宋体" w:cs="宋体"/>
          <w:szCs w:val="21"/>
          <w:highlight w:val="none"/>
          <w:lang w:bidi="ar"/>
        </w:rPr>
        <w:t>供应商的姓名或者名称、地址、邮编、联系人及联系电话；</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w:t>
      </w:r>
      <w:r>
        <w:rPr>
          <w:rFonts w:ascii="宋体" w:hAnsi="宋体"/>
          <w:szCs w:val="21"/>
          <w:highlight w:val="none"/>
          <w:lang w:bidi="ar"/>
        </w:rPr>
        <w:tab/>
      </w:r>
      <w:r>
        <w:rPr>
          <w:rFonts w:hint="eastAsia" w:ascii="宋体" w:hAnsi="宋体" w:cs="宋体"/>
          <w:szCs w:val="21"/>
          <w:highlight w:val="none"/>
          <w:lang w:bidi="ar"/>
        </w:rPr>
        <w:t>质疑项目的名称、编号；</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3</w:t>
      </w:r>
      <w:r>
        <w:rPr>
          <w:rFonts w:hint="eastAsia" w:ascii="宋体" w:hAnsi="宋体" w:cs="宋体"/>
          <w:szCs w:val="21"/>
          <w:highlight w:val="none"/>
          <w:lang w:bidi="ar"/>
        </w:rPr>
        <w:t>）</w:t>
      </w:r>
      <w:r>
        <w:rPr>
          <w:rFonts w:ascii="宋体" w:hAnsi="宋体"/>
          <w:szCs w:val="21"/>
          <w:highlight w:val="none"/>
          <w:lang w:bidi="ar"/>
        </w:rPr>
        <w:tab/>
      </w:r>
      <w:r>
        <w:rPr>
          <w:rFonts w:hint="eastAsia" w:ascii="宋体" w:hAnsi="宋体" w:cs="宋体"/>
          <w:szCs w:val="21"/>
          <w:highlight w:val="none"/>
          <w:lang w:bidi="ar"/>
        </w:rPr>
        <w:t>具体、明确的质疑事项和与质疑事项相关的请求；</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4</w:t>
      </w:r>
      <w:r>
        <w:rPr>
          <w:rFonts w:hint="eastAsia" w:ascii="宋体" w:hAnsi="宋体" w:cs="宋体"/>
          <w:szCs w:val="21"/>
          <w:highlight w:val="none"/>
          <w:lang w:bidi="ar"/>
        </w:rPr>
        <w:t>）</w:t>
      </w:r>
      <w:r>
        <w:rPr>
          <w:rFonts w:ascii="宋体" w:hAnsi="宋体"/>
          <w:szCs w:val="21"/>
          <w:highlight w:val="none"/>
          <w:lang w:bidi="ar"/>
        </w:rPr>
        <w:tab/>
      </w:r>
      <w:r>
        <w:rPr>
          <w:rFonts w:hint="eastAsia" w:ascii="宋体" w:hAnsi="宋体" w:cs="宋体"/>
          <w:szCs w:val="21"/>
          <w:highlight w:val="none"/>
          <w:lang w:bidi="ar"/>
        </w:rPr>
        <w:t>事实依据；</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5</w:t>
      </w:r>
      <w:r>
        <w:rPr>
          <w:rFonts w:hint="eastAsia" w:ascii="宋体" w:hAnsi="宋体" w:cs="宋体"/>
          <w:szCs w:val="21"/>
          <w:highlight w:val="none"/>
          <w:lang w:bidi="ar"/>
        </w:rPr>
        <w:t>）</w:t>
      </w:r>
      <w:r>
        <w:rPr>
          <w:rFonts w:ascii="宋体" w:hAnsi="宋体"/>
          <w:szCs w:val="21"/>
          <w:highlight w:val="none"/>
          <w:lang w:bidi="ar"/>
        </w:rPr>
        <w:tab/>
      </w:r>
      <w:r>
        <w:rPr>
          <w:rFonts w:hint="eastAsia" w:ascii="宋体" w:hAnsi="宋体" w:cs="宋体"/>
          <w:szCs w:val="21"/>
          <w:highlight w:val="none"/>
          <w:lang w:bidi="ar"/>
        </w:rPr>
        <w:t>必要的法律依据；</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6</w:t>
      </w:r>
      <w:r>
        <w:rPr>
          <w:rFonts w:hint="eastAsia" w:ascii="宋体" w:hAnsi="宋体" w:cs="宋体"/>
          <w:szCs w:val="21"/>
          <w:highlight w:val="none"/>
          <w:lang w:bidi="ar"/>
        </w:rPr>
        <w:t>）</w:t>
      </w:r>
      <w:r>
        <w:rPr>
          <w:rFonts w:ascii="宋体" w:hAnsi="宋体"/>
          <w:szCs w:val="21"/>
          <w:highlight w:val="none"/>
          <w:lang w:bidi="ar"/>
        </w:rPr>
        <w:tab/>
      </w:r>
      <w:r>
        <w:rPr>
          <w:rFonts w:hint="eastAsia" w:ascii="宋体" w:hAnsi="宋体" w:cs="宋体"/>
          <w:szCs w:val="21"/>
          <w:highlight w:val="none"/>
          <w:lang w:bidi="ar"/>
        </w:rPr>
        <w:t>提出质疑的日期。</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供应商为自然人的，应当由本人签字；供应商为法人或者其他组织的，应当由法定代表人、主要负责人，或者其授权代表签字或者盖章，并加盖公章。</w:t>
      </w:r>
      <w:r>
        <w:rPr>
          <w:rFonts w:ascii="宋体" w:hAnsi="宋体"/>
          <w:szCs w:val="21"/>
          <w:highlight w:val="none"/>
          <w:lang w:bidi="ar"/>
        </w:rPr>
        <w:t xml:space="preserve"> </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8.2</w:t>
      </w:r>
      <w:r>
        <w:rPr>
          <w:rFonts w:hint="eastAsia" w:ascii="宋体" w:hAnsi="宋体"/>
          <w:b/>
          <w:bCs/>
          <w:kern w:val="0"/>
          <w:szCs w:val="21"/>
          <w:highlight w:val="none"/>
          <w:lang w:bidi="ar"/>
        </w:rPr>
        <w:t>投诉</w:t>
      </w:r>
    </w:p>
    <w:p>
      <w:pPr>
        <w:spacing w:line="360" w:lineRule="auto"/>
        <w:ind w:firstLine="420" w:firstLineChars="200"/>
        <w:rPr>
          <w:rFonts w:ascii="宋体" w:hAnsi="宋体"/>
          <w:szCs w:val="21"/>
          <w:highlight w:val="none"/>
        </w:rPr>
      </w:pPr>
      <w:r>
        <w:rPr>
          <w:rFonts w:ascii="宋体" w:hAnsi="宋体"/>
          <w:szCs w:val="21"/>
          <w:highlight w:val="none"/>
          <w:lang w:bidi="ar"/>
        </w:rPr>
        <w:t>8.2.1</w:t>
      </w:r>
      <w:r>
        <w:rPr>
          <w:rFonts w:hint="eastAsia" w:ascii="宋体" w:hAnsi="宋体" w:cs="宋体"/>
          <w:szCs w:val="21"/>
          <w:highlight w:val="none"/>
          <w:lang w:bidi="ar"/>
        </w:rPr>
        <w:t>供应商对采购人、采购代理机构的答复不满意，或者采购人、采购代理机构未在规定时间内答复的，可在答复期满后</w:t>
      </w:r>
      <w:r>
        <w:rPr>
          <w:rFonts w:ascii="宋体" w:hAnsi="宋体"/>
          <w:szCs w:val="21"/>
          <w:highlight w:val="none"/>
          <w:lang w:bidi="ar"/>
        </w:rPr>
        <w:t>15</w:t>
      </w:r>
      <w:r>
        <w:rPr>
          <w:rFonts w:hint="eastAsia" w:ascii="宋体" w:hAnsi="宋体" w:cs="宋体"/>
          <w:szCs w:val="21"/>
          <w:highlight w:val="none"/>
          <w:lang w:bidi="ar"/>
        </w:rPr>
        <w:t>个工作日内按有关规定，向同级财政部门投诉。</w:t>
      </w:r>
    </w:p>
    <w:p>
      <w:pPr>
        <w:spacing w:line="360" w:lineRule="auto"/>
        <w:ind w:firstLine="420" w:firstLineChars="200"/>
        <w:rPr>
          <w:rFonts w:ascii="宋体" w:hAnsi="宋体"/>
          <w:szCs w:val="21"/>
          <w:highlight w:val="none"/>
        </w:rPr>
      </w:pPr>
      <w:r>
        <w:rPr>
          <w:rFonts w:ascii="宋体" w:hAnsi="宋体"/>
          <w:szCs w:val="21"/>
          <w:highlight w:val="none"/>
          <w:lang w:bidi="ar"/>
        </w:rPr>
        <w:t>8.2.2</w:t>
      </w:r>
      <w:r>
        <w:rPr>
          <w:rFonts w:hint="eastAsia" w:ascii="宋体" w:hAnsi="宋体" w:cs="宋体"/>
          <w:szCs w:val="21"/>
          <w:highlight w:val="none"/>
          <w:lang w:bidi="ar"/>
        </w:rPr>
        <w:t>投诉书应使用财政部发布的政府采购供应投诉书范本，并应按照</w:t>
      </w:r>
      <w:r>
        <w:rPr>
          <w:rFonts w:ascii="宋体" w:hAnsi="宋体"/>
          <w:szCs w:val="21"/>
          <w:highlight w:val="none"/>
          <w:lang w:bidi="ar"/>
        </w:rPr>
        <w:t>“</w:t>
      </w:r>
      <w:r>
        <w:rPr>
          <w:rFonts w:hint="eastAsia" w:ascii="宋体" w:hAnsi="宋体" w:cs="宋体"/>
          <w:szCs w:val="21"/>
          <w:highlight w:val="none"/>
          <w:lang w:bidi="ar"/>
        </w:rPr>
        <w:t>投诉书制作说明</w:t>
      </w:r>
      <w:r>
        <w:rPr>
          <w:rFonts w:ascii="宋体" w:hAnsi="宋体"/>
          <w:szCs w:val="21"/>
          <w:highlight w:val="none"/>
          <w:lang w:bidi="ar"/>
        </w:rPr>
        <w:t>”</w:t>
      </w:r>
      <w:r>
        <w:rPr>
          <w:rFonts w:hint="eastAsia" w:ascii="宋体" w:hAnsi="宋体" w:cs="宋体"/>
          <w:szCs w:val="21"/>
          <w:highlight w:val="none"/>
          <w:lang w:bidi="ar"/>
        </w:rPr>
        <w:t>进行编写。</w:t>
      </w:r>
    </w:p>
    <w:p>
      <w:pPr>
        <w:spacing w:line="360" w:lineRule="auto"/>
        <w:ind w:firstLine="422" w:firstLineChars="200"/>
        <w:outlineLvl w:val="2"/>
        <w:rPr>
          <w:rFonts w:ascii="宋体" w:hAnsi="宋体"/>
          <w:b/>
          <w:bCs/>
          <w:kern w:val="0"/>
          <w:szCs w:val="21"/>
          <w:highlight w:val="none"/>
          <w:lang w:bidi="ar"/>
        </w:rPr>
      </w:pPr>
      <w:bookmarkStart w:id="132" w:name="_Hlk93421085"/>
      <w:r>
        <w:rPr>
          <w:rFonts w:ascii="宋体" w:hAnsi="宋体"/>
          <w:b/>
          <w:bCs/>
          <w:kern w:val="0"/>
          <w:szCs w:val="21"/>
          <w:highlight w:val="none"/>
          <w:lang w:bidi="ar"/>
        </w:rPr>
        <w:t>9</w:t>
      </w:r>
      <w:r>
        <w:rPr>
          <w:rFonts w:hint="eastAsia" w:ascii="宋体" w:hAnsi="宋体"/>
          <w:b/>
          <w:bCs/>
          <w:kern w:val="0"/>
          <w:szCs w:val="21"/>
          <w:highlight w:val="none"/>
          <w:lang w:bidi="ar"/>
        </w:rPr>
        <w:t>．促进中小企业发展政策</w:t>
      </w:r>
    </w:p>
    <w:p>
      <w:pPr>
        <w:spacing w:line="360" w:lineRule="auto"/>
        <w:ind w:firstLine="420" w:firstLineChars="200"/>
        <w:outlineLvl w:val="3"/>
        <w:rPr>
          <w:rFonts w:ascii="宋体" w:hAnsi="宋体"/>
          <w:szCs w:val="21"/>
          <w:highlight w:val="none"/>
        </w:rPr>
      </w:pPr>
      <w:r>
        <w:rPr>
          <w:rFonts w:ascii="宋体" w:hAnsi="宋体"/>
          <w:szCs w:val="21"/>
          <w:highlight w:val="none"/>
          <w:lang w:bidi="ar"/>
        </w:rPr>
        <w:t>9.1</w:t>
      </w:r>
      <w:r>
        <w:rPr>
          <w:rFonts w:hint="eastAsia" w:ascii="宋体" w:hAnsi="宋体" w:cs="宋体"/>
          <w:szCs w:val="21"/>
          <w:highlight w:val="none"/>
          <w:lang w:bidi="ar"/>
        </w:rPr>
        <w:t>本项目落实促进中小企业发展政策措施在前附表规定。依据促进中小企业发展政策获得政府采购合同的，小微企业不得将合同分包给大中型企业，中型企业不得将合同分包给大型企业。</w:t>
      </w:r>
    </w:p>
    <w:p>
      <w:pPr>
        <w:spacing w:line="360" w:lineRule="auto"/>
        <w:ind w:firstLine="420" w:firstLineChars="200"/>
        <w:outlineLvl w:val="3"/>
        <w:rPr>
          <w:rFonts w:ascii="宋体" w:hAnsi="宋体"/>
          <w:szCs w:val="21"/>
          <w:highlight w:val="none"/>
        </w:rPr>
      </w:pPr>
      <w:r>
        <w:rPr>
          <w:rFonts w:ascii="宋体" w:hAnsi="宋体"/>
          <w:szCs w:val="21"/>
          <w:highlight w:val="none"/>
          <w:lang w:bidi="ar"/>
        </w:rPr>
        <w:t>9.2</w:t>
      </w:r>
      <w:r>
        <w:rPr>
          <w:rFonts w:hint="eastAsia" w:ascii="宋体" w:hAnsi="宋体" w:cs="宋体"/>
          <w:szCs w:val="21"/>
          <w:highlight w:val="none"/>
          <w:lang w:bidi="ar"/>
        </w:rPr>
        <w:t>本项目如为专门面向中小企业预留采购份额采购项目，供应商必须满足招标文件资格要求中的落实政府采购政策需满足的资格要求。</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招标文件中如接受联合体，供应商以联合体形式参加采购活动，联合体中中小企业承担的部分达到</w:t>
      </w:r>
      <w:r>
        <w:rPr>
          <w:rFonts w:ascii="宋体" w:hAnsi="宋体"/>
          <w:szCs w:val="21"/>
          <w:highlight w:val="none"/>
          <w:lang w:bidi="ar"/>
        </w:rPr>
        <w:t>30%</w:t>
      </w:r>
      <w:r>
        <w:rPr>
          <w:rFonts w:hint="eastAsia" w:ascii="宋体" w:hAnsi="宋体" w:cs="宋体"/>
          <w:szCs w:val="21"/>
          <w:highlight w:val="none"/>
          <w:lang w:bidi="ar"/>
        </w:rPr>
        <w:t>以上，其中预留给小微企业的比例不低于</w:t>
      </w:r>
      <w:r>
        <w:rPr>
          <w:rFonts w:ascii="宋体" w:hAnsi="宋体"/>
          <w:szCs w:val="21"/>
          <w:highlight w:val="none"/>
          <w:lang w:bidi="ar"/>
        </w:rPr>
        <w:t>60%</w:t>
      </w:r>
      <w:r>
        <w:rPr>
          <w:rFonts w:hint="eastAsia" w:ascii="宋体" w:hAnsi="宋体" w:cs="宋体"/>
          <w:szCs w:val="21"/>
          <w:highlight w:val="none"/>
          <w:lang w:bidi="ar"/>
        </w:rPr>
        <w:t>。</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招标文件中如接受分包，供应商将采购项目分包给一家或者多家中小企业的比例达到</w:t>
      </w:r>
      <w:r>
        <w:rPr>
          <w:rFonts w:ascii="宋体" w:hAnsi="宋体"/>
          <w:szCs w:val="21"/>
          <w:highlight w:val="none"/>
          <w:lang w:bidi="ar"/>
        </w:rPr>
        <w:t>30%</w:t>
      </w:r>
      <w:r>
        <w:rPr>
          <w:rFonts w:hint="eastAsia" w:ascii="宋体" w:hAnsi="宋体" w:cs="宋体"/>
          <w:szCs w:val="21"/>
          <w:highlight w:val="none"/>
          <w:lang w:bidi="ar"/>
        </w:rPr>
        <w:t>以上，其中预留给小微企业的比例不低于</w:t>
      </w:r>
      <w:r>
        <w:rPr>
          <w:rFonts w:ascii="宋体" w:hAnsi="宋体"/>
          <w:szCs w:val="21"/>
          <w:highlight w:val="none"/>
          <w:lang w:bidi="ar"/>
        </w:rPr>
        <w:t>60%</w:t>
      </w:r>
      <w:r>
        <w:rPr>
          <w:rFonts w:hint="eastAsia" w:ascii="宋体" w:hAnsi="宋体" w:cs="宋体"/>
          <w:szCs w:val="21"/>
          <w:highlight w:val="none"/>
          <w:lang w:bidi="ar"/>
        </w:rPr>
        <w:t>。</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注：专门面向中小企业预留采购份额采购项目不享受价格扣除政策。</w:t>
      </w:r>
    </w:p>
    <w:p>
      <w:pPr>
        <w:spacing w:line="360" w:lineRule="auto"/>
        <w:ind w:firstLine="420" w:firstLineChars="200"/>
        <w:outlineLvl w:val="3"/>
        <w:rPr>
          <w:rFonts w:ascii="宋体" w:hAnsi="宋体"/>
          <w:szCs w:val="21"/>
          <w:highlight w:val="none"/>
        </w:rPr>
      </w:pPr>
      <w:bookmarkStart w:id="133" w:name="_Hlk92205820"/>
      <w:r>
        <w:rPr>
          <w:rFonts w:ascii="宋体" w:hAnsi="宋体"/>
          <w:szCs w:val="21"/>
          <w:highlight w:val="none"/>
          <w:lang w:bidi="ar"/>
        </w:rPr>
        <w:t>9.3</w:t>
      </w:r>
      <w:r>
        <w:rPr>
          <w:rFonts w:hint="eastAsia" w:ascii="宋体" w:hAnsi="宋体" w:cs="宋体"/>
          <w:szCs w:val="21"/>
          <w:highlight w:val="none"/>
          <w:lang w:bidi="ar"/>
        </w:rPr>
        <w:t>本项目如为非专门面向中小企业预留采购份额采购项目，评审委员会应当对小微企业报价给予价格扣除，用扣除后的价格参加评审。</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招标文件接受大中型企业与小微企业组成联合体或者允许大中型企业向一家或者多家小微企业分包时，对于联合协议或者分包意向协议约定小微企业的合同份额占合同总金额比例达到</w:t>
      </w:r>
      <w:r>
        <w:rPr>
          <w:rFonts w:ascii="宋体" w:hAnsi="宋体"/>
          <w:szCs w:val="21"/>
          <w:highlight w:val="none"/>
          <w:lang w:bidi="ar"/>
        </w:rPr>
        <w:t>30%</w:t>
      </w:r>
      <w:r>
        <w:rPr>
          <w:rFonts w:hint="eastAsia" w:ascii="宋体" w:hAnsi="宋体" w:cs="宋体"/>
          <w:szCs w:val="21"/>
          <w:highlight w:val="none"/>
          <w:lang w:bidi="ar"/>
        </w:rPr>
        <w:t>以上的，评审委员会员应当对联合体或者大中型企业的报价给予价格扣除，用扣除后的价格参加评审。</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组成联合体或者接受分包的小微企业与联合体内其他企业、分包企业之间存在直接控股、管理关系的，不享受价格扣除优惠政策。</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价格扣除比例在第四章评审方法及标准中规定，对小型企业和微型企业同等对待，不作区分。</w:t>
      </w:r>
    </w:p>
    <w:p>
      <w:pPr>
        <w:spacing w:line="360" w:lineRule="auto"/>
        <w:ind w:firstLine="420" w:firstLineChars="200"/>
        <w:outlineLvl w:val="3"/>
        <w:rPr>
          <w:rFonts w:ascii="宋体" w:hAnsi="宋体"/>
          <w:szCs w:val="21"/>
          <w:highlight w:val="none"/>
        </w:rPr>
      </w:pPr>
      <w:r>
        <w:rPr>
          <w:rFonts w:ascii="宋体" w:hAnsi="宋体"/>
          <w:szCs w:val="21"/>
          <w:highlight w:val="none"/>
          <w:lang w:bidi="ar"/>
        </w:rPr>
        <w:t>9.4</w:t>
      </w:r>
      <w:r>
        <w:rPr>
          <w:rFonts w:hint="eastAsia" w:ascii="宋体" w:hAnsi="宋体" w:cs="宋体"/>
          <w:szCs w:val="21"/>
          <w:highlight w:val="none"/>
          <w:lang w:bidi="ar"/>
        </w:rPr>
        <w:t>中小企业定义</w:t>
      </w:r>
    </w:p>
    <w:p>
      <w:pPr>
        <w:spacing w:line="360" w:lineRule="auto"/>
        <w:ind w:firstLine="420" w:firstLineChars="200"/>
        <w:rPr>
          <w:rFonts w:ascii="宋体" w:hAnsi="宋体"/>
          <w:szCs w:val="21"/>
          <w:highlight w:val="none"/>
        </w:rPr>
      </w:pPr>
      <w:r>
        <w:rPr>
          <w:rFonts w:ascii="宋体" w:hAnsi="宋体"/>
          <w:szCs w:val="21"/>
          <w:highlight w:val="none"/>
          <w:lang w:bidi="ar"/>
        </w:rPr>
        <w:t>9.4.1</w:t>
      </w:r>
      <w:r>
        <w:rPr>
          <w:rFonts w:hint="eastAsia" w:ascii="宋体" w:hAnsi="宋体" w:cs="宋体"/>
          <w:szCs w:val="21"/>
          <w:highlight w:val="none"/>
          <w:lang w:bidi="ar"/>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宋体" w:hAnsi="宋体"/>
          <w:szCs w:val="21"/>
          <w:highlight w:val="none"/>
        </w:rPr>
      </w:pPr>
      <w:r>
        <w:rPr>
          <w:rFonts w:ascii="宋体" w:hAnsi="宋体"/>
          <w:szCs w:val="21"/>
          <w:highlight w:val="none"/>
          <w:lang w:bidi="ar"/>
        </w:rPr>
        <w:t>9.4.2</w:t>
      </w:r>
      <w:r>
        <w:rPr>
          <w:rFonts w:hint="eastAsia" w:ascii="宋体" w:hAnsi="宋体" w:cs="宋体"/>
          <w:szCs w:val="21"/>
          <w:highlight w:val="none"/>
          <w:lang w:bidi="ar"/>
        </w:rPr>
        <w:t>供应商提供的货物、工程或者服务符合下列情形的，享受本款规定的促进中小企业发展政策：</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在货物采购项目中，货物由中小企业制造，即货物由中小企业生产且使用该中小企业商号或者注册商标；</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在工程采购项目中，工程由中小企业承建，即工程施工单位为中小企业；</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在货物采购项目中，供应商提供的货物既有中小企业制造货物，也有大型企业制造货物的，不享受本款规定的促进中小企业发展政策。</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szCs w:val="21"/>
          <w:highlight w:val="none"/>
        </w:rPr>
      </w:pPr>
      <w:r>
        <w:rPr>
          <w:rFonts w:ascii="宋体" w:hAnsi="宋体"/>
          <w:szCs w:val="21"/>
          <w:highlight w:val="none"/>
          <w:lang w:bidi="ar"/>
        </w:rPr>
        <w:t>9.4.3</w:t>
      </w:r>
      <w:r>
        <w:rPr>
          <w:rFonts w:hint="eastAsia" w:ascii="宋体" w:hAnsi="宋体" w:cs="宋体"/>
          <w:szCs w:val="21"/>
          <w:highlight w:val="none"/>
          <w:lang w:bidi="ar"/>
        </w:rPr>
        <w:t>本项目标的所属行业在第二章采购需求中规定。供应商根据中小企业划分标准（《关于印发中小企业划型标准规定的通知》（工信部联企业〔</w:t>
      </w:r>
      <w:r>
        <w:rPr>
          <w:rFonts w:ascii="宋体" w:hAnsi="宋体"/>
          <w:szCs w:val="21"/>
          <w:highlight w:val="none"/>
          <w:lang w:bidi="ar"/>
        </w:rPr>
        <w:t>2011</w:t>
      </w:r>
      <w:r>
        <w:rPr>
          <w:rFonts w:hint="eastAsia" w:ascii="宋体" w:hAnsi="宋体" w:cs="宋体"/>
          <w:szCs w:val="21"/>
          <w:highlight w:val="none"/>
          <w:lang w:bidi="ar"/>
        </w:rPr>
        <w:t>〕</w:t>
      </w:r>
      <w:r>
        <w:rPr>
          <w:rFonts w:ascii="宋体" w:hAnsi="宋体"/>
          <w:szCs w:val="21"/>
          <w:highlight w:val="none"/>
          <w:lang w:bidi="ar"/>
        </w:rPr>
        <w:t>300</w:t>
      </w:r>
      <w:r>
        <w:rPr>
          <w:rFonts w:hint="eastAsia" w:ascii="宋体" w:hAnsi="宋体" w:cs="宋体"/>
          <w:szCs w:val="21"/>
          <w:highlight w:val="none"/>
          <w:lang w:bidi="ar"/>
        </w:rPr>
        <w:t>号）判断是否为中小企业。</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符合条件的货物制造商、工程施工单位、服务承接单位为中小企业的，应按招标文件规定在投标文件中提供声明函。</w:t>
      </w:r>
    </w:p>
    <w:p>
      <w:pPr>
        <w:spacing w:line="360" w:lineRule="auto"/>
        <w:ind w:firstLine="420" w:firstLineChars="200"/>
        <w:rPr>
          <w:rFonts w:ascii="宋体" w:hAnsi="宋体"/>
          <w:szCs w:val="21"/>
          <w:highlight w:val="none"/>
        </w:rPr>
      </w:pPr>
      <w:r>
        <w:rPr>
          <w:rFonts w:ascii="宋体" w:hAnsi="宋体"/>
          <w:szCs w:val="21"/>
          <w:highlight w:val="none"/>
          <w:lang w:bidi="ar"/>
        </w:rPr>
        <w:t>9.4.4</w:t>
      </w:r>
      <w:r>
        <w:rPr>
          <w:rFonts w:hint="eastAsia" w:ascii="宋体" w:hAnsi="宋体" w:cs="宋体"/>
          <w:szCs w:val="21"/>
          <w:highlight w:val="none"/>
          <w:lang w:bidi="ar"/>
        </w:rPr>
        <w:t>视同中小企业情形</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）符合中小企业划分标准的个体工商户，视同中小企业。</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3</w:t>
      </w:r>
      <w:r>
        <w:rPr>
          <w:rFonts w:hint="eastAsia" w:ascii="宋体" w:hAnsi="宋体" w:cs="宋体"/>
          <w:szCs w:val="21"/>
          <w:highlight w:val="none"/>
          <w:lang w:bidi="ar"/>
        </w:rPr>
        <w:t>）符合《财政部、司法部关于政府采购支持监狱企业发展有关问题的通知》（财库〔</w:t>
      </w:r>
      <w:r>
        <w:rPr>
          <w:rFonts w:ascii="宋体" w:hAnsi="宋体"/>
          <w:szCs w:val="21"/>
          <w:highlight w:val="none"/>
          <w:lang w:bidi="ar"/>
        </w:rPr>
        <w:t>2014</w:t>
      </w:r>
      <w:r>
        <w:rPr>
          <w:rFonts w:hint="eastAsia" w:ascii="宋体" w:hAnsi="宋体" w:cs="宋体"/>
          <w:szCs w:val="21"/>
          <w:highlight w:val="none"/>
          <w:lang w:bidi="ar"/>
        </w:rPr>
        <w:t>〕</w:t>
      </w:r>
      <w:r>
        <w:rPr>
          <w:rFonts w:ascii="宋体" w:hAnsi="宋体"/>
          <w:szCs w:val="21"/>
          <w:highlight w:val="none"/>
          <w:lang w:bidi="ar"/>
        </w:rPr>
        <w:t>68</w:t>
      </w:r>
      <w:r>
        <w:rPr>
          <w:rFonts w:hint="eastAsia" w:ascii="宋体" w:hAnsi="宋体" w:cs="宋体"/>
          <w:szCs w:val="21"/>
          <w:highlight w:val="none"/>
          <w:lang w:bidi="ar"/>
        </w:rPr>
        <w:t>号）规定的监狱企业，或符合《关于促进残疾人就业政府采购政策的通知》（财库〔</w:t>
      </w:r>
      <w:r>
        <w:rPr>
          <w:rFonts w:ascii="宋体" w:hAnsi="宋体"/>
          <w:szCs w:val="21"/>
          <w:highlight w:val="none"/>
          <w:lang w:bidi="ar"/>
        </w:rPr>
        <w:t>2017</w:t>
      </w:r>
      <w:r>
        <w:rPr>
          <w:rFonts w:hint="eastAsia" w:ascii="宋体" w:hAnsi="宋体" w:cs="宋体"/>
          <w:szCs w:val="21"/>
          <w:highlight w:val="none"/>
          <w:lang w:bidi="ar"/>
        </w:rPr>
        <w:t>〕</w:t>
      </w:r>
      <w:r>
        <w:rPr>
          <w:rFonts w:ascii="宋体" w:hAnsi="宋体"/>
          <w:szCs w:val="21"/>
          <w:highlight w:val="none"/>
          <w:lang w:bidi="ar"/>
        </w:rPr>
        <w:t>141</w:t>
      </w:r>
      <w:r>
        <w:rPr>
          <w:rFonts w:hint="eastAsia" w:ascii="宋体" w:hAnsi="宋体" w:cs="宋体"/>
          <w:szCs w:val="21"/>
          <w:highlight w:val="none"/>
          <w:lang w:bidi="ar"/>
        </w:rPr>
        <w:t>号）规定的残疾人福利性单位，视同小型、微型企业。</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符合条件的货物制造商、工程施工单位、服务承接单位为监狱企业或残疾人福利性单位的，应按招标文件规定在投标文件中提供相关证明文件。</w:t>
      </w:r>
    </w:p>
    <w:bookmarkEnd w:id="132"/>
    <w:bookmarkEnd w:id="133"/>
    <w:p>
      <w:pPr>
        <w:spacing w:line="360" w:lineRule="auto"/>
        <w:ind w:firstLine="422" w:firstLineChars="200"/>
        <w:outlineLvl w:val="2"/>
        <w:rPr>
          <w:rFonts w:ascii="宋体" w:hAnsi="宋体"/>
          <w:b/>
          <w:bCs/>
          <w:kern w:val="0"/>
          <w:szCs w:val="21"/>
          <w:highlight w:val="none"/>
          <w:lang w:bidi="ar"/>
        </w:rPr>
      </w:pPr>
      <w:r>
        <w:rPr>
          <w:rFonts w:ascii="宋体" w:hAnsi="宋体"/>
          <w:b/>
          <w:bCs/>
          <w:kern w:val="0"/>
          <w:szCs w:val="21"/>
          <w:highlight w:val="none"/>
          <w:lang w:bidi="ar"/>
        </w:rPr>
        <w:t>10</w:t>
      </w:r>
      <w:r>
        <w:rPr>
          <w:rFonts w:hint="eastAsia" w:ascii="宋体" w:hAnsi="宋体"/>
          <w:b/>
          <w:bCs/>
          <w:kern w:val="0"/>
          <w:szCs w:val="21"/>
          <w:highlight w:val="none"/>
          <w:lang w:bidi="ar"/>
        </w:rPr>
        <w:t>．其他事项</w:t>
      </w:r>
    </w:p>
    <w:p>
      <w:pPr>
        <w:spacing w:line="360" w:lineRule="auto"/>
        <w:ind w:firstLine="420" w:firstLineChars="200"/>
        <w:outlineLvl w:val="3"/>
        <w:rPr>
          <w:rFonts w:ascii="宋体" w:hAnsi="宋体"/>
          <w:szCs w:val="21"/>
          <w:highlight w:val="none"/>
        </w:rPr>
      </w:pPr>
      <w:r>
        <w:rPr>
          <w:rFonts w:ascii="宋体" w:hAnsi="宋体"/>
          <w:szCs w:val="21"/>
          <w:highlight w:val="none"/>
          <w:lang w:bidi="ar"/>
        </w:rPr>
        <w:t>10.1</w:t>
      </w:r>
      <w:r>
        <w:rPr>
          <w:rFonts w:hint="eastAsia" w:ascii="宋体" w:hAnsi="宋体" w:cs="宋体"/>
          <w:szCs w:val="21"/>
          <w:highlight w:val="none"/>
          <w:lang w:bidi="ar"/>
        </w:rPr>
        <w:t>代理服务收费由采购代理机构向中标人收取。签订合同前，中标人应向采购代理机构一次付清代理服务费。</w:t>
      </w:r>
    </w:p>
    <w:p>
      <w:pPr>
        <w:spacing w:line="360" w:lineRule="auto"/>
        <w:ind w:firstLine="420" w:firstLineChars="200"/>
        <w:outlineLvl w:val="3"/>
        <w:rPr>
          <w:rFonts w:ascii="宋体" w:hAnsi="宋体"/>
          <w:szCs w:val="21"/>
          <w:highlight w:val="none"/>
        </w:rPr>
      </w:pPr>
      <w:r>
        <w:rPr>
          <w:rFonts w:ascii="宋体" w:hAnsi="宋体"/>
          <w:szCs w:val="21"/>
          <w:highlight w:val="none"/>
          <w:lang w:bidi="ar"/>
        </w:rPr>
        <w:t>10.2</w:t>
      </w:r>
      <w:r>
        <w:rPr>
          <w:rFonts w:hint="eastAsia" w:ascii="宋体" w:hAnsi="宋体" w:cs="宋体"/>
          <w:szCs w:val="21"/>
          <w:highlight w:val="none"/>
          <w:lang w:bidi="ar"/>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）电子交易平台发生故障而无法登录访问的；</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）电子交易平台应用或数据库出现错误，不能进行正常操作的；</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3</w:t>
      </w:r>
      <w:r>
        <w:rPr>
          <w:rFonts w:hint="eastAsia" w:ascii="宋体" w:hAnsi="宋体" w:cs="宋体"/>
          <w:szCs w:val="21"/>
          <w:highlight w:val="none"/>
          <w:lang w:bidi="ar"/>
        </w:rPr>
        <w:t>）电子交易平台发现严重安全漏洞，有潜在泄密危险的；</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4</w:t>
      </w:r>
      <w:r>
        <w:rPr>
          <w:rFonts w:hint="eastAsia" w:ascii="宋体" w:hAnsi="宋体" w:cs="宋体"/>
          <w:szCs w:val="21"/>
          <w:highlight w:val="none"/>
          <w:lang w:bidi="ar"/>
        </w:rPr>
        <w:t>）病毒发作导致不能进行正常操作的；</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4</w:t>
      </w:r>
      <w:r>
        <w:rPr>
          <w:rFonts w:hint="eastAsia" w:ascii="宋体" w:hAnsi="宋体" w:cs="宋体"/>
          <w:szCs w:val="21"/>
          <w:highlight w:val="none"/>
          <w:lang w:bidi="ar"/>
        </w:rPr>
        <w:t>）其他无法保证电子交易的公平、公正和安全的情况。</w:t>
      </w:r>
    </w:p>
    <w:p>
      <w:pPr>
        <w:tabs>
          <w:tab w:val="left" w:pos="4820"/>
        </w:tabs>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rFonts w:ascii="宋体" w:hAnsi="宋体"/>
          <w:szCs w:val="21"/>
          <w:highlight w:val="none"/>
          <w:lang w:bidi="ar"/>
        </w:rPr>
        <w:t xml:space="preserve"> </w:t>
      </w:r>
    </w:p>
    <w:p>
      <w:pPr>
        <w:spacing w:line="360" w:lineRule="auto"/>
        <w:ind w:firstLine="420" w:firstLineChars="200"/>
        <w:outlineLvl w:val="3"/>
        <w:rPr>
          <w:rFonts w:ascii="宋体" w:hAnsi="宋体"/>
          <w:szCs w:val="21"/>
          <w:highlight w:val="none"/>
        </w:rPr>
      </w:pPr>
      <w:r>
        <w:rPr>
          <w:rFonts w:ascii="宋体" w:hAnsi="宋体"/>
          <w:szCs w:val="21"/>
          <w:highlight w:val="none"/>
          <w:lang w:bidi="ar"/>
        </w:rPr>
        <w:t>10.3</w:t>
      </w:r>
      <w:r>
        <w:rPr>
          <w:rFonts w:hint="eastAsia" w:ascii="宋体" w:hAnsi="宋体" w:cs="宋体"/>
          <w:szCs w:val="21"/>
          <w:highlight w:val="none"/>
          <w:lang w:bidi="ar"/>
        </w:rPr>
        <w:t>本项目的附件及图纸详见供应商须知前附表。</w:t>
      </w:r>
    </w:p>
    <w:p>
      <w:pPr>
        <w:spacing w:line="360" w:lineRule="auto"/>
        <w:ind w:firstLine="420" w:firstLineChars="200"/>
        <w:outlineLvl w:val="3"/>
        <w:rPr>
          <w:rFonts w:ascii="宋体" w:hAnsi="宋体"/>
          <w:szCs w:val="21"/>
          <w:highlight w:val="none"/>
        </w:rPr>
      </w:pPr>
      <w:r>
        <w:rPr>
          <w:rFonts w:ascii="宋体" w:hAnsi="宋体"/>
          <w:szCs w:val="21"/>
          <w:highlight w:val="none"/>
          <w:lang w:bidi="ar"/>
        </w:rPr>
        <w:t>10.4</w:t>
      </w:r>
      <w:r>
        <w:rPr>
          <w:rFonts w:hint="eastAsia" w:ascii="宋体" w:hAnsi="宋体" w:cs="宋体"/>
          <w:szCs w:val="21"/>
          <w:highlight w:val="none"/>
          <w:lang w:bidi="ar"/>
        </w:rPr>
        <w:t>本项目的其他事项详见供应商须知前附表。</w:t>
      </w:r>
    </w:p>
    <w:p>
      <w:pPr>
        <w:spacing w:line="360" w:lineRule="auto"/>
        <w:ind w:firstLine="422" w:firstLineChars="200"/>
        <w:outlineLvl w:val="2"/>
        <w:rPr>
          <w:rFonts w:ascii="宋体" w:hAnsi="宋体"/>
          <w:b/>
          <w:bCs/>
          <w:kern w:val="0"/>
          <w:szCs w:val="21"/>
          <w:highlight w:val="none"/>
          <w:lang w:bidi="ar"/>
        </w:rPr>
      </w:pPr>
      <w:r>
        <w:rPr>
          <w:rFonts w:ascii="宋体" w:hAnsi="宋体"/>
          <w:b/>
          <w:bCs/>
          <w:kern w:val="0"/>
          <w:szCs w:val="21"/>
          <w:highlight w:val="none"/>
          <w:lang w:bidi="ar"/>
        </w:rPr>
        <w:t>11</w:t>
      </w:r>
      <w:r>
        <w:rPr>
          <w:rFonts w:hint="eastAsia" w:ascii="宋体" w:hAnsi="宋体"/>
          <w:b/>
          <w:bCs/>
          <w:kern w:val="0"/>
          <w:szCs w:val="21"/>
          <w:highlight w:val="none"/>
          <w:lang w:bidi="ar"/>
        </w:rPr>
        <w:t>．其他说明</w:t>
      </w:r>
    </w:p>
    <w:p>
      <w:pPr>
        <w:spacing w:line="360" w:lineRule="auto"/>
        <w:ind w:firstLine="420" w:firstLineChars="200"/>
        <w:outlineLvl w:val="3"/>
        <w:rPr>
          <w:rFonts w:ascii="宋体" w:hAnsi="宋体"/>
          <w:kern w:val="0"/>
          <w:szCs w:val="21"/>
          <w:highlight w:val="none"/>
        </w:rPr>
      </w:pPr>
      <w:r>
        <w:rPr>
          <w:rFonts w:ascii="宋体" w:hAnsi="宋体"/>
          <w:kern w:val="0"/>
          <w:szCs w:val="21"/>
          <w:highlight w:val="none"/>
          <w:lang w:bidi="ar"/>
        </w:rPr>
        <w:t>11.1</w:t>
      </w:r>
      <w:r>
        <w:rPr>
          <w:rFonts w:hint="eastAsia" w:ascii="宋体" w:hAnsi="宋体" w:cs="宋体"/>
          <w:kern w:val="0"/>
          <w:szCs w:val="21"/>
          <w:highlight w:val="none"/>
          <w:lang w:bidi="ar"/>
        </w:rPr>
        <w:t>其余未尽事宜按《中华人民共和国政府采购法》、《中华人民共和国政府采购法实施条例》的相关规定执行。</w:t>
      </w:r>
    </w:p>
    <w:p>
      <w:pPr>
        <w:spacing w:line="360" w:lineRule="auto"/>
        <w:ind w:firstLine="420" w:firstLineChars="200"/>
        <w:outlineLvl w:val="3"/>
        <w:rPr>
          <w:rFonts w:ascii="宋体" w:hAnsi="宋体"/>
          <w:highlight w:val="none"/>
        </w:rPr>
      </w:pPr>
      <w:r>
        <w:rPr>
          <w:rFonts w:ascii="宋体" w:hAnsi="宋体"/>
          <w:kern w:val="0"/>
          <w:szCs w:val="21"/>
          <w:highlight w:val="none"/>
          <w:lang w:bidi="ar"/>
        </w:rPr>
        <w:t>11.2</w:t>
      </w:r>
      <w:r>
        <w:rPr>
          <w:rFonts w:hint="eastAsia" w:ascii="宋体" w:hAnsi="宋体" w:cs="宋体"/>
          <w:highlight w:val="none"/>
          <w:lang w:bidi="ar"/>
        </w:rPr>
        <w:t>本招标文件是根据国家有关法律及有关政策、法规和参照国际惯例编制，解释权属采购代理机构。</w:t>
      </w:r>
    </w:p>
    <w:bookmarkEnd w:id="82"/>
    <w:p>
      <w:pPr>
        <w:spacing w:before="120" w:line="320" w:lineRule="atLeast"/>
        <w:outlineLvl w:val="1"/>
        <w:rPr>
          <w:bCs/>
          <w:kern w:val="0"/>
          <w:sz w:val="28"/>
          <w:szCs w:val="28"/>
          <w:highlight w:val="none"/>
        </w:rPr>
        <w:sectPr>
          <w:footerReference r:id="rId9" w:type="default"/>
          <w:pgSz w:w="11906" w:h="16838"/>
          <w:pgMar w:top="1440" w:right="1800" w:bottom="1440" w:left="1800" w:header="851" w:footer="992" w:gutter="0"/>
          <w:cols w:space="720" w:num="1"/>
          <w:titlePg/>
          <w:docGrid w:linePitch="312" w:charSpace="0"/>
        </w:sectPr>
      </w:pPr>
    </w:p>
    <w:p>
      <w:pPr>
        <w:spacing w:line="360" w:lineRule="auto"/>
        <w:ind w:firstLine="422" w:firstLineChars="200"/>
        <w:outlineLvl w:val="2"/>
        <w:rPr>
          <w:rFonts w:hint="eastAsia" w:ascii="宋体" w:hAnsi="宋体"/>
          <w:b/>
          <w:bCs/>
          <w:kern w:val="0"/>
          <w:szCs w:val="21"/>
          <w:highlight w:val="none"/>
          <w:lang w:val="en-US" w:eastAsia="zh-CN" w:bidi="ar"/>
        </w:rPr>
      </w:pPr>
      <w:r>
        <w:rPr>
          <w:rFonts w:hint="eastAsia" w:ascii="宋体" w:hAnsi="宋体"/>
          <w:b/>
          <w:bCs/>
          <w:kern w:val="0"/>
          <w:szCs w:val="21"/>
          <w:highlight w:val="none"/>
          <w:lang w:val="en-US" w:eastAsia="zh-CN" w:bidi="ar"/>
        </w:rPr>
        <w:t>一、质疑函（格式）</w:t>
      </w:r>
    </w:p>
    <w:p>
      <w:pPr>
        <w:spacing w:line="360" w:lineRule="auto"/>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质疑函（格式）</w:t>
      </w:r>
    </w:p>
    <w:p>
      <w:pPr>
        <w:pStyle w:val="29"/>
        <w:snapToGrid w:val="0"/>
        <w:spacing w:line="360" w:lineRule="auto"/>
        <w:ind w:firstLine="482" w:firstLineChars="200"/>
        <w:rPr>
          <w:rFonts w:hAnsi="宋体"/>
          <w:b/>
          <w:bCs/>
          <w:color w:val="000000"/>
          <w:sz w:val="24"/>
          <w:szCs w:val="24"/>
          <w:highlight w:val="none"/>
        </w:rPr>
      </w:pPr>
      <w:r>
        <w:rPr>
          <w:rFonts w:hint="eastAsia" w:hAnsi="宋体"/>
          <w:b/>
          <w:bCs/>
          <w:color w:val="000000"/>
          <w:sz w:val="24"/>
          <w:szCs w:val="24"/>
          <w:highlight w:val="none"/>
        </w:rPr>
        <w:t>一、质疑供应商基本信息：</w:t>
      </w:r>
    </w:p>
    <w:p>
      <w:pPr>
        <w:pStyle w:val="29"/>
        <w:snapToGrid w:val="0"/>
        <w:spacing w:line="360" w:lineRule="auto"/>
        <w:ind w:firstLine="480" w:firstLineChars="200"/>
        <w:rPr>
          <w:rFonts w:hint="eastAsia" w:hAnsi="宋体"/>
          <w:bCs/>
          <w:color w:val="000000"/>
          <w:sz w:val="24"/>
          <w:szCs w:val="24"/>
          <w:highlight w:val="none"/>
          <w:u w:val="single"/>
        </w:rPr>
      </w:pPr>
      <w:r>
        <w:rPr>
          <w:rFonts w:hint="eastAsia" w:hAnsi="宋体"/>
          <w:bCs/>
          <w:color w:val="000000"/>
          <w:sz w:val="24"/>
          <w:szCs w:val="24"/>
          <w:highlight w:val="none"/>
        </w:rPr>
        <w:t>质疑供应商：</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pPr>
        <w:pStyle w:val="29"/>
        <w:snapToGrid w:val="0"/>
        <w:spacing w:line="360" w:lineRule="auto"/>
        <w:ind w:firstLine="480" w:firstLineChars="200"/>
        <w:rPr>
          <w:rFonts w:hint="eastAsia" w:hAnsi="宋体"/>
          <w:bCs/>
          <w:color w:val="000000"/>
          <w:sz w:val="24"/>
          <w:szCs w:val="24"/>
          <w:highlight w:val="none"/>
        </w:rPr>
      </w:pPr>
      <w:r>
        <w:rPr>
          <w:rFonts w:hAnsi="宋体"/>
          <w:bCs/>
          <w:color w:val="000000"/>
          <w:sz w:val="24"/>
          <w:szCs w:val="24"/>
          <w:highlight w:val="none"/>
        </w:rPr>
        <w:t>地址</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pPr>
        <w:pStyle w:val="29"/>
        <w:snapToGrid w:val="0"/>
        <w:spacing w:line="360" w:lineRule="auto"/>
        <w:ind w:firstLine="480" w:firstLineChars="200"/>
        <w:rPr>
          <w:rFonts w:hint="eastAsia" w:hAnsi="宋体"/>
          <w:bCs/>
          <w:color w:val="000000"/>
          <w:sz w:val="24"/>
          <w:szCs w:val="24"/>
          <w:highlight w:val="none"/>
        </w:rPr>
      </w:pPr>
      <w:r>
        <w:rPr>
          <w:rFonts w:hAnsi="宋体"/>
          <w:bCs/>
          <w:color w:val="000000"/>
          <w:sz w:val="24"/>
          <w:szCs w:val="24"/>
          <w:highlight w:val="none"/>
        </w:rPr>
        <w:t>联系人</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Ansi="宋体"/>
          <w:bCs/>
          <w:color w:val="000000"/>
          <w:sz w:val="24"/>
          <w:szCs w:val="24"/>
          <w:highlight w:val="none"/>
        </w:rPr>
        <w:t>联系电话</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p>
    <w:p>
      <w:pPr>
        <w:pStyle w:val="29"/>
        <w:snapToGrid w:val="0"/>
        <w:spacing w:line="360" w:lineRule="auto"/>
        <w:ind w:firstLine="480" w:firstLineChars="200"/>
        <w:rPr>
          <w:rFonts w:hint="eastAsia" w:hAnsi="宋体"/>
          <w:bCs/>
          <w:color w:val="000000"/>
          <w:sz w:val="24"/>
          <w:szCs w:val="24"/>
          <w:highlight w:val="none"/>
        </w:rPr>
      </w:pPr>
      <w:r>
        <w:rPr>
          <w:rFonts w:hint="eastAsia" w:hAnsi="宋体"/>
          <w:bCs/>
          <w:color w:val="000000"/>
          <w:sz w:val="24"/>
          <w:szCs w:val="24"/>
          <w:highlight w:val="none"/>
        </w:rPr>
        <w:t>授权代表：</w:t>
      </w:r>
      <w:r>
        <w:rPr>
          <w:rFonts w:hint="eastAsia" w:hAnsi="宋体"/>
          <w:bCs/>
          <w:color w:val="000000"/>
          <w:sz w:val="24"/>
          <w:szCs w:val="24"/>
          <w:highlight w:val="none"/>
          <w:u w:val="single"/>
        </w:rPr>
        <w:t xml:space="preserve">                      </w:t>
      </w:r>
    </w:p>
    <w:p>
      <w:pPr>
        <w:pStyle w:val="29"/>
        <w:snapToGrid w:val="0"/>
        <w:spacing w:line="360" w:lineRule="auto"/>
        <w:ind w:firstLine="480" w:firstLineChars="200"/>
        <w:rPr>
          <w:rFonts w:hint="eastAsia" w:hAnsi="宋体"/>
          <w:bCs/>
          <w:color w:val="000000"/>
          <w:sz w:val="24"/>
          <w:szCs w:val="24"/>
          <w:highlight w:val="none"/>
          <w:u w:val="single"/>
        </w:rPr>
      </w:pPr>
      <w:r>
        <w:rPr>
          <w:rFonts w:hAnsi="宋体"/>
          <w:bCs/>
          <w:color w:val="000000"/>
          <w:sz w:val="24"/>
          <w:szCs w:val="24"/>
          <w:highlight w:val="none"/>
        </w:rPr>
        <w:t>联系</w:t>
      </w:r>
      <w:r>
        <w:rPr>
          <w:rFonts w:hint="eastAsia" w:hAnsi="宋体"/>
          <w:bCs/>
          <w:color w:val="000000"/>
          <w:sz w:val="24"/>
          <w:szCs w:val="24"/>
          <w:highlight w:val="none"/>
        </w:rPr>
        <w:t>电话：</w:t>
      </w:r>
      <w:r>
        <w:rPr>
          <w:rFonts w:hint="eastAsia" w:hAnsi="宋体"/>
          <w:bCs/>
          <w:color w:val="000000"/>
          <w:sz w:val="24"/>
          <w:szCs w:val="24"/>
          <w:highlight w:val="none"/>
          <w:u w:val="single"/>
        </w:rPr>
        <w:t xml:space="preserve">                      </w:t>
      </w:r>
    </w:p>
    <w:p>
      <w:pPr>
        <w:pStyle w:val="29"/>
        <w:snapToGrid w:val="0"/>
        <w:spacing w:line="360" w:lineRule="auto"/>
        <w:ind w:firstLine="480" w:firstLineChars="200"/>
        <w:rPr>
          <w:rFonts w:hint="eastAsia" w:hAnsi="宋体"/>
          <w:bCs/>
          <w:color w:val="000000"/>
          <w:sz w:val="24"/>
          <w:szCs w:val="24"/>
          <w:highlight w:val="none"/>
        </w:rPr>
      </w:pPr>
      <w:r>
        <w:rPr>
          <w:rFonts w:hAnsi="宋体"/>
          <w:bCs/>
          <w:color w:val="000000"/>
          <w:sz w:val="24"/>
          <w:szCs w:val="24"/>
          <w:highlight w:val="none"/>
        </w:rPr>
        <w:t>地址</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pPr>
        <w:pStyle w:val="29"/>
        <w:snapToGrid w:val="0"/>
        <w:spacing w:line="360" w:lineRule="auto"/>
        <w:ind w:firstLine="482" w:firstLineChars="200"/>
        <w:rPr>
          <w:rFonts w:hint="eastAsia" w:hAnsi="宋体"/>
          <w:b/>
          <w:bCs/>
          <w:color w:val="000000"/>
          <w:sz w:val="24"/>
          <w:szCs w:val="24"/>
          <w:highlight w:val="none"/>
        </w:rPr>
      </w:pPr>
      <w:r>
        <w:rPr>
          <w:rFonts w:hint="eastAsia" w:hAnsi="宋体"/>
          <w:b/>
          <w:bCs/>
          <w:color w:val="000000"/>
          <w:sz w:val="24"/>
          <w:szCs w:val="24"/>
          <w:highlight w:val="none"/>
        </w:rPr>
        <w:t>二、质疑项目基本情况：</w:t>
      </w:r>
    </w:p>
    <w:p>
      <w:pPr>
        <w:pStyle w:val="29"/>
        <w:spacing w:line="360" w:lineRule="auto"/>
        <w:ind w:left="25" w:leftChars="12" w:firstLine="472" w:firstLineChars="197"/>
        <w:rPr>
          <w:rFonts w:hint="eastAsia" w:hAnsi="宋体"/>
          <w:color w:val="000000"/>
          <w:sz w:val="24"/>
          <w:szCs w:val="24"/>
          <w:highlight w:val="none"/>
        </w:rPr>
      </w:pPr>
      <w:r>
        <w:rPr>
          <w:rFonts w:hint="eastAsia" w:hAnsi="宋体"/>
          <w:bCs/>
          <w:color w:val="000000"/>
          <w:sz w:val="24"/>
          <w:szCs w:val="24"/>
          <w:highlight w:val="none"/>
        </w:rPr>
        <w:t>质疑</w:t>
      </w:r>
      <w:r>
        <w:rPr>
          <w:rFonts w:hint="eastAsia" w:hAnsi="宋体"/>
          <w:color w:val="000000"/>
          <w:sz w:val="24"/>
          <w:szCs w:val="24"/>
          <w:highlight w:val="none"/>
        </w:rPr>
        <w:t>项目的名称：</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color w:val="000000"/>
          <w:sz w:val="24"/>
          <w:szCs w:val="24"/>
          <w:highlight w:val="none"/>
        </w:rPr>
      </w:pPr>
      <w:r>
        <w:rPr>
          <w:rFonts w:hint="eastAsia" w:hAnsi="宋体"/>
          <w:bCs/>
          <w:color w:val="000000"/>
          <w:sz w:val="24"/>
          <w:szCs w:val="24"/>
          <w:highlight w:val="none"/>
        </w:rPr>
        <w:t>质疑</w:t>
      </w:r>
      <w:r>
        <w:rPr>
          <w:rFonts w:hint="eastAsia" w:hAnsi="宋体"/>
          <w:color w:val="000000"/>
          <w:sz w:val="24"/>
          <w:szCs w:val="24"/>
          <w:highlight w:val="none"/>
        </w:rPr>
        <w:t>项目的编号：</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采购人名称：</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质疑事项：</w:t>
      </w:r>
    </w:p>
    <w:p>
      <w:pPr>
        <w:pStyle w:val="29"/>
        <w:spacing w:line="360" w:lineRule="auto"/>
        <w:ind w:left="25" w:leftChars="12" w:firstLine="352" w:firstLineChars="147"/>
        <w:rPr>
          <w:rFonts w:hint="eastAsia" w:hAnsi="宋体"/>
          <w:color w:val="000000"/>
          <w:sz w:val="24"/>
          <w:szCs w:val="24"/>
          <w:highlight w:val="none"/>
        </w:rPr>
      </w:pPr>
      <w:r>
        <w:rPr>
          <w:rFonts w:hint="eastAsia" w:hAnsi="宋体"/>
          <w:color w:val="000000"/>
          <w:sz w:val="24"/>
          <w:szCs w:val="24"/>
          <w:highlight w:val="none"/>
        </w:rPr>
        <w:t>□招标文件   招标文件获取日期：</w:t>
      </w:r>
      <w:r>
        <w:rPr>
          <w:rFonts w:hint="eastAsia" w:hAnsi="宋体"/>
          <w:bCs/>
          <w:color w:val="000000"/>
          <w:sz w:val="24"/>
          <w:szCs w:val="24"/>
          <w:highlight w:val="none"/>
          <w:u w:val="single"/>
        </w:rPr>
        <w:t xml:space="preserve">                                   </w:t>
      </w:r>
    </w:p>
    <w:p>
      <w:pPr>
        <w:pStyle w:val="29"/>
        <w:spacing w:line="360" w:lineRule="auto"/>
        <w:ind w:left="25" w:leftChars="12" w:firstLine="352" w:firstLineChars="147"/>
        <w:rPr>
          <w:rFonts w:hint="eastAsia" w:hAnsi="宋体"/>
          <w:color w:val="000000"/>
          <w:sz w:val="24"/>
          <w:szCs w:val="24"/>
          <w:highlight w:val="none"/>
        </w:rPr>
      </w:pPr>
      <w:r>
        <w:rPr>
          <w:rFonts w:hint="eastAsia" w:hAnsi="宋体"/>
          <w:color w:val="000000"/>
          <w:sz w:val="24"/>
          <w:szCs w:val="24"/>
          <w:highlight w:val="none"/>
        </w:rPr>
        <w:t xml:space="preserve">□采购过程   </w:t>
      </w:r>
    </w:p>
    <w:p>
      <w:pPr>
        <w:pStyle w:val="29"/>
        <w:spacing w:line="360" w:lineRule="auto"/>
        <w:ind w:left="25" w:leftChars="12" w:firstLine="352" w:firstLineChars="147"/>
        <w:rPr>
          <w:rFonts w:hint="eastAsia" w:hAnsi="宋体"/>
          <w:bCs/>
          <w:color w:val="000000"/>
          <w:sz w:val="24"/>
          <w:szCs w:val="24"/>
          <w:highlight w:val="none"/>
          <w:u w:val="single"/>
        </w:rPr>
      </w:pPr>
      <w:r>
        <w:rPr>
          <w:rFonts w:hint="eastAsia" w:hAnsi="宋体"/>
          <w:color w:val="000000"/>
          <w:sz w:val="24"/>
          <w:szCs w:val="24"/>
          <w:highlight w:val="none"/>
        </w:rPr>
        <w:t xml:space="preserve">□中标结果   </w:t>
      </w:r>
    </w:p>
    <w:p>
      <w:pPr>
        <w:pStyle w:val="29"/>
        <w:spacing w:line="360" w:lineRule="auto"/>
        <w:ind w:left="25" w:leftChars="12" w:firstLine="472" w:firstLineChars="196"/>
        <w:rPr>
          <w:rFonts w:hint="eastAsia" w:hAnsi="宋体"/>
          <w:b/>
          <w:color w:val="000000"/>
          <w:sz w:val="24"/>
          <w:szCs w:val="24"/>
          <w:highlight w:val="none"/>
        </w:rPr>
      </w:pPr>
      <w:r>
        <w:rPr>
          <w:rFonts w:hint="eastAsia" w:hAnsi="宋体"/>
          <w:b/>
          <w:color w:val="000000"/>
          <w:sz w:val="24"/>
          <w:szCs w:val="24"/>
          <w:highlight w:val="none"/>
        </w:rPr>
        <w:t>三、质疑事项具体内容</w:t>
      </w: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质疑事项1：</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事实依据：</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法律依据：</w:t>
      </w:r>
      <w:r>
        <w:rPr>
          <w:rFonts w:hint="eastAsia" w:hAnsi="宋体"/>
          <w:color w:val="000000"/>
          <w:sz w:val="24"/>
          <w:szCs w:val="24"/>
          <w:highlight w:val="none"/>
          <w:u w:val="single"/>
        </w:rPr>
        <w:t xml:space="preserve">                                                        </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质疑事项2</w:t>
      </w:r>
    </w:p>
    <w:p>
      <w:pPr>
        <w:pStyle w:val="29"/>
        <w:spacing w:line="360" w:lineRule="auto"/>
        <w:ind w:left="25" w:leftChars="12" w:firstLine="472" w:firstLineChars="197"/>
        <w:rPr>
          <w:rFonts w:hint="eastAsia" w:hAnsi="宋体"/>
          <w:color w:val="000000"/>
          <w:sz w:val="24"/>
          <w:szCs w:val="24"/>
          <w:highlight w:val="none"/>
        </w:rPr>
      </w:pPr>
      <w:r>
        <w:rPr>
          <w:rFonts w:hAnsi="宋体"/>
          <w:color w:val="000000"/>
          <w:sz w:val="24"/>
          <w:szCs w:val="24"/>
          <w:highlight w:val="none"/>
        </w:rPr>
        <w:t>……</w:t>
      </w: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四、与质疑事项相关的质疑请求：</w:t>
      </w: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请求：</w:t>
      </w:r>
      <w:r>
        <w:rPr>
          <w:rFonts w:hint="eastAsia" w:hAnsi="宋体"/>
          <w:bCs/>
          <w:color w:val="000000"/>
          <w:sz w:val="24"/>
          <w:szCs w:val="24"/>
          <w:highlight w:val="none"/>
          <w:u w:val="single"/>
        </w:rPr>
        <w:t xml:space="preserve">                                                                </w:t>
      </w:r>
    </w:p>
    <w:p>
      <w:pPr>
        <w:pStyle w:val="29"/>
        <w:spacing w:line="360" w:lineRule="auto"/>
        <w:ind w:left="25" w:leftChars="12" w:firstLine="352" w:firstLineChars="147"/>
        <w:rPr>
          <w:rFonts w:hint="eastAsia" w:hAnsi="宋体"/>
          <w:color w:val="000000"/>
          <w:sz w:val="24"/>
          <w:szCs w:val="24"/>
          <w:highlight w:val="none"/>
        </w:rPr>
      </w:pP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签字（签章）：                                       公章：</w:t>
      </w:r>
    </w:p>
    <w:p>
      <w:pPr>
        <w:pStyle w:val="29"/>
        <w:spacing w:line="360" w:lineRule="auto"/>
        <w:ind w:left="25" w:leftChars="12" w:firstLine="352" w:firstLineChars="147"/>
        <w:rPr>
          <w:rFonts w:hint="eastAsia" w:hAnsi="宋体"/>
          <w:color w:val="000000"/>
          <w:sz w:val="24"/>
          <w:szCs w:val="24"/>
          <w:highlight w:val="none"/>
        </w:rPr>
      </w:pP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日期：</w:t>
      </w:r>
    </w:p>
    <w:p>
      <w:pPr>
        <w:pStyle w:val="29"/>
        <w:snapToGrid w:val="0"/>
        <w:spacing w:line="360" w:lineRule="auto"/>
        <w:rPr>
          <w:rFonts w:hint="eastAsia" w:hAnsi="宋体"/>
          <w:b/>
          <w:color w:val="000000"/>
          <w:sz w:val="24"/>
          <w:szCs w:val="24"/>
          <w:highlight w:val="none"/>
        </w:rPr>
      </w:pPr>
    </w:p>
    <w:p>
      <w:pPr>
        <w:pStyle w:val="29"/>
        <w:snapToGrid w:val="0"/>
        <w:spacing w:line="360" w:lineRule="auto"/>
        <w:rPr>
          <w:rFonts w:hint="eastAsia" w:hAnsi="宋体"/>
          <w:b/>
          <w:color w:val="000000"/>
          <w:sz w:val="24"/>
          <w:szCs w:val="24"/>
          <w:highlight w:val="none"/>
        </w:rPr>
      </w:pPr>
      <w:r>
        <w:rPr>
          <w:rFonts w:hint="eastAsia" w:hAnsi="宋体"/>
          <w:b/>
          <w:color w:val="000000"/>
          <w:sz w:val="24"/>
          <w:szCs w:val="24"/>
          <w:highlight w:val="none"/>
        </w:rPr>
        <w:t>说明：</w:t>
      </w:r>
    </w:p>
    <w:p>
      <w:pPr>
        <w:pStyle w:val="29"/>
        <w:spacing w:line="360" w:lineRule="auto"/>
        <w:ind w:left="25" w:leftChars="12" w:firstLine="354" w:firstLineChars="147"/>
        <w:rPr>
          <w:rFonts w:hint="eastAsia" w:hAnsi="宋体"/>
          <w:b/>
          <w:bCs/>
          <w:color w:val="000000"/>
          <w:sz w:val="24"/>
          <w:szCs w:val="24"/>
          <w:highlight w:val="none"/>
        </w:rPr>
      </w:pPr>
      <w:r>
        <w:rPr>
          <w:rFonts w:hint="eastAsia" w:hAnsi="宋体"/>
          <w:b/>
          <w:color w:val="000000"/>
          <w:sz w:val="24"/>
          <w:szCs w:val="24"/>
          <w:highlight w:val="none"/>
        </w:rPr>
        <w:t>1.供应商提出质疑时，应提交质疑函和必要的证明材料</w:t>
      </w:r>
      <w:r>
        <w:rPr>
          <w:rFonts w:hint="eastAsia" w:hAnsi="宋体"/>
          <w:b/>
          <w:bCs/>
          <w:color w:val="000000"/>
          <w:sz w:val="24"/>
          <w:szCs w:val="24"/>
          <w:highlight w:val="none"/>
        </w:rPr>
        <w:t>。</w:t>
      </w:r>
    </w:p>
    <w:p>
      <w:pPr>
        <w:pStyle w:val="29"/>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9"/>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3.质疑函的质疑事项应具体、明确，并有必要的事实依据和法律依据。</w:t>
      </w:r>
    </w:p>
    <w:p>
      <w:pPr>
        <w:pStyle w:val="29"/>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4.质疑函的质疑请求应与质疑事项相关。</w:t>
      </w:r>
    </w:p>
    <w:p>
      <w:pPr>
        <w:pStyle w:val="29"/>
        <w:spacing w:line="360" w:lineRule="auto"/>
        <w:ind w:left="25" w:leftChars="12" w:firstLine="354" w:firstLineChars="147"/>
        <w:rPr>
          <w:rFonts w:hint="eastAsia" w:hAnsi="宋体"/>
          <w:b/>
          <w:color w:val="000000"/>
          <w:highlight w:val="none"/>
        </w:rPr>
      </w:pPr>
      <w:r>
        <w:rPr>
          <w:rFonts w:hint="eastAsia" w:hAnsi="宋体"/>
          <w:b/>
          <w:color w:val="000000"/>
          <w:sz w:val="24"/>
          <w:szCs w:val="24"/>
          <w:highlight w:val="none"/>
        </w:rPr>
        <w:t>5.质疑供应商为法人或者其他组织的，质疑函应由法定代表人、主要负责人，或者其授权代表签字或者盖章，并加盖公章。</w:t>
      </w:r>
    </w:p>
    <w:p>
      <w:pPr>
        <w:pStyle w:val="29"/>
        <w:snapToGrid w:val="0"/>
        <w:rPr>
          <w:rFonts w:hint="eastAsia"/>
          <w:b/>
          <w:color w:val="000000"/>
          <w:sz w:val="24"/>
          <w:szCs w:val="24"/>
          <w:highlight w:val="none"/>
        </w:rPr>
      </w:pPr>
    </w:p>
    <w:p>
      <w:pPr>
        <w:spacing w:line="360" w:lineRule="auto"/>
        <w:jc w:val="left"/>
        <w:outlineLvl w:val="2"/>
        <w:rPr>
          <w:rFonts w:hint="eastAsia" w:ascii="宋体" w:hAnsi="宋体"/>
          <w:b/>
          <w:bCs/>
          <w:kern w:val="0"/>
          <w:szCs w:val="21"/>
          <w:highlight w:val="none"/>
          <w:lang w:val="en-US" w:eastAsia="zh-CN" w:bidi="ar"/>
        </w:rPr>
      </w:pPr>
      <w:r>
        <w:rPr>
          <w:rFonts w:eastAsia="隶书"/>
          <w:color w:val="000000"/>
          <w:sz w:val="44"/>
          <w:highlight w:val="none"/>
        </w:rPr>
        <w:br w:type="page"/>
      </w:r>
      <w:r>
        <w:rPr>
          <w:rFonts w:hint="eastAsia" w:ascii="宋体" w:hAnsi="宋体"/>
          <w:b/>
          <w:bCs/>
          <w:kern w:val="0"/>
          <w:szCs w:val="21"/>
          <w:highlight w:val="none"/>
          <w:lang w:val="en-US" w:eastAsia="zh-CN" w:bidi="ar"/>
        </w:rPr>
        <w:t>二、投诉书（格式）</w:t>
      </w:r>
    </w:p>
    <w:p>
      <w:pPr>
        <w:spacing w:line="360" w:lineRule="auto"/>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投诉书（格式）</w:t>
      </w:r>
    </w:p>
    <w:p>
      <w:pPr>
        <w:pStyle w:val="29"/>
        <w:snapToGrid w:val="0"/>
        <w:spacing w:line="360" w:lineRule="auto"/>
        <w:ind w:firstLine="482" w:firstLineChars="200"/>
        <w:rPr>
          <w:rFonts w:hAnsi="宋体"/>
          <w:b/>
          <w:bCs/>
          <w:color w:val="000000"/>
          <w:sz w:val="24"/>
          <w:szCs w:val="24"/>
          <w:highlight w:val="none"/>
        </w:rPr>
      </w:pPr>
      <w:r>
        <w:rPr>
          <w:rFonts w:hint="eastAsia" w:hAnsi="宋体"/>
          <w:b/>
          <w:bCs/>
          <w:color w:val="000000"/>
          <w:sz w:val="24"/>
          <w:szCs w:val="24"/>
          <w:highlight w:val="none"/>
        </w:rPr>
        <w:t>一、投诉相关主体基本情况：</w:t>
      </w:r>
    </w:p>
    <w:p>
      <w:pPr>
        <w:pStyle w:val="29"/>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投标人：</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pPr>
        <w:pStyle w:val="29"/>
        <w:snapToGrid w:val="0"/>
        <w:spacing w:line="360" w:lineRule="auto"/>
        <w:ind w:firstLine="480" w:firstLineChars="200"/>
        <w:jc w:val="left"/>
        <w:rPr>
          <w:rFonts w:hint="eastAsia" w:hAnsi="宋体"/>
          <w:bCs/>
          <w:color w:val="000000"/>
          <w:sz w:val="24"/>
          <w:szCs w:val="24"/>
          <w:highlight w:val="none"/>
        </w:rPr>
      </w:pPr>
      <w:r>
        <w:rPr>
          <w:rFonts w:hAnsi="宋体"/>
          <w:bCs/>
          <w:color w:val="000000"/>
          <w:sz w:val="24"/>
          <w:szCs w:val="24"/>
          <w:highlight w:val="none"/>
        </w:rPr>
        <w:t>地址</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pPr>
        <w:pStyle w:val="29"/>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法定代表人/主要负责人：</w:t>
      </w:r>
      <w:r>
        <w:rPr>
          <w:rFonts w:hint="eastAsia" w:hAnsi="宋体"/>
          <w:bCs/>
          <w:color w:val="000000"/>
          <w:sz w:val="24"/>
          <w:szCs w:val="24"/>
          <w:highlight w:val="none"/>
          <w:u w:val="single"/>
        </w:rPr>
        <w:t xml:space="preserve">                                                         </w:t>
      </w:r>
    </w:p>
    <w:p>
      <w:pPr>
        <w:pStyle w:val="29"/>
        <w:snapToGrid w:val="0"/>
        <w:spacing w:line="360" w:lineRule="auto"/>
        <w:ind w:firstLine="480" w:firstLineChars="200"/>
        <w:jc w:val="left"/>
        <w:rPr>
          <w:rFonts w:hint="eastAsia" w:hAnsi="宋体"/>
          <w:bCs/>
          <w:color w:val="000000"/>
          <w:sz w:val="24"/>
          <w:szCs w:val="24"/>
          <w:highlight w:val="none"/>
        </w:rPr>
      </w:pPr>
      <w:r>
        <w:rPr>
          <w:rFonts w:hAnsi="宋体"/>
          <w:bCs/>
          <w:color w:val="000000"/>
          <w:sz w:val="24"/>
          <w:szCs w:val="24"/>
          <w:highlight w:val="none"/>
        </w:rPr>
        <w:t>联系电话</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p>
    <w:p>
      <w:pPr>
        <w:pStyle w:val="29"/>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授权代表：</w:t>
      </w:r>
      <w:r>
        <w:rPr>
          <w:rFonts w:hint="eastAsia" w:hAnsi="宋体"/>
          <w:bCs/>
          <w:color w:val="000000"/>
          <w:sz w:val="24"/>
          <w:szCs w:val="24"/>
          <w:highlight w:val="none"/>
          <w:u w:val="single"/>
        </w:rPr>
        <w:t xml:space="preserve">                                         </w:t>
      </w:r>
      <w:r>
        <w:rPr>
          <w:rFonts w:hAnsi="宋体"/>
          <w:bCs/>
          <w:color w:val="000000"/>
          <w:sz w:val="24"/>
          <w:szCs w:val="24"/>
          <w:highlight w:val="none"/>
        </w:rPr>
        <w:t>联系</w:t>
      </w:r>
      <w:r>
        <w:rPr>
          <w:rFonts w:hint="eastAsia" w:hAnsi="宋体"/>
          <w:bCs/>
          <w:color w:val="000000"/>
          <w:sz w:val="24"/>
          <w:szCs w:val="24"/>
          <w:highlight w:val="none"/>
        </w:rPr>
        <w:t>电话：</w:t>
      </w:r>
      <w:r>
        <w:rPr>
          <w:rFonts w:hint="eastAsia" w:hAnsi="宋体"/>
          <w:bCs/>
          <w:color w:val="000000"/>
          <w:sz w:val="24"/>
          <w:szCs w:val="24"/>
          <w:highlight w:val="none"/>
          <w:u w:val="single"/>
        </w:rPr>
        <w:t xml:space="preserve">                   </w:t>
      </w:r>
    </w:p>
    <w:p>
      <w:pPr>
        <w:pStyle w:val="29"/>
        <w:snapToGrid w:val="0"/>
        <w:spacing w:line="360" w:lineRule="auto"/>
        <w:ind w:firstLine="480" w:firstLineChars="200"/>
        <w:jc w:val="left"/>
        <w:rPr>
          <w:rFonts w:hint="eastAsia" w:hAnsi="宋体"/>
          <w:bCs/>
          <w:color w:val="000000"/>
          <w:sz w:val="24"/>
          <w:szCs w:val="24"/>
          <w:highlight w:val="none"/>
          <w:u w:val="single"/>
        </w:rPr>
      </w:pPr>
      <w:r>
        <w:rPr>
          <w:rFonts w:hAnsi="宋体"/>
          <w:bCs/>
          <w:color w:val="000000"/>
          <w:sz w:val="24"/>
          <w:szCs w:val="24"/>
          <w:highlight w:val="none"/>
        </w:rPr>
        <w:t>地址</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p>
    <w:p>
      <w:pPr>
        <w:pStyle w:val="29"/>
        <w:snapToGrid w:val="0"/>
        <w:spacing w:line="360" w:lineRule="auto"/>
        <w:ind w:firstLine="480" w:firstLineChars="200"/>
        <w:jc w:val="left"/>
        <w:rPr>
          <w:rFonts w:hint="eastAsia" w:hAnsi="宋体"/>
          <w:bCs/>
          <w:color w:val="000000"/>
          <w:sz w:val="24"/>
          <w:szCs w:val="24"/>
          <w:highlight w:val="none"/>
        </w:rPr>
      </w:pP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pPr>
        <w:pStyle w:val="29"/>
        <w:snapToGrid w:val="0"/>
        <w:spacing w:line="360" w:lineRule="auto"/>
        <w:ind w:firstLine="480" w:firstLineChars="200"/>
        <w:jc w:val="left"/>
        <w:rPr>
          <w:rFonts w:hint="eastAsia" w:hAnsi="宋体"/>
          <w:bCs/>
          <w:color w:val="000000"/>
          <w:sz w:val="24"/>
          <w:szCs w:val="24"/>
          <w:highlight w:val="none"/>
        </w:rPr>
      </w:pPr>
      <w:r>
        <w:rPr>
          <w:rFonts w:hint="eastAsia" w:hAnsi="宋体"/>
          <w:bCs/>
          <w:color w:val="000000"/>
          <w:sz w:val="24"/>
          <w:szCs w:val="24"/>
          <w:highlight w:val="none"/>
        </w:rPr>
        <w:t>被投诉人1：</w:t>
      </w:r>
    </w:p>
    <w:p>
      <w:pPr>
        <w:pStyle w:val="29"/>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地址：</w:t>
      </w:r>
      <w:r>
        <w:rPr>
          <w:rFonts w:hint="eastAsia" w:hAnsi="宋体"/>
          <w:bCs/>
          <w:color w:val="000000"/>
          <w:sz w:val="24"/>
          <w:szCs w:val="24"/>
          <w:highlight w:val="none"/>
          <w:u w:val="single"/>
        </w:rPr>
        <w:t xml:space="preserve">                                                            </w:t>
      </w:r>
    </w:p>
    <w:p>
      <w:pPr>
        <w:pStyle w:val="29"/>
        <w:snapToGrid w:val="0"/>
        <w:spacing w:line="360" w:lineRule="auto"/>
        <w:ind w:firstLine="480" w:firstLineChars="200"/>
        <w:jc w:val="left"/>
        <w:rPr>
          <w:rFonts w:hint="eastAsia" w:hAnsi="宋体"/>
          <w:bCs/>
          <w:color w:val="000000"/>
          <w:sz w:val="24"/>
          <w:szCs w:val="24"/>
          <w:highlight w:val="none"/>
        </w:rPr>
      </w:pP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pPr>
        <w:pStyle w:val="29"/>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联系人：</w:t>
      </w:r>
      <w:r>
        <w:rPr>
          <w:rFonts w:hint="eastAsia" w:hAnsi="宋体"/>
          <w:bCs/>
          <w:color w:val="000000"/>
          <w:sz w:val="24"/>
          <w:szCs w:val="24"/>
          <w:highlight w:val="none"/>
          <w:u w:val="single"/>
        </w:rPr>
        <w:t xml:space="preserve">                            </w:t>
      </w:r>
      <w:r>
        <w:rPr>
          <w:rFonts w:hAnsi="宋体"/>
          <w:bCs/>
          <w:color w:val="000000"/>
          <w:sz w:val="24"/>
          <w:szCs w:val="24"/>
          <w:highlight w:val="none"/>
        </w:rPr>
        <w:t>联系</w:t>
      </w:r>
      <w:r>
        <w:rPr>
          <w:rFonts w:hint="eastAsia" w:hAnsi="宋体"/>
          <w:bCs/>
          <w:color w:val="000000"/>
          <w:sz w:val="24"/>
          <w:szCs w:val="24"/>
          <w:highlight w:val="none"/>
        </w:rPr>
        <w:t>电话：</w:t>
      </w:r>
      <w:r>
        <w:rPr>
          <w:rFonts w:hint="eastAsia" w:hAnsi="宋体"/>
          <w:bCs/>
          <w:color w:val="000000"/>
          <w:sz w:val="24"/>
          <w:szCs w:val="24"/>
          <w:highlight w:val="none"/>
          <w:u w:val="single"/>
        </w:rPr>
        <w:t xml:space="preserve">                </w:t>
      </w:r>
    </w:p>
    <w:p>
      <w:pPr>
        <w:pStyle w:val="29"/>
        <w:snapToGrid w:val="0"/>
        <w:spacing w:line="360" w:lineRule="auto"/>
        <w:ind w:firstLine="480" w:firstLineChars="200"/>
        <w:jc w:val="left"/>
        <w:rPr>
          <w:rFonts w:hint="eastAsia" w:hAnsi="宋体"/>
          <w:bCs/>
          <w:color w:val="000000"/>
          <w:sz w:val="24"/>
          <w:szCs w:val="24"/>
          <w:highlight w:val="none"/>
        </w:rPr>
      </w:pPr>
      <w:r>
        <w:rPr>
          <w:rFonts w:hint="eastAsia" w:hAnsi="宋体"/>
          <w:bCs/>
          <w:color w:val="000000"/>
          <w:sz w:val="24"/>
          <w:szCs w:val="24"/>
          <w:highlight w:val="none"/>
        </w:rPr>
        <w:t>被投诉人2：</w:t>
      </w:r>
    </w:p>
    <w:p>
      <w:pPr>
        <w:pStyle w:val="29"/>
        <w:snapToGrid w:val="0"/>
        <w:spacing w:line="360" w:lineRule="auto"/>
        <w:ind w:firstLine="480" w:firstLineChars="200"/>
        <w:jc w:val="left"/>
        <w:rPr>
          <w:rFonts w:hint="eastAsia" w:hAnsi="宋体"/>
          <w:bCs/>
          <w:color w:val="000000"/>
          <w:sz w:val="24"/>
          <w:szCs w:val="24"/>
          <w:highlight w:val="none"/>
        </w:rPr>
      </w:pPr>
      <w:r>
        <w:rPr>
          <w:rFonts w:hAnsi="宋体"/>
          <w:bCs/>
          <w:color w:val="000000"/>
          <w:sz w:val="24"/>
          <w:szCs w:val="24"/>
          <w:highlight w:val="none"/>
        </w:rPr>
        <w:t>……</w:t>
      </w:r>
    </w:p>
    <w:p>
      <w:pPr>
        <w:pStyle w:val="29"/>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相关供应商：</w:t>
      </w:r>
      <w:r>
        <w:rPr>
          <w:rFonts w:hint="eastAsia" w:hAnsi="宋体"/>
          <w:bCs/>
          <w:color w:val="000000"/>
          <w:sz w:val="24"/>
          <w:szCs w:val="24"/>
          <w:highlight w:val="none"/>
          <w:u w:val="single"/>
        </w:rPr>
        <w:t xml:space="preserve">                                                                       </w:t>
      </w:r>
    </w:p>
    <w:p>
      <w:pPr>
        <w:pStyle w:val="29"/>
        <w:snapToGrid w:val="0"/>
        <w:spacing w:line="360" w:lineRule="auto"/>
        <w:ind w:firstLine="480" w:firstLineChars="200"/>
        <w:jc w:val="left"/>
        <w:rPr>
          <w:rFonts w:hint="eastAsia" w:hAnsi="宋体"/>
          <w:bCs/>
          <w:color w:val="000000"/>
          <w:sz w:val="24"/>
          <w:szCs w:val="24"/>
          <w:highlight w:val="none"/>
          <w:u w:val="single"/>
        </w:rPr>
      </w:pPr>
      <w:r>
        <w:rPr>
          <w:rFonts w:hAnsi="宋体"/>
          <w:bCs/>
          <w:color w:val="000000"/>
          <w:sz w:val="24"/>
          <w:szCs w:val="24"/>
          <w:highlight w:val="none"/>
        </w:rPr>
        <w:t>地址</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p>
    <w:p>
      <w:pPr>
        <w:pStyle w:val="29"/>
        <w:snapToGrid w:val="0"/>
        <w:spacing w:line="360" w:lineRule="auto"/>
        <w:ind w:firstLine="480" w:firstLineChars="200"/>
        <w:jc w:val="left"/>
        <w:rPr>
          <w:rFonts w:hint="eastAsia" w:hAnsi="宋体"/>
          <w:bCs/>
          <w:color w:val="000000"/>
          <w:sz w:val="24"/>
          <w:szCs w:val="24"/>
          <w:highlight w:val="none"/>
        </w:rPr>
      </w:pPr>
      <w:r>
        <w:rPr>
          <w:rFonts w:hint="eastAsia" w:hAnsi="宋体"/>
          <w:bCs/>
          <w:color w:val="000000"/>
          <w:sz w:val="24"/>
          <w:szCs w:val="24"/>
          <w:highlight w:val="none"/>
        </w:rPr>
        <w:t>联系人：</w:t>
      </w:r>
      <w:r>
        <w:rPr>
          <w:rFonts w:hint="eastAsia" w:hAnsi="宋体"/>
          <w:bCs/>
          <w:color w:val="000000"/>
          <w:sz w:val="24"/>
          <w:szCs w:val="24"/>
          <w:highlight w:val="none"/>
          <w:u w:val="single"/>
        </w:rPr>
        <w:t xml:space="preserve">                                            </w:t>
      </w:r>
      <w:r>
        <w:rPr>
          <w:rFonts w:hAnsi="宋体"/>
          <w:bCs/>
          <w:color w:val="000000"/>
          <w:sz w:val="24"/>
          <w:szCs w:val="24"/>
          <w:highlight w:val="none"/>
        </w:rPr>
        <w:t>联系</w:t>
      </w:r>
      <w:r>
        <w:rPr>
          <w:rFonts w:hint="eastAsia" w:hAnsi="宋体"/>
          <w:bCs/>
          <w:color w:val="000000"/>
          <w:sz w:val="24"/>
          <w:szCs w:val="24"/>
          <w:highlight w:val="none"/>
        </w:rPr>
        <w:t>电话：</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pPr>
        <w:pStyle w:val="29"/>
        <w:snapToGrid w:val="0"/>
        <w:spacing w:line="360" w:lineRule="auto"/>
        <w:ind w:firstLine="482" w:firstLineChars="200"/>
        <w:rPr>
          <w:rFonts w:hint="eastAsia" w:hAnsi="宋体"/>
          <w:b/>
          <w:bCs/>
          <w:color w:val="000000"/>
          <w:sz w:val="24"/>
          <w:szCs w:val="24"/>
          <w:highlight w:val="none"/>
        </w:rPr>
      </w:pPr>
      <w:r>
        <w:rPr>
          <w:rFonts w:hint="eastAsia" w:hAnsi="宋体"/>
          <w:b/>
          <w:bCs/>
          <w:color w:val="000000"/>
          <w:sz w:val="24"/>
          <w:szCs w:val="24"/>
          <w:highlight w:val="none"/>
        </w:rPr>
        <w:t>二、投诉项目基本情况：</w:t>
      </w:r>
    </w:p>
    <w:p>
      <w:pPr>
        <w:pStyle w:val="29"/>
        <w:spacing w:line="360" w:lineRule="auto"/>
        <w:ind w:left="25" w:leftChars="12" w:firstLine="472" w:firstLineChars="197"/>
        <w:rPr>
          <w:rFonts w:hint="eastAsia" w:hAnsi="宋体"/>
          <w:color w:val="000000"/>
          <w:sz w:val="24"/>
          <w:szCs w:val="24"/>
          <w:highlight w:val="none"/>
        </w:rPr>
      </w:pPr>
      <w:r>
        <w:rPr>
          <w:rFonts w:hint="eastAsia" w:hAnsi="宋体"/>
          <w:bCs/>
          <w:color w:val="000000"/>
          <w:sz w:val="24"/>
          <w:szCs w:val="24"/>
          <w:highlight w:val="none"/>
        </w:rPr>
        <w:t>采购</w:t>
      </w:r>
      <w:r>
        <w:rPr>
          <w:rFonts w:hint="eastAsia" w:hAnsi="宋体"/>
          <w:color w:val="000000"/>
          <w:sz w:val="24"/>
          <w:szCs w:val="24"/>
          <w:highlight w:val="none"/>
        </w:rPr>
        <w:t>项目的名称：</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color w:val="000000"/>
          <w:sz w:val="24"/>
          <w:szCs w:val="24"/>
          <w:highlight w:val="none"/>
        </w:rPr>
      </w:pPr>
      <w:r>
        <w:rPr>
          <w:rFonts w:hint="eastAsia" w:hAnsi="宋体"/>
          <w:bCs/>
          <w:color w:val="000000"/>
          <w:sz w:val="24"/>
          <w:szCs w:val="24"/>
          <w:highlight w:val="none"/>
        </w:rPr>
        <w:t>采购</w:t>
      </w:r>
      <w:r>
        <w:rPr>
          <w:rFonts w:hint="eastAsia" w:hAnsi="宋体"/>
          <w:color w:val="000000"/>
          <w:sz w:val="24"/>
          <w:szCs w:val="24"/>
          <w:highlight w:val="none"/>
        </w:rPr>
        <w:t>项目的编号：</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bCs/>
          <w:color w:val="000000"/>
          <w:sz w:val="24"/>
          <w:szCs w:val="24"/>
          <w:highlight w:val="none"/>
          <w:u w:val="single"/>
        </w:rPr>
      </w:pPr>
      <w:r>
        <w:rPr>
          <w:rFonts w:hint="eastAsia" w:hAnsi="宋体"/>
          <w:color w:val="000000"/>
          <w:sz w:val="24"/>
          <w:szCs w:val="24"/>
          <w:highlight w:val="none"/>
        </w:rPr>
        <w:t>采购人名称：</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bCs/>
          <w:color w:val="000000"/>
          <w:sz w:val="24"/>
          <w:szCs w:val="24"/>
          <w:highlight w:val="none"/>
          <w:u w:val="single"/>
        </w:rPr>
      </w:pPr>
      <w:r>
        <w:rPr>
          <w:rFonts w:hint="eastAsia" w:hAnsi="宋体"/>
          <w:color w:val="000000"/>
          <w:sz w:val="24"/>
          <w:szCs w:val="24"/>
          <w:highlight w:val="none"/>
        </w:rPr>
        <w:t>代理机构名称：</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bCs/>
          <w:color w:val="000000"/>
          <w:sz w:val="24"/>
          <w:szCs w:val="24"/>
          <w:highlight w:val="none"/>
          <w:u w:val="single"/>
        </w:rPr>
      </w:pPr>
      <w:r>
        <w:rPr>
          <w:rFonts w:hint="eastAsia" w:hAnsi="宋体"/>
          <w:bCs/>
          <w:color w:val="000000"/>
          <w:sz w:val="24"/>
          <w:szCs w:val="24"/>
          <w:highlight w:val="none"/>
        </w:rPr>
        <w:t>招标文件公告：</w:t>
      </w:r>
      <w:r>
        <w:rPr>
          <w:rFonts w:hint="eastAsia" w:hAnsi="宋体"/>
          <w:bCs/>
          <w:color w:val="000000"/>
          <w:sz w:val="24"/>
          <w:szCs w:val="24"/>
          <w:highlight w:val="none"/>
          <w:u w:val="single"/>
        </w:rPr>
        <w:t>是/否</w:t>
      </w:r>
      <w:r>
        <w:rPr>
          <w:rFonts w:hint="eastAsia" w:hAnsi="宋体"/>
          <w:bCs/>
          <w:color w:val="000000"/>
          <w:sz w:val="24"/>
          <w:szCs w:val="24"/>
          <w:highlight w:val="none"/>
        </w:rPr>
        <w:t>公告期限：</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b/>
          <w:color w:val="000000"/>
          <w:sz w:val="24"/>
          <w:szCs w:val="24"/>
          <w:highlight w:val="none"/>
        </w:rPr>
      </w:pPr>
      <w:r>
        <w:rPr>
          <w:rFonts w:hint="eastAsia" w:hAnsi="宋体"/>
          <w:bCs/>
          <w:color w:val="000000"/>
          <w:sz w:val="24"/>
          <w:szCs w:val="24"/>
          <w:highlight w:val="none"/>
        </w:rPr>
        <w:t>采购结果公告：</w:t>
      </w:r>
      <w:r>
        <w:rPr>
          <w:rFonts w:hint="eastAsia" w:hAnsi="宋体"/>
          <w:bCs/>
          <w:color w:val="000000"/>
          <w:sz w:val="24"/>
          <w:szCs w:val="24"/>
          <w:highlight w:val="none"/>
          <w:u w:val="single"/>
        </w:rPr>
        <w:t>是/否</w:t>
      </w:r>
      <w:r>
        <w:rPr>
          <w:rFonts w:hint="eastAsia" w:hAnsi="宋体"/>
          <w:bCs/>
          <w:color w:val="000000"/>
          <w:sz w:val="24"/>
          <w:szCs w:val="24"/>
          <w:highlight w:val="none"/>
        </w:rPr>
        <w:t>公告期限：</w:t>
      </w:r>
      <w:r>
        <w:rPr>
          <w:rFonts w:hint="eastAsia" w:hAnsi="宋体"/>
          <w:bCs/>
          <w:color w:val="000000"/>
          <w:sz w:val="24"/>
          <w:szCs w:val="24"/>
          <w:highlight w:val="none"/>
          <w:u w:val="single"/>
        </w:rPr>
        <w:t xml:space="preserve">                                                       </w:t>
      </w:r>
    </w:p>
    <w:p>
      <w:pPr>
        <w:pStyle w:val="29"/>
        <w:spacing w:line="360" w:lineRule="auto"/>
        <w:ind w:left="25" w:leftChars="12" w:firstLine="472" w:firstLineChars="196"/>
        <w:rPr>
          <w:rFonts w:hint="eastAsia" w:hAnsi="宋体"/>
          <w:b/>
          <w:color w:val="000000"/>
          <w:sz w:val="24"/>
          <w:szCs w:val="24"/>
          <w:highlight w:val="none"/>
        </w:rPr>
      </w:pPr>
      <w:r>
        <w:rPr>
          <w:rFonts w:hint="eastAsia" w:hAnsi="宋体"/>
          <w:b/>
          <w:color w:val="000000"/>
          <w:sz w:val="24"/>
          <w:szCs w:val="24"/>
          <w:highlight w:val="none"/>
        </w:rPr>
        <w:t>三、质疑基本情况</w:t>
      </w:r>
    </w:p>
    <w:p>
      <w:pPr>
        <w:pStyle w:val="29"/>
        <w:spacing w:line="360" w:lineRule="auto"/>
        <w:ind w:left="25" w:leftChars="12" w:firstLine="480" w:firstLineChars="200"/>
        <w:rPr>
          <w:rFonts w:hint="eastAsia" w:hAnsi="宋体"/>
          <w:color w:val="000000"/>
          <w:sz w:val="24"/>
          <w:szCs w:val="24"/>
          <w:highlight w:val="none"/>
        </w:rPr>
      </w:pPr>
      <w:r>
        <w:rPr>
          <w:rFonts w:hint="eastAsia" w:hAnsi="宋体"/>
          <w:color w:val="000000"/>
          <w:sz w:val="24"/>
          <w:szCs w:val="24"/>
          <w:highlight w:val="none"/>
        </w:rPr>
        <w:t>投诉人于</w:t>
      </w:r>
      <w:r>
        <w:rPr>
          <w:rFonts w:hint="eastAsia" w:hAnsi="宋体"/>
          <w:color w:val="000000"/>
          <w:sz w:val="24"/>
          <w:szCs w:val="24"/>
          <w:highlight w:val="none"/>
          <w:u w:val="single"/>
        </w:rPr>
        <w:t xml:space="preserve">      </w:t>
      </w:r>
      <w:r>
        <w:rPr>
          <w:rFonts w:hint="eastAsia" w:hAnsi="宋体"/>
          <w:color w:val="000000"/>
          <w:sz w:val="24"/>
          <w:szCs w:val="24"/>
          <w:highlight w:val="none"/>
        </w:rPr>
        <w:t>年</w:t>
      </w:r>
      <w:r>
        <w:rPr>
          <w:rFonts w:hint="eastAsia" w:hAnsi="宋体"/>
          <w:color w:val="000000"/>
          <w:sz w:val="24"/>
          <w:szCs w:val="24"/>
          <w:highlight w:val="none"/>
          <w:u w:val="single"/>
        </w:rPr>
        <w:t xml:space="preserve">   </w:t>
      </w:r>
      <w:r>
        <w:rPr>
          <w:rFonts w:hint="eastAsia" w:hAnsi="宋体"/>
          <w:color w:val="000000"/>
          <w:sz w:val="24"/>
          <w:szCs w:val="24"/>
          <w:highlight w:val="none"/>
        </w:rPr>
        <w:t>月</w:t>
      </w:r>
      <w:r>
        <w:rPr>
          <w:rFonts w:hint="eastAsia" w:hAnsi="宋体"/>
          <w:color w:val="000000"/>
          <w:sz w:val="24"/>
          <w:szCs w:val="24"/>
          <w:highlight w:val="none"/>
          <w:u w:val="single"/>
        </w:rPr>
        <w:t xml:space="preserve">   </w:t>
      </w:r>
      <w:r>
        <w:rPr>
          <w:rFonts w:hint="eastAsia" w:hAnsi="宋体"/>
          <w:color w:val="000000"/>
          <w:sz w:val="24"/>
          <w:szCs w:val="24"/>
          <w:highlight w:val="none"/>
        </w:rPr>
        <w:t>日，向</w:t>
      </w:r>
      <w:r>
        <w:rPr>
          <w:rFonts w:hint="eastAsia" w:hAnsi="宋体"/>
          <w:color w:val="000000"/>
          <w:sz w:val="24"/>
          <w:szCs w:val="24"/>
          <w:highlight w:val="none"/>
          <w:u w:val="single"/>
        </w:rPr>
        <w:t xml:space="preserve">                                </w:t>
      </w:r>
      <w:r>
        <w:rPr>
          <w:rFonts w:hint="eastAsia" w:hAnsi="宋体"/>
          <w:color w:val="000000"/>
          <w:sz w:val="24"/>
          <w:szCs w:val="24"/>
          <w:highlight w:val="none"/>
        </w:rPr>
        <w:t>提出质疑，质疑事项为：</w:t>
      </w:r>
    </w:p>
    <w:p>
      <w:pPr>
        <w:pStyle w:val="29"/>
        <w:spacing w:line="360" w:lineRule="auto"/>
        <w:ind w:firstLine="241"/>
        <w:rPr>
          <w:rFonts w:hint="eastAsia" w:hAnsi="宋体"/>
          <w:bCs/>
          <w:color w:val="000000"/>
          <w:sz w:val="24"/>
          <w:szCs w:val="24"/>
          <w:highlight w:val="none"/>
          <w:u w:val="single"/>
        </w:rPr>
      </w:pPr>
      <w:r>
        <w:rPr>
          <w:rFonts w:hint="eastAsia" w:hAnsi="宋体"/>
          <w:color w:val="000000"/>
          <w:sz w:val="24"/>
          <w:szCs w:val="24"/>
          <w:highlight w:val="none"/>
        </w:rPr>
        <w:t xml:space="preserve">    </w:t>
      </w:r>
      <w:r>
        <w:rPr>
          <w:rFonts w:hint="eastAsia" w:hAnsi="宋体"/>
          <w:bCs/>
          <w:color w:val="000000"/>
          <w:sz w:val="24"/>
          <w:szCs w:val="24"/>
          <w:highlight w:val="none"/>
          <w:u w:val="single"/>
        </w:rPr>
        <w:t xml:space="preserve">                                                                                      </w:t>
      </w:r>
    </w:p>
    <w:p>
      <w:pPr>
        <w:pStyle w:val="29"/>
        <w:spacing w:line="360" w:lineRule="auto"/>
        <w:ind w:firstLine="241"/>
        <w:rPr>
          <w:rFonts w:hint="eastAsia" w:hAnsi="宋体"/>
          <w:bCs/>
          <w:color w:val="000000"/>
          <w:sz w:val="24"/>
          <w:szCs w:val="24"/>
          <w:highlight w:val="none"/>
          <w:u w:val="single"/>
        </w:rPr>
      </w:pPr>
      <w:r>
        <w:rPr>
          <w:rFonts w:hint="eastAsia" w:hAnsi="宋体"/>
          <w:bCs/>
          <w:color w:val="000000"/>
          <w:sz w:val="24"/>
          <w:szCs w:val="24"/>
          <w:highlight w:val="none"/>
        </w:rPr>
        <w:t xml:space="preserve">    </w:t>
      </w:r>
      <w:r>
        <w:rPr>
          <w:rFonts w:hint="eastAsia" w:hAnsi="宋体"/>
          <w:bCs/>
          <w:color w:val="000000"/>
          <w:sz w:val="24"/>
          <w:szCs w:val="24"/>
          <w:highlight w:val="none"/>
          <w:u w:val="single"/>
        </w:rPr>
        <w:t xml:space="preserve">                                                                                      </w:t>
      </w:r>
    </w:p>
    <w:p>
      <w:pPr>
        <w:pStyle w:val="29"/>
        <w:spacing w:line="360" w:lineRule="auto"/>
        <w:ind w:firstLine="480" w:firstLineChars="200"/>
        <w:rPr>
          <w:rFonts w:hint="eastAsia" w:hAnsi="宋体"/>
          <w:color w:val="000000"/>
          <w:sz w:val="24"/>
          <w:szCs w:val="24"/>
          <w:highlight w:val="none"/>
        </w:rPr>
      </w:pPr>
      <w:r>
        <w:rPr>
          <w:rFonts w:hint="eastAsia" w:hAnsi="宋体"/>
          <w:bCs/>
          <w:color w:val="000000"/>
          <w:sz w:val="24"/>
          <w:szCs w:val="24"/>
          <w:highlight w:val="none"/>
          <w:u w:val="single"/>
        </w:rPr>
        <w:t>采购人/代理机构</w:t>
      </w:r>
      <w:r>
        <w:rPr>
          <w:rFonts w:hint="eastAsia" w:hAnsi="宋体"/>
          <w:bCs/>
          <w:color w:val="000000"/>
          <w:sz w:val="24"/>
          <w:szCs w:val="24"/>
          <w:highlight w:val="none"/>
        </w:rPr>
        <w:t>于</w:t>
      </w:r>
      <w:r>
        <w:rPr>
          <w:rFonts w:hint="eastAsia" w:hAnsi="宋体"/>
          <w:color w:val="000000"/>
          <w:sz w:val="24"/>
          <w:szCs w:val="24"/>
          <w:highlight w:val="none"/>
          <w:u w:val="single"/>
        </w:rPr>
        <w:t xml:space="preserve">      </w:t>
      </w:r>
      <w:r>
        <w:rPr>
          <w:rFonts w:hint="eastAsia" w:hAnsi="宋体"/>
          <w:color w:val="000000"/>
          <w:sz w:val="24"/>
          <w:szCs w:val="24"/>
          <w:highlight w:val="none"/>
        </w:rPr>
        <w:t>年</w:t>
      </w:r>
      <w:r>
        <w:rPr>
          <w:rFonts w:hint="eastAsia" w:hAnsi="宋体"/>
          <w:color w:val="000000"/>
          <w:sz w:val="24"/>
          <w:szCs w:val="24"/>
          <w:highlight w:val="none"/>
          <w:u w:val="single"/>
        </w:rPr>
        <w:t xml:space="preserve">   </w:t>
      </w:r>
      <w:r>
        <w:rPr>
          <w:rFonts w:hint="eastAsia" w:hAnsi="宋体"/>
          <w:color w:val="000000"/>
          <w:sz w:val="24"/>
          <w:szCs w:val="24"/>
          <w:highlight w:val="none"/>
        </w:rPr>
        <w:t>月</w:t>
      </w:r>
      <w:r>
        <w:rPr>
          <w:rFonts w:hint="eastAsia" w:hAnsi="宋体"/>
          <w:color w:val="000000"/>
          <w:sz w:val="24"/>
          <w:szCs w:val="24"/>
          <w:highlight w:val="none"/>
          <w:u w:val="single"/>
        </w:rPr>
        <w:t xml:space="preserve">   </w:t>
      </w:r>
      <w:r>
        <w:rPr>
          <w:rFonts w:hint="eastAsia" w:hAnsi="宋体"/>
          <w:color w:val="000000"/>
          <w:sz w:val="24"/>
          <w:szCs w:val="24"/>
          <w:highlight w:val="none"/>
        </w:rPr>
        <w:t>日，</w:t>
      </w:r>
      <w:r>
        <w:rPr>
          <w:rFonts w:hint="eastAsia" w:hAnsi="宋体"/>
          <w:bCs/>
          <w:color w:val="000000"/>
          <w:sz w:val="24"/>
          <w:szCs w:val="24"/>
          <w:highlight w:val="none"/>
        </w:rPr>
        <w:t xml:space="preserve">就质疑事项作出了答复/没有在法定期限内作出答复。                                                                                             </w:t>
      </w:r>
    </w:p>
    <w:p>
      <w:pPr>
        <w:pStyle w:val="29"/>
        <w:spacing w:line="360" w:lineRule="auto"/>
        <w:ind w:left="25" w:leftChars="12" w:firstLine="472" w:firstLineChars="196"/>
        <w:rPr>
          <w:rFonts w:hint="eastAsia" w:hAnsi="宋体"/>
          <w:b/>
          <w:color w:val="000000"/>
          <w:sz w:val="24"/>
          <w:szCs w:val="24"/>
          <w:highlight w:val="none"/>
        </w:rPr>
      </w:pPr>
      <w:r>
        <w:rPr>
          <w:rFonts w:hint="eastAsia" w:hAnsi="宋体"/>
          <w:b/>
          <w:color w:val="000000"/>
          <w:sz w:val="24"/>
          <w:szCs w:val="24"/>
          <w:highlight w:val="none"/>
        </w:rPr>
        <w:t>四、投诉事项具体内容</w:t>
      </w:r>
    </w:p>
    <w:p>
      <w:pPr>
        <w:pStyle w:val="29"/>
        <w:spacing w:line="360" w:lineRule="auto"/>
        <w:ind w:left="25" w:leftChars="12" w:firstLine="472" w:firstLineChars="197"/>
        <w:rPr>
          <w:rFonts w:hint="eastAsia" w:hAnsi="宋体"/>
          <w:bCs/>
          <w:color w:val="000000"/>
          <w:sz w:val="24"/>
          <w:szCs w:val="24"/>
          <w:highlight w:val="none"/>
          <w:u w:val="single"/>
        </w:rPr>
      </w:pPr>
      <w:r>
        <w:rPr>
          <w:rFonts w:hint="eastAsia" w:hAnsi="宋体"/>
          <w:color w:val="000000"/>
          <w:sz w:val="24"/>
          <w:szCs w:val="24"/>
          <w:highlight w:val="none"/>
        </w:rPr>
        <w:t>投诉事项1：</w:t>
      </w:r>
      <w:r>
        <w:rPr>
          <w:rFonts w:hint="eastAsia" w:hAnsi="宋体"/>
          <w:bCs/>
          <w:color w:val="000000"/>
          <w:sz w:val="24"/>
          <w:szCs w:val="24"/>
          <w:highlight w:val="none"/>
          <w:u w:val="single"/>
        </w:rPr>
        <w:t xml:space="preserve">                                                                           </w:t>
      </w:r>
    </w:p>
    <w:p>
      <w:pPr>
        <w:pStyle w:val="29"/>
        <w:spacing w:line="360" w:lineRule="auto"/>
        <w:ind w:firstLine="480" w:firstLineChars="200"/>
        <w:rPr>
          <w:rFonts w:hint="eastAsia" w:hAnsi="宋体"/>
          <w:bCs/>
          <w:color w:val="000000"/>
          <w:sz w:val="24"/>
          <w:szCs w:val="24"/>
          <w:highlight w:val="none"/>
          <w:u w:val="single"/>
        </w:rPr>
      </w:pPr>
      <w:r>
        <w:rPr>
          <w:rFonts w:hint="eastAsia" w:hAnsi="宋体"/>
          <w:bCs/>
          <w:color w:val="000000"/>
          <w:sz w:val="24"/>
          <w:szCs w:val="24"/>
          <w:highlight w:val="none"/>
        </w:rPr>
        <w:t>事实依据：</w:t>
      </w:r>
      <w:r>
        <w:rPr>
          <w:rFonts w:hint="eastAsia" w:hAnsi="宋体"/>
          <w:color w:val="000000"/>
          <w:sz w:val="24"/>
          <w:szCs w:val="24"/>
          <w:highlight w:val="none"/>
        </w:rPr>
        <w:t xml:space="preserve"> </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color w:val="000000"/>
          <w:sz w:val="24"/>
          <w:szCs w:val="24"/>
          <w:highlight w:val="none"/>
        </w:rPr>
      </w:pPr>
      <w:r>
        <w:rPr>
          <w:rFonts w:hint="eastAsia" w:hAnsi="宋体"/>
          <w:bCs/>
          <w:color w:val="000000"/>
          <w:sz w:val="24"/>
          <w:szCs w:val="24"/>
          <w:highlight w:val="none"/>
          <w:u w:val="single"/>
        </w:rPr>
        <w:t xml:space="preserve">                                                                                        </w:t>
      </w:r>
    </w:p>
    <w:p>
      <w:pPr>
        <w:pStyle w:val="29"/>
        <w:spacing w:line="360" w:lineRule="auto"/>
        <w:ind w:firstLine="480" w:firstLineChars="200"/>
        <w:rPr>
          <w:rFonts w:hint="eastAsia" w:hAnsi="宋体"/>
          <w:bCs/>
          <w:color w:val="000000"/>
          <w:sz w:val="24"/>
          <w:szCs w:val="24"/>
          <w:highlight w:val="none"/>
          <w:u w:val="single"/>
        </w:rPr>
      </w:pPr>
      <w:r>
        <w:rPr>
          <w:rFonts w:hint="eastAsia" w:hAnsi="宋体"/>
          <w:bCs/>
          <w:color w:val="000000"/>
          <w:sz w:val="24"/>
          <w:szCs w:val="24"/>
          <w:highlight w:val="none"/>
        </w:rPr>
        <w:t>法律依据：</w:t>
      </w:r>
      <w:r>
        <w:rPr>
          <w:rFonts w:hint="eastAsia" w:hAnsi="宋体"/>
          <w:color w:val="000000"/>
          <w:sz w:val="24"/>
          <w:szCs w:val="24"/>
          <w:highlight w:val="none"/>
        </w:rPr>
        <w:t xml:space="preserve"> </w:t>
      </w:r>
      <w:r>
        <w:rPr>
          <w:rFonts w:hint="eastAsia" w:hAnsi="宋体"/>
          <w:bCs/>
          <w:color w:val="000000"/>
          <w:sz w:val="24"/>
          <w:szCs w:val="24"/>
          <w:highlight w:val="none"/>
          <w:u w:val="single"/>
        </w:rPr>
        <w:t xml:space="preserve">                                                                                      </w:t>
      </w:r>
    </w:p>
    <w:p>
      <w:pPr>
        <w:pStyle w:val="29"/>
        <w:spacing w:line="360" w:lineRule="auto"/>
        <w:ind w:left="25" w:leftChars="12" w:firstLine="352" w:firstLineChars="147"/>
        <w:rPr>
          <w:rFonts w:hint="eastAsia" w:hAnsi="宋体"/>
          <w:bCs/>
          <w:color w:val="000000"/>
          <w:sz w:val="24"/>
          <w:szCs w:val="24"/>
          <w:highlight w:val="none"/>
          <w:u w:val="single"/>
        </w:rPr>
      </w:pPr>
      <w:r>
        <w:rPr>
          <w:rFonts w:hint="eastAsia" w:hAnsi="宋体"/>
          <w:bCs/>
          <w:color w:val="000000"/>
          <w:sz w:val="24"/>
          <w:szCs w:val="24"/>
          <w:highlight w:val="none"/>
        </w:rPr>
        <w:t xml:space="preserve"> </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bCs/>
          <w:color w:val="000000"/>
          <w:sz w:val="24"/>
          <w:szCs w:val="24"/>
          <w:highlight w:val="none"/>
        </w:rPr>
      </w:pPr>
      <w:r>
        <w:rPr>
          <w:rFonts w:hint="eastAsia" w:hAnsi="宋体"/>
          <w:color w:val="000000"/>
          <w:sz w:val="24"/>
          <w:szCs w:val="24"/>
          <w:highlight w:val="none"/>
        </w:rPr>
        <w:t xml:space="preserve">投诉事项2  </w:t>
      </w:r>
      <w:r>
        <w:rPr>
          <w:rFonts w:hint="eastAsia" w:hAnsi="宋体"/>
          <w:bCs/>
          <w:color w:val="000000"/>
          <w:sz w:val="24"/>
          <w:szCs w:val="24"/>
          <w:highlight w:val="none"/>
        </w:rPr>
        <w:t xml:space="preserve">   </w:t>
      </w:r>
    </w:p>
    <w:p>
      <w:pPr>
        <w:pStyle w:val="29"/>
        <w:spacing w:line="360" w:lineRule="auto"/>
        <w:ind w:left="25" w:leftChars="12" w:firstLine="472" w:firstLineChars="197"/>
        <w:rPr>
          <w:rFonts w:hint="eastAsia" w:hAnsi="宋体"/>
          <w:bCs/>
          <w:color w:val="000000"/>
          <w:sz w:val="24"/>
          <w:szCs w:val="24"/>
          <w:highlight w:val="none"/>
        </w:rPr>
      </w:pPr>
      <w:r>
        <w:rPr>
          <w:rFonts w:hAnsi="宋体"/>
          <w:bCs/>
          <w:color w:val="000000"/>
          <w:sz w:val="24"/>
          <w:szCs w:val="24"/>
          <w:highlight w:val="none"/>
        </w:rPr>
        <w:t>……</w:t>
      </w:r>
    </w:p>
    <w:p>
      <w:pPr>
        <w:pStyle w:val="29"/>
        <w:spacing w:line="360" w:lineRule="auto"/>
        <w:ind w:left="25" w:leftChars="12" w:firstLine="472" w:firstLineChars="196"/>
        <w:rPr>
          <w:rFonts w:hint="eastAsia" w:hAnsi="宋体"/>
          <w:b/>
          <w:color w:val="000000"/>
          <w:sz w:val="24"/>
          <w:szCs w:val="24"/>
          <w:highlight w:val="none"/>
        </w:rPr>
      </w:pPr>
      <w:r>
        <w:rPr>
          <w:rFonts w:hint="eastAsia" w:hAnsi="宋体"/>
          <w:b/>
          <w:color w:val="000000"/>
          <w:sz w:val="24"/>
          <w:szCs w:val="24"/>
          <w:highlight w:val="none"/>
        </w:rPr>
        <w:t>五、与投诉事项相关的投诉请求：</w:t>
      </w: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请求：</w:t>
      </w:r>
      <w:r>
        <w:rPr>
          <w:rFonts w:hint="eastAsia" w:hAnsi="宋体"/>
          <w:bCs/>
          <w:color w:val="000000"/>
          <w:sz w:val="24"/>
          <w:szCs w:val="24"/>
          <w:highlight w:val="none"/>
          <w:u w:val="single"/>
        </w:rPr>
        <w:t xml:space="preserve">                                                                                 </w:t>
      </w:r>
    </w:p>
    <w:p>
      <w:pPr>
        <w:pStyle w:val="29"/>
        <w:spacing w:line="360" w:lineRule="auto"/>
        <w:ind w:left="25" w:leftChars="12" w:firstLine="352" w:firstLineChars="147"/>
        <w:rPr>
          <w:rFonts w:hint="eastAsia" w:hAnsi="宋体"/>
          <w:color w:val="000000"/>
          <w:sz w:val="24"/>
          <w:szCs w:val="24"/>
          <w:highlight w:val="none"/>
        </w:rPr>
      </w:pP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签字（签章）：                                       公章：</w:t>
      </w:r>
    </w:p>
    <w:p>
      <w:pPr>
        <w:pStyle w:val="29"/>
        <w:spacing w:line="360" w:lineRule="auto"/>
        <w:ind w:left="25" w:leftChars="12" w:firstLine="352" w:firstLineChars="147"/>
        <w:rPr>
          <w:rFonts w:hint="eastAsia" w:hAnsi="宋体"/>
          <w:color w:val="000000"/>
          <w:sz w:val="24"/>
          <w:szCs w:val="24"/>
          <w:highlight w:val="none"/>
        </w:rPr>
      </w:pP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日期：</w:t>
      </w:r>
    </w:p>
    <w:p>
      <w:pPr>
        <w:pStyle w:val="29"/>
        <w:spacing w:line="360" w:lineRule="auto"/>
        <w:ind w:left="25" w:leftChars="12" w:firstLine="472" w:firstLineChars="197"/>
        <w:rPr>
          <w:rFonts w:hint="eastAsia" w:hAnsi="宋体"/>
          <w:color w:val="000000"/>
          <w:sz w:val="24"/>
          <w:szCs w:val="24"/>
          <w:highlight w:val="none"/>
        </w:rPr>
      </w:pPr>
      <w:r>
        <w:rPr>
          <w:rFonts w:hint="eastAsia" w:hAnsi="宋体"/>
          <w:bCs/>
          <w:color w:val="000000"/>
          <w:sz w:val="24"/>
          <w:szCs w:val="24"/>
          <w:highlight w:val="none"/>
        </w:rPr>
        <w:t xml:space="preserve">                                                                              </w:t>
      </w:r>
    </w:p>
    <w:p>
      <w:pPr>
        <w:pStyle w:val="29"/>
        <w:snapToGrid w:val="0"/>
        <w:spacing w:line="360" w:lineRule="auto"/>
        <w:rPr>
          <w:rFonts w:hint="eastAsia" w:hAnsi="宋体"/>
          <w:b/>
          <w:color w:val="000000"/>
          <w:sz w:val="24"/>
          <w:szCs w:val="24"/>
          <w:highlight w:val="none"/>
        </w:rPr>
      </w:pPr>
      <w:r>
        <w:rPr>
          <w:rFonts w:hint="eastAsia" w:hAnsi="宋体"/>
          <w:b/>
          <w:color w:val="000000"/>
          <w:sz w:val="24"/>
          <w:szCs w:val="24"/>
          <w:highlight w:val="none"/>
        </w:rPr>
        <w:t>说明：</w:t>
      </w:r>
    </w:p>
    <w:p>
      <w:pPr>
        <w:pStyle w:val="29"/>
        <w:spacing w:line="360" w:lineRule="auto"/>
        <w:ind w:left="25" w:leftChars="12" w:firstLine="354" w:firstLineChars="147"/>
        <w:rPr>
          <w:rFonts w:hint="eastAsia" w:hAnsi="宋体"/>
          <w:b/>
          <w:bCs/>
          <w:color w:val="000000"/>
          <w:sz w:val="24"/>
          <w:szCs w:val="24"/>
          <w:highlight w:val="none"/>
        </w:rPr>
      </w:pPr>
      <w:r>
        <w:rPr>
          <w:rFonts w:hint="eastAsia" w:hAnsi="宋体"/>
          <w:b/>
          <w:color w:val="000000"/>
          <w:sz w:val="24"/>
          <w:szCs w:val="24"/>
          <w:highlight w:val="none"/>
        </w:rPr>
        <w:t>1.投诉人提起投诉时，应当提交投诉书和必要的证明材料，并按照被投诉人和与投诉事项有关的供应商数量提供投诉书副本</w:t>
      </w:r>
      <w:r>
        <w:rPr>
          <w:rFonts w:hint="eastAsia" w:hAnsi="宋体"/>
          <w:b/>
          <w:bCs/>
          <w:color w:val="000000"/>
          <w:sz w:val="24"/>
          <w:szCs w:val="24"/>
          <w:highlight w:val="none"/>
        </w:rPr>
        <w:t>。</w:t>
      </w:r>
    </w:p>
    <w:p>
      <w:pPr>
        <w:pStyle w:val="29"/>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9"/>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3.投诉书应简要列明质疑事项，质疑函、质疑答复等作为附件材料提供。</w:t>
      </w:r>
    </w:p>
    <w:p>
      <w:pPr>
        <w:pStyle w:val="29"/>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4.投诉书的投诉事项应具体、明确，并有必要的事实依据和法律依据。</w:t>
      </w:r>
    </w:p>
    <w:p>
      <w:pPr>
        <w:pStyle w:val="29"/>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5.投诉书的投诉请求应与投诉事项相关。</w:t>
      </w:r>
    </w:p>
    <w:p>
      <w:pPr>
        <w:pStyle w:val="29"/>
        <w:spacing w:line="360" w:lineRule="auto"/>
        <w:ind w:left="25" w:leftChars="12" w:firstLine="354" w:firstLineChars="147"/>
        <w:rPr>
          <w:rFonts w:hint="eastAsia" w:hAnsi="宋体"/>
          <w:b/>
          <w:color w:val="000000"/>
          <w:highlight w:val="none"/>
        </w:rPr>
      </w:pPr>
      <w:r>
        <w:rPr>
          <w:rFonts w:hint="eastAsia" w:hAnsi="宋体"/>
          <w:b/>
          <w:color w:val="000000"/>
          <w:sz w:val="24"/>
          <w:szCs w:val="24"/>
          <w:highlight w:val="none"/>
        </w:rPr>
        <w:t>6.投诉人为法人或者其他组织的，投诉书应由法定代表人、主要负责人，或者其授权代表签字或者盖章，并加盖公章。</w:t>
      </w:r>
    </w:p>
    <w:p>
      <w:pPr>
        <w:pStyle w:val="34"/>
        <w:rPr>
          <w:highlight w:val="none"/>
        </w:rPr>
        <w:sectPr>
          <w:pgSz w:w="11906" w:h="16838"/>
          <w:pgMar w:top="1440" w:right="1800" w:bottom="1440" w:left="1800" w:header="851" w:footer="992" w:gutter="0"/>
          <w:cols w:space="720" w:num="1"/>
          <w:titlePg/>
          <w:docGrid w:linePitch="312" w:charSpace="0"/>
        </w:sectPr>
      </w:pPr>
    </w:p>
    <w:p>
      <w:pPr>
        <w:rPr>
          <w:szCs w:val="21"/>
          <w:highlight w:val="none"/>
        </w:rPr>
      </w:pPr>
      <w:bookmarkStart w:id="134" w:name="OLE_LINK32"/>
    </w:p>
    <w:p>
      <w:pPr>
        <w:pStyle w:val="29"/>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jc w:val="center"/>
        <w:textAlignment w:val="auto"/>
        <w:outlineLvl w:val="0"/>
        <w:rPr>
          <w:rFonts w:hint="eastAsia" w:ascii="Times New Roman" w:hAnsi="Times New Roman" w:cs="Times New Roman"/>
          <w:b/>
          <w:sz w:val="36"/>
          <w:szCs w:val="36"/>
          <w:highlight w:val="none"/>
        </w:rPr>
      </w:pPr>
      <w:bookmarkStart w:id="135" w:name="_Toc3819"/>
      <w:bookmarkStart w:id="136" w:name="OLE_LINK38"/>
      <w:bookmarkStart w:id="137" w:name="_Toc254970549"/>
      <w:bookmarkStart w:id="138" w:name="_Toc254970690"/>
      <w:r>
        <w:rPr>
          <w:rFonts w:hint="eastAsia" w:ascii="Times New Roman" w:hAnsi="Times New Roman" w:cs="Times New Roman"/>
          <w:b/>
          <w:sz w:val="36"/>
          <w:szCs w:val="36"/>
          <w:highlight w:val="none"/>
        </w:rPr>
        <w:t>第四章  评标方法及评标标准</w:t>
      </w:r>
      <w:bookmarkEnd w:id="135"/>
    </w:p>
    <w:bookmarkEnd w:id="134"/>
    <w:bookmarkEnd w:id="136"/>
    <w:p>
      <w:pPr>
        <w:spacing w:line="360" w:lineRule="auto"/>
        <w:ind w:firstLine="422" w:firstLineChars="200"/>
        <w:outlineLvl w:val="1"/>
        <w:rPr>
          <w:b/>
          <w:bCs/>
          <w:kern w:val="0"/>
          <w:szCs w:val="21"/>
          <w:highlight w:val="none"/>
        </w:rPr>
      </w:pPr>
      <w:r>
        <w:rPr>
          <w:b/>
          <w:bCs/>
          <w:kern w:val="0"/>
          <w:szCs w:val="21"/>
          <w:highlight w:val="none"/>
        </w:rPr>
        <w:t>一、评标方法</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lang w:val="en-US" w:eastAsia="zh-CN"/>
        </w:rPr>
        <w:t>1.</w:t>
      </w:r>
      <w:r>
        <w:rPr>
          <w:rFonts w:hint="eastAsia"/>
          <w:b/>
          <w:bCs/>
          <w:kern w:val="0"/>
          <w:szCs w:val="21"/>
          <w:highlight w:val="none"/>
        </w:rPr>
        <w:t>评标方法</w:t>
      </w:r>
    </w:p>
    <w:p>
      <w:pPr>
        <w:suppressAutoHyphens/>
        <w:spacing w:line="360" w:lineRule="auto"/>
        <w:ind w:firstLine="420" w:firstLineChars="200"/>
        <w:rPr>
          <w:highlight w:val="none"/>
        </w:rPr>
      </w:pPr>
      <w:r>
        <w:rPr>
          <w:highlight w:val="none"/>
        </w:rPr>
        <w:t>本项目采用综合评分法进行评标。综合评分法指投标文件满足招标文件全部实质性要求且按照评标因素的量化指标评标得分最高的供应商为中标候选人的评标方法。</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2.评标依据</w:t>
      </w:r>
    </w:p>
    <w:p>
      <w:pPr>
        <w:suppressAutoHyphens/>
        <w:spacing w:line="360" w:lineRule="auto"/>
        <w:ind w:firstLine="420" w:firstLineChars="200"/>
        <w:rPr>
          <w:highlight w:val="none"/>
        </w:rPr>
      </w:pPr>
      <w:r>
        <w:rPr>
          <w:rFonts w:hint="eastAsia"/>
          <w:highlight w:val="none"/>
        </w:rPr>
        <w:t>评标委员会</w:t>
      </w:r>
      <w:r>
        <w:rPr>
          <w:highlight w:val="none"/>
        </w:rPr>
        <w:t>以</w:t>
      </w:r>
      <w:r>
        <w:rPr>
          <w:rFonts w:hint="eastAsia"/>
          <w:highlight w:val="none"/>
        </w:rPr>
        <w:t>招标</w:t>
      </w:r>
      <w:r>
        <w:rPr>
          <w:highlight w:val="none"/>
        </w:rPr>
        <w:t>文件、补充文件、</w:t>
      </w:r>
      <w:r>
        <w:rPr>
          <w:rFonts w:hint="eastAsia"/>
          <w:highlight w:val="none"/>
        </w:rPr>
        <w:t>投标</w:t>
      </w:r>
      <w:r>
        <w:rPr>
          <w:highlight w:val="none"/>
        </w:rPr>
        <w:t>文件、澄清及答复为评</w:t>
      </w:r>
      <w:r>
        <w:rPr>
          <w:rFonts w:hint="eastAsia"/>
          <w:highlight w:val="none"/>
        </w:rPr>
        <w:t>标</w:t>
      </w:r>
      <w:r>
        <w:rPr>
          <w:highlight w:val="none"/>
        </w:rPr>
        <w:t>依据。</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3.评标委员会</w:t>
      </w:r>
      <w:bookmarkStart w:id="139" w:name="_Hlk19051932"/>
    </w:p>
    <w:p>
      <w:pPr>
        <w:suppressAutoHyphens/>
        <w:spacing w:line="360" w:lineRule="auto"/>
        <w:ind w:firstLine="420" w:firstLineChars="200"/>
        <w:rPr>
          <w:highlight w:val="none"/>
        </w:rPr>
      </w:pPr>
      <w:r>
        <w:rPr>
          <w:rFonts w:hint="eastAsia"/>
          <w:highlight w:val="none"/>
        </w:rPr>
        <w:t>本项目评标委员会由政府采购评审专家和采购人代表组成，成员人数应当为5人以上单数，其中评审专家不得少于成员总数的三分之二。</w:t>
      </w:r>
      <w:bookmarkEnd w:id="139"/>
      <w:bookmarkStart w:id="140" w:name="_Hlk19051968"/>
      <w:r>
        <w:rPr>
          <w:rFonts w:hint="eastAsia"/>
          <w:highlight w:val="none"/>
        </w:rPr>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140"/>
    </w:p>
    <w:p>
      <w:pPr>
        <w:spacing w:line="360" w:lineRule="auto"/>
        <w:ind w:firstLine="422" w:firstLineChars="200"/>
        <w:outlineLvl w:val="1"/>
        <w:rPr>
          <w:b/>
          <w:bCs/>
          <w:kern w:val="0"/>
          <w:szCs w:val="21"/>
          <w:highlight w:val="none"/>
        </w:rPr>
      </w:pPr>
      <w:r>
        <w:rPr>
          <w:rFonts w:hint="eastAsia"/>
          <w:b/>
          <w:bCs/>
          <w:kern w:val="0"/>
          <w:szCs w:val="21"/>
          <w:highlight w:val="none"/>
        </w:rPr>
        <w:t>二、</w:t>
      </w:r>
      <w:r>
        <w:rPr>
          <w:b/>
          <w:bCs/>
          <w:kern w:val="0"/>
          <w:szCs w:val="21"/>
          <w:highlight w:val="none"/>
        </w:rPr>
        <w:t>评标程序</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1</w:t>
      </w:r>
      <w:bookmarkStart w:id="141" w:name="_Hlk19175507"/>
      <w:r>
        <w:rPr>
          <w:rFonts w:hint="eastAsia"/>
          <w:b/>
          <w:bCs/>
          <w:kern w:val="0"/>
          <w:szCs w:val="21"/>
          <w:highlight w:val="none"/>
        </w:rPr>
        <w:t>.初步评审：初步评审包括资格检查及符合性检查。</w:t>
      </w:r>
      <w:bookmarkEnd w:id="141"/>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2.澄清（如需要）。</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3.详细评审。</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4.推荐中标候选人。</w:t>
      </w:r>
    </w:p>
    <w:p>
      <w:pPr>
        <w:spacing w:line="360" w:lineRule="auto"/>
        <w:ind w:firstLine="422" w:firstLineChars="200"/>
        <w:outlineLvl w:val="1"/>
        <w:rPr>
          <w:b/>
          <w:bCs/>
          <w:kern w:val="0"/>
          <w:szCs w:val="21"/>
          <w:highlight w:val="none"/>
        </w:rPr>
      </w:pPr>
      <w:r>
        <w:rPr>
          <w:rFonts w:hint="eastAsia"/>
          <w:b/>
          <w:bCs/>
          <w:kern w:val="0"/>
          <w:szCs w:val="21"/>
          <w:highlight w:val="none"/>
        </w:rPr>
        <w:t>三、评标内容</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bookmarkStart w:id="142" w:name="_Hlk19052412"/>
      <w:r>
        <w:rPr>
          <w:rFonts w:hint="eastAsia"/>
          <w:b/>
          <w:bCs/>
          <w:kern w:val="0"/>
          <w:szCs w:val="21"/>
          <w:highlight w:val="none"/>
        </w:rPr>
        <w:t>1.资格审查</w:t>
      </w:r>
    </w:p>
    <w:p>
      <w:pPr>
        <w:suppressAutoHyphens/>
        <w:spacing w:line="360" w:lineRule="auto"/>
        <w:ind w:firstLine="420" w:firstLineChars="200"/>
        <w:rPr>
          <w:szCs w:val="21"/>
          <w:highlight w:val="none"/>
        </w:rPr>
      </w:pPr>
      <w:r>
        <w:rPr>
          <w:highlight w:val="none"/>
        </w:rPr>
        <w:t>采购人</w:t>
      </w:r>
      <w:r>
        <w:rPr>
          <w:rFonts w:hint="eastAsia"/>
          <w:highlight w:val="none"/>
        </w:rPr>
        <w:t>代表或采购代理机构</w:t>
      </w:r>
      <w:r>
        <w:rPr>
          <w:highlight w:val="none"/>
        </w:rPr>
        <w:t>对所有供应商的投标文件进行资格审查。</w:t>
      </w:r>
      <w:r>
        <w:rPr>
          <w:szCs w:val="21"/>
          <w:highlight w:val="none"/>
        </w:rPr>
        <w:t>以确定供应商是否具备投标资格。资格审查表如下，缺少任何一项或有任何一项不合格者，其资格审查视为不合格。</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2264"/>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349" w:type="pct"/>
            <w:vAlign w:val="center"/>
          </w:tcPr>
          <w:p>
            <w:pPr>
              <w:spacing w:line="360" w:lineRule="exact"/>
              <w:jc w:val="center"/>
              <w:rPr>
                <w:rFonts w:ascii="宋体" w:hAnsi="宋体"/>
                <w:b/>
                <w:kern w:val="0"/>
                <w:szCs w:val="21"/>
                <w:highlight w:val="none"/>
              </w:rPr>
            </w:pPr>
            <w:r>
              <w:rPr>
                <w:rFonts w:ascii="宋体" w:hAnsi="宋体"/>
                <w:b/>
                <w:kern w:val="0"/>
                <w:szCs w:val="21"/>
                <w:highlight w:val="none"/>
              </w:rPr>
              <w:t>序号</w:t>
            </w:r>
          </w:p>
        </w:tc>
        <w:tc>
          <w:tcPr>
            <w:tcW w:w="1328" w:type="pct"/>
            <w:vAlign w:val="center"/>
          </w:tcPr>
          <w:p>
            <w:pPr>
              <w:spacing w:line="360" w:lineRule="exact"/>
              <w:jc w:val="center"/>
              <w:rPr>
                <w:rFonts w:ascii="宋体" w:hAnsi="宋体"/>
                <w:b/>
                <w:kern w:val="0"/>
                <w:szCs w:val="21"/>
                <w:highlight w:val="none"/>
              </w:rPr>
            </w:pPr>
            <w:r>
              <w:rPr>
                <w:rFonts w:ascii="宋体" w:hAnsi="宋体"/>
                <w:b/>
                <w:kern w:val="0"/>
                <w:szCs w:val="21"/>
                <w:highlight w:val="none"/>
              </w:rPr>
              <w:t>评标因素</w:t>
            </w:r>
          </w:p>
        </w:tc>
        <w:tc>
          <w:tcPr>
            <w:tcW w:w="3322" w:type="pct"/>
            <w:vAlign w:val="center"/>
          </w:tcPr>
          <w:p>
            <w:pPr>
              <w:spacing w:line="360" w:lineRule="exact"/>
              <w:jc w:val="center"/>
              <w:rPr>
                <w:rFonts w:ascii="宋体" w:hAnsi="宋体"/>
                <w:b/>
                <w:kern w:val="0"/>
                <w:szCs w:val="21"/>
                <w:highlight w:val="none"/>
              </w:rPr>
            </w:pPr>
            <w:r>
              <w:rPr>
                <w:rFonts w:ascii="宋体" w:hAnsi="宋体"/>
                <w:b/>
                <w:kern w:val="0"/>
                <w:szCs w:val="21"/>
                <w:highlight w:val="none"/>
              </w:rPr>
              <w:t>评标内容及评标标准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349" w:type="pct"/>
            <w:vMerge w:val="restart"/>
            <w:vAlign w:val="center"/>
          </w:tcPr>
          <w:p>
            <w:pPr>
              <w:spacing w:line="360" w:lineRule="exact"/>
              <w:jc w:val="center"/>
              <w:rPr>
                <w:rFonts w:ascii="宋体" w:hAnsi="宋体"/>
                <w:szCs w:val="21"/>
                <w:highlight w:val="none"/>
              </w:rPr>
            </w:pPr>
            <w:r>
              <w:rPr>
                <w:rFonts w:ascii="宋体" w:hAnsi="宋体"/>
                <w:szCs w:val="21"/>
                <w:highlight w:val="none"/>
              </w:rPr>
              <w:t>1</w:t>
            </w:r>
          </w:p>
        </w:tc>
        <w:tc>
          <w:tcPr>
            <w:tcW w:w="1328" w:type="pct"/>
            <w:vAlign w:val="center"/>
          </w:tcPr>
          <w:p>
            <w:pPr>
              <w:spacing w:line="360" w:lineRule="exact"/>
              <w:rPr>
                <w:rFonts w:ascii="宋体" w:hAnsi="宋体"/>
                <w:szCs w:val="21"/>
                <w:highlight w:val="none"/>
              </w:rPr>
            </w:pPr>
            <w:r>
              <w:rPr>
                <w:rFonts w:ascii="宋体" w:hAnsi="宋体"/>
                <w:szCs w:val="21"/>
                <w:highlight w:val="none"/>
              </w:rPr>
              <w:t>（1）具有独立承担民事责任的能力</w:t>
            </w:r>
          </w:p>
        </w:tc>
        <w:tc>
          <w:tcPr>
            <w:tcW w:w="3322" w:type="pct"/>
          </w:tcPr>
          <w:p>
            <w:pPr>
              <w:spacing w:line="360" w:lineRule="exact"/>
              <w:jc w:val="left"/>
              <w:rPr>
                <w:rFonts w:ascii="宋体" w:hAnsi="宋体"/>
                <w:szCs w:val="21"/>
                <w:highlight w:val="none"/>
              </w:rPr>
            </w:pPr>
            <w:r>
              <w:rPr>
                <w:rFonts w:ascii="宋体" w:hAnsi="宋体"/>
                <w:szCs w:val="21"/>
                <w:highlight w:val="none"/>
              </w:rPr>
              <w:t>审查法人或者其他组织的营业执照等证明文件、自然人的身份证明。须按以下要求提供，材料须有效。</w:t>
            </w:r>
          </w:p>
          <w:p>
            <w:pPr>
              <w:spacing w:line="360" w:lineRule="exact"/>
              <w:jc w:val="left"/>
              <w:rPr>
                <w:rFonts w:ascii="宋体" w:hAnsi="宋体"/>
                <w:szCs w:val="21"/>
                <w:highlight w:val="none"/>
              </w:rPr>
            </w:pPr>
            <w:r>
              <w:rPr>
                <w:rFonts w:ascii="宋体" w:hAnsi="宋体"/>
                <w:szCs w:val="21"/>
                <w:highlight w:val="none"/>
              </w:rPr>
              <w:t>供应商是企业则审查营业执照（副本）</w:t>
            </w:r>
            <w:r>
              <w:rPr>
                <w:rFonts w:hint="eastAsia" w:ascii="宋体" w:hAnsi="宋体"/>
                <w:szCs w:val="21"/>
                <w:highlight w:val="none"/>
                <w:lang w:eastAsia="zh-CN"/>
              </w:rPr>
              <w:t>扫描件</w:t>
            </w:r>
            <w:r>
              <w:rPr>
                <w:rFonts w:ascii="宋体" w:hAnsi="宋体"/>
                <w:szCs w:val="21"/>
                <w:highlight w:val="none"/>
              </w:rPr>
              <w:t>；供应商是事业单位，则审查事业单位法人证书（副本）</w:t>
            </w:r>
            <w:r>
              <w:rPr>
                <w:rFonts w:hint="eastAsia" w:ascii="宋体" w:hAnsi="宋体"/>
                <w:szCs w:val="21"/>
                <w:highlight w:val="none"/>
                <w:lang w:eastAsia="zh-CN"/>
              </w:rPr>
              <w:t>扫描件</w:t>
            </w:r>
            <w:r>
              <w:rPr>
                <w:rFonts w:ascii="宋体" w:hAnsi="宋体"/>
                <w:szCs w:val="21"/>
                <w:highlight w:val="none"/>
              </w:rPr>
              <w:t>；供应商是非企业专业服务机构的，则审查执业许可证等证明文件</w:t>
            </w:r>
            <w:r>
              <w:rPr>
                <w:rFonts w:hint="eastAsia" w:ascii="宋体" w:hAnsi="宋体"/>
                <w:szCs w:val="21"/>
                <w:highlight w:val="none"/>
                <w:lang w:eastAsia="zh-CN"/>
              </w:rPr>
              <w:t>扫描件</w:t>
            </w:r>
            <w:r>
              <w:rPr>
                <w:rFonts w:ascii="宋体" w:hAnsi="宋体"/>
                <w:szCs w:val="21"/>
                <w:highlight w:val="none"/>
              </w:rPr>
              <w:t>；供应商是个体工商户，则审查个体工商户营业执照</w:t>
            </w:r>
            <w:r>
              <w:rPr>
                <w:rFonts w:hint="eastAsia" w:ascii="宋体" w:hAnsi="宋体"/>
                <w:szCs w:val="21"/>
                <w:highlight w:val="none"/>
                <w:lang w:eastAsia="zh-CN"/>
              </w:rPr>
              <w:t>扫描件</w:t>
            </w:r>
            <w:r>
              <w:rPr>
                <w:rFonts w:ascii="宋体" w:hAnsi="宋体"/>
                <w:szCs w:val="21"/>
                <w:highlight w:val="none"/>
              </w:rPr>
              <w:t>；供应商是自然人，则审查自然人身份证明</w:t>
            </w:r>
            <w:r>
              <w:rPr>
                <w:rFonts w:hint="eastAsia" w:ascii="宋体" w:hAnsi="宋体"/>
                <w:szCs w:val="21"/>
                <w:highlight w:val="none"/>
                <w:lang w:eastAsia="zh-CN"/>
              </w:rPr>
              <w:t>扫描件</w:t>
            </w:r>
            <w:r>
              <w:rPr>
                <w:rFonts w:ascii="宋体" w:hAnsi="宋体"/>
                <w:szCs w:val="21"/>
                <w:highlight w:val="none"/>
              </w:rPr>
              <w:t>；如供应商不是以上所列的法人、组织、自然人的，则提供国家规定的相关证明材料。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349" w:type="pct"/>
            <w:vMerge w:val="continue"/>
            <w:vAlign w:val="center"/>
          </w:tcPr>
          <w:p>
            <w:pPr>
              <w:spacing w:line="360" w:lineRule="exact"/>
              <w:jc w:val="center"/>
              <w:rPr>
                <w:rFonts w:ascii="宋体" w:hAnsi="宋体"/>
                <w:szCs w:val="21"/>
                <w:highlight w:val="none"/>
              </w:rPr>
            </w:pPr>
          </w:p>
        </w:tc>
        <w:tc>
          <w:tcPr>
            <w:tcW w:w="1328" w:type="pct"/>
            <w:vAlign w:val="center"/>
          </w:tcPr>
          <w:p>
            <w:pPr>
              <w:spacing w:line="360" w:lineRule="exact"/>
              <w:rPr>
                <w:rFonts w:ascii="宋体" w:hAnsi="宋体"/>
                <w:szCs w:val="21"/>
                <w:highlight w:val="none"/>
              </w:rPr>
            </w:pPr>
            <w:r>
              <w:rPr>
                <w:rFonts w:ascii="宋体" w:hAnsi="宋体"/>
                <w:szCs w:val="21"/>
                <w:highlight w:val="none"/>
                <w:lang w:val="zh-CN"/>
              </w:rPr>
              <w:t>（2）</w:t>
            </w:r>
            <w:r>
              <w:rPr>
                <w:rFonts w:ascii="宋体" w:hAnsi="宋体"/>
                <w:szCs w:val="21"/>
                <w:highlight w:val="none"/>
              </w:rPr>
              <w:t>具有良好的商业信誉和健全的财务会计制度</w:t>
            </w:r>
          </w:p>
        </w:tc>
        <w:tc>
          <w:tcPr>
            <w:tcW w:w="3322" w:type="pct"/>
          </w:tcPr>
          <w:p>
            <w:pPr>
              <w:spacing w:line="360" w:lineRule="exact"/>
              <w:jc w:val="left"/>
              <w:rPr>
                <w:rFonts w:ascii="宋体" w:hAnsi="宋体"/>
                <w:szCs w:val="21"/>
                <w:highlight w:val="none"/>
              </w:rPr>
            </w:pPr>
            <w:r>
              <w:rPr>
                <w:rFonts w:hint="eastAsia" w:ascii="宋体" w:hAnsi="宋体" w:cs="宋体"/>
                <w:szCs w:val="21"/>
                <w:highlight w:val="none"/>
              </w:rPr>
              <w:t>①</w:t>
            </w:r>
            <w:r>
              <w:rPr>
                <w:rFonts w:ascii="宋体" w:hAnsi="宋体"/>
                <w:szCs w:val="21"/>
                <w:highlight w:val="none"/>
              </w:rPr>
              <w:t>审查商业信誉声明。须提供，</w:t>
            </w:r>
            <w:bookmarkStart w:id="143" w:name="OLE_LINK17"/>
            <w:r>
              <w:rPr>
                <w:rFonts w:ascii="宋体" w:hAnsi="宋体"/>
                <w:szCs w:val="21"/>
                <w:highlight w:val="none"/>
              </w:rPr>
              <w:t>格式见</w:t>
            </w:r>
            <w:bookmarkStart w:id="144" w:name="OLE_LINK19"/>
            <w:r>
              <w:rPr>
                <w:rFonts w:hint="eastAsia" w:ascii="宋体" w:hAnsi="宋体"/>
                <w:szCs w:val="21"/>
                <w:highlight w:val="none"/>
                <w:lang w:eastAsia="zh-CN"/>
              </w:rPr>
              <w:t>“</w:t>
            </w:r>
            <w:r>
              <w:rPr>
                <w:rFonts w:ascii="宋体" w:hAnsi="宋体"/>
                <w:szCs w:val="21"/>
                <w:highlight w:val="none"/>
              </w:rPr>
              <w:t>第六章</w:t>
            </w:r>
            <w:r>
              <w:rPr>
                <w:rFonts w:hint="eastAsia" w:ascii="宋体" w:hAnsi="宋体"/>
                <w:szCs w:val="21"/>
                <w:highlight w:val="none"/>
                <w:lang w:val="en-US" w:eastAsia="zh-CN"/>
              </w:rPr>
              <w:t xml:space="preserve"> </w:t>
            </w:r>
            <w:r>
              <w:rPr>
                <w:rFonts w:ascii="宋体" w:hAnsi="宋体"/>
                <w:szCs w:val="21"/>
                <w:highlight w:val="none"/>
              </w:rPr>
              <w:t>投标文件格式</w:t>
            </w:r>
            <w:r>
              <w:rPr>
                <w:rFonts w:hint="eastAsia" w:ascii="宋体" w:hAnsi="宋体"/>
                <w:szCs w:val="21"/>
                <w:highlight w:val="none"/>
                <w:lang w:eastAsia="zh-CN"/>
              </w:rPr>
              <w:t>”</w:t>
            </w:r>
            <w:bookmarkEnd w:id="144"/>
            <w:r>
              <w:rPr>
                <w:rFonts w:hint="eastAsia" w:ascii="宋体" w:hAnsi="宋体"/>
                <w:szCs w:val="21"/>
                <w:highlight w:val="none"/>
                <w:lang w:val="en-US" w:eastAsia="zh-CN"/>
              </w:rPr>
              <w:t>中</w:t>
            </w:r>
            <w:r>
              <w:rPr>
                <w:rFonts w:ascii="宋体" w:hAnsi="宋体"/>
                <w:szCs w:val="21"/>
                <w:highlight w:val="none"/>
              </w:rPr>
              <w:t>“投标声明书”</w:t>
            </w:r>
            <w:bookmarkEnd w:id="143"/>
            <w:r>
              <w:rPr>
                <w:rFonts w:ascii="宋体" w:hAnsi="宋体"/>
                <w:szCs w:val="21"/>
                <w:highlight w:val="none"/>
              </w:rPr>
              <w:t>。</w:t>
            </w:r>
          </w:p>
          <w:p>
            <w:pPr>
              <w:spacing w:line="360" w:lineRule="exact"/>
              <w:jc w:val="left"/>
              <w:rPr>
                <w:rFonts w:ascii="宋体" w:hAnsi="宋体"/>
                <w:szCs w:val="21"/>
                <w:highlight w:val="none"/>
              </w:rPr>
            </w:pPr>
            <w:r>
              <w:rPr>
                <w:rFonts w:hint="eastAsia" w:ascii="宋体" w:hAnsi="宋体" w:cs="宋体"/>
                <w:szCs w:val="21"/>
                <w:highlight w:val="none"/>
              </w:rPr>
              <w:t>②</w:t>
            </w:r>
            <w:r>
              <w:rPr>
                <w:rFonts w:hint="eastAsia" w:ascii="宋体" w:hAnsi="宋体"/>
                <w:szCs w:val="21"/>
                <w:highlight w:val="none"/>
              </w:rPr>
              <w:t>审查</w:t>
            </w:r>
            <w:r>
              <w:rPr>
                <w:rFonts w:hint="eastAsia" w:ascii="宋体" w:hAnsi="宋体"/>
                <w:b w:val="0"/>
                <w:bCs w:val="0"/>
                <w:szCs w:val="21"/>
                <w:highlight w:val="none"/>
              </w:rPr>
              <w:t>2023年或2024年任意一年的财务报表或经审计的财务报告（审计报告）</w:t>
            </w:r>
            <w:r>
              <w:rPr>
                <w:rFonts w:hint="eastAsia" w:ascii="宋体" w:hAnsi="宋体"/>
                <w:b w:val="0"/>
                <w:bCs w:val="0"/>
                <w:color w:val="FF0000"/>
                <w:szCs w:val="21"/>
                <w:highlight w:val="none"/>
              </w:rPr>
              <w:t>（如提供审计报告的，审计报告须经过“注册会计师行业统一监管平台”自动赋码，审计报告编码（二维码）能通过统一监管平台进行查验，否则无效）</w:t>
            </w:r>
            <w:r>
              <w:rPr>
                <w:rFonts w:hint="eastAsia" w:ascii="宋体" w:hAnsi="宋体"/>
                <w:b w:val="0"/>
                <w:bCs w:val="0"/>
                <w:szCs w:val="21"/>
                <w:highlight w:val="none"/>
              </w:rPr>
              <w:t>扫描件，或者银行出具的资信证明扫描件；</w:t>
            </w:r>
            <w:r>
              <w:rPr>
                <w:rFonts w:hint="eastAsia" w:ascii="宋体" w:hAnsi="宋体"/>
                <w:szCs w:val="21"/>
                <w:highlight w:val="none"/>
              </w:rPr>
              <w:t>成立年限不足一年的，按实际月份财务报表提供，或者中国人民银行征信中心出具的信用报告（企业竞标的提供企业信用报告，自然人竞标的提供个人信用报告）；供应商属于成立时间在规定年度之后的，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349" w:type="pct"/>
            <w:vMerge w:val="continue"/>
            <w:vAlign w:val="center"/>
          </w:tcPr>
          <w:p>
            <w:pPr>
              <w:spacing w:line="360" w:lineRule="exact"/>
              <w:jc w:val="center"/>
              <w:rPr>
                <w:rFonts w:ascii="宋体" w:hAnsi="宋体"/>
                <w:szCs w:val="21"/>
                <w:highlight w:val="none"/>
              </w:rPr>
            </w:pPr>
          </w:p>
        </w:tc>
        <w:tc>
          <w:tcPr>
            <w:tcW w:w="1328" w:type="pct"/>
            <w:vAlign w:val="center"/>
          </w:tcPr>
          <w:p>
            <w:pPr>
              <w:spacing w:line="360" w:lineRule="exact"/>
              <w:rPr>
                <w:rFonts w:ascii="宋体" w:hAnsi="宋体"/>
                <w:szCs w:val="21"/>
                <w:highlight w:val="none"/>
                <w:lang w:val="zh-CN"/>
              </w:rPr>
            </w:pPr>
            <w:r>
              <w:rPr>
                <w:rFonts w:ascii="宋体" w:hAnsi="宋体"/>
                <w:szCs w:val="21"/>
                <w:highlight w:val="none"/>
                <w:lang w:val="zh-CN"/>
              </w:rPr>
              <w:t>（3）具有履行合同所必需的设备和专业技术能力</w:t>
            </w:r>
          </w:p>
        </w:tc>
        <w:tc>
          <w:tcPr>
            <w:tcW w:w="3322" w:type="pct"/>
          </w:tcPr>
          <w:p>
            <w:pPr>
              <w:spacing w:line="360" w:lineRule="exact"/>
              <w:jc w:val="left"/>
              <w:rPr>
                <w:rFonts w:ascii="宋体" w:hAnsi="宋体"/>
                <w:szCs w:val="21"/>
                <w:highlight w:val="none"/>
              </w:rPr>
            </w:pPr>
            <w:r>
              <w:rPr>
                <w:rFonts w:ascii="宋体" w:hAnsi="宋体"/>
                <w:szCs w:val="21"/>
                <w:highlight w:val="none"/>
              </w:rPr>
              <w:t>审查书面声明。须提供，格式见</w:t>
            </w:r>
            <w:r>
              <w:rPr>
                <w:rFonts w:hint="eastAsia" w:ascii="宋体" w:hAnsi="宋体"/>
                <w:szCs w:val="21"/>
                <w:highlight w:val="none"/>
                <w:lang w:eastAsia="zh-CN"/>
              </w:rPr>
              <w:t>“</w:t>
            </w:r>
            <w:r>
              <w:rPr>
                <w:rFonts w:ascii="宋体" w:hAnsi="宋体"/>
                <w:szCs w:val="21"/>
                <w:highlight w:val="none"/>
              </w:rPr>
              <w:t>第六章</w:t>
            </w:r>
            <w:r>
              <w:rPr>
                <w:rFonts w:hint="eastAsia" w:ascii="宋体" w:hAnsi="宋体"/>
                <w:szCs w:val="21"/>
                <w:highlight w:val="none"/>
                <w:lang w:val="en-US" w:eastAsia="zh-CN"/>
              </w:rPr>
              <w:t xml:space="preserve"> </w:t>
            </w:r>
            <w:r>
              <w:rPr>
                <w:rFonts w:ascii="宋体" w:hAnsi="宋体"/>
                <w:szCs w:val="21"/>
                <w:highlight w:val="none"/>
              </w:rPr>
              <w:t>投标文件格式</w:t>
            </w:r>
            <w:r>
              <w:rPr>
                <w:rFonts w:hint="eastAsia" w:ascii="宋体" w:hAnsi="宋体"/>
                <w:szCs w:val="21"/>
                <w:highlight w:val="none"/>
                <w:lang w:eastAsia="zh-CN"/>
              </w:rPr>
              <w:t>”</w:t>
            </w:r>
            <w:r>
              <w:rPr>
                <w:rFonts w:hint="eastAsia" w:ascii="宋体" w:hAnsi="宋体"/>
                <w:szCs w:val="21"/>
                <w:highlight w:val="none"/>
                <w:lang w:val="en-US" w:eastAsia="zh-CN"/>
              </w:rPr>
              <w:t>中</w:t>
            </w:r>
            <w:r>
              <w:rPr>
                <w:rFonts w:ascii="宋体" w:hAnsi="宋体"/>
                <w:szCs w:val="21"/>
                <w:highlight w:val="none"/>
              </w:rPr>
              <w:t>“投标声明书”。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349" w:type="pct"/>
            <w:vMerge w:val="continue"/>
            <w:vAlign w:val="center"/>
          </w:tcPr>
          <w:p>
            <w:pPr>
              <w:spacing w:line="360" w:lineRule="exact"/>
              <w:jc w:val="center"/>
              <w:rPr>
                <w:rFonts w:ascii="宋体" w:hAnsi="宋体"/>
                <w:szCs w:val="21"/>
                <w:highlight w:val="none"/>
              </w:rPr>
            </w:pPr>
          </w:p>
        </w:tc>
        <w:tc>
          <w:tcPr>
            <w:tcW w:w="1328" w:type="pct"/>
            <w:vAlign w:val="center"/>
          </w:tcPr>
          <w:p>
            <w:pPr>
              <w:spacing w:line="360" w:lineRule="exact"/>
              <w:rPr>
                <w:rFonts w:ascii="宋体" w:hAnsi="宋体"/>
                <w:szCs w:val="21"/>
                <w:highlight w:val="none"/>
                <w:lang w:val="zh-CN"/>
              </w:rPr>
            </w:pPr>
            <w:r>
              <w:rPr>
                <w:rFonts w:ascii="宋体" w:hAnsi="宋体"/>
                <w:szCs w:val="21"/>
                <w:highlight w:val="none"/>
                <w:lang w:val="zh-CN"/>
              </w:rPr>
              <w:t>（4）有依法缴纳税收和社会保障金的良好记录</w:t>
            </w:r>
          </w:p>
        </w:tc>
        <w:tc>
          <w:tcPr>
            <w:tcW w:w="3322" w:type="pct"/>
          </w:tcPr>
          <w:p>
            <w:pPr>
              <w:spacing w:line="360" w:lineRule="exact"/>
              <w:jc w:val="left"/>
              <w:rPr>
                <w:rFonts w:ascii="宋体" w:hAnsi="宋体"/>
                <w:szCs w:val="21"/>
                <w:highlight w:val="none"/>
              </w:rPr>
            </w:pPr>
            <w:r>
              <w:rPr>
                <w:rFonts w:hint="eastAsia" w:ascii="宋体" w:hAnsi="宋体" w:cs="宋体"/>
                <w:szCs w:val="21"/>
                <w:highlight w:val="none"/>
              </w:rPr>
              <w:t>①</w:t>
            </w:r>
            <w:r>
              <w:rPr>
                <w:rFonts w:ascii="宋体" w:hAnsi="宋体"/>
                <w:szCs w:val="21"/>
                <w:highlight w:val="none"/>
              </w:rPr>
              <w:t>审查</w:t>
            </w:r>
            <w:bookmarkStart w:id="145" w:name="OLE_LINK21"/>
            <w:r>
              <w:rPr>
                <w:rFonts w:hint="eastAsia" w:ascii="宋体" w:hAnsi="宋体"/>
                <w:b/>
                <w:bCs/>
                <w:szCs w:val="21"/>
                <w:highlight w:val="none"/>
              </w:rPr>
              <w:t>2024年9月至</w:t>
            </w:r>
            <w:r>
              <w:rPr>
                <w:rFonts w:hint="eastAsia" w:ascii="宋体" w:hAnsi="宋体"/>
                <w:b/>
                <w:bCs/>
                <w:szCs w:val="21"/>
                <w:highlight w:val="none"/>
                <w:lang w:val="en-US" w:eastAsia="zh-CN"/>
              </w:rPr>
              <w:t>投标</w:t>
            </w:r>
            <w:r>
              <w:rPr>
                <w:rFonts w:hint="eastAsia" w:ascii="宋体" w:hAnsi="宋体"/>
                <w:b/>
                <w:bCs/>
                <w:szCs w:val="21"/>
                <w:highlight w:val="none"/>
              </w:rPr>
              <w:t>截止时间内</w:t>
            </w:r>
            <w:bookmarkEnd w:id="145"/>
            <w:r>
              <w:rPr>
                <w:rFonts w:hint="eastAsia" w:ascii="宋体" w:hAnsi="宋体"/>
                <w:szCs w:val="21"/>
                <w:highlight w:val="none"/>
              </w:rPr>
              <w:t>供应商</w:t>
            </w:r>
            <w:r>
              <w:rPr>
                <w:rFonts w:ascii="宋体" w:hAnsi="宋体"/>
                <w:szCs w:val="21"/>
                <w:highlight w:val="none"/>
              </w:rPr>
              <w:t>任意</w:t>
            </w:r>
            <w:r>
              <w:rPr>
                <w:rFonts w:hint="eastAsia" w:ascii="宋体" w:hAnsi="宋体"/>
                <w:szCs w:val="21"/>
                <w:highlight w:val="none"/>
              </w:rPr>
              <w:t>1个月</w:t>
            </w:r>
            <w:r>
              <w:rPr>
                <w:rFonts w:ascii="宋体" w:hAnsi="宋体"/>
                <w:szCs w:val="21"/>
                <w:highlight w:val="none"/>
              </w:rPr>
              <w:t>依法缴纳税费证明</w:t>
            </w:r>
            <w:r>
              <w:rPr>
                <w:rFonts w:hint="eastAsia" w:ascii="宋体" w:hAnsi="宋体"/>
                <w:szCs w:val="21"/>
                <w:highlight w:val="none"/>
                <w:lang w:eastAsia="zh-CN"/>
              </w:rPr>
              <w:t>扫描件，</w:t>
            </w:r>
            <w:r>
              <w:rPr>
                <w:rFonts w:hint="eastAsia" w:ascii="宋体" w:hAnsi="宋体"/>
                <w:szCs w:val="21"/>
                <w:highlight w:val="none"/>
                <w:lang w:val="en-US" w:eastAsia="zh-CN"/>
              </w:rPr>
              <w:t>并</w:t>
            </w:r>
            <w:r>
              <w:rPr>
                <w:rFonts w:ascii="宋体" w:hAnsi="宋体"/>
                <w:szCs w:val="21"/>
                <w:highlight w:val="none"/>
              </w:rPr>
              <w:t>加盖</w:t>
            </w:r>
            <w:bookmarkStart w:id="146" w:name="OLE_LINK20"/>
            <w:r>
              <w:rPr>
                <w:rFonts w:hint="eastAsia" w:ascii="宋体" w:hAnsi="宋体"/>
                <w:szCs w:val="21"/>
                <w:highlight w:val="none"/>
              </w:rPr>
              <w:t>供应商公章（或电子签章）</w:t>
            </w:r>
            <w:bookmarkEnd w:id="146"/>
            <w:r>
              <w:rPr>
                <w:rFonts w:ascii="宋体" w:hAnsi="宋体"/>
                <w:szCs w:val="21"/>
                <w:highlight w:val="none"/>
              </w:rPr>
              <w:t>。</w:t>
            </w:r>
          </w:p>
          <w:p>
            <w:pPr>
              <w:spacing w:line="360" w:lineRule="exact"/>
              <w:jc w:val="left"/>
              <w:rPr>
                <w:rFonts w:ascii="宋体" w:hAnsi="宋体"/>
                <w:szCs w:val="21"/>
                <w:highlight w:val="none"/>
              </w:rPr>
            </w:pPr>
            <w:r>
              <w:rPr>
                <w:rFonts w:hint="eastAsia" w:ascii="宋体" w:hAnsi="宋体" w:cs="宋体"/>
                <w:szCs w:val="21"/>
                <w:highlight w:val="none"/>
              </w:rPr>
              <w:t>②</w:t>
            </w:r>
            <w:r>
              <w:rPr>
                <w:rFonts w:ascii="宋体" w:hAnsi="宋体"/>
                <w:szCs w:val="21"/>
                <w:highlight w:val="none"/>
              </w:rPr>
              <w:t>审查</w:t>
            </w:r>
            <w:r>
              <w:rPr>
                <w:rFonts w:hint="eastAsia" w:ascii="宋体" w:hAnsi="宋体"/>
                <w:b/>
                <w:bCs/>
                <w:szCs w:val="21"/>
                <w:highlight w:val="none"/>
              </w:rPr>
              <w:t>2024年9月至</w:t>
            </w:r>
            <w:r>
              <w:rPr>
                <w:rFonts w:hint="eastAsia" w:ascii="宋体" w:hAnsi="宋体"/>
                <w:b/>
                <w:bCs/>
                <w:szCs w:val="21"/>
                <w:highlight w:val="none"/>
                <w:lang w:val="en-US" w:eastAsia="zh-CN"/>
              </w:rPr>
              <w:t>投标</w:t>
            </w:r>
            <w:r>
              <w:rPr>
                <w:rFonts w:hint="eastAsia" w:ascii="宋体" w:hAnsi="宋体"/>
                <w:b/>
                <w:bCs/>
                <w:szCs w:val="21"/>
                <w:highlight w:val="none"/>
              </w:rPr>
              <w:t>截止时间内</w:t>
            </w:r>
            <w:r>
              <w:rPr>
                <w:rFonts w:hint="eastAsia" w:ascii="宋体" w:hAnsi="宋体"/>
                <w:szCs w:val="21"/>
                <w:highlight w:val="none"/>
              </w:rPr>
              <w:t>供应商</w:t>
            </w:r>
            <w:r>
              <w:rPr>
                <w:rFonts w:ascii="宋体" w:hAnsi="宋体"/>
                <w:szCs w:val="21"/>
                <w:highlight w:val="none"/>
              </w:rPr>
              <w:t>任意</w:t>
            </w:r>
            <w:r>
              <w:rPr>
                <w:rFonts w:hint="eastAsia" w:ascii="宋体" w:hAnsi="宋体"/>
                <w:szCs w:val="21"/>
                <w:highlight w:val="none"/>
              </w:rPr>
              <w:t>1个月</w:t>
            </w:r>
            <w:r>
              <w:rPr>
                <w:rFonts w:ascii="宋体" w:hAnsi="宋体"/>
                <w:szCs w:val="21"/>
                <w:highlight w:val="none"/>
              </w:rPr>
              <w:t>的社保缴费证明记录</w:t>
            </w:r>
            <w:r>
              <w:rPr>
                <w:rFonts w:hint="eastAsia" w:ascii="宋体" w:hAnsi="宋体"/>
                <w:szCs w:val="21"/>
                <w:highlight w:val="none"/>
                <w:lang w:eastAsia="zh-CN"/>
              </w:rPr>
              <w:t>扫描件</w:t>
            </w:r>
            <w:bookmarkStart w:id="147" w:name="OLE_LINK22"/>
            <w:r>
              <w:rPr>
                <w:rFonts w:hint="eastAsia" w:ascii="宋体" w:hAnsi="宋体"/>
                <w:szCs w:val="21"/>
                <w:highlight w:val="none"/>
                <w:lang w:eastAsia="zh-CN"/>
              </w:rPr>
              <w:t>，</w:t>
            </w:r>
            <w:r>
              <w:rPr>
                <w:rFonts w:hint="eastAsia" w:ascii="宋体" w:hAnsi="宋体"/>
                <w:szCs w:val="21"/>
                <w:highlight w:val="none"/>
                <w:lang w:val="en-US" w:eastAsia="zh-CN"/>
              </w:rPr>
              <w:t>并</w:t>
            </w:r>
            <w:bookmarkEnd w:id="147"/>
            <w:r>
              <w:rPr>
                <w:rFonts w:ascii="宋体" w:hAnsi="宋体"/>
                <w:szCs w:val="21"/>
                <w:highlight w:val="none"/>
              </w:rPr>
              <w:t>加盖</w:t>
            </w:r>
            <w:r>
              <w:rPr>
                <w:rFonts w:hint="eastAsia" w:ascii="宋体" w:hAnsi="宋体"/>
                <w:szCs w:val="21"/>
                <w:highlight w:val="none"/>
              </w:rPr>
              <w:t>供应商公章（或电子签章）</w:t>
            </w:r>
            <w:r>
              <w:rPr>
                <w:rFonts w:ascii="宋体" w:hAnsi="宋体"/>
                <w:szCs w:val="21"/>
                <w:highlight w:val="none"/>
              </w:rPr>
              <w:t>。</w:t>
            </w:r>
          </w:p>
          <w:p>
            <w:pPr>
              <w:spacing w:line="360" w:lineRule="exact"/>
              <w:jc w:val="left"/>
              <w:rPr>
                <w:rFonts w:ascii="宋体" w:hAnsi="宋体"/>
                <w:szCs w:val="21"/>
                <w:highlight w:val="none"/>
              </w:rPr>
            </w:pPr>
            <w:r>
              <w:rPr>
                <w:rFonts w:ascii="宋体" w:hAnsi="宋体"/>
                <w:szCs w:val="21"/>
                <w:highlight w:val="none"/>
              </w:rPr>
              <w:t>供应商成立不足</w:t>
            </w:r>
            <w:r>
              <w:rPr>
                <w:rFonts w:hint="eastAsia" w:ascii="宋体" w:hAnsi="宋体"/>
                <w:szCs w:val="21"/>
                <w:highlight w:val="none"/>
              </w:rPr>
              <w:t>1个月的，无须提供</w:t>
            </w:r>
            <w:r>
              <w:rPr>
                <w:rFonts w:ascii="宋体" w:hAnsi="宋体"/>
                <w:szCs w:val="21"/>
                <w:highlight w:val="none"/>
              </w:rPr>
              <w:t>缴纳税费证明及社保缴费证明</w:t>
            </w:r>
            <w:r>
              <w:rPr>
                <w:rFonts w:hint="eastAsia" w:ascii="宋体" w:hAnsi="宋体"/>
                <w:szCs w:val="21"/>
                <w:highlight w:val="none"/>
              </w:rPr>
              <w:t>。</w:t>
            </w:r>
          </w:p>
          <w:p>
            <w:pPr>
              <w:spacing w:line="360" w:lineRule="exact"/>
              <w:jc w:val="left"/>
              <w:rPr>
                <w:rFonts w:ascii="宋体" w:hAnsi="宋体"/>
                <w:szCs w:val="21"/>
                <w:highlight w:val="none"/>
              </w:rPr>
            </w:pPr>
            <w:r>
              <w:rPr>
                <w:rFonts w:ascii="宋体" w:hAnsi="宋体"/>
                <w:szCs w:val="21"/>
                <w:highlight w:val="none"/>
              </w:rPr>
              <w:t>依法免税或不需要缴纳社会保障资金的供应商，须提供相应文件证明其依法免税或不需要缴纳社会保障资金</w:t>
            </w:r>
            <w:r>
              <w:rPr>
                <w:rFonts w:hint="eastAsia" w:ascii="宋体" w:hAnsi="宋体"/>
                <w:szCs w:val="21"/>
                <w:highlight w:val="none"/>
              </w:rPr>
              <w:t>证明材料</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3" w:hRule="atLeast"/>
        </w:trPr>
        <w:tc>
          <w:tcPr>
            <w:tcW w:w="349" w:type="pct"/>
            <w:vMerge w:val="continue"/>
            <w:vAlign w:val="center"/>
          </w:tcPr>
          <w:p>
            <w:pPr>
              <w:spacing w:line="360" w:lineRule="exact"/>
              <w:jc w:val="center"/>
              <w:rPr>
                <w:rFonts w:ascii="宋体" w:hAnsi="宋体"/>
                <w:szCs w:val="21"/>
                <w:highlight w:val="none"/>
              </w:rPr>
            </w:pPr>
          </w:p>
        </w:tc>
        <w:tc>
          <w:tcPr>
            <w:tcW w:w="1328" w:type="pct"/>
            <w:vAlign w:val="center"/>
          </w:tcPr>
          <w:p>
            <w:pPr>
              <w:spacing w:line="360" w:lineRule="exact"/>
              <w:rPr>
                <w:rFonts w:ascii="宋体" w:hAnsi="宋体"/>
                <w:szCs w:val="21"/>
                <w:highlight w:val="none"/>
                <w:lang w:val="zh-CN"/>
              </w:rPr>
            </w:pPr>
            <w:r>
              <w:rPr>
                <w:rFonts w:ascii="宋体" w:hAnsi="宋体"/>
                <w:szCs w:val="21"/>
                <w:highlight w:val="none"/>
              </w:rPr>
              <w:t>（5）参加政府采购活动前三年内，在经营活动中没有重大违法记录及不良信用记录</w:t>
            </w:r>
          </w:p>
        </w:tc>
        <w:tc>
          <w:tcPr>
            <w:tcW w:w="3322" w:type="pct"/>
            <w:vAlign w:val="center"/>
          </w:tcPr>
          <w:p>
            <w:pPr>
              <w:spacing w:line="360" w:lineRule="exact"/>
              <w:jc w:val="left"/>
              <w:rPr>
                <w:rFonts w:ascii="宋体" w:hAnsi="宋体"/>
                <w:szCs w:val="21"/>
                <w:highlight w:val="none"/>
              </w:rPr>
            </w:pPr>
            <w:r>
              <w:rPr>
                <w:rFonts w:ascii="宋体" w:hAnsi="宋体"/>
                <w:szCs w:val="21"/>
                <w:highlight w:val="none"/>
              </w:rPr>
              <w:t>审查无重大违法记录声明。须提供，格式见</w:t>
            </w:r>
            <w:bookmarkStart w:id="148" w:name="OLE_LINK18"/>
            <w:r>
              <w:rPr>
                <w:rFonts w:hint="eastAsia" w:ascii="宋体" w:hAnsi="宋体"/>
                <w:szCs w:val="21"/>
                <w:highlight w:val="none"/>
                <w:lang w:eastAsia="zh-CN"/>
              </w:rPr>
              <w:t>“</w:t>
            </w:r>
            <w:r>
              <w:rPr>
                <w:rFonts w:ascii="宋体" w:hAnsi="宋体"/>
                <w:szCs w:val="21"/>
                <w:highlight w:val="none"/>
              </w:rPr>
              <w:t>第六章</w:t>
            </w:r>
            <w:r>
              <w:rPr>
                <w:rFonts w:hint="eastAsia" w:ascii="宋体" w:hAnsi="宋体"/>
                <w:szCs w:val="21"/>
                <w:highlight w:val="none"/>
                <w:lang w:val="en-US" w:eastAsia="zh-CN"/>
              </w:rPr>
              <w:t xml:space="preserve"> </w:t>
            </w:r>
            <w:r>
              <w:rPr>
                <w:rFonts w:ascii="宋体" w:hAnsi="宋体"/>
                <w:szCs w:val="21"/>
                <w:highlight w:val="none"/>
              </w:rPr>
              <w:t>投标文件格式</w:t>
            </w:r>
            <w:r>
              <w:rPr>
                <w:rFonts w:hint="eastAsia" w:ascii="宋体" w:hAnsi="宋体"/>
                <w:szCs w:val="21"/>
                <w:highlight w:val="none"/>
                <w:lang w:eastAsia="zh-CN"/>
              </w:rPr>
              <w:t>”</w:t>
            </w:r>
            <w:bookmarkEnd w:id="148"/>
            <w:r>
              <w:rPr>
                <w:rFonts w:hint="eastAsia" w:ascii="宋体" w:hAnsi="宋体"/>
                <w:szCs w:val="21"/>
                <w:highlight w:val="none"/>
                <w:lang w:val="en-US" w:eastAsia="zh-CN"/>
              </w:rPr>
              <w:t>中</w:t>
            </w:r>
            <w:r>
              <w:rPr>
                <w:rFonts w:ascii="宋体" w:hAnsi="宋体"/>
                <w:szCs w:val="21"/>
                <w:highlight w:val="none"/>
              </w:rPr>
              <w:t>“投标声明书”。一旦发现供应商提供的投标声明书不实时，则按照《政府采购法》有关提供虚假材料的规定给予处罚。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49" w:type="pct"/>
            <w:vAlign w:val="center"/>
          </w:tcPr>
          <w:p>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1328" w:type="pct"/>
            <w:vAlign w:val="center"/>
          </w:tcPr>
          <w:p>
            <w:pPr>
              <w:spacing w:line="360" w:lineRule="exact"/>
              <w:jc w:val="center"/>
              <w:rPr>
                <w:rFonts w:ascii="宋体" w:hAnsi="宋体"/>
                <w:szCs w:val="21"/>
                <w:highlight w:val="none"/>
              </w:rPr>
            </w:pPr>
            <w:r>
              <w:rPr>
                <w:rFonts w:hint="eastAsia" w:ascii="宋体" w:hAnsi="宋体"/>
                <w:szCs w:val="21"/>
                <w:highlight w:val="none"/>
              </w:rPr>
              <w:t>落实政府采购政策需满足的资格要求</w:t>
            </w:r>
          </w:p>
        </w:tc>
        <w:tc>
          <w:tcPr>
            <w:tcW w:w="3322" w:type="pct"/>
            <w:vAlign w:val="center"/>
          </w:tcPr>
          <w:p>
            <w:pPr>
              <w:spacing w:line="360" w:lineRule="exact"/>
              <w:rPr>
                <w:rFonts w:hint="eastAsia" w:ascii="宋体" w:hAnsi="宋体"/>
                <w:kern w:val="0"/>
                <w:szCs w:val="21"/>
                <w:highlight w:val="none"/>
              </w:rPr>
            </w:pPr>
            <w:r>
              <w:rPr>
                <w:rFonts w:hint="eastAsia" w:ascii="宋体" w:hAnsi="宋体"/>
                <w:kern w:val="0"/>
                <w:szCs w:val="21"/>
                <w:highlight w:val="none"/>
              </w:rPr>
              <w:t>本项目D分标为专门面向中小企业采购的项目，供应商应为中小微企业或监狱企业或残疾人福利性单位。</w:t>
            </w:r>
          </w:p>
          <w:p>
            <w:pPr>
              <w:spacing w:line="360" w:lineRule="exact"/>
              <w:rPr>
                <w:rFonts w:hint="eastAsia" w:ascii="宋体" w:hAnsi="宋体"/>
                <w:kern w:val="0"/>
                <w:szCs w:val="21"/>
                <w:highlight w:val="none"/>
              </w:rPr>
            </w:pPr>
            <w:r>
              <w:rPr>
                <w:rFonts w:hint="eastAsia" w:ascii="宋体" w:hAnsi="宋体"/>
                <w:kern w:val="0"/>
                <w:szCs w:val="21"/>
                <w:highlight w:val="none"/>
              </w:rPr>
              <w:t>审查中小企业声明函或者残疾人福利性单位声明函或者供应商属于监狱企业的证明材料。须提供，格式见“第六章 投标文件格式”相应格式。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0" w:hRule="atLeast"/>
        </w:trPr>
        <w:tc>
          <w:tcPr>
            <w:tcW w:w="349" w:type="pct"/>
            <w:vAlign w:val="center"/>
          </w:tcPr>
          <w:p>
            <w:pPr>
              <w:spacing w:line="360" w:lineRule="exact"/>
              <w:jc w:val="center"/>
              <w:rPr>
                <w:rFonts w:ascii="宋体" w:hAnsi="宋体"/>
                <w:szCs w:val="21"/>
                <w:highlight w:val="none"/>
              </w:rPr>
            </w:pPr>
            <w:r>
              <w:rPr>
                <w:rFonts w:hint="eastAsia" w:ascii="宋体" w:hAnsi="宋体"/>
                <w:szCs w:val="21"/>
                <w:highlight w:val="none"/>
              </w:rPr>
              <w:t>3</w:t>
            </w:r>
          </w:p>
        </w:tc>
        <w:tc>
          <w:tcPr>
            <w:tcW w:w="1328" w:type="pct"/>
            <w:vAlign w:val="center"/>
          </w:tcPr>
          <w:p>
            <w:pPr>
              <w:spacing w:line="360" w:lineRule="exact"/>
              <w:jc w:val="center"/>
              <w:rPr>
                <w:rFonts w:hint="eastAsia" w:ascii="宋体" w:hAnsi="宋体"/>
                <w:szCs w:val="21"/>
                <w:highlight w:val="none"/>
              </w:rPr>
            </w:pPr>
            <w:r>
              <w:rPr>
                <w:rFonts w:hint="eastAsia" w:ascii="宋体" w:hAnsi="宋体"/>
                <w:kern w:val="0"/>
                <w:szCs w:val="21"/>
                <w:highlight w:val="none"/>
              </w:rPr>
              <w:t>特定资格要求</w:t>
            </w:r>
          </w:p>
        </w:tc>
        <w:tc>
          <w:tcPr>
            <w:tcW w:w="3322" w:type="pct"/>
            <w:vAlign w:val="center"/>
          </w:tcPr>
          <w:p>
            <w:pPr>
              <w:spacing w:line="360" w:lineRule="exact"/>
              <w:rPr>
                <w:rFonts w:hint="eastAsia" w:ascii="宋体" w:hAnsi="宋体"/>
                <w:kern w:val="0"/>
                <w:szCs w:val="21"/>
                <w:highlight w:val="none"/>
              </w:rPr>
            </w:pPr>
            <w:r>
              <w:rPr>
                <w:rFonts w:hint="eastAsia" w:ascii="宋体" w:hAnsi="宋体"/>
                <w:kern w:val="0"/>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exact"/>
              <w:rPr>
                <w:rFonts w:hint="eastAsia" w:ascii="宋体" w:hAnsi="宋体"/>
                <w:kern w:val="0"/>
                <w:szCs w:val="21"/>
                <w:highlight w:val="none"/>
              </w:rPr>
            </w:pPr>
            <w:r>
              <w:rPr>
                <w:rFonts w:hint="eastAsia" w:ascii="宋体" w:hAnsi="宋体"/>
                <w:kern w:val="0"/>
                <w:szCs w:val="21"/>
                <w:highlight w:val="none"/>
              </w:rPr>
              <w:t>审查</w:t>
            </w:r>
            <w:bookmarkStart w:id="149" w:name="OLE_LINK27"/>
            <w:bookmarkStart w:id="150" w:name="OLE_LINK28"/>
            <w:r>
              <w:rPr>
                <w:rFonts w:hint="eastAsia" w:ascii="宋体" w:hAnsi="宋体"/>
                <w:kern w:val="0"/>
                <w:szCs w:val="21"/>
                <w:highlight w:val="none"/>
              </w:rPr>
              <w:t>“投标人直接控股股东信息表”</w:t>
            </w:r>
            <w:bookmarkEnd w:id="149"/>
            <w:r>
              <w:rPr>
                <w:rFonts w:hint="eastAsia" w:ascii="宋体" w:hAnsi="宋体"/>
                <w:kern w:val="0"/>
                <w:szCs w:val="21"/>
                <w:highlight w:val="none"/>
                <w:lang w:eastAsia="zh-CN"/>
              </w:rPr>
              <w:t>、</w:t>
            </w:r>
            <w:r>
              <w:rPr>
                <w:rFonts w:hint="eastAsia" w:ascii="宋体" w:hAnsi="宋体"/>
                <w:kern w:val="0"/>
                <w:szCs w:val="21"/>
                <w:highlight w:val="none"/>
              </w:rPr>
              <w:t>“投标人直接管理关系信息表”</w:t>
            </w:r>
            <w:bookmarkEnd w:id="150"/>
            <w:r>
              <w:rPr>
                <w:rFonts w:hint="eastAsia" w:ascii="宋体" w:hAnsi="宋体"/>
                <w:kern w:val="0"/>
                <w:szCs w:val="21"/>
                <w:highlight w:val="none"/>
              </w:rPr>
              <w:t>。须提供，格式见“第六章 投标文件格式”中“投标人直接控股股东信息表”、“投标人直接管理关系信息表”。</w:t>
            </w:r>
          </w:p>
          <w:p>
            <w:pPr>
              <w:spacing w:line="360" w:lineRule="exact"/>
              <w:jc w:val="left"/>
              <w:rPr>
                <w:rFonts w:hint="eastAsia" w:ascii="宋体" w:hAnsi="宋体"/>
                <w:kern w:val="0"/>
                <w:szCs w:val="21"/>
                <w:highlight w:val="none"/>
              </w:rPr>
            </w:pPr>
          </w:p>
          <w:p>
            <w:pPr>
              <w:spacing w:line="360" w:lineRule="exact"/>
              <w:jc w:val="left"/>
              <w:rPr>
                <w:rFonts w:hint="eastAsia" w:ascii="宋体" w:hAnsi="宋体" w:cs="宋体"/>
                <w:szCs w:val="21"/>
                <w:highlight w:val="none"/>
              </w:rPr>
            </w:pPr>
            <w:r>
              <w:rPr>
                <w:rFonts w:hint="eastAsia" w:ascii="宋体" w:hAnsi="宋体"/>
                <w:kern w:val="0"/>
                <w:szCs w:val="21"/>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60" w:lineRule="exact"/>
              <w:jc w:val="left"/>
              <w:rPr>
                <w:rFonts w:ascii="宋体" w:hAnsi="宋体"/>
                <w:szCs w:val="21"/>
                <w:highlight w:val="none"/>
              </w:rPr>
            </w:pPr>
            <w:r>
              <w:rPr>
                <w:rFonts w:hint="eastAsia" w:ascii="宋体" w:hAnsi="宋体" w:cs="宋体"/>
                <w:szCs w:val="21"/>
                <w:highlight w:val="none"/>
              </w:rPr>
              <w:t>①</w:t>
            </w:r>
            <w:r>
              <w:rPr>
                <w:rFonts w:ascii="宋体" w:hAnsi="宋体"/>
                <w:szCs w:val="21"/>
                <w:highlight w:val="none"/>
              </w:rPr>
              <w:t>审核</w:t>
            </w:r>
            <w:r>
              <w:rPr>
                <w:rFonts w:hint="eastAsia" w:ascii="宋体" w:hAnsi="宋体"/>
                <w:szCs w:val="21"/>
                <w:highlight w:val="none"/>
              </w:rPr>
              <w:t>标准</w:t>
            </w:r>
            <w:r>
              <w:rPr>
                <w:rFonts w:ascii="宋体" w:hAnsi="宋体"/>
                <w:szCs w:val="21"/>
                <w:highlight w:val="none"/>
              </w:rPr>
              <w:t>：供应商</w:t>
            </w:r>
            <w:r>
              <w:rPr>
                <w:rFonts w:hint="eastAsia" w:ascii="宋体" w:hAnsi="宋体"/>
                <w:szCs w:val="21"/>
                <w:highlight w:val="none"/>
              </w:rPr>
              <w:t>如</w:t>
            </w:r>
            <w:r>
              <w:rPr>
                <w:rFonts w:ascii="宋体" w:hAnsi="宋体"/>
                <w:szCs w:val="21"/>
                <w:highlight w:val="none"/>
              </w:rPr>
              <w:t>被列入</w:t>
            </w:r>
            <w:r>
              <w:rPr>
                <w:rFonts w:hint="eastAsia" w:ascii="宋体" w:hAnsi="宋体"/>
                <w:szCs w:val="21"/>
                <w:highlight w:val="none"/>
              </w:rPr>
              <w:t>失信被执行人、重大税收违法失信主体、政府采购严重违法失信行为记录名单，</w:t>
            </w:r>
            <w:r>
              <w:rPr>
                <w:rFonts w:ascii="宋体" w:hAnsi="宋体"/>
                <w:szCs w:val="21"/>
                <w:highlight w:val="none"/>
              </w:rPr>
              <w:t>则资格审查不予通过，</w:t>
            </w:r>
            <w:r>
              <w:rPr>
                <w:rFonts w:hint="eastAsia" w:ascii="宋体" w:hAnsi="宋体"/>
                <w:szCs w:val="21"/>
                <w:highlight w:val="none"/>
              </w:rPr>
              <w:t>其</w:t>
            </w:r>
            <w:r>
              <w:rPr>
                <w:rFonts w:ascii="宋体" w:hAnsi="宋体"/>
                <w:szCs w:val="21"/>
                <w:highlight w:val="none"/>
              </w:rPr>
              <w:t>投标被否决。</w:t>
            </w:r>
          </w:p>
          <w:p>
            <w:pPr>
              <w:spacing w:line="360" w:lineRule="exact"/>
              <w:jc w:val="left"/>
              <w:rPr>
                <w:rFonts w:ascii="宋体" w:hAnsi="宋体"/>
                <w:szCs w:val="21"/>
                <w:highlight w:val="none"/>
              </w:rPr>
            </w:pPr>
            <w:r>
              <w:rPr>
                <w:rFonts w:hint="eastAsia" w:ascii="宋体" w:hAnsi="宋体"/>
                <w:szCs w:val="21"/>
                <w:highlight w:val="none"/>
              </w:rPr>
              <w:t>②</w:t>
            </w:r>
            <w:r>
              <w:rPr>
                <w:rFonts w:ascii="宋体" w:hAnsi="宋体"/>
                <w:szCs w:val="21"/>
                <w:highlight w:val="none"/>
              </w:rPr>
              <w:t xml:space="preserve">信用信息查询渠道：中国政府采购网 </w:t>
            </w:r>
            <w:r>
              <w:rPr>
                <w:rFonts w:hint="eastAsia" w:ascii="宋体" w:hAnsi="宋体"/>
                <w:szCs w:val="21"/>
                <w:highlight w:val="none"/>
              </w:rPr>
              <w:t>、</w:t>
            </w:r>
            <w:r>
              <w:rPr>
                <w:rFonts w:ascii="宋体" w:hAnsi="宋体"/>
                <w:szCs w:val="21"/>
                <w:highlight w:val="none"/>
              </w:rPr>
              <w:t>信用中国。</w:t>
            </w:r>
          </w:p>
          <w:p>
            <w:pPr>
              <w:spacing w:line="360" w:lineRule="exact"/>
              <w:jc w:val="left"/>
              <w:rPr>
                <w:rFonts w:ascii="宋体" w:hAnsi="宋体"/>
                <w:szCs w:val="21"/>
                <w:highlight w:val="none"/>
              </w:rPr>
            </w:pPr>
            <w:r>
              <w:rPr>
                <w:rFonts w:hint="eastAsia" w:ascii="宋体" w:hAnsi="宋体"/>
                <w:szCs w:val="21"/>
                <w:highlight w:val="none"/>
              </w:rPr>
              <w:t>③查询方式：资格审查时，采购人或采购代理机构通过上述渠道查询供应商的信用记录供评委审核。</w:t>
            </w:r>
          </w:p>
          <w:p>
            <w:pPr>
              <w:spacing w:line="360" w:lineRule="exact"/>
              <w:rPr>
                <w:rFonts w:hint="eastAsia" w:ascii="宋体" w:hAnsi="宋体"/>
                <w:kern w:val="0"/>
                <w:szCs w:val="21"/>
                <w:highlight w:val="none"/>
              </w:rPr>
            </w:pPr>
            <w:r>
              <w:rPr>
                <w:rFonts w:hint="eastAsia" w:ascii="宋体" w:hAnsi="宋体" w:cs="宋体"/>
                <w:szCs w:val="21"/>
                <w:highlight w:val="none"/>
                <w:lang w:eastAsia="ja-JP"/>
              </w:rPr>
              <w:t>④</w:t>
            </w:r>
            <w:r>
              <w:rPr>
                <w:rFonts w:ascii="宋体" w:hAnsi="宋体"/>
                <w:szCs w:val="21"/>
                <w:highlight w:val="none"/>
              </w:rPr>
              <w:t>信用信息查询记录和证据留存的具体方式：</w:t>
            </w:r>
            <w:r>
              <w:rPr>
                <w:rFonts w:hint="eastAsia" w:ascii="宋体" w:hAnsi="宋体"/>
                <w:szCs w:val="21"/>
                <w:highlight w:val="none"/>
              </w:rPr>
              <w:t>通过</w:t>
            </w:r>
            <w:r>
              <w:rPr>
                <w:rFonts w:ascii="宋体" w:hAnsi="宋体"/>
                <w:szCs w:val="21"/>
                <w:highlight w:val="none"/>
              </w:rPr>
              <w:t>上述查询渠道查询</w:t>
            </w:r>
            <w:r>
              <w:rPr>
                <w:rFonts w:hint="eastAsia" w:ascii="宋体" w:hAnsi="宋体"/>
                <w:szCs w:val="21"/>
                <w:highlight w:val="none"/>
              </w:rPr>
              <w:t>的供应商信用记录查询结果</w:t>
            </w:r>
            <w:r>
              <w:rPr>
                <w:rFonts w:ascii="宋体" w:hAnsi="宋体"/>
                <w:szCs w:val="21"/>
                <w:highlight w:val="none"/>
              </w:rPr>
              <w:t>，将作为政府采购活动档案留存</w:t>
            </w:r>
            <w:r>
              <w:rPr>
                <w:rFonts w:hint="eastAsia" w:ascii="宋体" w:hAnsi="宋体"/>
                <w:szCs w:val="21"/>
                <w:highlight w:val="none"/>
              </w:rPr>
              <w:t>。</w:t>
            </w:r>
          </w:p>
        </w:tc>
      </w:tr>
    </w:tbl>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2.符合性检查</w:t>
      </w:r>
    </w:p>
    <w:p>
      <w:pPr>
        <w:spacing w:line="360" w:lineRule="auto"/>
        <w:ind w:firstLine="420" w:firstLineChars="200"/>
        <w:rPr>
          <w:szCs w:val="21"/>
          <w:highlight w:val="none"/>
        </w:rPr>
      </w:pPr>
      <w:r>
        <w:rPr>
          <w:bCs/>
          <w:kern w:val="1"/>
          <w:szCs w:val="21"/>
          <w:highlight w:val="none"/>
        </w:rPr>
        <w:t>资格审查结束后，由评标委员会对</w:t>
      </w:r>
      <w:r>
        <w:rPr>
          <w:highlight w:val="none"/>
        </w:rPr>
        <w:t>通过资格审查的供应商的投标文件进行符合性审查，以确定其是否满足招标文件的实质性要求。</w:t>
      </w:r>
      <w:r>
        <w:rPr>
          <w:szCs w:val="21"/>
          <w:highlight w:val="none"/>
        </w:rPr>
        <w:t>符合性检查表如下，缺少任何一项或有任何一项不合格者，其符合性检查视为不合格。</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381"/>
        <w:gridCol w:w="1756"/>
        <w:gridCol w:w="4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49" w:type="pct"/>
            <w:vAlign w:val="center"/>
          </w:tcPr>
          <w:p>
            <w:pPr>
              <w:spacing w:line="360" w:lineRule="exact"/>
              <w:jc w:val="center"/>
              <w:rPr>
                <w:b/>
                <w:kern w:val="0"/>
                <w:szCs w:val="21"/>
                <w:highlight w:val="none"/>
              </w:rPr>
            </w:pPr>
            <w:bookmarkStart w:id="151" w:name="OLE_LINK36"/>
            <w:r>
              <w:rPr>
                <w:b/>
                <w:kern w:val="0"/>
                <w:szCs w:val="21"/>
                <w:highlight w:val="none"/>
              </w:rPr>
              <w:t>序号</w:t>
            </w:r>
          </w:p>
        </w:tc>
        <w:tc>
          <w:tcPr>
            <w:tcW w:w="1840" w:type="pct"/>
            <w:gridSpan w:val="2"/>
            <w:vAlign w:val="center"/>
          </w:tcPr>
          <w:p>
            <w:pPr>
              <w:spacing w:line="360" w:lineRule="exact"/>
              <w:jc w:val="center"/>
              <w:rPr>
                <w:b/>
                <w:kern w:val="0"/>
                <w:szCs w:val="21"/>
                <w:highlight w:val="none"/>
              </w:rPr>
            </w:pPr>
            <w:r>
              <w:rPr>
                <w:b/>
                <w:kern w:val="0"/>
                <w:szCs w:val="21"/>
                <w:highlight w:val="none"/>
              </w:rPr>
              <w:t>评标因素</w:t>
            </w:r>
          </w:p>
        </w:tc>
        <w:tc>
          <w:tcPr>
            <w:tcW w:w="2809" w:type="pct"/>
            <w:vAlign w:val="center"/>
          </w:tcPr>
          <w:p>
            <w:pPr>
              <w:spacing w:line="360" w:lineRule="exact"/>
              <w:jc w:val="center"/>
              <w:rPr>
                <w:b/>
                <w:kern w:val="0"/>
                <w:szCs w:val="21"/>
                <w:highlight w:val="none"/>
              </w:rPr>
            </w:pPr>
            <w:r>
              <w:rPr>
                <w:b/>
                <w:kern w:val="0"/>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49" w:type="pct"/>
            <w:vMerge w:val="restart"/>
            <w:vAlign w:val="center"/>
          </w:tcPr>
          <w:p>
            <w:pPr>
              <w:spacing w:line="360" w:lineRule="exact"/>
              <w:jc w:val="center"/>
              <w:rPr>
                <w:rFonts w:hint="eastAsia" w:eastAsia="宋体"/>
                <w:szCs w:val="21"/>
                <w:highlight w:val="none"/>
                <w:lang w:eastAsia="zh-CN"/>
              </w:rPr>
            </w:pPr>
            <w:r>
              <w:rPr>
                <w:rFonts w:hint="eastAsia"/>
                <w:szCs w:val="21"/>
                <w:highlight w:val="none"/>
                <w:lang w:val="en-US" w:eastAsia="zh-CN"/>
              </w:rPr>
              <w:t>1</w:t>
            </w:r>
          </w:p>
        </w:tc>
        <w:tc>
          <w:tcPr>
            <w:tcW w:w="810" w:type="pct"/>
            <w:vMerge w:val="restart"/>
            <w:vAlign w:val="center"/>
          </w:tcPr>
          <w:p>
            <w:pPr>
              <w:spacing w:line="360" w:lineRule="exact"/>
              <w:rPr>
                <w:kern w:val="0"/>
                <w:szCs w:val="21"/>
                <w:highlight w:val="none"/>
              </w:rPr>
            </w:pPr>
            <w:r>
              <w:rPr>
                <w:kern w:val="0"/>
                <w:szCs w:val="21"/>
                <w:highlight w:val="none"/>
              </w:rPr>
              <w:t>有效性审查</w:t>
            </w:r>
          </w:p>
        </w:tc>
        <w:tc>
          <w:tcPr>
            <w:tcW w:w="1030" w:type="pct"/>
            <w:vAlign w:val="center"/>
          </w:tcPr>
          <w:p>
            <w:pPr>
              <w:spacing w:line="360" w:lineRule="exact"/>
              <w:rPr>
                <w:kern w:val="0"/>
                <w:szCs w:val="21"/>
                <w:highlight w:val="none"/>
              </w:rPr>
            </w:pPr>
            <w:r>
              <w:rPr>
                <w:szCs w:val="21"/>
                <w:highlight w:val="none"/>
              </w:rPr>
              <w:t>投标文件签署</w:t>
            </w:r>
          </w:p>
        </w:tc>
        <w:tc>
          <w:tcPr>
            <w:tcW w:w="2809" w:type="pct"/>
            <w:vAlign w:val="center"/>
          </w:tcPr>
          <w:p>
            <w:pPr>
              <w:spacing w:line="360" w:lineRule="exact"/>
              <w:rPr>
                <w:kern w:val="0"/>
                <w:szCs w:val="21"/>
                <w:highlight w:val="none"/>
              </w:rPr>
            </w:pPr>
            <w:r>
              <w:rPr>
                <w:szCs w:val="21"/>
                <w:highlight w:val="none"/>
              </w:rPr>
              <w:t>投标文件上法定代表人或其授权代表人已按要求签字（或签章）盖章（或电子签章）。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49" w:type="pct"/>
            <w:vMerge w:val="continue"/>
            <w:vAlign w:val="center"/>
          </w:tcPr>
          <w:p>
            <w:pPr>
              <w:spacing w:line="360" w:lineRule="exact"/>
              <w:jc w:val="center"/>
              <w:rPr>
                <w:szCs w:val="21"/>
                <w:highlight w:val="none"/>
              </w:rPr>
            </w:pPr>
          </w:p>
        </w:tc>
        <w:tc>
          <w:tcPr>
            <w:tcW w:w="810" w:type="pct"/>
            <w:vMerge w:val="continue"/>
            <w:vAlign w:val="center"/>
          </w:tcPr>
          <w:p>
            <w:pPr>
              <w:spacing w:line="360" w:lineRule="exact"/>
              <w:rPr>
                <w:kern w:val="0"/>
                <w:szCs w:val="21"/>
                <w:highlight w:val="none"/>
              </w:rPr>
            </w:pPr>
          </w:p>
        </w:tc>
        <w:tc>
          <w:tcPr>
            <w:tcW w:w="1030" w:type="pct"/>
            <w:vAlign w:val="center"/>
          </w:tcPr>
          <w:p>
            <w:pPr>
              <w:spacing w:line="360" w:lineRule="exact"/>
              <w:rPr>
                <w:szCs w:val="21"/>
                <w:highlight w:val="none"/>
              </w:rPr>
            </w:pPr>
            <w:r>
              <w:rPr>
                <w:szCs w:val="21"/>
                <w:highlight w:val="none"/>
              </w:rPr>
              <w:t>法定代表人身份证明及授权委托书</w:t>
            </w:r>
          </w:p>
        </w:tc>
        <w:tc>
          <w:tcPr>
            <w:tcW w:w="2809" w:type="pct"/>
            <w:vAlign w:val="center"/>
          </w:tcPr>
          <w:p>
            <w:pPr>
              <w:spacing w:line="360" w:lineRule="exact"/>
              <w:rPr>
                <w:szCs w:val="21"/>
                <w:highlight w:val="none"/>
              </w:rPr>
            </w:pPr>
            <w:r>
              <w:rPr>
                <w:rFonts w:hint="eastAsia"/>
                <w:szCs w:val="21"/>
                <w:highlight w:val="none"/>
              </w:rPr>
              <w:t>授权</w:t>
            </w:r>
            <w:r>
              <w:rPr>
                <w:szCs w:val="21"/>
                <w:highlight w:val="none"/>
              </w:rPr>
              <w:t>代表</w:t>
            </w:r>
            <w:r>
              <w:rPr>
                <w:rFonts w:hint="eastAsia"/>
                <w:szCs w:val="21"/>
                <w:highlight w:val="none"/>
              </w:rPr>
              <w:t>参加投标</w:t>
            </w:r>
            <w:r>
              <w:rPr>
                <w:szCs w:val="21"/>
                <w:highlight w:val="none"/>
              </w:rPr>
              <w:t>时审查</w:t>
            </w:r>
            <w:r>
              <w:rPr>
                <w:highlight w:val="none"/>
              </w:rPr>
              <w:t>：</w:t>
            </w:r>
            <w:r>
              <w:rPr>
                <w:rFonts w:ascii="宋体" w:hAnsi="宋体"/>
                <w:szCs w:val="21"/>
                <w:highlight w:val="none"/>
              </w:rPr>
              <w:t>法定代表人授权委托书及附件，格式及附件见</w:t>
            </w:r>
            <w:bookmarkStart w:id="152" w:name="OLE_LINK31"/>
            <w:r>
              <w:rPr>
                <w:rFonts w:hint="eastAsia" w:ascii="宋体" w:hAnsi="宋体"/>
                <w:szCs w:val="21"/>
                <w:highlight w:val="none"/>
                <w:lang w:eastAsia="zh-CN"/>
              </w:rPr>
              <w:t>“</w:t>
            </w:r>
            <w:r>
              <w:rPr>
                <w:rFonts w:ascii="宋体" w:hAnsi="宋体"/>
                <w:szCs w:val="21"/>
                <w:highlight w:val="none"/>
              </w:rPr>
              <w:t>第六章</w:t>
            </w:r>
            <w:r>
              <w:rPr>
                <w:rFonts w:hint="eastAsia" w:ascii="宋体" w:hAnsi="宋体"/>
                <w:szCs w:val="21"/>
                <w:highlight w:val="none"/>
                <w:lang w:val="en-US" w:eastAsia="zh-CN"/>
              </w:rPr>
              <w:t xml:space="preserve"> </w:t>
            </w:r>
            <w:r>
              <w:rPr>
                <w:rFonts w:ascii="宋体" w:hAnsi="宋体"/>
                <w:szCs w:val="21"/>
                <w:highlight w:val="none"/>
              </w:rPr>
              <w:t>投标文件格式</w:t>
            </w:r>
            <w:r>
              <w:rPr>
                <w:rFonts w:hint="eastAsia" w:ascii="宋体" w:hAnsi="宋体"/>
                <w:szCs w:val="21"/>
                <w:highlight w:val="none"/>
                <w:lang w:eastAsia="zh-CN"/>
              </w:rPr>
              <w:t>”</w:t>
            </w:r>
            <w:bookmarkEnd w:id="152"/>
            <w:r>
              <w:rPr>
                <w:rFonts w:ascii="宋体" w:hAnsi="宋体"/>
                <w:szCs w:val="21"/>
                <w:highlight w:val="none"/>
              </w:rPr>
              <w:t>要求；</w:t>
            </w:r>
          </w:p>
          <w:p>
            <w:pPr>
              <w:spacing w:line="360" w:lineRule="exact"/>
              <w:rPr>
                <w:szCs w:val="21"/>
                <w:highlight w:val="none"/>
              </w:rPr>
            </w:pPr>
            <w:r>
              <w:rPr>
                <w:rFonts w:hint="eastAsia"/>
                <w:szCs w:val="21"/>
                <w:highlight w:val="none"/>
              </w:rPr>
              <w:t>法定代表人直接参加投标</w:t>
            </w:r>
            <w:r>
              <w:rPr>
                <w:szCs w:val="21"/>
                <w:highlight w:val="none"/>
              </w:rPr>
              <w:t>时审查</w:t>
            </w:r>
            <w:r>
              <w:rPr>
                <w:highlight w:val="none"/>
              </w:rPr>
              <w:t>：</w:t>
            </w:r>
            <w:r>
              <w:rPr>
                <w:rFonts w:ascii="宋体" w:hAnsi="宋体"/>
                <w:szCs w:val="21"/>
                <w:highlight w:val="none"/>
              </w:rPr>
              <w:t>法定代表人身份证明</w:t>
            </w:r>
            <w:r>
              <w:rPr>
                <w:rFonts w:hint="eastAsia" w:ascii="宋体" w:hAnsi="宋体"/>
                <w:szCs w:val="21"/>
                <w:highlight w:val="none"/>
              </w:rPr>
              <w:t>及</w:t>
            </w:r>
            <w:r>
              <w:rPr>
                <w:rFonts w:ascii="宋体" w:hAnsi="宋体"/>
                <w:szCs w:val="21"/>
                <w:highlight w:val="none"/>
              </w:rPr>
              <w:t>附件，格式及附件见</w:t>
            </w:r>
            <w:r>
              <w:rPr>
                <w:rFonts w:hint="eastAsia" w:ascii="宋体" w:hAnsi="宋体"/>
                <w:szCs w:val="21"/>
                <w:highlight w:val="none"/>
                <w:lang w:eastAsia="zh-CN"/>
              </w:rPr>
              <w:t>“</w:t>
            </w:r>
            <w:r>
              <w:rPr>
                <w:rFonts w:ascii="宋体" w:hAnsi="宋体"/>
                <w:szCs w:val="21"/>
                <w:highlight w:val="none"/>
              </w:rPr>
              <w:t>第六章</w:t>
            </w:r>
            <w:r>
              <w:rPr>
                <w:rFonts w:hint="eastAsia" w:ascii="宋体" w:hAnsi="宋体"/>
                <w:szCs w:val="21"/>
                <w:highlight w:val="none"/>
                <w:lang w:val="en-US" w:eastAsia="zh-CN"/>
              </w:rPr>
              <w:t xml:space="preserve"> </w:t>
            </w:r>
            <w:r>
              <w:rPr>
                <w:rFonts w:ascii="宋体" w:hAnsi="宋体"/>
                <w:szCs w:val="21"/>
                <w:highlight w:val="none"/>
              </w:rPr>
              <w:t>投标文件格式</w:t>
            </w:r>
            <w:r>
              <w:rPr>
                <w:rFonts w:hint="eastAsia" w:ascii="宋体" w:hAnsi="宋体"/>
                <w:szCs w:val="21"/>
                <w:highlight w:val="none"/>
                <w:lang w:eastAsia="zh-CN"/>
              </w:rPr>
              <w:t>”</w:t>
            </w:r>
            <w:r>
              <w:rPr>
                <w:rFonts w:ascii="宋体" w:hAnsi="宋体"/>
                <w:szCs w:val="21"/>
                <w:highlight w:val="none"/>
              </w:rPr>
              <w:t>要求</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49" w:type="pct"/>
            <w:vMerge w:val="continue"/>
            <w:vAlign w:val="center"/>
          </w:tcPr>
          <w:p>
            <w:pPr>
              <w:spacing w:line="360" w:lineRule="exact"/>
              <w:jc w:val="center"/>
              <w:rPr>
                <w:kern w:val="0"/>
                <w:szCs w:val="21"/>
                <w:highlight w:val="none"/>
              </w:rPr>
            </w:pPr>
          </w:p>
        </w:tc>
        <w:tc>
          <w:tcPr>
            <w:tcW w:w="810" w:type="pct"/>
            <w:vMerge w:val="continue"/>
            <w:vAlign w:val="center"/>
          </w:tcPr>
          <w:p>
            <w:pPr>
              <w:spacing w:line="360" w:lineRule="exact"/>
              <w:rPr>
                <w:kern w:val="0"/>
                <w:szCs w:val="21"/>
                <w:highlight w:val="none"/>
              </w:rPr>
            </w:pPr>
          </w:p>
        </w:tc>
        <w:tc>
          <w:tcPr>
            <w:tcW w:w="1030" w:type="pct"/>
            <w:vAlign w:val="center"/>
          </w:tcPr>
          <w:p>
            <w:pPr>
              <w:spacing w:line="360" w:lineRule="exact"/>
              <w:rPr>
                <w:szCs w:val="21"/>
                <w:highlight w:val="none"/>
                <w:lang w:val="zh-CN"/>
              </w:rPr>
            </w:pPr>
            <w:r>
              <w:rPr>
                <w:rFonts w:hint="eastAsia"/>
                <w:highlight w:val="none"/>
              </w:rPr>
              <w:t>投标文件或者投标报价唯一性</w:t>
            </w:r>
          </w:p>
        </w:tc>
        <w:tc>
          <w:tcPr>
            <w:tcW w:w="2809" w:type="pct"/>
            <w:vAlign w:val="center"/>
          </w:tcPr>
          <w:p>
            <w:pPr>
              <w:spacing w:line="360" w:lineRule="exact"/>
              <w:rPr>
                <w:kern w:val="0"/>
                <w:szCs w:val="21"/>
                <w:highlight w:val="none"/>
              </w:rPr>
            </w:pPr>
            <w:r>
              <w:rPr>
                <w:rFonts w:hint="eastAsia"/>
                <w:highlight w:val="none"/>
              </w:rPr>
              <w:t>同</w:t>
            </w:r>
            <w:r>
              <w:rPr>
                <w:rFonts w:hint="eastAsia"/>
                <w:szCs w:val="21"/>
                <w:highlight w:val="none"/>
              </w:rPr>
              <w:t>一供应商不得提交两个以上不同的投标文件或者投标报价，但招标文件要求提交</w:t>
            </w:r>
            <w:r>
              <w:rPr>
                <w:szCs w:val="21"/>
                <w:highlight w:val="none"/>
              </w:rPr>
              <w:t>备选</w:t>
            </w:r>
            <w:r>
              <w:rPr>
                <w:rFonts w:hint="eastAsia"/>
                <w:szCs w:val="21"/>
                <w:highlight w:val="none"/>
              </w:rPr>
              <w:t>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49" w:type="pct"/>
            <w:vMerge w:val="continue"/>
            <w:vAlign w:val="center"/>
          </w:tcPr>
          <w:p>
            <w:pPr>
              <w:spacing w:line="360" w:lineRule="exact"/>
              <w:jc w:val="center"/>
              <w:rPr>
                <w:kern w:val="0"/>
                <w:szCs w:val="21"/>
                <w:highlight w:val="none"/>
              </w:rPr>
            </w:pPr>
          </w:p>
        </w:tc>
        <w:tc>
          <w:tcPr>
            <w:tcW w:w="810" w:type="pct"/>
            <w:vMerge w:val="continue"/>
            <w:vAlign w:val="center"/>
          </w:tcPr>
          <w:p>
            <w:pPr>
              <w:spacing w:line="360" w:lineRule="exact"/>
              <w:rPr>
                <w:kern w:val="0"/>
                <w:szCs w:val="21"/>
                <w:highlight w:val="none"/>
              </w:rPr>
            </w:pPr>
          </w:p>
        </w:tc>
        <w:tc>
          <w:tcPr>
            <w:tcW w:w="1030" w:type="pct"/>
            <w:vAlign w:val="center"/>
          </w:tcPr>
          <w:p>
            <w:pPr>
              <w:spacing w:line="360" w:lineRule="exact"/>
              <w:rPr>
                <w:highlight w:val="none"/>
              </w:rPr>
            </w:pPr>
            <w:r>
              <w:rPr>
                <w:highlight w:val="none"/>
              </w:rPr>
              <w:t>投标报价</w:t>
            </w:r>
          </w:p>
        </w:tc>
        <w:tc>
          <w:tcPr>
            <w:tcW w:w="2809" w:type="pct"/>
          </w:tcPr>
          <w:p>
            <w:pPr>
              <w:spacing w:line="360" w:lineRule="exact"/>
              <w:rPr>
                <w:highlight w:val="none"/>
              </w:rPr>
            </w:pPr>
            <w:r>
              <w:rPr>
                <w:szCs w:val="21"/>
                <w:highlight w:val="none"/>
              </w:rPr>
              <w:t>报价超出采购预算金额或最高限价（如有）的，否决其投标</w:t>
            </w:r>
            <w:r>
              <w:rPr>
                <w:highlight w:val="none"/>
              </w:rPr>
              <w:t>。</w:t>
            </w:r>
            <w:r>
              <w:rPr>
                <w:szCs w:val="21"/>
                <w:highlight w:val="none"/>
              </w:rPr>
              <w:t>提交选择性报价的，否决其投标。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9" w:type="pct"/>
            <w:vMerge w:val="continue"/>
            <w:vAlign w:val="center"/>
          </w:tcPr>
          <w:p>
            <w:pPr>
              <w:spacing w:line="360" w:lineRule="exact"/>
              <w:jc w:val="center"/>
              <w:rPr>
                <w:kern w:val="0"/>
                <w:szCs w:val="21"/>
                <w:highlight w:val="none"/>
              </w:rPr>
            </w:pPr>
          </w:p>
        </w:tc>
        <w:tc>
          <w:tcPr>
            <w:tcW w:w="810" w:type="pct"/>
            <w:vMerge w:val="continue"/>
            <w:vAlign w:val="center"/>
          </w:tcPr>
          <w:p>
            <w:pPr>
              <w:spacing w:line="360" w:lineRule="exact"/>
              <w:rPr>
                <w:kern w:val="0"/>
                <w:szCs w:val="21"/>
                <w:highlight w:val="none"/>
              </w:rPr>
            </w:pPr>
          </w:p>
        </w:tc>
        <w:tc>
          <w:tcPr>
            <w:tcW w:w="1030" w:type="pct"/>
            <w:vAlign w:val="center"/>
          </w:tcPr>
          <w:p>
            <w:pPr>
              <w:spacing w:line="360" w:lineRule="exact"/>
              <w:rPr>
                <w:szCs w:val="21"/>
                <w:highlight w:val="none"/>
                <w:lang w:val="zh-CN"/>
              </w:rPr>
            </w:pPr>
            <w:r>
              <w:rPr>
                <w:szCs w:val="21"/>
                <w:highlight w:val="none"/>
                <w:lang w:val="zh-CN"/>
              </w:rPr>
              <w:t>联合体供应商</w:t>
            </w:r>
          </w:p>
        </w:tc>
        <w:tc>
          <w:tcPr>
            <w:tcW w:w="2809" w:type="pct"/>
            <w:vAlign w:val="center"/>
          </w:tcPr>
          <w:p>
            <w:pPr>
              <w:spacing w:line="360" w:lineRule="exact"/>
              <w:rPr>
                <w:kern w:val="0"/>
                <w:szCs w:val="21"/>
                <w:highlight w:val="none"/>
              </w:rPr>
            </w:pPr>
            <w:r>
              <w:rPr>
                <w:rFonts w:hint="eastAsia"/>
                <w:szCs w:val="21"/>
                <w:highlight w:val="none"/>
                <w:lang w:val="zh-CN"/>
              </w:rPr>
              <w:t>不</w:t>
            </w:r>
            <w:r>
              <w:rPr>
                <w:szCs w:val="21"/>
                <w:highlight w:val="none"/>
                <w:lang w:val="zh-CN"/>
              </w:rPr>
              <w:t>接受联合体</w:t>
            </w:r>
            <w:r>
              <w:rPr>
                <w:rFonts w:hint="eastAsia"/>
                <w:szCs w:val="21"/>
                <w:highlight w:val="none"/>
                <w:lang w:val="zh-CN"/>
              </w:rPr>
              <w:t>。联合体投标的，作无效投标处理。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9" w:type="pct"/>
            <w:vMerge w:val="continue"/>
            <w:vAlign w:val="center"/>
          </w:tcPr>
          <w:p>
            <w:pPr>
              <w:spacing w:line="360" w:lineRule="exact"/>
              <w:jc w:val="center"/>
              <w:rPr>
                <w:kern w:val="0"/>
                <w:szCs w:val="21"/>
                <w:highlight w:val="none"/>
              </w:rPr>
            </w:pPr>
          </w:p>
        </w:tc>
        <w:tc>
          <w:tcPr>
            <w:tcW w:w="810" w:type="pct"/>
            <w:vMerge w:val="continue"/>
            <w:vAlign w:val="center"/>
          </w:tcPr>
          <w:p>
            <w:pPr>
              <w:spacing w:line="360" w:lineRule="exact"/>
              <w:rPr>
                <w:kern w:val="0"/>
                <w:szCs w:val="21"/>
                <w:highlight w:val="none"/>
              </w:rPr>
            </w:pPr>
          </w:p>
        </w:tc>
        <w:tc>
          <w:tcPr>
            <w:tcW w:w="1030" w:type="pct"/>
            <w:vAlign w:val="center"/>
          </w:tcPr>
          <w:p>
            <w:pPr>
              <w:spacing w:line="360" w:lineRule="exact"/>
              <w:rPr>
                <w:szCs w:val="21"/>
                <w:highlight w:val="none"/>
              </w:rPr>
            </w:pPr>
            <w:r>
              <w:rPr>
                <w:szCs w:val="21"/>
                <w:highlight w:val="none"/>
              </w:rPr>
              <w:t>转包</w:t>
            </w:r>
            <w:r>
              <w:rPr>
                <w:rFonts w:hint="eastAsia"/>
                <w:szCs w:val="21"/>
                <w:highlight w:val="none"/>
              </w:rPr>
              <w:t>及</w:t>
            </w:r>
            <w:r>
              <w:rPr>
                <w:szCs w:val="21"/>
                <w:highlight w:val="none"/>
              </w:rPr>
              <w:t>分包</w:t>
            </w:r>
          </w:p>
        </w:tc>
        <w:tc>
          <w:tcPr>
            <w:tcW w:w="2809" w:type="pct"/>
            <w:vAlign w:val="center"/>
          </w:tcPr>
          <w:p>
            <w:pPr>
              <w:spacing w:line="360" w:lineRule="exact"/>
              <w:rPr>
                <w:szCs w:val="21"/>
                <w:highlight w:val="none"/>
              </w:rPr>
            </w:pPr>
            <w:r>
              <w:rPr>
                <w:szCs w:val="21"/>
                <w:highlight w:val="none"/>
              </w:rPr>
              <w:t>满足招标文件规定</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49" w:type="pct"/>
            <w:vMerge w:val="restart"/>
            <w:vAlign w:val="center"/>
          </w:tcPr>
          <w:p>
            <w:pPr>
              <w:spacing w:line="360" w:lineRule="exact"/>
              <w:jc w:val="center"/>
              <w:rPr>
                <w:rFonts w:hint="eastAsia" w:eastAsia="宋体"/>
                <w:szCs w:val="21"/>
                <w:highlight w:val="none"/>
                <w:lang w:eastAsia="zh-CN"/>
              </w:rPr>
            </w:pPr>
            <w:r>
              <w:rPr>
                <w:rFonts w:hint="eastAsia"/>
                <w:szCs w:val="21"/>
                <w:highlight w:val="none"/>
                <w:lang w:val="en-US" w:eastAsia="zh-CN"/>
              </w:rPr>
              <w:t>2</w:t>
            </w:r>
          </w:p>
        </w:tc>
        <w:tc>
          <w:tcPr>
            <w:tcW w:w="810" w:type="pct"/>
            <w:vMerge w:val="restart"/>
            <w:vAlign w:val="center"/>
          </w:tcPr>
          <w:p>
            <w:pPr>
              <w:spacing w:line="360" w:lineRule="exact"/>
              <w:rPr>
                <w:szCs w:val="21"/>
                <w:highlight w:val="none"/>
                <w:lang w:val="zh-CN"/>
              </w:rPr>
            </w:pPr>
            <w:r>
              <w:rPr>
                <w:kern w:val="0"/>
                <w:szCs w:val="21"/>
                <w:highlight w:val="none"/>
              </w:rPr>
              <w:t>对招标文件的响应程度审查</w:t>
            </w:r>
          </w:p>
        </w:tc>
        <w:tc>
          <w:tcPr>
            <w:tcW w:w="1030" w:type="pct"/>
            <w:vAlign w:val="center"/>
          </w:tcPr>
          <w:p>
            <w:pPr>
              <w:spacing w:line="360" w:lineRule="exact"/>
              <w:rPr>
                <w:szCs w:val="21"/>
                <w:highlight w:val="none"/>
                <w:lang w:val="zh-CN"/>
              </w:rPr>
            </w:pPr>
            <w:r>
              <w:rPr>
                <w:szCs w:val="21"/>
                <w:highlight w:val="none"/>
                <w:lang w:val="zh-CN"/>
              </w:rPr>
              <w:t>实质性条款响应</w:t>
            </w:r>
          </w:p>
        </w:tc>
        <w:tc>
          <w:tcPr>
            <w:tcW w:w="2809" w:type="pct"/>
            <w:vAlign w:val="center"/>
          </w:tcPr>
          <w:p>
            <w:pPr>
              <w:spacing w:line="360" w:lineRule="exact"/>
              <w:rPr>
                <w:szCs w:val="21"/>
                <w:highlight w:val="none"/>
                <w:lang w:val="zh-CN"/>
              </w:rPr>
            </w:pPr>
            <w:r>
              <w:rPr>
                <w:szCs w:val="21"/>
                <w:highlight w:val="none"/>
                <w:lang w:val="zh-CN"/>
              </w:rPr>
              <w:t>对招标文件中所有标注▲号的实质性条款要求响应均无负偏离</w:t>
            </w:r>
            <w:r>
              <w:rPr>
                <w:rFonts w:hint="eastAsia"/>
                <w:szCs w:val="21"/>
                <w:highlight w:val="none"/>
                <w:lang w:val="zh-CN"/>
              </w:rPr>
              <w:t>，并符合</w:t>
            </w:r>
            <w:r>
              <w:rPr>
                <w:rFonts w:hint="eastAsia"/>
                <w:szCs w:val="21"/>
                <w:highlight w:val="none"/>
                <w:lang w:val="en-US" w:eastAsia="zh-CN"/>
              </w:rPr>
              <w:t>招标</w:t>
            </w:r>
            <w:r>
              <w:rPr>
                <w:rFonts w:hint="eastAsia"/>
                <w:szCs w:val="21"/>
                <w:highlight w:val="none"/>
                <w:lang w:val="zh-CN"/>
              </w:rPr>
              <w:t>文件其他实质性要求。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49" w:type="pct"/>
            <w:vMerge w:val="continue"/>
            <w:vAlign w:val="center"/>
          </w:tcPr>
          <w:p>
            <w:pPr>
              <w:spacing w:line="360" w:lineRule="exact"/>
              <w:jc w:val="center"/>
              <w:rPr>
                <w:kern w:val="0"/>
                <w:szCs w:val="21"/>
                <w:highlight w:val="none"/>
              </w:rPr>
            </w:pPr>
          </w:p>
        </w:tc>
        <w:tc>
          <w:tcPr>
            <w:tcW w:w="810" w:type="pct"/>
            <w:vMerge w:val="continue"/>
            <w:vAlign w:val="center"/>
          </w:tcPr>
          <w:p>
            <w:pPr>
              <w:spacing w:line="360" w:lineRule="exact"/>
              <w:rPr>
                <w:szCs w:val="21"/>
                <w:highlight w:val="none"/>
                <w:lang w:val="zh-CN"/>
              </w:rPr>
            </w:pPr>
          </w:p>
        </w:tc>
        <w:tc>
          <w:tcPr>
            <w:tcW w:w="1030" w:type="pct"/>
            <w:vAlign w:val="center"/>
          </w:tcPr>
          <w:p>
            <w:pPr>
              <w:spacing w:line="360" w:lineRule="exact"/>
              <w:rPr>
                <w:szCs w:val="21"/>
                <w:highlight w:val="none"/>
              </w:rPr>
            </w:pPr>
            <w:r>
              <w:rPr>
                <w:szCs w:val="21"/>
                <w:highlight w:val="none"/>
              </w:rPr>
              <w:t>投标有效期</w:t>
            </w:r>
          </w:p>
        </w:tc>
        <w:tc>
          <w:tcPr>
            <w:tcW w:w="2809" w:type="pct"/>
            <w:vAlign w:val="center"/>
          </w:tcPr>
          <w:p>
            <w:pPr>
              <w:spacing w:line="360" w:lineRule="exact"/>
              <w:rPr>
                <w:szCs w:val="21"/>
                <w:highlight w:val="none"/>
              </w:rPr>
            </w:pPr>
            <w:r>
              <w:rPr>
                <w:szCs w:val="21"/>
                <w:highlight w:val="none"/>
              </w:rPr>
              <w:t>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49" w:type="pct"/>
            <w:vMerge w:val="continue"/>
            <w:vAlign w:val="center"/>
          </w:tcPr>
          <w:p>
            <w:pPr>
              <w:spacing w:line="360" w:lineRule="exact"/>
              <w:jc w:val="center"/>
              <w:rPr>
                <w:kern w:val="0"/>
                <w:szCs w:val="21"/>
                <w:highlight w:val="none"/>
              </w:rPr>
            </w:pPr>
            <w:bookmarkStart w:id="153" w:name="_Hlk47714684"/>
          </w:p>
        </w:tc>
        <w:tc>
          <w:tcPr>
            <w:tcW w:w="810" w:type="pct"/>
            <w:vMerge w:val="continue"/>
            <w:vAlign w:val="center"/>
          </w:tcPr>
          <w:p>
            <w:pPr>
              <w:spacing w:line="360" w:lineRule="exact"/>
              <w:rPr>
                <w:szCs w:val="21"/>
                <w:highlight w:val="none"/>
                <w:lang w:val="zh-CN"/>
              </w:rPr>
            </w:pPr>
          </w:p>
        </w:tc>
        <w:tc>
          <w:tcPr>
            <w:tcW w:w="1030" w:type="pct"/>
            <w:vAlign w:val="center"/>
          </w:tcPr>
          <w:p>
            <w:pPr>
              <w:spacing w:line="360" w:lineRule="exact"/>
              <w:rPr>
                <w:szCs w:val="21"/>
                <w:highlight w:val="none"/>
              </w:rPr>
            </w:pPr>
            <w:r>
              <w:rPr>
                <w:rFonts w:hint="eastAsia"/>
                <w:szCs w:val="21"/>
                <w:highlight w:val="none"/>
              </w:rPr>
              <w:t>应答</w:t>
            </w:r>
            <w:r>
              <w:rPr>
                <w:szCs w:val="21"/>
                <w:highlight w:val="none"/>
                <w:lang w:val="zh-CN"/>
              </w:rPr>
              <w:t>响应</w:t>
            </w:r>
            <w:r>
              <w:rPr>
                <w:rFonts w:hint="eastAsia"/>
                <w:szCs w:val="21"/>
                <w:highlight w:val="none"/>
              </w:rPr>
              <w:t>有效性</w:t>
            </w:r>
          </w:p>
        </w:tc>
        <w:tc>
          <w:tcPr>
            <w:tcW w:w="2809" w:type="pct"/>
            <w:vAlign w:val="center"/>
          </w:tcPr>
          <w:p>
            <w:pPr>
              <w:spacing w:line="360" w:lineRule="exact"/>
              <w:rPr>
                <w:szCs w:val="21"/>
                <w:highlight w:val="none"/>
              </w:rPr>
            </w:pPr>
            <w:r>
              <w:rPr>
                <w:rFonts w:hint="eastAsia"/>
                <w:szCs w:val="21"/>
                <w:highlight w:val="none"/>
              </w:rPr>
              <w:t>不属于</w:t>
            </w:r>
            <w:r>
              <w:rPr>
                <w:rFonts w:hint="eastAsia"/>
                <w:szCs w:val="21"/>
                <w:highlight w:val="none"/>
                <w:lang w:val="en-US" w:eastAsia="zh-CN"/>
              </w:rPr>
              <w:t>招标文件</w:t>
            </w:r>
            <w:r>
              <w:rPr>
                <w:rFonts w:hint="eastAsia"/>
                <w:szCs w:val="21"/>
                <w:highlight w:val="none"/>
              </w:rPr>
              <w:t>“第四章  评标方法及评标标准”中“6.投标有效性的认定</w:t>
            </w:r>
            <w:r>
              <w:rPr>
                <w:rFonts w:hint="eastAsia"/>
                <w:szCs w:val="21"/>
                <w:highlight w:val="none"/>
                <w:lang w:eastAsia="zh-CN"/>
              </w:rPr>
              <w:t>（</w:t>
            </w:r>
            <w:r>
              <w:rPr>
                <w:rFonts w:hint="eastAsia"/>
                <w:szCs w:val="21"/>
                <w:highlight w:val="none"/>
                <w:lang w:val="en-US" w:eastAsia="zh-CN"/>
              </w:rPr>
              <w:t>2</w:t>
            </w:r>
            <w:r>
              <w:rPr>
                <w:rFonts w:hint="eastAsia"/>
                <w:szCs w:val="21"/>
                <w:highlight w:val="none"/>
                <w:lang w:eastAsia="zh-CN"/>
              </w:rPr>
              <w:t>）</w:t>
            </w:r>
            <w:r>
              <w:rPr>
                <w:rFonts w:hint="eastAsia"/>
                <w:szCs w:val="21"/>
                <w:highlight w:val="none"/>
              </w:rPr>
              <w:t>”被视为投标文件无效</w:t>
            </w:r>
            <w:r>
              <w:rPr>
                <w:rFonts w:hint="eastAsia"/>
                <w:szCs w:val="21"/>
                <w:highlight w:val="none"/>
                <w:lang w:val="en-US" w:eastAsia="zh-CN"/>
              </w:rPr>
              <w:t>的情形</w:t>
            </w:r>
            <w:r>
              <w:rPr>
                <w:rFonts w:hint="eastAsia"/>
                <w:szCs w:val="21"/>
                <w:highlight w:val="none"/>
              </w:rPr>
              <w:t>。</w:t>
            </w:r>
          </w:p>
        </w:tc>
      </w:tr>
      <w:bookmarkEnd w:id="151"/>
    </w:tbl>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3.部分节能产品强制性采购要求</w:t>
      </w:r>
    </w:p>
    <w:p>
      <w:pPr>
        <w:suppressAutoHyphens/>
        <w:spacing w:line="360" w:lineRule="auto"/>
        <w:ind w:firstLine="420" w:firstLineChars="200"/>
        <w:rPr>
          <w:szCs w:val="21"/>
          <w:highlight w:val="none"/>
        </w:rPr>
      </w:pPr>
      <w:bookmarkStart w:id="154" w:name="OLE_LINK46"/>
      <w:r>
        <w:rPr>
          <w:szCs w:val="21"/>
          <w:highlight w:val="none"/>
        </w:rPr>
        <w:t>本项目采购范围如果包括</w:t>
      </w:r>
      <w:r>
        <w:rPr>
          <w:kern w:val="1"/>
          <w:szCs w:val="21"/>
          <w:highlight w:val="none"/>
          <w:lang w:eastAsia="ar-SA"/>
        </w:rPr>
        <w:t>政府强制采购的节能产品时</w:t>
      </w:r>
      <w:r>
        <w:rPr>
          <w:rFonts w:hint="eastAsia"/>
          <w:kern w:val="1"/>
          <w:szCs w:val="21"/>
          <w:highlight w:val="none"/>
        </w:rPr>
        <w:t>，</w:t>
      </w:r>
      <w:r>
        <w:rPr>
          <w:highlight w:val="none"/>
        </w:rPr>
        <w:t>评标委员会须根据</w:t>
      </w:r>
      <w:r>
        <w:rPr>
          <w:rFonts w:hint="eastAsia"/>
          <w:highlight w:val="none"/>
        </w:rPr>
        <w:t>以下</w:t>
      </w:r>
      <w:r>
        <w:rPr>
          <w:highlight w:val="none"/>
        </w:rPr>
        <w:t>规定评审</w:t>
      </w:r>
      <w:r>
        <w:rPr>
          <w:bCs/>
          <w:kern w:val="0"/>
          <w:szCs w:val="21"/>
          <w:highlight w:val="none"/>
        </w:rPr>
        <w:t>投标有效性</w:t>
      </w:r>
      <w:r>
        <w:rPr>
          <w:highlight w:val="none"/>
        </w:rPr>
        <w:t>。</w:t>
      </w:r>
    </w:p>
    <w:p>
      <w:pPr>
        <w:spacing w:line="360" w:lineRule="auto"/>
        <w:ind w:firstLine="420" w:firstLineChars="200"/>
        <w:rPr>
          <w:szCs w:val="21"/>
          <w:highlight w:val="none"/>
        </w:rPr>
      </w:pPr>
      <w:r>
        <w:rPr>
          <w:szCs w:val="21"/>
          <w:highlight w:val="none"/>
        </w:rPr>
        <w:t>本项目采购范围如果包括台式计算机、便携式计算机、平板式微型计算机、激光打印机、针式打印机、液晶显示器、制冷</w:t>
      </w:r>
      <w:r>
        <w:rPr>
          <w:rFonts w:hint="eastAsia"/>
          <w:szCs w:val="21"/>
          <w:highlight w:val="none"/>
        </w:rPr>
        <w:t>压缩机</w:t>
      </w:r>
      <w:r>
        <w:rPr>
          <w:szCs w:val="21"/>
          <w:highlight w:val="none"/>
        </w:rPr>
        <w:t>、空调机</w:t>
      </w:r>
      <w:r>
        <w:rPr>
          <w:rFonts w:hint="eastAsia"/>
          <w:szCs w:val="21"/>
          <w:highlight w:val="none"/>
        </w:rPr>
        <w:t>组</w:t>
      </w:r>
      <w:r>
        <w:rPr>
          <w:szCs w:val="21"/>
          <w:highlight w:val="none"/>
        </w:rPr>
        <w:t>、</w:t>
      </w:r>
      <w:r>
        <w:rPr>
          <w:rFonts w:hint="eastAsia"/>
          <w:szCs w:val="21"/>
          <w:highlight w:val="none"/>
        </w:rPr>
        <w:t>专用制冷、空调设备、</w:t>
      </w:r>
      <w:r>
        <w:rPr>
          <w:szCs w:val="21"/>
          <w:highlight w:val="none"/>
        </w:rPr>
        <w:t>镇流器、</w:t>
      </w:r>
      <w:r>
        <w:rPr>
          <w:rFonts w:hint="eastAsia"/>
          <w:szCs w:val="21"/>
          <w:highlight w:val="none"/>
        </w:rPr>
        <w:t>空调机、</w:t>
      </w:r>
      <w:r>
        <w:rPr>
          <w:szCs w:val="21"/>
          <w:highlight w:val="none"/>
        </w:rPr>
        <w:t>电热水器、普通照明用双端荧光灯、电视设备，</w:t>
      </w:r>
      <w:r>
        <w:rPr>
          <w:rFonts w:hint="eastAsia"/>
          <w:szCs w:val="21"/>
          <w:highlight w:val="none"/>
        </w:rPr>
        <w:t>视频设备</w:t>
      </w:r>
      <w:r>
        <w:rPr>
          <w:szCs w:val="21"/>
          <w:highlight w:val="none"/>
        </w:rPr>
        <w:t>、以及便器、水嘴等政府强制采购节能产品，相应产品</w:t>
      </w:r>
      <w:r>
        <w:rPr>
          <w:rFonts w:hint="eastAsia"/>
          <w:szCs w:val="21"/>
          <w:highlight w:val="none"/>
        </w:rPr>
        <w:t>必须使用节能产品政府采购品目清单内的产品，并处于有效期之内。否则，投标无效。</w:t>
      </w:r>
    </w:p>
    <w:bookmarkEnd w:id="153"/>
    <w:bookmarkEnd w:id="154"/>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4.相同品牌投标有效性认定</w:t>
      </w:r>
    </w:p>
    <w:p>
      <w:pPr>
        <w:spacing w:line="360" w:lineRule="auto"/>
        <w:ind w:firstLine="420" w:firstLineChars="200"/>
        <w:rPr>
          <w:highlight w:val="none"/>
        </w:rPr>
      </w:pPr>
      <w:r>
        <w:rPr>
          <w:highlight w:val="none"/>
        </w:rPr>
        <w:t>不同供应商提供的投标产品品牌相同时，评标委员会须根据</w:t>
      </w:r>
      <w:r>
        <w:rPr>
          <w:rFonts w:hint="eastAsia"/>
          <w:highlight w:val="none"/>
        </w:rPr>
        <w:t>以下</w:t>
      </w:r>
      <w:r>
        <w:rPr>
          <w:highlight w:val="none"/>
        </w:rPr>
        <w:t>规定评审</w:t>
      </w:r>
      <w:r>
        <w:rPr>
          <w:bCs/>
          <w:kern w:val="0"/>
          <w:szCs w:val="21"/>
          <w:highlight w:val="none"/>
        </w:rPr>
        <w:t>相同品牌的投标有效性</w:t>
      </w:r>
      <w:r>
        <w:rPr>
          <w:highlight w:val="none"/>
        </w:rPr>
        <w:t>。</w:t>
      </w:r>
    </w:p>
    <w:p>
      <w:pPr>
        <w:spacing w:line="360" w:lineRule="auto"/>
        <w:ind w:firstLine="420" w:firstLineChars="200"/>
        <w:rPr>
          <w:szCs w:val="21"/>
          <w:highlight w:val="none"/>
        </w:rPr>
      </w:pPr>
      <w:r>
        <w:rPr>
          <w:rFonts w:hint="eastAsia"/>
          <w:szCs w:val="21"/>
          <w:highlight w:val="none"/>
        </w:rPr>
        <w:t>（1）</w:t>
      </w:r>
      <w:r>
        <w:rPr>
          <w:szCs w:val="21"/>
          <w:highlight w:val="none"/>
        </w:rPr>
        <w:t>如若提供相同品牌产品且通过资格审查、符合性审查的不同供应商参加同一合同项下投标的，按一家供应商计算，评审后得分最高的同品牌供应商获得中标人推荐资格；评审得分相同的，</w:t>
      </w:r>
      <w:r>
        <w:rPr>
          <w:highlight w:val="none"/>
        </w:rPr>
        <w:t>由（</w:t>
      </w:r>
      <w:r>
        <w:rPr>
          <w:szCs w:val="21"/>
          <w:highlight w:val="none"/>
        </w:rPr>
        <w:sym w:font="Wingdings 2" w:char="F052"/>
      </w:r>
      <w:r>
        <w:rPr>
          <w:highlight w:val="none"/>
        </w:rPr>
        <w:t>采购人</w:t>
      </w:r>
      <w:r>
        <w:rPr>
          <w:szCs w:val="21"/>
          <w:highlight w:val="none"/>
        </w:rPr>
        <w:t>；</w:t>
      </w:r>
      <w:r>
        <w:rPr>
          <w:szCs w:val="21"/>
          <w:highlight w:val="none"/>
        </w:rPr>
        <w:sym w:font="Wingdings 2" w:char="F0A3"/>
      </w:r>
      <w:r>
        <w:rPr>
          <w:highlight w:val="none"/>
        </w:rPr>
        <w:t>采购人委托评标委员会）按照报价低者推荐</w:t>
      </w:r>
      <w:r>
        <w:rPr>
          <w:szCs w:val="21"/>
          <w:highlight w:val="none"/>
        </w:rPr>
        <w:t>中标人资格</w:t>
      </w:r>
      <w:r>
        <w:rPr>
          <w:highlight w:val="none"/>
        </w:rPr>
        <w:t>，如报价仍相同，则按技术部分得分高者推荐</w:t>
      </w:r>
      <w:r>
        <w:rPr>
          <w:szCs w:val="21"/>
          <w:highlight w:val="none"/>
        </w:rPr>
        <w:t>中标人资格</w:t>
      </w:r>
      <w:r>
        <w:rPr>
          <w:highlight w:val="none"/>
        </w:rPr>
        <w:t>，仍相同的，则按商务部分得分高者推荐</w:t>
      </w:r>
      <w:r>
        <w:rPr>
          <w:szCs w:val="21"/>
          <w:highlight w:val="none"/>
        </w:rPr>
        <w:t>中标人资格</w:t>
      </w:r>
      <w:r>
        <w:rPr>
          <w:highlight w:val="none"/>
        </w:rPr>
        <w:t>，若仍相同，则按业绩得分高者推荐中标人资格，其他同品牌供应商不作为中标候选人。</w:t>
      </w:r>
    </w:p>
    <w:p>
      <w:pPr>
        <w:spacing w:line="360" w:lineRule="auto"/>
        <w:ind w:firstLine="420" w:firstLineChars="200"/>
        <w:rPr>
          <w:szCs w:val="21"/>
          <w:highlight w:val="none"/>
        </w:rPr>
      </w:pPr>
      <w:r>
        <w:rPr>
          <w:rFonts w:hint="eastAsia"/>
          <w:szCs w:val="21"/>
          <w:highlight w:val="none"/>
        </w:rPr>
        <w:t>（2）</w:t>
      </w:r>
      <w:r>
        <w:rPr>
          <w:szCs w:val="21"/>
          <w:highlight w:val="none"/>
        </w:rPr>
        <w:t>非单一产品采购项目，采购人应当确定核心产品，并在招标文件中载明。多家供应商提供的核心产品品牌相同的，按上述规定处理。核心产品的定义见“采购需求”规定。</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5.串通投标的认定</w:t>
      </w:r>
    </w:p>
    <w:p>
      <w:pPr>
        <w:spacing w:line="360" w:lineRule="auto"/>
        <w:ind w:firstLine="420" w:firstLineChars="200"/>
        <w:rPr>
          <w:highlight w:val="none"/>
        </w:rPr>
      </w:pPr>
      <w:r>
        <w:rPr>
          <w:highlight w:val="none"/>
        </w:rPr>
        <w:t>评标委员会须根据</w:t>
      </w:r>
      <w:r>
        <w:rPr>
          <w:rFonts w:hint="eastAsia"/>
          <w:highlight w:val="none"/>
        </w:rPr>
        <w:t>以下</w:t>
      </w:r>
      <w:r>
        <w:rPr>
          <w:highlight w:val="none"/>
        </w:rPr>
        <w:t>规定评审</w:t>
      </w:r>
      <w:r>
        <w:rPr>
          <w:bCs/>
          <w:kern w:val="0"/>
          <w:szCs w:val="21"/>
          <w:highlight w:val="none"/>
        </w:rPr>
        <w:t>供应商是否有串通投标的行为，并按规定判定投标是否有效</w:t>
      </w:r>
      <w:r>
        <w:rPr>
          <w:highlight w:val="none"/>
        </w:rPr>
        <w:t>。</w:t>
      </w:r>
    </w:p>
    <w:p>
      <w:pPr>
        <w:spacing w:line="360" w:lineRule="auto"/>
        <w:ind w:firstLine="420" w:firstLineChars="200"/>
        <w:rPr>
          <w:szCs w:val="21"/>
          <w:highlight w:val="none"/>
        </w:rPr>
      </w:pPr>
      <w:bookmarkStart w:id="155" w:name="_Hlk19122026"/>
      <w:r>
        <w:rPr>
          <w:rFonts w:hint="eastAsia"/>
          <w:szCs w:val="21"/>
          <w:highlight w:val="none"/>
        </w:rPr>
        <w:t>（1）</w:t>
      </w:r>
      <w:bookmarkEnd w:id="155"/>
      <w:r>
        <w:rPr>
          <w:szCs w:val="21"/>
          <w:highlight w:val="none"/>
        </w:rPr>
        <w:t>根据桂财采[2016]42号《关于防治政府采购招标中串通投标行为的通知》规定，出现下述情况的，相关供应商的投标作无效投标处理。</w:t>
      </w:r>
    </w:p>
    <w:p>
      <w:pPr>
        <w:spacing w:line="360" w:lineRule="auto"/>
        <w:ind w:firstLine="420" w:firstLineChars="200"/>
        <w:rPr>
          <w:szCs w:val="21"/>
          <w:highlight w:val="none"/>
        </w:rPr>
      </w:pPr>
      <w:bookmarkStart w:id="156" w:name="_Hlk19122039"/>
      <w:r>
        <w:rPr>
          <w:rFonts w:hint="eastAsia" w:ascii="宋体" w:hAnsi="宋体" w:cs="宋体"/>
          <w:szCs w:val="21"/>
          <w:highlight w:val="none"/>
        </w:rPr>
        <w:t>①</w:t>
      </w:r>
      <w:r>
        <w:rPr>
          <w:szCs w:val="21"/>
          <w:highlight w:val="none"/>
        </w:rPr>
        <w:t>单位负责人为同一人或者存在直接控股、管理关系，参加同一合同项下政府采购活动的不同供应商。</w:t>
      </w:r>
    </w:p>
    <w:p>
      <w:pPr>
        <w:spacing w:line="360" w:lineRule="auto"/>
        <w:ind w:firstLine="420" w:firstLineChars="200"/>
        <w:rPr>
          <w:szCs w:val="21"/>
          <w:highlight w:val="none"/>
        </w:rPr>
      </w:pPr>
      <w:r>
        <w:rPr>
          <w:rFonts w:hint="eastAsia"/>
          <w:szCs w:val="21"/>
          <w:highlight w:val="none"/>
        </w:rPr>
        <w:t>②</w:t>
      </w:r>
      <w:r>
        <w:rPr>
          <w:szCs w:val="21"/>
          <w:highlight w:val="none"/>
        </w:rPr>
        <w:t>授权给供应商后参加同一合同项（分标、分包）投标的生产厂商。</w:t>
      </w:r>
    </w:p>
    <w:p>
      <w:pPr>
        <w:spacing w:line="360" w:lineRule="auto"/>
        <w:ind w:firstLine="420" w:firstLineChars="200"/>
        <w:rPr>
          <w:szCs w:val="21"/>
          <w:highlight w:val="none"/>
        </w:rPr>
      </w:pPr>
      <w:r>
        <w:rPr>
          <w:rFonts w:hint="eastAsia"/>
          <w:szCs w:val="21"/>
          <w:highlight w:val="none"/>
        </w:rPr>
        <w:t>③</w:t>
      </w:r>
      <w:r>
        <w:rPr>
          <w:szCs w:val="21"/>
          <w:highlight w:val="none"/>
        </w:rPr>
        <w:t>视为或被认定为串通投标的相关供应商。</w:t>
      </w:r>
    </w:p>
    <w:bookmarkEnd w:id="156"/>
    <w:p>
      <w:pPr>
        <w:spacing w:line="360" w:lineRule="auto"/>
        <w:ind w:firstLine="420" w:firstLineChars="200"/>
        <w:rPr>
          <w:szCs w:val="21"/>
          <w:highlight w:val="none"/>
        </w:rPr>
      </w:pPr>
      <w:bookmarkStart w:id="157" w:name="_Hlk19122058"/>
      <w:r>
        <w:rPr>
          <w:rFonts w:hint="eastAsia"/>
          <w:szCs w:val="21"/>
          <w:highlight w:val="none"/>
        </w:rPr>
        <w:t>（2）</w:t>
      </w:r>
      <w:bookmarkEnd w:id="157"/>
      <w:r>
        <w:rPr>
          <w:szCs w:val="21"/>
          <w:highlight w:val="none"/>
        </w:rPr>
        <w:t>根据桂财采[2016]42号《关于防治政府采购招标中串通投标行为的通知》规定，有下列情形之一的视为供应商相互串通投标，投标文件将被视为无效。</w:t>
      </w:r>
    </w:p>
    <w:p>
      <w:pPr>
        <w:spacing w:line="360" w:lineRule="auto"/>
        <w:ind w:firstLine="420" w:firstLineChars="200"/>
        <w:rPr>
          <w:szCs w:val="21"/>
          <w:highlight w:val="none"/>
        </w:rPr>
      </w:pPr>
      <w:bookmarkStart w:id="158" w:name="_Hlk19122048"/>
      <w:r>
        <w:rPr>
          <w:rFonts w:hint="eastAsia" w:ascii="宋体" w:hAnsi="宋体" w:cs="宋体"/>
          <w:szCs w:val="21"/>
          <w:highlight w:val="none"/>
        </w:rPr>
        <w:t>①</w:t>
      </w:r>
      <w:r>
        <w:rPr>
          <w:szCs w:val="21"/>
          <w:highlight w:val="none"/>
        </w:rPr>
        <w:t>不同供应商的投标文件由同一单位或者个人编制；或不同供应商报名的IP地址一致的；</w:t>
      </w:r>
    </w:p>
    <w:p>
      <w:pPr>
        <w:spacing w:line="360" w:lineRule="auto"/>
        <w:ind w:firstLine="420" w:firstLineChars="200"/>
        <w:rPr>
          <w:szCs w:val="21"/>
          <w:highlight w:val="none"/>
        </w:rPr>
      </w:pPr>
      <w:r>
        <w:rPr>
          <w:rFonts w:hint="eastAsia"/>
          <w:szCs w:val="21"/>
          <w:highlight w:val="none"/>
        </w:rPr>
        <w:t>②</w:t>
      </w:r>
      <w:r>
        <w:rPr>
          <w:szCs w:val="21"/>
          <w:highlight w:val="none"/>
        </w:rPr>
        <w:t>不同供应商委托同一单位或者个人办理投标事宜；</w:t>
      </w:r>
    </w:p>
    <w:p>
      <w:pPr>
        <w:spacing w:line="360" w:lineRule="auto"/>
        <w:ind w:firstLine="420" w:firstLineChars="200"/>
        <w:rPr>
          <w:szCs w:val="21"/>
          <w:highlight w:val="none"/>
        </w:rPr>
      </w:pPr>
      <w:r>
        <w:rPr>
          <w:rFonts w:hint="eastAsia"/>
          <w:szCs w:val="21"/>
          <w:highlight w:val="none"/>
        </w:rPr>
        <w:t>③</w:t>
      </w:r>
      <w:r>
        <w:rPr>
          <w:szCs w:val="21"/>
          <w:highlight w:val="none"/>
        </w:rPr>
        <w:t>不同的供应商的投标文件载明的项目管理员为同一个人；</w:t>
      </w:r>
    </w:p>
    <w:p>
      <w:pPr>
        <w:spacing w:line="360" w:lineRule="auto"/>
        <w:ind w:firstLine="420" w:firstLineChars="200"/>
        <w:rPr>
          <w:szCs w:val="21"/>
          <w:highlight w:val="none"/>
        </w:rPr>
      </w:pPr>
      <w:r>
        <w:rPr>
          <w:rFonts w:hint="eastAsia"/>
          <w:szCs w:val="21"/>
          <w:highlight w:val="none"/>
        </w:rPr>
        <w:t>④</w:t>
      </w:r>
      <w:r>
        <w:rPr>
          <w:szCs w:val="21"/>
          <w:highlight w:val="none"/>
        </w:rPr>
        <w:t>不同供应商的投标文件异常一致或投标报价呈规律性差异；</w:t>
      </w:r>
    </w:p>
    <w:p>
      <w:pPr>
        <w:spacing w:line="360" w:lineRule="auto"/>
        <w:ind w:firstLine="420" w:firstLineChars="200"/>
        <w:rPr>
          <w:szCs w:val="21"/>
          <w:highlight w:val="none"/>
        </w:rPr>
      </w:pPr>
      <w:r>
        <w:rPr>
          <w:rFonts w:hint="eastAsia"/>
          <w:szCs w:val="21"/>
          <w:highlight w:val="none"/>
        </w:rPr>
        <w:t>⑤</w:t>
      </w:r>
      <w:r>
        <w:rPr>
          <w:szCs w:val="21"/>
          <w:highlight w:val="none"/>
        </w:rPr>
        <w:t>不同供应商的投标文件相互混装；</w:t>
      </w:r>
    </w:p>
    <w:p>
      <w:pPr>
        <w:spacing w:line="360" w:lineRule="auto"/>
        <w:ind w:firstLine="420" w:firstLineChars="200"/>
        <w:rPr>
          <w:szCs w:val="21"/>
          <w:highlight w:val="none"/>
        </w:rPr>
      </w:pPr>
      <w:r>
        <w:rPr>
          <w:rFonts w:hint="eastAsia"/>
          <w:szCs w:val="21"/>
          <w:highlight w:val="none"/>
        </w:rPr>
        <w:t>⑥</w:t>
      </w:r>
      <w:r>
        <w:rPr>
          <w:szCs w:val="21"/>
          <w:highlight w:val="none"/>
        </w:rPr>
        <w:t>不同供应商的保证金从同一单位或者个人账户转出。</w:t>
      </w:r>
    </w:p>
    <w:bookmarkEnd w:id="158"/>
    <w:p>
      <w:pPr>
        <w:spacing w:line="360" w:lineRule="auto"/>
        <w:ind w:firstLine="420" w:firstLineChars="200"/>
        <w:rPr>
          <w:szCs w:val="21"/>
          <w:highlight w:val="none"/>
        </w:rPr>
      </w:pPr>
      <w:bookmarkStart w:id="159" w:name="_Hlk19122102"/>
      <w:r>
        <w:rPr>
          <w:rFonts w:hint="eastAsia"/>
          <w:szCs w:val="21"/>
          <w:highlight w:val="none"/>
        </w:rPr>
        <w:t>（3）</w:t>
      </w:r>
      <w:bookmarkEnd w:id="159"/>
      <w:r>
        <w:rPr>
          <w:szCs w:val="21"/>
          <w:highlight w:val="none"/>
        </w:rPr>
        <w:t>根据桂财采[2016]42号《关于防治政府采购招标中串通投标行为的通知》规定，供应商有下列情形之一的，属于恶意串通行为，投标文件将被视为无效。</w:t>
      </w:r>
    </w:p>
    <w:p>
      <w:pPr>
        <w:spacing w:line="360" w:lineRule="auto"/>
        <w:ind w:firstLine="420" w:firstLineChars="200"/>
        <w:rPr>
          <w:szCs w:val="21"/>
          <w:highlight w:val="none"/>
        </w:rPr>
      </w:pPr>
      <w:bookmarkStart w:id="160" w:name="_Hlk19122095"/>
      <w:r>
        <w:rPr>
          <w:rFonts w:hint="eastAsia"/>
          <w:szCs w:val="21"/>
          <w:highlight w:val="none"/>
        </w:rPr>
        <w:t>①</w:t>
      </w:r>
      <w:r>
        <w:rPr>
          <w:szCs w:val="21"/>
          <w:highlight w:val="none"/>
        </w:rPr>
        <w:t>供应商直接或者间接从采购人或者采购代理机构处获得其他供应商的相关信息并修改其投标文件或者响应文件；</w:t>
      </w:r>
    </w:p>
    <w:p>
      <w:pPr>
        <w:spacing w:line="360" w:lineRule="auto"/>
        <w:ind w:firstLine="420" w:firstLineChars="200"/>
        <w:rPr>
          <w:szCs w:val="21"/>
          <w:highlight w:val="none"/>
        </w:rPr>
      </w:pPr>
      <w:r>
        <w:rPr>
          <w:rFonts w:hint="eastAsia"/>
          <w:szCs w:val="21"/>
          <w:highlight w:val="none"/>
        </w:rPr>
        <w:t>②</w:t>
      </w:r>
      <w:r>
        <w:rPr>
          <w:szCs w:val="21"/>
          <w:highlight w:val="none"/>
        </w:rPr>
        <w:t>供应商按照采购人或者采购代理机构的授意撤换、修改投标文件或者响应文件;；</w:t>
      </w:r>
    </w:p>
    <w:p>
      <w:pPr>
        <w:spacing w:line="360" w:lineRule="auto"/>
        <w:ind w:firstLine="420" w:firstLineChars="200"/>
        <w:rPr>
          <w:szCs w:val="21"/>
          <w:highlight w:val="none"/>
        </w:rPr>
      </w:pPr>
      <w:r>
        <w:rPr>
          <w:rFonts w:hint="eastAsia"/>
          <w:szCs w:val="21"/>
          <w:highlight w:val="none"/>
        </w:rPr>
        <w:t>③</w:t>
      </w:r>
      <w:r>
        <w:rPr>
          <w:szCs w:val="21"/>
          <w:highlight w:val="none"/>
        </w:rPr>
        <w:t>供应商之间协商报价、技术方案等投标文件或者响应文件的实质性内容；</w:t>
      </w:r>
    </w:p>
    <w:p>
      <w:pPr>
        <w:spacing w:line="360" w:lineRule="auto"/>
        <w:ind w:firstLine="420" w:firstLineChars="200"/>
        <w:rPr>
          <w:szCs w:val="21"/>
          <w:highlight w:val="none"/>
        </w:rPr>
      </w:pPr>
      <w:r>
        <w:rPr>
          <w:rFonts w:hint="eastAsia"/>
          <w:szCs w:val="21"/>
          <w:highlight w:val="none"/>
        </w:rPr>
        <w:t>④</w:t>
      </w:r>
      <w:r>
        <w:rPr>
          <w:szCs w:val="21"/>
          <w:highlight w:val="none"/>
        </w:rPr>
        <w:t>属于同一集团、协会、商会等组织成员的供应商按照该组织要求协同参加政府采购活动；</w:t>
      </w:r>
    </w:p>
    <w:p>
      <w:pPr>
        <w:spacing w:line="360" w:lineRule="auto"/>
        <w:ind w:firstLine="420" w:firstLineChars="200"/>
        <w:rPr>
          <w:szCs w:val="21"/>
          <w:highlight w:val="none"/>
        </w:rPr>
      </w:pPr>
      <w:r>
        <w:rPr>
          <w:rFonts w:hint="eastAsia"/>
          <w:szCs w:val="21"/>
          <w:highlight w:val="none"/>
        </w:rPr>
        <w:t>⑤</w:t>
      </w:r>
      <w:r>
        <w:rPr>
          <w:szCs w:val="21"/>
          <w:highlight w:val="none"/>
        </w:rPr>
        <w:t>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szCs w:val="21"/>
          <w:highlight w:val="none"/>
        </w:rPr>
      </w:pPr>
      <w:r>
        <w:rPr>
          <w:rFonts w:hint="eastAsia"/>
          <w:szCs w:val="21"/>
          <w:highlight w:val="none"/>
        </w:rPr>
        <w:t>⑥</w:t>
      </w:r>
      <w:r>
        <w:rPr>
          <w:szCs w:val="21"/>
          <w:highlight w:val="none"/>
        </w:rPr>
        <w:t>供应商之间商定部分供应商放弃参加政府采购活动或者放弃中标；</w:t>
      </w:r>
    </w:p>
    <w:p>
      <w:pPr>
        <w:spacing w:line="360" w:lineRule="auto"/>
        <w:ind w:firstLine="420" w:firstLineChars="200"/>
        <w:rPr>
          <w:szCs w:val="21"/>
          <w:highlight w:val="none"/>
        </w:rPr>
      </w:pPr>
      <w:r>
        <w:rPr>
          <w:rFonts w:hint="eastAsia"/>
          <w:szCs w:val="21"/>
          <w:highlight w:val="none"/>
        </w:rPr>
        <w:t>⑦</w:t>
      </w:r>
      <w:r>
        <w:rPr>
          <w:szCs w:val="21"/>
          <w:highlight w:val="none"/>
        </w:rPr>
        <w:t>供应商与采购人或者采购代理机构之间、供应商相互之间，为谋求特定供应商中标或者排斥其他供应商的其他串通行为。</w:t>
      </w:r>
    </w:p>
    <w:bookmarkEnd w:id="160"/>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bookmarkStart w:id="161" w:name="OLE_LINK33"/>
      <w:r>
        <w:rPr>
          <w:rFonts w:hint="eastAsia"/>
          <w:b/>
          <w:bCs/>
          <w:kern w:val="0"/>
          <w:szCs w:val="21"/>
          <w:highlight w:val="none"/>
        </w:rPr>
        <w:t>6.投标有效性的认定</w:t>
      </w:r>
      <w:bookmarkEnd w:id="161"/>
    </w:p>
    <w:p>
      <w:pPr>
        <w:spacing w:line="360" w:lineRule="auto"/>
        <w:ind w:firstLine="422" w:firstLineChars="200"/>
        <w:rPr>
          <w:b/>
          <w:bCs/>
          <w:szCs w:val="21"/>
          <w:highlight w:val="none"/>
        </w:rPr>
      </w:pPr>
      <w:bookmarkStart w:id="162" w:name="_Hlk19113301"/>
      <w:r>
        <w:rPr>
          <w:rFonts w:hint="eastAsia"/>
          <w:b/>
          <w:bCs/>
          <w:szCs w:val="21"/>
          <w:highlight w:val="none"/>
        </w:rPr>
        <w:t>（</w:t>
      </w:r>
      <w:r>
        <w:rPr>
          <w:b/>
          <w:bCs/>
          <w:szCs w:val="21"/>
          <w:highlight w:val="none"/>
        </w:rPr>
        <w:t>1）资格审查时，如发现下列情形之一的，投标文件将被视为无效：</w:t>
      </w:r>
    </w:p>
    <w:p>
      <w:pPr>
        <w:spacing w:line="360" w:lineRule="auto"/>
        <w:ind w:firstLine="420" w:firstLineChars="200"/>
        <w:rPr>
          <w:rStyle w:val="138"/>
          <w:highlight w:val="none"/>
        </w:rPr>
      </w:pPr>
      <w:r>
        <w:rPr>
          <w:rFonts w:hint="eastAsia"/>
          <w:szCs w:val="21"/>
          <w:highlight w:val="none"/>
        </w:rPr>
        <w:t>①</w:t>
      </w:r>
      <w:r>
        <w:rPr>
          <w:highlight w:val="none"/>
        </w:rPr>
        <w:t>未按照招标文件的规定提交投标保证金的；</w:t>
      </w:r>
    </w:p>
    <w:p>
      <w:pPr>
        <w:spacing w:line="360" w:lineRule="auto"/>
        <w:ind w:firstLine="420" w:firstLineChars="200"/>
        <w:rPr>
          <w:highlight w:val="none"/>
        </w:rPr>
      </w:pPr>
      <w:r>
        <w:rPr>
          <w:rFonts w:hint="eastAsia"/>
          <w:szCs w:val="21"/>
          <w:highlight w:val="none"/>
        </w:rPr>
        <w:t>②</w:t>
      </w:r>
      <w:r>
        <w:rPr>
          <w:highlight w:val="none"/>
        </w:rPr>
        <w:t>不具备招标文件中规定的资格要求的；</w:t>
      </w:r>
    </w:p>
    <w:p>
      <w:pPr>
        <w:spacing w:line="360" w:lineRule="auto"/>
        <w:ind w:firstLine="420" w:firstLineChars="200"/>
        <w:rPr>
          <w:rStyle w:val="138"/>
          <w:szCs w:val="21"/>
          <w:highlight w:val="none"/>
        </w:rPr>
      </w:pPr>
      <w:r>
        <w:rPr>
          <w:rFonts w:hint="eastAsia"/>
          <w:szCs w:val="21"/>
          <w:highlight w:val="none"/>
        </w:rPr>
        <w:t>③</w:t>
      </w:r>
      <w:r>
        <w:rPr>
          <w:szCs w:val="21"/>
          <w:highlight w:val="none"/>
        </w:rPr>
        <w:t>投标文件签</w:t>
      </w:r>
      <w:r>
        <w:rPr>
          <w:rFonts w:hint="eastAsia"/>
          <w:szCs w:val="21"/>
          <w:highlight w:val="none"/>
        </w:rPr>
        <w:t>署（签</w:t>
      </w:r>
      <w:r>
        <w:rPr>
          <w:szCs w:val="21"/>
          <w:highlight w:val="none"/>
        </w:rPr>
        <w:t>名</w:t>
      </w:r>
      <w:r>
        <w:rPr>
          <w:rFonts w:hint="eastAsia"/>
          <w:szCs w:val="21"/>
          <w:highlight w:val="none"/>
        </w:rPr>
        <w:t>）</w:t>
      </w:r>
      <w:r>
        <w:rPr>
          <w:szCs w:val="21"/>
          <w:highlight w:val="none"/>
        </w:rPr>
        <w:t>、盖章不符合招标文件要求的</w:t>
      </w:r>
      <w:r>
        <w:rPr>
          <w:rFonts w:hint="eastAsia"/>
          <w:szCs w:val="21"/>
          <w:highlight w:val="none"/>
        </w:rPr>
        <w:t>；</w:t>
      </w:r>
    </w:p>
    <w:p>
      <w:pPr>
        <w:spacing w:line="360" w:lineRule="auto"/>
        <w:ind w:firstLine="422" w:firstLineChars="200"/>
        <w:rPr>
          <w:b/>
          <w:bCs/>
          <w:szCs w:val="21"/>
          <w:highlight w:val="none"/>
        </w:rPr>
      </w:pPr>
      <w:r>
        <w:rPr>
          <w:rFonts w:hint="eastAsia"/>
          <w:b/>
          <w:bCs/>
          <w:szCs w:val="21"/>
          <w:highlight w:val="none"/>
        </w:rPr>
        <w:t>（2</w:t>
      </w:r>
      <w:r>
        <w:rPr>
          <w:b/>
          <w:bCs/>
          <w:szCs w:val="21"/>
          <w:highlight w:val="none"/>
        </w:rPr>
        <w:t>）在符合性审查、商务和技术</w:t>
      </w:r>
      <w:r>
        <w:rPr>
          <w:rFonts w:hint="eastAsia"/>
          <w:b/>
          <w:bCs/>
          <w:szCs w:val="21"/>
          <w:highlight w:val="none"/>
          <w:lang w:val="en-US" w:eastAsia="zh-CN"/>
        </w:rPr>
        <w:t>评审</w:t>
      </w:r>
      <w:r>
        <w:rPr>
          <w:b/>
          <w:bCs/>
          <w:szCs w:val="21"/>
          <w:highlight w:val="none"/>
        </w:rPr>
        <w:t>时，如发现下列情形之一的，</w:t>
      </w:r>
      <w:bookmarkStart w:id="163" w:name="OLE_LINK34"/>
      <w:bookmarkStart w:id="164" w:name="OLE_LINK35"/>
      <w:r>
        <w:rPr>
          <w:b/>
          <w:bCs/>
          <w:szCs w:val="21"/>
          <w:highlight w:val="none"/>
        </w:rPr>
        <w:t>投标文件</w:t>
      </w:r>
      <w:bookmarkEnd w:id="163"/>
      <w:r>
        <w:rPr>
          <w:b/>
          <w:bCs/>
          <w:szCs w:val="21"/>
          <w:highlight w:val="none"/>
        </w:rPr>
        <w:t>将被视为无效</w:t>
      </w:r>
      <w:bookmarkEnd w:id="164"/>
      <w:r>
        <w:rPr>
          <w:b/>
          <w:bCs/>
          <w:szCs w:val="21"/>
          <w:highlight w:val="none"/>
        </w:rPr>
        <w:t>：</w:t>
      </w:r>
    </w:p>
    <w:p>
      <w:pPr>
        <w:spacing w:line="360" w:lineRule="auto"/>
        <w:ind w:firstLine="420" w:firstLineChars="200"/>
        <w:rPr>
          <w:highlight w:val="none"/>
        </w:rPr>
      </w:pPr>
      <w:r>
        <w:rPr>
          <w:rFonts w:hint="eastAsia"/>
          <w:szCs w:val="21"/>
          <w:highlight w:val="none"/>
        </w:rPr>
        <w:t>①</w:t>
      </w:r>
      <w:r>
        <w:rPr>
          <w:highlight w:val="none"/>
        </w:rPr>
        <w:t>投标文件未按招标文件要求签署、盖章的；</w:t>
      </w:r>
    </w:p>
    <w:p>
      <w:pPr>
        <w:spacing w:line="360" w:lineRule="auto"/>
        <w:ind w:firstLine="420" w:firstLineChars="200"/>
        <w:rPr>
          <w:rStyle w:val="138"/>
          <w:highlight w:val="none"/>
        </w:rPr>
      </w:pPr>
      <w:r>
        <w:rPr>
          <w:rFonts w:hint="eastAsia"/>
          <w:szCs w:val="21"/>
          <w:highlight w:val="none"/>
        </w:rPr>
        <w:t>②</w:t>
      </w:r>
      <w:r>
        <w:rPr>
          <w:highlight w:val="none"/>
        </w:rPr>
        <w:t>投标文件未按招标文件要求</w:t>
      </w:r>
      <w:r>
        <w:rPr>
          <w:rFonts w:hint="eastAsia"/>
          <w:highlight w:val="none"/>
        </w:rPr>
        <w:t>提供第六章要求“必须提供”的内容</w:t>
      </w:r>
      <w:r>
        <w:rPr>
          <w:highlight w:val="none"/>
        </w:rPr>
        <w:t>的；</w:t>
      </w:r>
    </w:p>
    <w:p>
      <w:pPr>
        <w:spacing w:line="360" w:lineRule="auto"/>
        <w:ind w:firstLine="420" w:firstLineChars="200"/>
        <w:rPr>
          <w:rStyle w:val="138"/>
          <w:highlight w:val="none"/>
        </w:rPr>
      </w:pPr>
      <w:r>
        <w:rPr>
          <w:rFonts w:hint="eastAsia"/>
          <w:szCs w:val="21"/>
          <w:highlight w:val="none"/>
        </w:rPr>
        <w:t>③</w:t>
      </w:r>
      <w:r>
        <w:rPr>
          <w:highlight w:val="none"/>
        </w:rPr>
        <w:t>报价超过招标文件中规定的预算金额或者最高限价的；</w:t>
      </w:r>
    </w:p>
    <w:p>
      <w:pPr>
        <w:spacing w:line="360" w:lineRule="auto"/>
        <w:ind w:firstLine="420" w:firstLineChars="200"/>
        <w:rPr>
          <w:highlight w:val="none"/>
        </w:rPr>
      </w:pPr>
      <w:r>
        <w:rPr>
          <w:rFonts w:hint="eastAsia"/>
          <w:szCs w:val="21"/>
          <w:highlight w:val="none"/>
        </w:rPr>
        <w:t>④</w:t>
      </w:r>
      <w:r>
        <w:rPr>
          <w:highlight w:val="none"/>
        </w:rPr>
        <w:t>投标文件含有采购人不能接受的附加条件的</w:t>
      </w:r>
      <w:r>
        <w:rPr>
          <w:rFonts w:hint="eastAsia"/>
          <w:highlight w:val="none"/>
        </w:rPr>
        <w:t>；</w:t>
      </w:r>
    </w:p>
    <w:p>
      <w:pPr>
        <w:spacing w:line="360" w:lineRule="auto"/>
        <w:ind w:firstLine="420" w:firstLineChars="200"/>
        <w:rPr>
          <w:szCs w:val="21"/>
          <w:highlight w:val="none"/>
        </w:rPr>
      </w:pPr>
      <w:r>
        <w:rPr>
          <w:rFonts w:hint="eastAsia"/>
          <w:szCs w:val="21"/>
          <w:highlight w:val="none"/>
        </w:rPr>
        <w:t>⑤评审过程中发现投标文件中提供虚假材料的；</w:t>
      </w:r>
    </w:p>
    <w:p>
      <w:pPr>
        <w:spacing w:line="360" w:lineRule="auto"/>
        <w:ind w:firstLine="420" w:firstLineChars="200"/>
        <w:rPr>
          <w:szCs w:val="21"/>
          <w:highlight w:val="none"/>
        </w:rPr>
      </w:pPr>
      <w:r>
        <w:rPr>
          <w:rFonts w:hint="eastAsia" w:ascii="宋体" w:hAnsi="宋体"/>
          <w:szCs w:val="21"/>
          <w:highlight w:val="none"/>
        </w:rPr>
        <w:t>⑥</w:t>
      </w:r>
      <w:r>
        <w:rPr>
          <w:szCs w:val="21"/>
          <w:highlight w:val="none"/>
        </w:rPr>
        <w:t>法律、法规和招标文件规定的其他无效情形。</w:t>
      </w:r>
    </w:p>
    <w:bookmarkEnd w:id="162"/>
    <w:p>
      <w:pPr>
        <w:spacing w:line="360" w:lineRule="auto"/>
        <w:ind w:firstLine="420" w:firstLineChars="200"/>
        <w:rPr>
          <w:szCs w:val="21"/>
          <w:highlight w:val="none"/>
        </w:rPr>
      </w:pPr>
      <w:bookmarkStart w:id="165" w:name="_Hlk19113313"/>
      <w:r>
        <w:rPr>
          <w:rFonts w:hint="eastAsia"/>
          <w:szCs w:val="21"/>
          <w:highlight w:val="none"/>
        </w:rPr>
        <w:t>（</w:t>
      </w:r>
      <w:r>
        <w:rPr>
          <w:szCs w:val="21"/>
          <w:highlight w:val="none"/>
        </w:rPr>
        <w:t>3</w:t>
      </w:r>
      <w:r>
        <w:rPr>
          <w:rFonts w:hint="eastAsia"/>
          <w:szCs w:val="21"/>
          <w:highlight w:val="none"/>
        </w:rPr>
        <w:t>）根据</w:t>
      </w:r>
      <w:r>
        <w:rPr>
          <w:szCs w:val="21"/>
          <w:highlight w:val="none"/>
        </w:rPr>
        <w:t>财库〔2019〕38号</w:t>
      </w:r>
      <w:r>
        <w:rPr>
          <w:rFonts w:hint="eastAsia"/>
          <w:szCs w:val="21"/>
          <w:highlight w:val="none"/>
        </w:rPr>
        <w:t>《</w:t>
      </w:r>
      <w:r>
        <w:rPr>
          <w:szCs w:val="21"/>
          <w:highlight w:val="none"/>
        </w:rPr>
        <w:t>关于促进政府采购公平竞争优化营商环境的通知</w:t>
      </w:r>
      <w:r>
        <w:rPr>
          <w:rFonts w:hint="eastAsia"/>
          <w:szCs w:val="21"/>
          <w:highlight w:val="none"/>
        </w:rPr>
        <w:t>》以及桂财采〔2019〕41号 《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bookmarkEnd w:id="165"/>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bookmarkStart w:id="166" w:name="_Hlk19176155"/>
      <w:r>
        <w:rPr>
          <w:rFonts w:hint="eastAsia"/>
          <w:b/>
          <w:bCs/>
          <w:kern w:val="0"/>
          <w:szCs w:val="21"/>
          <w:highlight w:val="none"/>
        </w:rPr>
        <w:t>7.澄清、说明或补正</w:t>
      </w:r>
    </w:p>
    <w:p>
      <w:pPr>
        <w:adjustRightInd w:val="0"/>
        <w:snapToGrid w:val="0"/>
        <w:spacing w:line="360" w:lineRule="auto"/>
        <w:ind w:firstLine="420" w:firstLineChars="200"/>
        <w:jc w:val="left"/>
        <w:rPr>
          <w:szCs w:val="21"/>
          <w:highlight w:val="none"/>
        </w:rPr>
      </w:pPr>
      <w:bookmarkStart w:id="167" w:name="_Hlk19113333"/>
      <w:r>
        <w:rPr>
          <w:szCs w:val="21"/>
          <w:highlight w:val="none"/>
        </w:rPr>
        <w:t>对投标文件中含义不明确、同类问题表述不一致或者有明显文字和计算错误的内容，</w:t>
      </w:r>
      <w:r>
        <w:rPr>
          <w:rFonts w:hint="eastAsia"/>
          <w:szCs w:val="21"/>
          <w:highlight w:val="none"/>
        </w:rPr>
        <w:t>评标委员会可要求供应商在合理时间内通过电话、电子邮件或传真等不见面、不接触的方式作出必要的澄清、说明或者纠正。内容不得超出投标文件的范围或者改变投标文件的实质性内容。逾期未做澄清、说明或者纠正的，经电话催告仍不澄清的，视为放弃。</w:t>
      </w:r>
    </w:p>
    <w:bookmarkEnd w:id="167"/>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bookmarkStart w:id="168" w:name="_Hlk19113363"/>
      <w:r>
        <w:rPr>
          <w:rFonts w:hint="eastAsia"/>
          <w:b/>
          <w:bCs/>
          <w:kern w:val="0"/>
          <w:szCs w:val="21"/>
          <w:highlight w:val="none"/>
        </w:rPr>
        <w:t>8.报价修正</w:t>
      </w:r>
    </w:p>
    <w:p>
      <w:pPr>
        <w:spacing w:line="360" w:lineRule="auto"/>
        <w:ind w:firstLine="420" w:firstLineChars="200"/>
        <w:rPr>
          <w:szCs w:val="21"/>
          <w:highlight w:val="none"/>
        </w:rPr>
      </w:pPr>
      <w:r>
        <w:rPr>
          <w:szCs w:val="21"/>
          <w:highlight w:val="none"/>
        </w:rPr>
        <w:t>投标文件</w:t>
      </w:r>
      <w:r>
        <w:rPr>
          <w:rFonts w:hint="eastAsia"/>
          <w:szCs w:val="21"/>
          <w:highlight w:val="none"/>
        </w:rPr>
        <w:t>报价</w:t>
      </w:r>
      <w:r>
        <w:rPr>
          <w:szCs w:val="21"/>
          <w:highlight w:val="none"/>
        </w:rPr>
        <w:t>如果出现计算或表达上的错误，修正错误的原则如下：</w:t>
      </w:r>
    </w:p>
    <w:p>
      <w:pPr>
        <w:spacing w:line="360" w:lineRule="auto"/>
        <w:ind w:firstLine="420" w:firstLineChars="200"/>
        <w:rPr>
          <w:szCs w:val="21"/>
          <w:highlight w:val="none"/>
        </w:rPr>
      </w:pPr>
      <w:r>
        <w:rPr>
          <w:szCs w:val="21"/>
          <w:highlight w:val="none"/>
        </w:rPr>
        <w:t>（1）投标文件中开标一览表（报价表）内容与投标文件中相应内容不一致的，以开标一览表（报价表）为准；</w:t>
      </w:r>
    </w:p>
    <w:p>
      <w:pPr>
        <w:spacing w:line="360" w:lineRule="auto"/>
        <w:ind w:firstLine="420" w:firstLineChars="200"/>
        <w:rPr>
          <w:szCs w:val="21"/>
          <w:highlight w:val="none"/>
        </w:rPr>
      </w:pPr>
      <w:r>
        <w:rPr>
          <w:szCs w:val="21"/>
          <w:highlight w:val="none"/>
        </w:rPr>
        <w:t>（2）大写金额和小写金额不一致的，以大写金额为准；</w:t>
      </w:r>
    </w:p>
    <w:p>
      <w:pPr>
        <w:spacing w:line="360" w:lineRule="auto"/>
        <w:ind w:firstLine="420" w:firstLineChars="200"/>
        <w:rPr>
          <w:szCs w:val="21"/>
          <w:highlight w:val="none"/>
        </w:rPr>
      </w:pPr>
      <w:r>
        <w:rPr>
          <w:szCs w:val="21"/>
          <w:highlight w:val="none"/>
        </w:rPr>
        <w:t>（3）单价金额小数点或者百分比有明显错位的，以开标一览表的总价为准，并修改单价；</w:t>
      </w:r>
    </w:p>
    <w:p>
      <w:pPr>
        <w:spacing w:line="360" w:lineRule="auto"/>
        <w:ind w:firstLine="420" w:firstLineChars="200"/>
        <w:rPr>
          <w:szCs w:val="21"/>
          <w:highlight w:val="none"/>
        </w:rPr>
      </w:pPr>
      <w:r>
        <w:rPr>
          <w:szCs w:val="21"/>
          <w:highlight w:val="none"/>
        </w:rPr>
        <w:t>（4）总价金额与按单价汇总金额不一致的，以单价金额计算结果为准</w:t>
      </w:r>
      <w:r>
        <w:rPr>
          <w:rFonts w:hint="eastAsia"/>
          <w:szCs w:val="21"/>
          <w:highlight w:val="none"/>
        </w:rPr>
        <w:t>。</w:t>
      </w:r>
    </w:p>
    <w:p>
      <w:pPr>
        <w:spacing w:line="360" w:lineRule="auto"/>
        <w:ind w:firstLine="420" w:firstLineChars="200"/>
        <w:rPr>
          <w:szCs w:val="21"/>
          <w:highlight w:val="none"/>
        </w:rPr>
      </w:pPr>
      <w:r>
        <w:rPr>
          <w:rFonts w:hint="eastAsia"/>
          <w:szCs w:val="21"/>
          <w:highlight w:val="none"/>
        </w:rPr>
        <w:t>同时出现两种以上不一致的，按照上述顺序修正。修正后的报价按照上述“</w:t>
      </w:r>
      <w:r>
        <w:rPr>
          <w:szCs w:val="21"/>
          <w:highlight w:val="none"/>
        </w:rPr>
        <w:t>8</w:t>
      </w:r>
      <w:r>
        <w:rPr>
          <w:rFonts w:hint="eastAsia"/>
          <w:szCs w:val="21"/>
          <w:highlight w:val="none"/>
        </w:rPr>
        <w:t>、澄清、说明或补正”的规定经供应商确认后产生约束力，供应商不确认的，其投标无效。</w:t>
      </w:r>
    </w:p>
    <w:bookmarkEnd w:id="166"/>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9.过低报价合理性的审查</w:t>
      </w:r>
    </w:p>
    <w:p>
      <w:pPr>
        <w:spacing w:line="360" w:lineRule="auto"/>
        <w:ind w:firstLine="420" w:firstLineChars="200"/>
        <w:rPr>
          <w:szCs w:val="21"/>
          <w:highlight w:val="none"/>
        </w:rPr>
      </w:pPr>
      <w:r>
        <w:rPr>
          <w:highlight w:val="none"/>
        </w:rPr>
        <w:t>评标委员会认为供应商的报价明显低于其他通过符合性审查供应商的报价，有可能影响产品质量或者不能诚信履约的，应当要求其在合理的时间内提供书面说明并提交相关证明材料；</w:t>
      </w:r>
      <w:r>
        <w:rPr>
          <w:rFonts w:hint="eastAsia"/>
          <w:highlight w:val="none"/>
        </w:rPr>
        <w:t>评标委员会可以要求</w:t>
      </w:r>
      <w:r>
        <w:rPr>
          <w:highlight w:val="none"/>
        </w:rPr>
        <w:t>供应商就提供货物的主</w:t>
      </w:r>
      <w:r>
        <w:rPr>
          <w:rFonts w:hint="eastAsia"/>
          <w:highlight w:val="none"/>
        </w:rPr>
        <w:t>要</w:t>
      </w:r>
      <w:r>
        <w:rPr>
          <w:highlight w:val="none"/>
        </w:rPr>
        <w:t>成本、销售费用、管理费用、财务费用、履约费用、计划利润、税金及附加等成本构成事项</w:t>
      </w:r>
      <w:r>
        <w:rPr>
          <w:rFonts w:hint="eastAsia"/>
          <w:highlight w:val="none"/>
        </w:rPr>
        <w:t>进行</w:t>
      </w:r>
      <w:r>
        <w:rPr>
          <w:highlight w:val="none"/>
        </w:rPr>
        <w:t>详细陈述。书面说明应当</w:t>
      </w:r>
      <w:r>
        <w:rPr>
          <w:rFonts w:hint="eastAsia"/>
          <w:szCs w:val="21"/>
          <w:highlight w:val="none"/>
        </w:rPr>
        <w:t>按照上述“</w:t>
      </w:r>
      <w:r>
        <w:rPr>
          <w:szCs w:val="21"/>
          <w:highlight w:val="none"/>
        </w:rPr>
        <w:t>8</w:t>
      </w:r>
      <w:r>
        <w:rPr>
          <w:rFonts w:hint="eastAsia"/>
          <w:szCs w:val="21"/>
          <w:highlight w:val="none"/>
        </w:rPr>
        <w:t>、澄清、说明或补正”的规定经供应商确认后提交给评标委员会。</w:t>
      </w:r>
      <w:r>
        <w:rPr>
          <w:highlight w:val="none"/>
        </w:rPr>
        <w:t>供应商</w:t>
      </w:r>
      <w:r>
        <w:rPr>
          <w:rFonts w:hint="eastAsia"/>
          <w:highlight w:val="none"/>
        </w:rPr>
        <w:t>未按规定提供说明或</w:t>
      </w:r>
      <w:r>
        <w:rPr>
          <w:highlight w:val="none"/>
        </w:rPr>
        <w:t>不能证明其报价合理性的，评标委员会应当将其作为无效投标处理。</w:t>
      </w:r>
    </w:p>
    <w:p>
      <w:pPr>
        <w:spacing w:line="360" w:lineRule="auto"/>
        <w:ind w:firstLine="420" w:firstLineChars="200"/>
        <w:rPr>
          <w:highlight w:val="none"/>
        </w:rPr>
      </w:pPr>
      <w:r>
        <w:rPr>
          <w:highlight w:val="none"/>
        </w:rPr>
        <w:t>报价合理性书面说明</w:t>
      </w:r>
      <w:r>
        <w:rPr>
          <w:rFonts w:hint="eastAsia"/>
          <w:highlight w:val="none"/>
        </w:rPr>
        <w:t>应当有</w:t>
      </w:r>
      <w:r>
        <w:rPr>
          <w:highlight w:val="none"/>
        </w:rPr>
        <w:t>签字或盖章确认，供应商为法人的，由其法定代表人或者授权代表签名或盖章确认；供应商为其他组织的，由其主要负责人或者授权代表签名或盖章确认；供应商为自然人的，由其本人或者授权代表签名或盖章确认。</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10.商务和技术评估、综合比较与评价</w:t>
      </w:r>
    </w:p>
    <w:p>
      <w:pPr>
        <w:spacing w:line="360" w:lineRule="auto"/>
        <w:ind w:firstLine="420" w:firstLineChars="200"/>
        <w:rPr>
          <w:szCs w:val="21"/>
          <w:highlight w:val="none"/>
        </w:rPr>
      </w:pPr>
      <w:r>
        <w:rPr>
          <w:rFonts w:hint="eastAsia"/>
          <w:szCs w:val="21"/>
          <w:highlight w:val="none"/>
        </w:rPr>
        <w:t>评标委员会</w:t>
      </w:r>
      <w:r>
        <w:rPr>
          <w:szCs w:val="21"/>
          <w:highlight w:val="none"/>
        </w:rPr>
        <w:t>按招标文件中规定的评标方法和标准，对资格审查和符合性审查合格的投标文件进行商务和技术评估，综合比较与评价。</w:t>
      </w:r>
      <w:r>
        <w:rPr>
          <w:rStyle w:val="138"/>
          <w:rFonts w:hint="eastAsia"/>
          <w:highlight w:val="none"/>
        </w:rPr>
        <w:t>具体评标标准见《</w:t>
      </w:r>
      <w:r>
        <w:rPr>
          <w:bCs/>
          <w:kern w:val="0"/>
          <w:szCs w:val="21"/>
          <w:highlight w:val="none"/>
        </w:rPr>
        <w:t>评分表</w:t>
      </w:r>
      <w:r>
        <w:rPr>
          <w:rStyle w:val="138"/>
          <w:rFonts w:hint="eastAsia"/>
          <w:highlight w:val="none"/>
        </w:rPr>
        <w:t>》。</w:t>
      </w:r>
    </w:p>
    <w:p>
      <w:pPr>
        <w:spacing w:line="360" w:lineRule="auto"/>
        <w:ind w:firstLine="420" w:firstLineChars="200"/>
        <w:rPr>
          <w:szCs w:val="21"/>
          <w:highlight w:val="none"/>
        </w:rPr>
      </w:pPr>
      <w:r>
        <w:rPr>
          <w:szCs w:val="21"/>
          <w:highlight w:val="none"/>
        </w:rPr>
        <w:t>评标委员会各成员独立对每个有效供应商的投标文件进行评价、打分，然后由评标组长组织评标委员会对各成员打分情况进行核查及复核，</w:t>
      </w:r>
      <w:r>
        <w:rPr>
          <w:rFonts w:hint="eastAsia"/>
          <w:szCs w:val="21"/>
          <w:highlight w:val="none"/>
        </w:rPr>
        <w:t>评</w:t>
      </w:r>
      <w:r>
        <w:rPr>
          <w:szCs w:val="21"/>
          <w:highlight w:val="none"/>
        </w:rPr>
        <w:t>分有误的，应及时进行修正。评标标准如有主客观分定义，评标委员会所有成员的客观分打分分数应当一致。</w:t>
      </w:r>
    </w:p>
    <w:p>
      <w:pPr>
        <w:spacing w:line="360" w:lineRule="auto"/>
        <w:ind w:firstLine="420" w:firstLineChars="200"/>
        <w:rPr>
          <w:highlight w:val="none"/>
        </w:rPr>
      </w:pPr>
      <w:r>
        <w:rPr>
          <w:szCs w:val="21"/>
          <w:highlight w:val="none"/>
        </w:rPr>
        <w:t>复核后，评标委员会汇总每个供应商每项评分因素的得分。</w:t>
      </w:r>
      <w:r>
        <w:rPr>
          <w:highlight w:val="none"/>
        </w:rPr>
        <w:t>评标结果汇总完成后，除下列情形外，任何人不得修改评标结果：（1）分值汇总计算错误的；（2）分项评分超出评分标准范围的；（3）评标委员会成员对客观评审因素评分不一致的；（4）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11.中标候选人推荐原则</w:t>
      </w:r>
    </w:p>
    <w:p>
      <w:pPr>
        <w:spacing w:line="360" w:lineRule="auto"/>
        <w:ind w:firstLine="420" w:firstLineChars="200"/>
        <w:rPr>
          <w:szCs w:val="21"/>
          <w:highlight w:val="none"/>
        </w:rPr>
      </w:pPr>
      <w:r>
        <w:rPr>
          <w:szCs w:val="21"/>
          <w:highlight w:val="none"/>
        </w:rPr>
        <w:t>按评标后得分由高到低的排列顺序推荐综合得分排名第一的为第一中标候选人。若中标候选人综合得分相同的，按投标报价由低到高顺序排列；综合得分且投标报价相同的</w:t>
      </w:r>
      <w:r>
        <w:rPr>
          <w:highlight w:val="none"/>
        </w:rPr>
        <w:t>并列</w:t>
      </w:r>
      <w:r>
        <w:rPr>
          <w:szCs w:val="21"/>
          <w:highlight w:val="none"/>
        </w:rPr>
        <w:t>；中标候选人并列的，</w:t>
      </w:r>
      <w:r>
        <w:rPr>
          <w:highlight w:val="none"/>
        </w:rPr>
        <w:t>由采购人</w:t>
      </w:r>
      <w:r>
        <w:rPr>
          <w:szCs w:val="21"/>
          <w:highlight w:val="none"/>
        </w:rPr>
        <w:t>按技术部分得分由高到低顺序排列，若综合得分、投标报价、技术部分均相同的，按商务部分得分由高到低顺序排列。</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12.评标争议处理</w:t>
      </w:r>
    </w:p>
    <w:p>
      <w:pPr>
        <w:spacing w:line="360" w:lineRule="auto"/>
        <w:ind w:firstLine="420" w:firstLineChars="200"/>
        <w:rPr>
          <w:highlight w:val="none"/>
        </w:rPr>
      </w:pPr>
      <w:r>
        <w:rPr>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168"/>
    <w:p>
      <w:pPr>
        <w:spacing w:line="360" w:lineRule="auto"/>
        <w:ind w:firstLine="422" w:firstLineChars="200"/>
        <w:outlineLvl w:val="1"/>
        <w:rPr>
          <w:b/>
          <w:bCs/>
          <w:kern w:val="0"/>
          <w:szCs w:val="21"/>
          <w:highlight w:val="none"/>
        </w:rPr>
      </w:pPr>
      <w:r>
        <w:rPr>
          <w:b/>
          <w:bCs/>
          <w:kern w:val="0"/>
          <w:highlight w:val="none"/>
        </w:rPr>
        <w:br w:type="page"/>
      </w:r>
      <w:bookmarkStart w:id="169" w:name="_Hlk19113393"/>
      <w:r>
        <w:rPr>
          <w:rFonts w:hint="eastAsia"/>
          <w:b/>
          <w:bCs/>
          <w:kern w:val="0"/>
          <w:szCs w:val="21"/>
          <w:highlight w:val="none"/>
        </w:rPr>
        <w:t>四</w:t>
      </w:r>
      <w:r>
        <w:rPr>
          <w:b/>
          <w:bCs/>
          <w:kern w:val="0"/>
          <w:szCs w:val="21"/>
          <w:highlight w:val="none"/>
        </w:rPr>
        <w:t>、评标标准</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color w:val="auto"/>
          <w:kern w:val="0"/>
          <w:szCs w:val="21"/>
          <w:highlight w:val="none"/>
        </w:rPr>
      </w:pPr>
      <w:r>
        <w:rPr>
          <w:rFonts w:hint="eastAsia"/>
          <w:b/>
          <w:bCs/>
          <w:color w:val="auto"/>
          <w:kern w:val="0"/>
          <w:szCs w:val="21"/>
          <w:highlight w:val="none"/>
          <w:lang w:val="en-US" w:eastAsia="zh-CN"/>
        </w:rPr>
        <w:t>1.</w:t>
      </w:r>
      <w:r>
        <w:rPr>
          <w:rFonts w:hint="eastAsia"/>
          <w:b/>
          <w:bCs/>
          <w:color w:val="auto"/>
          <w:kern w:val="0"/>
          <w:szCs w:val="21"/>
          <w:highlight w:val="none"/>
        </w:rPr>
        <w:t>评分表</w:t>
      </w:r>
    </w:p>
    <w:bookmarkEnd w:id="137"/>
    <w:bookmarkEnd w:id="138"/>
    <w:bookmarkEnd w:id="169"/>
    <w:tbl>
      <w:tblPr>
        <w:tblStyle w:val="54"/>
        <w:tblW w:w="90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5"/>
        <w:gridCol w:w="577"/>
        <w:gridCol w:w="864"/>
        <w:gridCol w:w="6487"/>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评审因素</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评标标准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价格分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竞标报价</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1.评标报价为投标人的投标报价进行政策性扣除后的价格，评标报价只是作为评标时使用。最终中标人的中标金额等于投标报价。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2.政策性扣除计算方法：本项目</w:t>
            </w:r>
            <w:r>
              <w:rPr>
                <w:rFonts w:hint="eastAsia" w:ascii="宋体" w:hAnsi="宋体" w:cs="宋体"/>
                <w:i w:val="0"/>
                <w:iCs w:val="0"/>
                <w:color w:val="auto"/>
                <w:kern w:val="0"/>
                <w:sz w:val="21"/>
                <w:szCs w:val="21"/>
                <w:highlight w:val="none"/>
                <w:u w:val="none"/>
                <w:lang w:val="en-US" w:eastAsia="zh-CN" w:bidi="ar"/>
              </w:rPr>
              <w:t>D</w:t>
            </w:r>
            <w:r>
              <w:rPr>
                <w:rFonts w:hint="eastAsia" w:ascii="宋体" w:hAnsi="宋体" w:eastAsia="宋体" w:cs="宋体"/>
                <w:i w:val="0"/>
                <w:iCs w:val="0"/>
                <w:color w:val="auto"/>
                <w:kern w:val="0"/>
                <w:sz w:val="21"/>
                <w:szCs w:val="21"/>
                <w:highlight w:val="none"/>
                <w:u w:val="none"/>
                <w:lang w:val="en-US" w:eastAsia="zh-CN" w:bidi="ar"/>
              </w:rPr>
              <w:t>分标属于专门面向</w:t>
            </w:r>
            <w:r>
              <w:rPr>
                <w:rFonts w:hint="eastAsia" w:ascii="宋体" w:hAnsi="宋体" w:cs="宋体"/>
                <w:i w:val="0"/>
                <w:iCs w:val="0"/>
                <w:color w:val="auto"/>
                <w:kern w:val="0"/>
                <w:sz w:val="21"/>
                <w:szCs w:val="21"/>
                <w:highlight w:val="none"/>
                <w:u w:val="none"/>
                <w:lang w:val="en-US" w:eastAsia="zh-CN" w:bidi="ar"/>
              </w:rPr>
              <w:t>中小</w:t>
            </w:r>
            <w:r>
              <w:rPr>
                <w:rFonts w:hint="eastAsia" w:ascii="宋体" w:hAnsi="宋体" w:eastAsia="宋体" w:cs="宋体"/>
                <w:i w:val="0"/>
                <w:iCs w:val="0"/>
                <w:color w:val="auto"/>
                <w:kern w:val="0"/>
                <w:sz w:val="21"/>
                <w:szCs w:val="21"/>
                <w:highlight w:val="none"/>
                <w:u w:val="none"/>
                <w:lang w:val="en-US" w:eastAsia="zh-CN" w:bidi="ar"/>
              </w:rPr>
              <w:t>企业采购的项目，评标报价=投标报价</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3.以进入比较与评价环节的最低的评审价为基准价，基准价得分为30分。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4.价格分计算公式：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价格分=（评标基准价／评标报价）×30分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团队人员配备</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根据投标人拟投入的团队人员进行评分：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拟派本项目技术负责人具备计算机集成类或电子类或信息类中级职称、或具备计算机技术与软件专业技术资格（水平）考试中级资格（信息系统管理工程师或信息安全工程师或系统集成项目管理工程师）的得0.5分，具备计算机集成类或电子类或信息类高级（含）以上职称、或具备计算机技术与软件专业技术资格（水平）考试高级资格（信息系统项目管理师）的得1分，本项最高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（2）拟投入本项目的团队人员需满足4人以上（含4人），否则本项不得分。团队人员中每具有1个人员具备无线电相关专业中级（含）以上工程师职称的得0.5分，本项最高得1分。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注：需提供拟投入团队人员名单、身份证正反面扫描件、相关证书扫描件以及投标人为拟投入团队人员缴纳的2024年9月至投标文件提交截止时间内任意1个月的社保证明或劳动合同扫描件；提供的身份证及相关证明扫描件须加盖投标人公章（或电子签章），否则不得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技术要求（指标）</w:t>
            </w:r>
            <w:r>
              <w:rPr>
                <w:rFonts w:hint="eastAsia" w:ascii="宋体" w:hAnsi="宋体" w:cs="宋体"/>
                <w:i w:val="0"/>
                <w:iCs w:val="0"/>
                <w:color w:val="auto"/>
                <w:kern w:val="0"/>
                <w:sz w:val="21"/>
                <w:szCs w:val="21"/>
                <w:highlight w:val="none"/>
                <w:u w:val="none"/>
                <w:lang w:val="en-US" w:eastAsia="zh-CN" w:bidi="ar"/>
              </w:rPr>
              <w:t>应答</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投标文件对招标文件“第二章  采购需求”应答的所有技术要求（指标）中无负偏离的得11分；对重要技术要求（指标）应答（指招标文件“第二章  采购需求”标注“#”的技术要求（指标））每有一项正偏离的加1分，最高加4分。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应答的所有技术要求（指标）中有一项及以上负偏离的，此整项得0分。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技术方案</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根据投标人提供的技术方案（包括总体设计、硬件配置、配套设施、监测测向及集成安装要求等）进行综合评分：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（1）四档（</w:t>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分）：能准确理解本项目的建设内容、目标，总体设计方案详细，能根据本项目实施地点、实施环境等特点准确把握本项目需求的重点、难点和要求，硬件配置、配套设施、监测测向及集成安装要求等方案满足度高，方案整体架构、网络架构合理，技术性能指标和系统功能完全符合本项目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（2）三档（</w:t>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分）：较准确理解本项目的建设内容、目标，总体设计方案较为详细，较好地把握本项目需求的重点、难点和要求，硬件配置、配套设施、监测测向及集成安装要求等方案满足度较高，方案整体架构、网络架构较为合理，技术性能指标和系统功能比较符合本项目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（3）二档（</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分）：基本理解本项目的建设内容、目标，总体设计方案较为简单，总体设计方案整体性、可靠性、优先性、兼容性较弱，技术性能指标和系统功能基本满足本项目要求。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（4）一档（0分）：未提供方案的，或提供的方案明显与本项目严重不符或不合理的。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项目实施方案</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根据投标人提供的针对本项目的实施方案（包括质量管理体系与措施、实施组织与工期保证措施、实施计划与时间安排）进行综合评分：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四档（15分）：实施方案详细完善、合理可行，针对性强，包含质量控制、组织机构与进度计划、设备进场与配套设施集成方案等。质量管理体系与措施可行性强，实施组织与工期保证措施科学合理，实施计划与时间安排全面可行，各阶段进度安排措施和质量控制内容完整，完全满足采购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（2）三档（10分）：实施方案详细、合理，有较强的针对性，质量管理体系与措施可行性较强，实施组织与工期保证措施科学合理，实施计划与时间安排基本可行。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（3）二档（5分）：实施方案较详细、合理，有一定的针对性，质量管理体系与措施、实施组织与工期保证措施、实施计划与时间安排的可行性、合理性一般。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（4）一档（0分）：未提供方案的，或提供的方案明显与本项目严重不符或不合理的。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售后服务方案</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根据投标人提供的售后服务方案中服务承诺和质量保证措施进行综合评价，包括服务保障体系、售后服务响应时间、备品备件配置、故障处理流程等方面。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四档（10分）：针对本项目有专门的售后服务机构、专职协调人员及专职工程技术人员,售后服务保障体系及措施完善，技术支持能力强，服务响应快，响应程度高或优于采购需求，质保期后长期保修、维护、服务以及今后技术支持的措施计划和承诺（包括收费维修维护的内容、费用及服务方式）满足要求。（提供人员名单及学历、职称、同类项目服务经验证明材料及投标人为其缴纳的2024年9月至投标文件提交截止时间内任意1个月的社保证明或劳动合同扫描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三档（6分）：售后服务保障体系及措施较好，技术支持能力较强，服务响应较快，满足采购需求，质保期后长期保修、维护、服务以及今后技术支持的措施计划和承诺（包括收费维修维护的内容、费用及服务方式）基本满足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二档（3分）：售后服务保障体系及措施基本符合招标要求，但技术支持能力和服务响应速度一般，质保期后长期保修、维护、服务以及今后技术支持的措施计划和承诺（包括收费维修维护的内容、费用及服务方式）不满足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（4）一档（0分）：未提供方案的，或提供的方案明显与本项目严重不符或不合理的。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培训方案</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根据投标人所提供的培训方案是否具体完整、科学、合理，是否有严谨且可执行的保障措施，各投标人需对培训方案作详细说明和承诺（包括培训方式、培训内容、培训时间、培训资料等）：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四档（5分）：培训方案能体现详细的培训方式（线上或线下培训），培训内容符合本项目实际需要，培训时间安排科学合理，培训资料包含与本项目需求所需详细资料，培训方案中包含详细可实施的培训保障方案，可操作及针对性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三档（3分）：培训方案能体现完整的培训方式（线上或线下培训），培训内容比较符合本项目实际需要，培训时间安排比较合理，培训资料包含与本项目需求所需完整资料，培训方案中包含完整可实施的培训保障方案，方案整体可操作性较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（3）二档（1分）：培训方案能体现培训方式（线上或线下培训），培训内容基本满足本项目需求，培训时间安排基本合理，培训资料较简单，方案整体可操作及针对性一般。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（4）一档（0分）：未提供方案的，或提供的方案明显与本项目严重不符或不合理的。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商务分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项目业绩</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2022年1月1日至投标文件递交截止时间内（以合同签订日期为准），投标人承接过无线电固定监测站新建或升级改造项目业绩的，每项得1分，本项最高得3分。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注：需提供项目合同扫描件，并加盖投标人公章（或电子签章），否则不得分。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管理体系认证</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根据投标人提供的管理体系认证证书进行评分：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（1）具备有效的质量管理体系认证证书得1分；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（2）具备有效的信息技术服务管理体系认证证书得1分；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（3）具备有效的信息安全管理体系认证证书得1分。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注：需提供认证证书扫描件，并加盖投标人公章</w:t>
            </w:r>
            <w:bookmarkStart w:id="170" w:name="OLE_LINK63"/>
            <w:r>
              <w:rPr>
                <w:rFonts w:hint="eastAsia" w:ascii="宋体" w:hAnsi="宋体" w:eastAsia="宋体" w:cs="宋体"/>
                <w:b/>
                <w:bCs/>
                <w:i w:val="0"/>
                <w:iCs w:val="0"/>
                <w:color w:val="auto"/>
                <w:kern w:val="0"/>
                <w:sz w:val="21"/>
                <w:szCs w:val="21"/>
                <w:highlight w:val="none"/>
                <w:u w:val="none"/>
                <w:lang w:val="en-US" w:eastAsia="zh-CN" w:bidi="ar"/>
              </w:rPr>
              <w:t>（或电子签章）</w:t>
            </w:r>
            <w:bookmarkEnd w:id="170"/>
            <w:r>
              <w:rPr>
                <w:rFonts w:hint="eastAsia" w:ascii="宋体" w:hAnsi="宋体" w:eastAsia="宋体" w:cs="宋体"/>
                <w:b/>
                <w:bCs/>
                <w:i w:val="0"/>
                <w:iCs w:val="0"/>
                <w:color w:val="auto"/>
                <w:kern w:val="0"/>
                <w:sz w:val="21"/>
                <w:szCs w:val="21"/>
                <w:highlight w:val="none"/>
                <w:u w:val="none"/>
                <w:lang w:val="en-US" w:eastAsia="zh-CN" w:bidi="ar"/>
              </w:rPr>
              <w:t>，否则不得分。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政策功能分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政策功能</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属于财政部《节能产品政府采购品目清单》内优先采购的产品，根据其所占项目预算金额比例得0至1分，本项满分1分。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注：清单内未标注“★”的品目为优先采购的产品，须在投标文件中提供有效的认证证书</w:t>
            </w:r>
            <w:r>
              <w:rPr>
                <w:rFonts w:hint="eastAsia" w:ascii="宋体" w:hAnsi="宋体" w:cs="宋体"/>
                <w:b/>
                <w:bCs/>
                <w:i w:val="0"/>
                <w:iCs w:val="0"/>
                <w:color w:val="auto"/>
                <w:kern w:val="0"/>
                <w:sz w:val="21"/>
                <w:szCs w:val="21"/>
                <w:highlight w:val="none"/>
                <w:u w:val="none"/>
                <w:lang w:val="en-US" w:eastAsia="zh-CN" w:bidi="ar"/>
              </w:rPr>
              <w:t>扫描件</w:t>
            </w:r>
            <w:r>
              <w:rPr>
                <w:rFonts w:hint="eastAsia" w:ascii="宋体" w:hAnsi="宋体" w:eastAsia="宋体" w:cs="宋体"/>
                <w:b/>
                <w:bCs/>
                <w:i w:val="0"/>
                <w:iCs w:val="0"/>
                <w:color w:val="auto"/>
                <w:kern w:val="0"/>
                <w:sz w:val="21"/>
                <w:szCs w:val="21"/>
                <w:highlight w:val="none"/>
                <w:u w:val="none"/>
                <w:lang w:val="en-US" w:eastAsia="zh-CN" w:bidi="ar"/>
              </w:rPr>
              <w:t>及品目清单（标注出投标产品在品目清单中所属的品目），并加盖投标人公章（或电子签章），否则不得分。</w:t>
            </w:r>
            <w:r>
              <w:rPr>
                <w:rFonts w:hint="eastAsia" w:ascii="宋体" w:hAnsi="宋体" w:eastAsia="宋体" w:cs="宋体"/>
                <w:i w:val="0"/>
                <w:iCs w:val="0"/>
                <w:color w:val="auto"/>
                <w:kern w:val="0"/>
                <w:sz w:val="21"/>
                <w:szCs w:val="21"/>
                <w:highlight w:val="none"/>
                <w:u w:val="none"/>
                <w:lang w:val="en-US" w:eastAsia="zh-CN" w:bidi="ar"/>
              </w:rPr>
              <w:br w:type="textWrapping"/>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2.属于财政部《环境标志产品政府采购品目清单》内的产品，根据其所占项目预算金额比例得0至1分，本项满分1分。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注：需在投标文件中提供有效的认证证书</w:t>
            </w:r>
            <w:r>
              <w:rPr>
                <w:rFonts w:hint="eastAsia" w:ascii="宋体" w:hAnsi="宋体" w:cs="宋体"/>
                <w:b/>
                <w:bCs/>
                <w:i w:val="0"/>
                <w:iCs w:val="0"/>
                <w:color w:val="auto"/>
                <w:kern w:val="0"/>
                <w:sz w:val="21"/>
                <w:szCs w:val="21"/>
                <w:highlight w:val="none"/>
                <w:u w:val="none"/>
                <w:lang w:val="en-US" w:eastAsia="zh-CN" w:bidi="ar"/>
              </w:rPr>
              <w:t>扫描件</w:t>
            </w:r>
            <w:r>
              <w:rPr>
                <w:rFonts w:hint="eastAsia" w:ascii="宋体" w:hAnsi="宋体" w:eastAsia="宋体" w:cs="宋体"/>
                <w:b/>
                <w:bCs/>
                <w:i w:val="0"/>
                <w:iCs w:val="0"/>
                <w:color w:val="auto"/>
                <w:kern w:val="0"/>
                <w:sz w:val="21"/>
                <w:szCs w:val="21"/>
                <w:highlight w:val="none"/>
                <w:u w:val="none"/>
                <w:lang w:val="en-US" w:eastAsia="zh-CN" w:bidi="ar"/>
              </w:rPr>
              <w:t>及品目清单（标注出投标产品在品目清单中所属的品目），并加盖投标人公章（或电子签章），否则不得分。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总得分＝价格分＋技术分＋商务分+政策功能分</w:t>
            </w:r>
          </w:p>
        </w:tc>
      </w:tr>
    </w:tbl>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color w:val="auto"/>
          <w:kern w:val="0"/>
          <w:szCs w:val="21"/>
          <w:highlight w:val="none"/>
          <w:lang w:val="en-US" w:eastAsia="zh-CN"/>
        </w:rPr>
      </w:pPr>
      <w:r>
        <w:rPr>
          <w:rFonts w:hint="eastAsia"/>
          <w:b/>
          <w:bCs/>
          <w:color w:val="auto"/>
          <w:kern w:val="0"/>
          <w:szCs w:val="21"/>
          <w:highlight w:val="none"/>
          <w:lang w:val="en-US" w:eastAsia="zh-CN"/>
        </w:rPr>
        <w:t>2.政府采购政策应用说明</w:t>
      </w:r>
    </w:p>
    <w:p>
      <w:pPr>
        <w:spacing w:line="360" w:lineRule="auto"/>
        <w:ind w:firstLine="422" w:firstLineChars="200"/>
        <w:outlineLvl w:val="3"/>
        <w:rPr>
          <w:b/>
          <w:bCs/>
          <w:color w:val="auto"/>
          <w:kern w:val="0"/>
          <w:szCs w:val="21"/>
          <w:highlight w:val="none"/>
        </w:rPr>
      </w:pPr>
      <w:r>
        <w:rPr>
          <w:rFonts w:hint="eastAsia"/>
          <w:b/>
          <w:bCs/>
          <w:color w:val="auto"/>
          <w:kern w:val="0"/>
          <w:szCs w:val="21"/>
          <w:highlight w:val="none"/>
          <w:lang w:val="en-US" w:eastAsia="zh-CN"/>
        </w:rPr>
        <w:t>2</w:t>
      </w:r>
      <w:r>
        <w:rPr>
          <w:rFonts w:hint="eastAsia"/>
          <w:b/>
          <w:bCs/>
          <w:color w:val="auto"/>
          <w:kern w:val="0"/>
          <w:szCs w:val="21"/>
          <w:highlight w:val="none"/>
        </w:rPr>
        <w:t>.</w:t>
      </w:r>
      <w:r>
        <w:rPr>
          <w:rFonts w:hint="eastAsia"/>
          <w:b/>
          <w:bCs/>
          <w:color w:val="auto"/>
          <w:kern w:val="0"/>
          <w:szCs w:val="21"/>
          <w:highlight w:val="none"/>
          <w:lang w:val="en-US" w:eastAsia="zh-CN"/>
        </w:rPr>
        <w:t>1</w:t>
      </w:r>
      <w:r>
        <w:rPr>
          <w:b/>
          <w:bCs/>
          <w:color w:val="auto"/>
          <w:kern w:val="0"/>
          <w:szCs w:val="21"/>
          <w:highlight w:val="none"/>
        </w:rPr>
        <w:t>政策性加分说明</w:t>
      </w:r>
    </w:p>
    <w:p>
      <w:pPr>
        <w:spacing w:line="360" w:lineRule="auto"/>
        <w:ind w:firstLine="420" w:firstLineChars="200"/>
        <w:rPr>
          <w:szCs w:val="21"/>
          <w:highlight w:val="none"/>
        </w:rPr>
      </w:pPr>
      <w:bookmarkStart w:id="171" w:name="_Hlk47714530"/>
      <w:r>
        <w:rPr>
          <w:szCs w:val="21"/>
          <w:highlight w:val="none"/>
        </w:rPr>
        <w:t>节能产品、</w:t>
      </w:r>
      <w:r>
        <w:rPr>
          <w:rFonts w:hint="eastAsia"/>
          <w:szCs w:val="21"/>
          <w:highlight w:val="none"/>
        </w:rPr>
        <w:t>环境</w:t>
      </w:r>
      <w:r>
        <w:rPr>
          <w:szCs w:val="21"/>
          <w:highlight w:val="none"/>
        </w:rPr>
        <w:t>标志产品</w:t>
      </w:r>
    </w:p>
    <w:p>
      <w:pPr>
        <w:spacing w:line="360" w:lineRule="auto"/>
        <w:ind w:firstLine="420" w:firstLineChars="200"/>
        <w:rPr>
          <w:bCs/>
          <w:szCs w:val="21"/>
          <w:highlight w:val="none"/>
        </w:rPr>
      </w:pPr>
      <w:r>
        <w:rPr>
          <w:bCs/>
          <w:szCs w:val="21"/>
          <w:highlight w:val="none"/>
        </w:rPr>
        <w:t>节能、</w:t>
      </w:r>
      <w:r>
        <w:rPr>
          <w:rFonts w:hint="eastAsia"/>
          <w:bCs/>
          <w:szCs w:val="21"/>
          <w:highlight w:val="none"/>
        </w:rPr>
        <w:t>环境</w:t>
      </w:r>
      <w:r>
        <w:rPr>
          <w:bCs/>
          <w:szCs w:val="21"/>
          <w:highlight w:val="none"/>
        </w:rPr>
        <w:t>标志产品以</w:t>
      </w:r>
      <w:r>
        <w:rPr>
          <w:rFonts w:hint="eastAsia" w:ascii="宋体" w:hAnsi="宋体"/>
          <w:highlight w:val="none"/>
        </w:rPr>
        <w:t>国家财政部等部门</w:t>
      </w:r>
      <w:r>
        <w:rPr>
          <w:rFonts w:hint="eastAsia"/>
          <w:bCs/>
          <w:szCs w:val="21"/>
          <w:highlight w:val="none"/>
        </w:rPr>
        <w:t>颁布的</w:t>
      </w:r>
      <w:r>
        <w:rPr>
          <w:rFonts w:hint="eastAsia" w:ascii="宋体" w:hAnsi="宋体"/>
          <w:highlight w:val="none"/>
        </w:rPr>
        <w:t>节能产品政府采购品目清单和环境标志产品政府采购品目清单为准</w:t>
      </w:r>
      <w:r>
        <w:rPr>
          <w:bCs/>
          <w:szCs w:val="21"/>
          <w:highlight w:val="none"/>
        </w:rPr>
        <w:t>，</w:t>
      </w:r>
      <w:r>
        <w:rPr>
          <w:rFonts w:hint="eastAsia"/>
          <w:szCs w:val="21"/>
          <w:highlight w:val="none"/>
        </w:rPr>
        <w:t>采购人或采购代理机构通过中国政府采购网“节能产品查询”及“环境标志产品查询”进行</w:t>
      </w:r>
      <w:r>
        <w:rPr>
          <w:szCs w:val="21"/>
          <w:highlight w:val="none"/>
        </w:rPr>
        <w:t>。</w:t>
      </w:r>
    </w:p>
    <w:bookmarkEnd w:id="171"/>
    <w:p>
      <w:pPr>
        <w:spacing w:line="360" w:lineRule="auto"/>
        <w:ind w:firstLine="422" w:firstLineChars="200"/>
        <w:outlineLvl w:val="3"/>
        <w:rPr>
          <w:rFonts w:hint="eastAsia"/>
          <w:b/>
          <w:bCs/>
          <w:kern w:val="0"/>
          <w:szCs w:val="21"/>
          <w:highlight w:val="none"/>
          <w:lang w:val="en-US" w:eastAsia="zh-CN"/>
        </w:rPr>
      </w:pPr>
      <w:r>
        <w:rPr>
          <w:rFonts w:hint="eastAsia"/>
          <w:b/>
          <w:bCs/>
          <w:kern w:val="0"/>
          <w:szCs w:val="21"/>
          <w:highlight w:val="none"/>
          <w:lang w:val="en-US" w:eastAsia="zh-CN"/>
        </w:rPr>
        <w:t>2.2政策性扣除计算方法</w:t>
      </w:r>
    </w:p>
    <w:p>
      <w:pPr>
        <w:spacing w:line="360" w:lineRule="auto"/>
        <w:ind w:firstLine="420" w:firstLineChars="200"/>
        <w:rPr>
          <w:szCs w:val="21"/>
          <w:highlight w:val="none"/>
        </w:rPr>
      </w:pPr>
      <w:r>
        <w:rPr>
          <w:szCs w:val="21"/>
          <w:highlight w:val="none"/>
        </w:rPr>
        <w:t>供应商符合小型、微型企业、监狱企业或残疾人福利性单位条件的，其</w:t>
      </w:r>
      <w:r>
        <w:rPr>
          <w:rFonts w:hint="eastAsia"/>
          <w:szCs w:val="21"/>
          <w:highlight w:val="none"/>
        </w:rPr>
        <w:t>投标</w:t>
      </w:r>
      <w:r>
        <w:rPr>
          <w:szCs w:val="21"/>
          <w:highlight w:val="none"/>
        </w:rPr>
        <w:t>报价将按相应比例进行扣除，用扣除后的价格参与评审（计算价格分）。</w:t>
      </w:r>
    </w:p>
    <w:p>
      <w:pPr>
        <w:spacing w:line="360" w:lineRule="auto"/>
        <w:ind w:firstLine="420" w:firstLineChars="200"/>
        <w:rPr>
          <w:szCs w:val="21"/>
          <w:highlight w:val="none"/>
        </w:rPr>
      </w:pPr>
      <w:r>
        <w:rPr>
          <w:szCs w:val="21"/>
          <w:highlight w:val="none"/>
        </w:rPr>
        <w:t>（1）小型、微型企业</w:t>
      </w:r>
    </w:p>
    <w:p>
      <w:pPr>
        <w:spacing w:line="360" w:lineRule="auto"/>
        <w:ind w:firstLine="420" w:firstLineChars="200"/>
        <w:rPr>
          <w:szCs w:val="21"/>
          <w:highlight w:val="none"/>
        </w:rPr>
      </w:pPr>
      <w:r>
        <w:rPr>
          <w:szCs w:val="21"/>
          <w:highlight w:val="none"/>
        </w:rPr>
        <w:t>供应商为非联合体的情况下</w:t>
      </w:r>
      <w:r>
        <w:rPr>
          <w:rFonts w:hint="eastAsia"/>
          <w:szCs w:val="21"/>
          <w:highlight w:val="none"/>
        </w:rPr>
        <w:t>投标</w:t>
      </w:r>
      <w:r>
        <w:rPr>
          <w:szCs w:val="21"/>
          <w:highlight w:val="none"/>
        </w:rPr>
        <w:t>报价扣除方式：对小型、微型企业</w:t>
      </w:r>
      <w:r>
        <w:rPr>
          <w:rFonts w:hint="eastAsia"/>
          <w:szCs w:val="21"/>
          <w:highlight w:val="none"/>
        </w:rPr>
        <w:t>投标</w:t>
      </w:r>
      <w:r>
        <w:rPr>
          <w:szCs w:val="21"/>
          <w:highlight w:val="none"/>
        </w:rPr>
        <w:t>报价给予</w:t>
      </w:r>
      <w:r>
        <w:rPr>
          <w:rFonts w:hint="eastAsia"/>
          <w:szCs w:val="21"/>
          <w:highlight w:val="none"/>
        </w:rPr>
        <w:t>10</w:t>
      </w:r>
      <w:r>
        <w:rPr>
          <w:szCs w:val="21"/>
          <w:highlight w:val="none"/>
        </w:rPr>
        <w:t>%的扣除，以扣除后的</w:t>
      </w:r>
      <w:r>
        <w:rPr>
          <w:rFonts w:hint="eastAsia"/>
          <w:szCs w:val="21"/>
          <w:highlight w:val="none"/>
        </w:rPr>
        <w:t>投标</w:t>
      </w:r>
      <w:r>
        <w:rPr>
          <w:szCs w:val="21"/>
          <w:highlight w:val="none"/>
        </w:rPr>
        <w:t>报价参与评审（计算价格分）。</w:t>
      </w:r>
    </w:p>
    <w:p>
      <w:pPr>
        <w:spacing w:line="360" w:lineRule="auto"/>
        <w:ind w:firstLine="420" w:firstLineChars="200"/>
        <w:rPr>
          <w:szCs w:val="21"/>
          <w:highlight w:val="none"/>
        </w:rPr>
      </w:pPr>
      <w:r>
        <w:rPr>
          <w:szCs w:val="21"/>
          <w:highlight w:val="none"/>
        </w:rPr>
        <w:t>（2）监狱企业</w:t>
      </w:r>
    </w:p>
    <w:p>
      <w:pPr>
        <w:spacing w:line="360" w:lineRule="auto"/>
        <w:ind w:firstLine="420" w:firstLineChars="200"/>
        <w:rPr>
          <w:szCs w:val="21"/>
          <w:highlight w:val="none"/>
        </w:rPr>
      </w:pPr>
      <w:r>
        <w:rPr>
          <w:szCs w:val="21"/>
          <w:highlight w:val="none"/>
        </w:rPr>
        <w:t>根据财政部、司法部关于政府采购支持监狱企业发展有关问题的通知（财库[2014]68号），监狱企业视同小型、微型企业，享受小型、微型企业评审时</w:t>
      </w:r>
      <w:r>
        <w:rPr>
          <w:rFonts w:hint="eastAsia"/>
          <w:bCs/>
          <w:szCs w:val="21"/>
          <w:highlight w:val="none"/>
        </w:rPr>
        <w:t>投标</w:t>
      </w:r>
      <w:r>
        <w:rPr>
          <w:szCs w:val="21"/>
          <w:highlight w:val="none"/>
        </w:rPr>
        <w:t>价格扣除</w:t>
      </w:r>
      <w:r>
        <w:rPr>
          <w:rFonts w:hint="eastAsia"/>
          <w:szCs w:val="21"/>
          <w:highlight w:val="none"/>
        </w:rPr>
        <w:t>10</w:t>
      </w:r>
      <w:r>
        <w:rPr>
          <w:szCs w:val="21"/>
          <w:highlight w:val="none"/>
        </w:rPr>
        <w:t>%的政府采购政策。</w:t>
      </w:r>
    </w:p>
    <w:p>
      <w:pPr>
        <w:spacing w:line="360" w:lineRule="auto"/>
        <w:ind w:firstLine="420" w:firstLineChars="200"/>
        <w:rPr>
          <w:szCs w:val="21"/>
          <w:highlight w:val="none"/>
        </w:rPr>
      </w:pPr>
      <w:r>
        <w:rPr>
          <w:szCs w:val="21"/>
          <w:highlight w:val="none"/>
        </w:rPr>
        <w:t>（3）残疾人福利性单位</w:t>
      </w:r>
    </w:p>
    <w:p>
      <w:pPr>
        <w:spacing w:line="360" w:lineRule="auto"/>
        <w:ind w:firstLine="420" w:firstLineChars="200"/>
        <w:rPr>
          <w:szCs w:val="21"/>
          <w:highlight w:val="none"/>
        </w:rPr>
      </w:pPr>
      <w:r>
        <w:rPr>
          <w:szCs w:val="21"/>
          <w:highlight w:val="none"/>
        </w:rPr>
        <w:t>根据财政部、民政部、中国残疾人联合会三部门发布的关于促进残疾人就业政府采购政策的通知（财库〔2017〕141号），残疾人福利性单位视同小型、微型企业，享受小型、微型企业</w:t>
      </w:r>
      <w:r>
        <w:rPr>
          <w:rFonts w:hint="eastAsia"/>
          <w:szCs w:val="21"/>
          <w:highlight w:val="none"/>
        </w:rPr>
        <w:t>评标</w:t>
      </w:r>
      <w:r>
        <w:rPr>
          <w:szCs w:val="21"/>
          <w:highlight w:val="none"/>
        </w:rPr>
        <w:t>时</w:t>
      </w:r>
      <w:r>
        <w:rPr>
          <w:rFonts w:hint="eastAsia"/>
          <w:szCs w:val="21"/>
          <w:highlight w:val="none"/>
        </w:rPr>
        <w:t>投标</w:t>
      </w:r>
      <w:r>
        <w:rPr>
          <w:szCs w:val="21"/>
          <w:highlight w:val="none"/>
        </w:rPr>
        <w:t>报价扣除</w:t>
      </w:r>
      <w:r>
        <w:rPr>
          <w:rFonts w:hint="eastAsia"/>
          <w:szCs w:val="21"/>
          <w:highlight w:val="none"/>
        </w:rPr>
        <w:t>10</w:t>
      </w:r>
      <w:r>
        <w:rPr>
          <w:szCs w:val="21"/>
          <w:highlight w:val="none"/>
        </w:rPr>
        <w:t>%的政府采购政策。供应商既属于残疾人福利性单位又属于小型、微型企业的，其只能享受</w:t>
      </w:r>
      <w:r>
        <w:rPr>
          <w:rFonts w:hint="eastAsia"/>
          <w:szCs w:val="21"/>
          <w:highlight w:val="none"/>
        </w:rPr>
        <w:t>投标</w:t>
      </w:r>
      <w:r>
        <w:rPr>
          <w:szCs w:val="21"/>
          <w:highlight w:val="none"/>
        </w:rPr>
        <w:t>报价一次性</w:t>
      </w:r>
      <w:r>
        <w:rPr>
          <w:rFonts w:hint="eastAsia"/>
          <w:szCs w:val="21"/>
          <w:highlight w:val="none"/>
        </w:rPr>
        <w:t>10</w:t>
      </w:r>
      <w:r>
        <w:rPr>
          <w:szCs w:val="21"/>
          <w:highlight w:val="none"/>
        </w:rPr>
        <w:t>%的扣除，不重复享受政策。</w:t>
      </w:r>
    </w:p>
    <w:p>
      <w:pPr>
        <w:spacing w:line="360" w:lineRule="auto"/>
        <w:ind w:firstLine="422" w:firstLineChars="200"/>
        <w:outlineLvl w:val="3"/>
        <w:rPr>
          <w:rFonts w:hint="eastAsia"/>
          <w:b/>
          <w:bCs/>
          <w:kern w:val="0"/>
          <w:szCs w:val="21"/>
          <w:highlight w:val="none"/>
          <w:lang w:val="en-US" w:eastAsia="zh-CN"/>
        </w:rPr>
      </w:pPr>
      <w:r>
        <w:rPr>
          <w:rFonts w:hint="eastAsia"/>
          <w:b/>
          <w:bCs/>
          <w:kern w:val="0"/>
          <w:szCs w:val="21"/>
          <w:highlight w:val="none"/>
          <w:lang w:val="en-US" w:eastAsia="zh-CN"/>
        </w:rPr>
        <w:t>2.3符合政府采购政策的相关条件</w:t>
      </w:r>
    </w:p>
    <w:p>
      <w:pPr>
        <w:spacing w:line="360" w:lineRule="auto"/>
        <w:ind w:firstLine="420" w:firstLineChars="200"/>
        <w:rPr>
          <w:szCs w:val="21"/>
          <w:highlight w:val="none"/>
        </w:rPr>
      </w:pPr>
      <w:r>
        <w:rPr>
          <w:szCs w:val="21"/>
          <w:highlight w:val="none"/>
        </w:rPr>
        <w:t>（1）小型、微型企业</w:t>
      </w:r>
    </w:p>
    <w:p>
      <w:pPr>
        <w:spacing w:line="360" w:lineRule="auto"/>
        <w:ind w:firstLine="420" w:firstLineChars="200"/>
        <w:rPr>
          <w:szCs w:val="21"/>
          <w:highlight w:val="none"/>
        </w:rPr>
      </w:pPr>
      <w:r>
        <w:rPr>
          <w:szCs w:val="21"/>
          <w:highlight w:val="none"/>
        </w:rPr>
        <w:t>依照</w:t>
      </w:r>
      <w:r>
        <w:rPr>
          <w:rFonts w:hint="eastAsia" w:cs="宋体"/>
          <w:bCs/>
          <w:szCs w:val="21"/>
          <w:highlight w:val="none"/>
          <w:lang w:bidi="ar"/>
        </w:rPr>
        <w:t>《政府采购促进中小企业发展管理办法》（财库﹝</w:t>
      </w:r>
      <w:r>
        <w:rPr>
          <w:bCs/>
          <w:szCs w:val="21"/>
          <w:highlight w:val="none"/>
          <w:lang w:bidi="ar"/>
        </w:rPr>
        <w:t>2020</w:t>
      </w:r>
      <w:r>
        <w:rPr>
          <w:rFonts w:hint="eastAsia" w:cs="宋体"/>
          <w:bCs/>
          <w:szCs w:val="21"/>
          <w:highlight w:val="none"/>
          <w:lang w:bidi="ar"/>
        </w:rPr>
        <w:t>﹞</w:t>
      </w:r>
      <w:r>
        <w:rPr>
          <w:bCs/>
          <w:szCs w:val="21"/>
          <w:highlight w:val="none"/>
          <w:lang w:bidi="ar"/>
        </w:rPr>
        <w:t xml:space="preserve">46 </w:t>
      </w:r>
      <w:r>
        <w:rPr>
          <w:rFonts w:hint="eastAsia" w:cs="宋体"/>
          <w:bCs/>
          <w:szCs w:val="21"/>
          <w:highlight w:val="none"/>
          <w:lang w:bidi="ar"/>
        </w:rPr>
        <w:t>号）</w:t>
      </w:r>
      <w:r>
        <w:rPr>
          <w:szCs w:val="21"/>
          <w:highlight w:val="none"/>
        </w:rPr>
        <w:t>之规定，小型、微型企业应当同时符合以下条件：</w:t>
      </w:r>
    </w:p>
    <w:p>
      <w:pPr>
        <w:spacing w:line="360" w:lineRule="auto"/>
        <w:ind w:firstLine="420" w:firstLineChars="200"/>
        <w:rPr>
          <w:szCs w:val="21"/>
          <w:highlight w:val="none"/>
        </w:rPr>
      </w:pPr>
      <w:r>
        <w:rPr>
          <w:rFonts w:hint="eastAsia" w:ascii="宋体" w:hAnsi="宋体" w:cs="宋体"/>
          <w:szCs w:val="21"/>
          <w:highlight w:val="none"/>
        </w:rPr>
        <w:t>①</w:t>
      </w:r>
      <w:r>
        <w:rPr>
          <w:szCs w:val="21"/>
          <w:highlight w:val="none"/>
        </w:rPr>
        <w:t>本企业符合中小企业划分标准（中小企业划分标准是指国务院有关部门根据企业从业人员、营业收入、资产总额等指标制定的中小企业划型标准，详见《关于印发中小企业划型标准规定的通知》（工信部联企业〔2011〕300号））。</w:t>
      </w:r>
    </w:p>
    <w:p>
      <w:pPr>
        <w:spacing w:line="360" w:lineRule="auto"/>
        <w:ind w:firstLine="420" w:firstLineChars="200"/>
        <w:rPr>
          <w:szCs w:val="21"/>
          <w:highlight w:val="none"/>
        </w:rPr>
      </w:pPr>
      <w:r>
        <w:rPr>
          <w:rFonts w:hint="eastAsia" w:ascii="宋体" w:hAnsi="宋体" w:cs="宋体"/>
          <w:szCs w:val="21"/>
          <w:highlight w:val="none"/>
        </w:rPr>
        <w:t>②</w:t>
      </w:r>
      <w:r>
        <w:rPr>
          <w:szCs w:val="21"/>
          <w:highlight w:val="none"/>
        </w:rPr>
        <w:t>提供本企业制造的货物、承担的工程或者服务，或者提供其他中小企业制造的货物，本项所称货物不包括提供或使用大型企业注册商标的货物。</w:t>
      </w:r>
    </w:p>
    <w:p>
      <w:pPr>
        <w:spacing w:line="360" w:lineRule="auto"/>
        <w:ind w:firstLine="420" w:firstLineChars="200"/>
        <w:rPr>
          <w:szCs w:val="21"/>
          <w:highlight w:val="none"/>
        </w:rPr>
      </w:pPr>
      <w:r>
        <w:rPr>
          <w:szCs w:val="21"/>
          <w:highlight w:val="none"/>
        </w:rPr>
        <w:t>注：小型、微型企业提供中型企业制造的货物的，视同为中型企业；小型、微型、中型企业提供大型企业制造的货物的，视同为大型企业，</w:t>
      </w:r>
      <w:r>
        <w:rPr>
          <w:rFonts w:hint="eastAsia"/>
          <w:szCs w:val="21"/>
          <w:highlight w:val="none"/>
        </w:rPr>
        <w:t>投标</w:t>
      </w:r>
      <w:r>
        <w:rPr>
          <w:szCs w:val="21"/>
          <w:highlight w:val="none"/>
        </w:rPr>
        <w:t>报价不予扣除。</w:t>
      </w:r>
      <w:r>
        <w:rPr>
          <w:bCs/>
          <w:szCs w:val="21"/>
          <w:highlight w:val="none"/>
        </w:rPr>
        <w:t>供应商声明为小、微型企业的，应按</w:t>
      </w:r>
      <w:r>
        <w:rPr>
          <w:rFonts w:hint="eastAsia"/>
          <w:bCs/>
          <w:szCs w:val="21"/>
          <w:highlight w:val="none"/>
        </w:rPr>
        <w:t>招标</w:t>
      </w:r>
      <w:r>
        <w:rPr>
          <w:bCs/>
          <w:szCs w:val="21"/>
          <w:highlight w:val="none"/>
        </w:rPr>
        <w:t>文件规定在</w:t>
      </w:r>
      <w:r>
        <w:rPr>
          <w:rFonts w:hint="eastAsia"/>
          <w:bCs/>
          <w:szCs w:val="21"/>
          <w:highlight w:val="none"/>
        </w:rPr>
        <w:t>投标</w:t>
      </w:r>
      <w:r>
        <w:rPr>
          <w:bCs/>
          <w:szCs w:val="21"/>
          <w:highlight w:val="none"/>
        </w:rPr>
        <w:t>文件中提供</w:t>
      </w:r>
      <w:r>
        <w:rPr>
          <w:rFonts w:hint="eastAsia"/>
          <w:bCs/>
          <w:szCs w:val="21"/>
          <w:highlight w:val="none"/>
        </w:rPr>
        <w:t>声明函</w:t>
      </w:r>
      <w:r>
        <w:rPr>
          <w:bCs/>
          <w:szCs w:val="21"/>
          <w:highlight w:val="none"/>
        </w:rPr>
        <w:t>。</w:t>
      </w:r>
    </w:p>
    <w:p>
      <w:pPr>
        <w:spacing w:line="360" w:lineRule="auto"/>
        <w:ind w:firstLine="420" w:firstLineChars="200"/>
        <w:rPr>
          <w:szCs w:val="21"/>
          <w:highlight w:val="none"/>
        </w:rPr>
      </w:pPr>
      <w:r>
        <w:rPr>
          <w:szCs w:val="21"/>
          <w:highlight w:val="none"/>
        </w:rPr>
        <w:t>（2）监狱企业</w:t>
      </w:r>
    </w:p>
    <w:p>
      <w:pPr>
        <w:spacing w:line="360" w:lineRule="auto"/>
        <w:ind w:firstLine="420" w:firstLineChars="200"/>
        <w:rPr>
          <w:szCs w:val="21"/>
          <w:highlight w:val="none"/>
        </w:rPr>
      </w:pPr>
      <w:r>
        <w:rPr>
          <w:szCs w:val="21"/>
          <w:highlight w:val="none"/>
        </w:rPr>
        <w:t>依照《财政部、司法部关于政府采购支持监狱企业发展有关问题的通知》（财库〔2014〕68号）之规定，监狱企业应当符合以下条件：</w:t>
      </w:r>
    </w:p>
    <w:p>
      <w:pPr>
        <w:spacing w:line="360" w:lineRule="auto"/>
        <w:ind w:firstLine="420" w:firstLineChars="200"/>
        <w:rPr>
          <w:szCs w:val="21"/>
          <w:highlight w:val="none"/>
        </w:rPr>
      </w:pPr>
      <w:r>
        <w:rPr>
          <w:rFonts w:hint="eastAsia" w:ascii="宋体" w:hAnsi="宋体" w:cs="宋体"/>
          <w:szCs w:val="21"/>
          <w:highlight w:val="none"/>
        </w:rPr>
        <w:t>①</w:t>
      </w:r>
      <w:r>
        <w:rPr>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20" w:firstLineChars="200"/>
        <w:rPr>
          <w:szCs w:val="21"/>
          <w:highlight w:val="none"/>
        </w:rPr>
      </w:pPr>
      <w:r>
        <w:rPr>
          <w:rFonts w:hint="eastAsia" w:ascii="宋体" w:hAnsi="宋体" w:cs="宋体"/>
          <w:szCs w:val="21"/>
          <w:highlight w:val="none"/>
        </w:rPr>
        <w:t>②</w:t>
      </w:r>
      <w:r>
        <w:rPr>
          <w:szCs w:val="21"/>
          <w:highlight w:val="none"/>
        </w:rPr>
        <w:t>监狱企业参加政府采购活动时，应当提供由省级以上监狱管理局、戒毒管理局（含新疆生产建设兵团）或财政部门出具的属于监狱企业的证明文件，视同小型、微型企业。</w:t>
      </w:r>
    </w:p>
    <w:p>
      <w:pPr>
        <w:spacing w:line="360" w:lineRule="auto"/>
        <w:ind w:firstLine="420" w:firstLineChars="200"/>
        <w:rPr>
          <w:szCs w:val="21"/>
          <w:highlight w:val="none"/>
        </w:rPr>
      </w:pPr>
      <w:r>
        <w:rPr>
          <w:rFonts w:hint="eastAsia"/>
          <w:szCs w:val="21"/>
          <w:highlight w:val="none"/>
        </w:rPr>
        <w:t>注：</w:t>
      </w:r>
      <w:r>
        <w:rPr>
          <w:bCs/>
          <w:szCs w:val="21"/>
          <w:highlight w:val="none"/>
        </w:rPr>
        <w:t>供应商声明为</w:t>
      </w:r>
      <w:r>
        <w:rPr>
          <w:rFonts w:hint="eastAsia"/>
          <w:bCs/>
          <w:szCs w:val="21"/>
          <w:highlight w:val="none"/>
        </w:rPr>
        <w:t>监狱</w:t>
      </w:r>
      <w:r>
        <w:rPr>
          <w:bCs/>
          <w:szCs w:val="21"/>
          <w:highlight w:val="none"/>
        </w:rPr>
        <w:t>企业的，应按</w:t>
      </w:r>
      <w:r>
        <w:rPr>
          <w:rFonts w:hint="eastAsia"/>
          <w:bCs/>
          <w:szCs w:val="21"/>
          <w:highlight w:val="none"/>
        </w:rPr>
        <w:t>招标</w:t>
      </w:r>
      <w:r>
        <w:rPr>
          <w:bCs/>
          <w:szCs w:val="21"/>
          <w:highlight w:val="none"/>
        </w:rPr>
        <w:t>文件规定在</w:t>
      </w:r>
      <w:r>
        <w:rPr>
          <w:rFonts w:hint="eastAsia"/>
          <w:bCs/>
          <w:szCs w:val="21"/>
          <w:highlight w:val="none"/>
        </w:rPr>
        <w:t>投标</w:t>
      </w:r>
      <w:r>
        <w:rPr>
          <w:bCs/>
          <w:szCs w:val="21"/>
          <w:highlight w:val="none"/>
        </w:rPr>
        <w:t>文件中提供</w:t>
      </w:r>
      <w:r>
        <w:rPr>
          <w:rFonts w:hint="eastAsia"/>
          <w:bCs/>
          <w:szCs w:val="21"/>
          <w:highlight w:val="none"/>
        </w:rPr>
        <w:t>相关</w:t>
      </w:r>
      <w:r>
        <w:rPr>
          <w:bCs/>
          <w:szCs w:val="21"/>
          <w:highlight w:val="none"/>
        </w:rPr>
        <w:t>证明文件。</w:t>
      </w:r>
    </w:p>
    <w:p>
      <w:pPr>
        <w:spacing w:line="360" w:lineRule="auto"/>
        <w:ind w:firstLine="420" w:firstLineChars="200"/>
        <w:rPr>
          <w:szCs w:val="21"/>
          <w:highlight w:val="none"/>
        </w:rPr>
      </w:pPr>
      <w:r>
        <w:rPr>
          <w:szCs w:val="21"/>
          <w:highlight w:val="none"/>
        </w:rPr>
        <w:t>（3）残疾人福利性单位</w:t>
      </w:r>
    </w:p>
    <w:p>
      <w:pPr>
        <w:spacing w:line="360" w:lineRule="auto"/>
        <w:ind w:firstLine="420" w:firstLineChars="200"/>
        <w:rPr>
          <w:szCs w:val="21"/>
          <w:highlight w:val="none"/>
        </w:rPr>
      </w:pPr>
      <w:r>
        <w:rPr>
          <w:szCs w:val="21"/>
          <w:highlight w:val="none"/>
        </w:rPr>
        <w:t>依照财政部、民政部、中国残疾人联合会三部门发布的《关于促进残疾人就业政府采购政策的通知》（财库〔2017〕141号）之规定，享受政府采购支持政策的残疾人福利性单位应当符合同时满足以下条件：</w:t>
      </w:r>
    </w:p>
    <w:p>
      <w:pPr>
        <w:spacing w:line="360" w:lineRule="auto"/>
        <w:ind w:firstLine="420" w:firstLineChars="200"/>
        <w:rPr>
          <w:szCs w:val="21"/>
          <w:highlight w:val="none"/>
        </w:rPr>
      </w:pPr>
      <w:r>
        <w:rPr>
          <w:rFonts w:hint="eastAsia" w:ascii="宋体" w:hAnsi="宋体" w:cs="宋体"/>
          <w:szCs w:val="21"/>
          <w:highlight w:val="none"/>
        </w:rPr>
        <w:t>①</w:t>
      </w:r>
      <w:r>
        <w:rPr>
          <w:szCs w:val="21"/>
          <w:highlight w:val="none"/>
        </w:rPr>
        <w:t>安置的残疾人占本单位在职职工人数的比例不低于25%（含25%），并且安置的残疾人人数不少于10人（含10人）；</w:t>
      </w:r>
    </w:p>
    <w:p>
      <w:pPr>
        <w:spacing w:line="360" w:lineRule="auto"/>
        <w:ind w:firstLine="420" w:firstLineChars="200"/>
        <w:rPr>
          <w:szCs w:val="21"/>
          <w:highlight w:val="none"/>
        </w:rPr>
      </w:pPr>
      <w:r>
        <w:rPr>
          <w:rFonts w:hint="eastAsia" w:ascii="宋体" w:hAnsi="宋体" w:cs="宋体"/>
          <w:szCs w:val="21"/>
          <w:highlight w:val="none"/>
        </w:rPr>
        <w:t>②</w:t>
      </w:r>
      <w:r>
        <w:rPr>
          <w:szCs w:val="21"/>
          <w:highlight w:val="none"/>
        </w:rPr>
        <w:t>依法与安置的每位残疾人签订了一年以上（含一年）的劳动合同或服务协议；</w:t>
      </w:r>
    </w:p>
    <w:p>
      <w:pPr>
        <w:spacing w:line="360" w:lineRule="auto"/>
        <w:ind w:firstLine="420" w:firstLineChars="200"/>
        <w:rPr>
          <w:szCs w:val="21"/>
          <w:highlight w:val="none"/>
        </w:rPr>
      </w:pPr>
      <w:r>
        <w:rPr>
          <w:rFonts w:hint="eastAsia" w:ascii="宋体" w:hAnsi="宋体" w:cs="宋体"/>
          <w:szCs w:val="21"/>
          <w:highlight w:val="none"/>
        </w:rPr>
        <w:t>③</w:t>
      </w:r>
      <w:r>
        <w:rPr>
          <w:szCs w:val="21"/>
          <w:highlight w:val="none"/>
        </w:rPr>
        <w:t>为安置的每位残疾人按月足额缴纳了基本养老保险、基本医疗保险、失业保险、工伤保险和生育保险等社会保险费；</w:t>
      </w:r>
    </w:p>
    <w:p>
      <w:pPr>
        <w:spacing w:line="360" w:lineRule="auto"/>
        <w:ind w:firstLine="420" w:firstLineChars="200"/>
        <w:rPr>
          <w:szCs w:val="21"/>
          <w:highlight w:val="none"/>
        </w:rPr>
      </w:pPr>
      <w:r>
        <w:rPr>
          <w:rFonts w:hint="eastAsia" w:ascii="宋体" w:hAnsi="宋体" w:cs="宋体"/>
          <w:szCs w:val="21"/>
          <w:highlight w:val="none"/>
        </w:rPr>
        <w:t>④</w:t>
      </w:r>
      <w:r>
        <w:rPr>
          <w:szCs w:val="21"/>
          <w:highlight w:val="none"/>
        </w:rPr>
        <w:t>通过银行等金融机构向安置的每位残疾人，按月支付了不低于单位所在区县适用的经省级人民政府批准的月最低工资标准的工资；</w:t>
      </w:r>
    </w:p>
    <w:p>
      <w:pPr>
        <w:spacing w:line="360" w:lineRule="auto"/>
        <w:ind w:firstLine="420" w:firstLineChars="200"/>
        <w:rPr>
          <w:szCs w:val="21"/>
          <w:highlight w:val="none"/>
        </w:rPr>
      </w:pPr>
      <w:r>
        <w:rPr>
          <w:rFonts w:hint="eastAsia" w:ascii="宋体" w:hAnsi="宋体" w:cs="宋体"/>
          <w:szCs w:val="21"/>
          <w:highlight w:val="none"/>
        </w:rPr>
        <w:t>⑤</w:t>
      </w:r>
      <w:r>
        <w:rPr>
          <w:szCs w:val="21"/>
          <w:highlight w:val="none"/>
        </w:rPr>
        <w:t>提供本单位制造的货物、承担的工程或者服务（以下简称产品），或者提供其他残疾人福利性单位制造的货物（不包括使用非残疾人福利性单位注册商标的货物）。</w:t>
      </w:r>
    </w:p>
    <w:p>
      <w:pPr>
        <w:spacing w:line="360" w:lineRule="auto"/>
        <w:ind w:firstLine="420" w:firstLineChars="200"/>
        <w:rPr>
          <w:szCs w:val="21"/>
          <w:highlight w:val="none"/>
        </w:rPr>
      </w:pPr>
      <w:r>
        <w:rPr>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bCs/>
          <w:szCs w:val="21"/>
          <w:highlight w:val="none"/>
        </w:rPr>
      </w:pPr>
      <w:r>
        <w:rPr>
          <w:szCs w:val="21"/>
          <w:highlight w:val="none"/>
        </w:rPr>
        <w:t>注：符合条件的残疾人福利性单位在参加政府采购活动时，应当提供《残疾人福利性单位声明函》（格式见第六章），并对声明的真实性负责。</w:t>
      </w:r>
    </w:p>
    <w:bookmarkEnd w:id="142"/>
    <w:p>
      <w:pPr>
        <w:pStyle w:val="29"/>
        <w:snapToGrid w:val="0"/>
        <w:spacing w:before="120" w:after="120"/>
        <w:outlineLvl w:val="0"/>
        <w:rPr>
          <w:rFonts w:ascii="Times New Roman" w:hAnsi="Times New Roman" w:cs="Times New Roman"/>
          <w:b/>
          <w:sz w:val="32"/>
          <w:szCs w:val="32"/>
          <w:highlight w:val="none"/>
        </w:rPr>
        <w:sectPr>
          <w:pgSz w:w="11906" w:h="16838"/>
          <w:pgMar w:top="1440" w:right="1800" w:bottom="1440" w:left="1800" w:header="851" w:footer="992" w:gutter="0"/>
          <w:cols w:space="720" w:num="1"/>
          <w:docGrid w:linePitch="312" w:charSpace="0"/>
        </w:sectPr>
      </w:pPr>
    </w:p>
    <w:p>
      <w:pPr>
        <w:pStyle w:val="29"/>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jc w:val="center"/>
        <w:textAlignment w:val="auto"/>
        <w:outlineLvl w:val="0"/>
        <w:rPr>
          <w:rFonts w:hint="eastAsia" w:ascii="Times New Roman" w:hAnsi="Times New Roman" w:cs="Times New Roman"/>
          <w:b/>
          <w:sz w:val="36"/>
          <w:szCs w:val="36"/>
          <w:highlight w:val="none"/>
        </w:rPr>
      </w:pPr>
      <w:bookmarkStart w:id="172" w:name="_Toc25316"/>
      <w:r>
        <w:rPr>
          <w:rFonts w:hint="eastAsia" w:ascii="Times New Roman" w:hAnsi="Times New Roman" w:cs="Times New Roman"/>
          <w:b/>
          <w:sz w:val="36"/>
          <w:szCs w:val="36"/>
          <w:highlight w:val="none"/>
        </w:rPr>
        <w:t>第五章  合同主要条款格式</w:t>
      </w:r>
      <w:bookmarkEnd w:id="172"/>
    </w:p>
    <w:p>
      <w:pPr>
        <w:spacing w:line="840" w:lineRule="exact"/>
        <w:ind w:firstLine="420"/>
        <w:jc w:val="center"/>
        <w:rPr>
          <w:rFonts w:hint="eastAsia" w:ascii="宋体" w:hAnsi="宋体" w:eastAsia="宋体" w:cs="宋体"/>
          <w:b/>
          <w:bCs/>
          <w:color w:val="auto"/>
          <w:sz w:val="36"/>
          <w:szCs w:val="36"/>
          <w:highlight w:val="none"/>
          <w:u w:val="none"/>
        </w:rPr>
      </w:pPr>
      <w:r>
        <w:rPr>
          <w:rFonts w:hint="eastAsia" w:ascii="宋体" w:hAnsi="宋体" w:eastAsia="宋体" w:cs="宋体"/>
          <w:b/>
          <w:bCs/>
          <w:color w:val="auto"/>
          <w:sz w:val="36"/>
          <w:szCs w:val="36"/>
          <w:highlight w:val="none"/>
          <w:u w:val="none"/>
        </w:rPr>
        <w:t>采购合同书</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b/>
          <w:color w:val="auto"/>
          <w:highlight w:val="none"/>
          <w:u w:val="none"/>
        </w:rPr>
      </w:pPr>
      <w:r>
        <w:rPr>
          <w:rFonts w:hint="eastAsia" w:ascii="宋体" w:hAnsi="宋体" w:eastAsia="宋体" w:cs="宋体"/>
          <w:b/>
          <w:color w:val="auto"/>
          <w:highlight w:val="none"/>
          <w:u w:val="none"/>
        </w:rPr>
        <w:t xml:space="preserve"> </w:t>
      </w:r>
    </w:p>
    <w:p>
      <w:pPr>
        <w:spacing w:line="460" w:lineRule="exact"/>
        <w:ind w:left="2469" w:leftChars="650" w:hanging="1104" w:hangingChars="500"/>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 xml:space="preserve">项目名称： </w:t>
      </w:r>
    </w:p>
    <w:p>
      <w:pPr>
        <w:spacing w:line="460" w:lineRule="exact"/>
        <w:ind w:left="2469" w:leftChars="650" w:hanging="1104" w:hangingChars="500"/>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项目编号：</w:t>
      </w:r>
    </w:p>
    <w:p>
      <w:pPr>
        <w:spacing w:line="460" w:lineRule="exact"/>
        <w:ind w:left="2469" w:leftChars="650" w:hanging="1104" w:hangingChars="500"/>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 xml:space="preserve">签订地点： </w:t>
      </w:r>
    </w:p>
    <w:p>
      <w:pPr>
        <w:spacing w:line="460" w:lineRule="exact"/>
        <w:ind w:left="2469" w:leftChars="650" w:hanging="1104" w:hangingChars="500"/>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签订时间：</w:t>
      </w:r>
    </w:p>
    <w:p>
      <w:pPr>
        <w:spacing w:line="340" w:lineRule="exact"/>
        <w:ind w:firstLine="420"/>
        <w:jc w:val="center"/>
        <w:rPr>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u w:val="none"/>
        </w:rPr>
        <w:t xml:space="preserve"> </w:t>
      </w:r>
    </w:p>
    <w:p>
      <w:pPr>
        <w:suppressAutoHyphens/>
        <w:snapToGrid w:val="0"/>
        <w:spacing w:line="360" w:lineRule="exact"/>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widowControl/>
        <w:jc w:val="left"/>
        <w:rPr>
          <w:rFonts w:hint="eastAsia" w:ascii="宋体" w:hAnsi="宋体" w:eastAsia="宋体" w:cs="宋体"/>
          <w:b/>
          <w:bCs/>
          <w:color w:val="auto"/>
          <w:sz w:val="44"/>
          <w:szCs w:val="44"/>
          <w:highlight w:val="none"/>
          <w:u w:val="none"/>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color w:val="auto"/>
          <w:sz w:val="44"/>
          <w:szCs w:val="44"/>
          <w:highlight w:val="none"/>
          <w:u w:val="none"/>
        </w:rPr>
      </w:pPr>
      <w:r>
        <w:rPr>
          <w:rFonts w:hint="eastAsia" w:ascii="宋体" w:hAnsi="宋体" w:eastAsia="宋体" w:cs="宋体"/>
          <w:b/>
          <w:bCs/>
          <w:color w:val="auto"/>
          <w:sz w:val="44"/>
          <w:szCs w:val="44"/>
          <w:highlight w:val="none"/>
          <w:u w:val="none"/>
        </w:rPr>
        <w:t>目       录</w:t>
      </w:r>
    </w:p>
    <w:p>
      <w:pPr>
        <w:spacing w:line="600" w:lineRule="exact"/>
        <w:ind w:firstLine="2311" w:firstLineChars="642"/>
        <w:rPr>
          <w:rFonts w:hint="eastAsia" w:ascii="宋体" w:hAnsi="宋体" w:eastAsia="宋体" w:cs="宋体"/>
          <w:color w:val="auto"/>
          <w:spacing w:val="40"/>
          <w:sz w:val="28"/>
          <w:szCs w:val="28"/>
          <w:highlight w:val="none"/>
          <w:u w:val="none"/>
        </w:rPr>
      </w:pPr>
      <w:r>
        <w:rPr>
          <w:rFonts w:hint="eastAsia" w:ascii="宋体" w:hAnsi="宋体" w:eastAsia="宋体" w:cs="宋体"/>
          <w:color w:val="auto"/>
          <w:spacing w:val="40"/>
          <w:sz w:val="28"/>
          <w:szCs w:val="28"/>
          <w:highlight w:val="none"/>
          <w:u w:val="none"/>
        </w:rPr>
        <w:t xml:space="preserve"> </w:t>
      </w:r>
    </w:p>
    <w:p>
      <w:pPr>
        <w:spacing w:line="480" w:lineRule="auto"/>
        <w:ind w:firstLine="2311" w:firstLineChars="642"/>
        <w:rPr>
          <w:rFonts w:hint="eastAsia" w:ascii="宋体" w:hAnsi="宋体" w:eastAsia="宋体" w:cs="宋体"/>
          <w:color w:val="auto"/>
          <w:spacing w:val="40"/>
          <w:sz w:val="28"/>
          <w:szCs w:val="28"/>
          <w:highlight w:val="none"/>
          <w:u w:val="none"/>
        </w:rPr>
      </w:pPr>
      <w:r>
        <w:rPr>
          <w:rFonts w:hint="eastAsia" w:ascii="宋体" w:hAnsi="宋体" w:eastAsia="宋体" w:cs="宋体"/>
          <w:color w:val="auto"/>
          <w:spacing w:val="40"/>
          <w:sz w:val="28"/>
          <w:szCs w:val="28"/>
          <w:highlight w:val="none"/>
          <w:u w:val="none"/>
        </w:rPr>
        <w:t xml:space="preserve"> </w:t>
      </w:r>
    </w:p>
    <w:p>
      <w:pPr>
        <w:spacing w:line="480" w:lineRule="auto"/>
        <w:ind w:firstLine="2800" w:firstLineChars="10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第一部分  合同主要条款</w:t>
      </w:r>
    </w:p>
    <w:p>
      <w:pPr>
        <w:spacing w:line="480" w:lineRule="auto"/>
        <w:ind w:firstLine="2800" w:firstLineChars="10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第二部分  合同附件</w:t>
      </w:r>
    </w:p>
    <w:p>
      <w:pPr>
        <w:spacing w:line="480" w:lineRule="auto"/>
        <w:ind w:firstLine="2880" w:firstLineChars="1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附件1：项目采购需求</w:t>
      </w:r>
    </w:p>
    <w:p>
      <w:pPr>
        <w:spacing w:line="480" w:lineRule="auto"/>
        <w:ind w:firstLine="2880" w:firstLineChars="1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附件2：</w:t>
      </w:r>
      <w:r>
        <w:rPr>
          <w:rFonts w:hint="eastAsia" w:ascii="宋体" w:hAnsi="宋体" w:eastAsia="宋体" w:cs="宋体"/>
          <w:color w:val="auto"/>
          <w:sz w:val="24"/>
          <w:szCs w:val="24"/>
          <w:highlight w:val="none"/>
          <w:u w:val="none"/>
          <w:lang w:val="en-US" w:eastAsia="zh-CN"/>
        </w:rPr>
        <w:t>投标</w:t>
      </w:r>
      <w:r>
        <w:rPr>
          <w:rFonts w:hint="eastAsia" w:ascii="宋体" w:hAnsi="宋体" w:eastAsia="宋体" w:cs="宋体"/>
          <w:color w:val="auto"/>
          <w:sz w:val="24"/>
          <w:szCs w:val="24"/>
          <w:highlight w:val="none"/>
          <w:u w:val="none"/>
        </w:rPr>
        <w:t>函</w:t>
      </w:r>
    </w:p>
    <w:p>
      <w:pPr>
        <w:spacing w:line="480" w:lineRule="auto"/>
        <w:ind w:firstLine="2880" w:firstLineChars="1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附件3：</w:t>
      </w:r>
      <w:r>
        <w:rPr>
          <w:rFonts w:hint="eastAsia" w:ascii="宋体" w:hAnsi="宋体" w:eastAsia="宋体" w:cs="宋体"/>
          <w:color w:val="auto"/>
          <w:sz w:val="24"/>
          <w:szCs w:val="24"/>
          <w:highlight w:val="none"/>
          <w:u w:val="none"/>
          <w:lang w:val="en-US" w:eastAsia="zh-CN"/>
        </w:rPr>
        <w:t>投标</w:t>
      </w:r>
      <w:r>
        <w:rPr>
          <w:rFonts w:hint="eastAsia" w:ascii="宋体" w:hAnsi="宋体" w:eastAsia="宋体" w:cs="宋体"/>
          <w:color w:val="auto"/>
          <w:sz w:val="24"/>
          <w:szCs w:val="24"/>
          <w:highlight w:val="none"/>
          <w:u w:val="none"/>
        </w:rPr>
        <w:t>报价明细表</w:t>
      </w:r>
    </w:p>
    <w:p>
      <w:pPr>
        <w:spacing w:line="480" w:lineRule="auto"/>
        <w:ind w:firstLine="2880" w:firstLineChars="1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附件4：商务、技术</w:t>
      </w:r>
      <w:r>
        <w:rPr>
          <w:rFonts w:hint="eastAsia" w:ascii="宋体" w:hAnsi="宋体" w:eastAsia="宋体" w:cs="宋体"/>
          <w:color w:val="auto"/>
          <w:sz w:val="24"/>
          <w:szCs w:val="24"/>
          <w:highlight w:val="none"/>
          <w:u w:val="none"/>
          <w:lang w:val="en-US" w:eastAsia="zh-CN"/>
        </w:rPr>
        <w:t>偏离</w:t>
      </w:r>
      <w:r>
        <w:rPr>
          <w:rFonts w:hint="eastAsia" w:ascii="宋体" w:hAnsi="宋体" w:eastAsia="宋体" w:cs="宋体"/>
          <w:color w:val="auto"/>
          <w:sz w:val="24"/>
          <w:szCs w:val="24"/>
          <w:highlight w:val="none"/>
          <w:u w:val="none"/>
        </w:rPr>
        <w:t>表</w:t>
      </w:r>
    </w:p>
    <w:p>
      <w:pPr>
        <w:spacing w:line="480" w:lineRule="auto"/>
        <w:ind w:firstLine="2880" w:firstLineChars="1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附件5：售后服务</w:t>
      </w:r>
      <w:r>
        <w:rPr>
          <w:rFonts w:hint="eastAsia" w:ascii="宋体" w:hAnsi="宋体" w:eastAsia="宋体" w:cs="宋体"/>
          <w:color w:val="auto"/>
          <w:sz w:val="24"/>
          <w:szCs w:val="24"/>
          <w:highlight w:val="none"/>
          <w:u w:val="none"/>
          <w:lang w:val="en-US" w:eastAsia="zh-CN"/>
        </w:rPr>
        <w:t>方案</w:t>
      </w:r>
    </w:p>
    <w:p>
      <w:pPr>
        <w:spacing w:line="480" w:lineRule="auto"/>
        <w:ind w:firstLine="2880" w:firstLineChars="1200"/>
        <w:rPr>
          <w:rFonts w:hint="eastAsia" w:ascii="宋体" w:hAnsi="宋体" w:eastAsia="宋体" w:cs="宋体"/>
          <w:color w:val="auto"/>
          <w:highlight w:val="none"/>
          <w:u w:val="none"/>
        </w:rPr>
      </w:pPr>
      <w:r>
        <w:rPr>
          <w:rFonts w:hint="eastAsia" w:ascii="宋体" w:hAnsi="宋体" w:eastAsia="宋体" w:cs="宋体"/>
          <w:color w:val="auto"/>
          <w:sz w:val="24"/>
          <w:szCs w:val="24"/>
          <w:highlight w:val="none"/>
          <w:u w:val="none"/>
        </w:rPr>
        <w:t>附件6：</w:t>
      </w:r>
      <w:r>
        <w:rPr>
          <w:rFonts w:hint="eastAsia" w:ascii="宋体" w:hAnsi="宋体" w:eastAsia="宋体" w:cs="宋体"/>
          <w:color w:val="auto"/>
          <w:sz w:val="24"/>
          <w:szCs w:val="24"/>
          <w:highlight w:val="none"/>
          <w:u w:val="none"/>
          <w:lang w:val="en-US" w:eastAsia="zh-CN"/>
        </w:rPr>
        <w:t>中标</w:t>
      </w:r>
      <w:r>
        <w:rPr>
          <w:rFonts w:hint="eastAsia" w:ascii="宋体" w:hAnsi="宋体" w:eastAsia="宋体" w:cs="宋体"/>
          <w:color w:val="auto"/>
          <w:sz w:val="24"/>
          <w:szCs w:val="24"/>
          <w:highlight w:val="none"/>
          <w:u w:val="none"/>
        </w:rPr>
        <w:t>通知书</w:t>
      </w:r>
    </w:p>
    <w:p>
      <w:pPr>
        <w:spacing w:before="120" w:after="331" w:afterLines="100" w:line="320" w:lineRule="atLeast"/>
        <w:ind w:firstLine="723" w:firstLineChars="200"/>
        <w:jc w:val="center"/>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spacing w:before="120" w:after="331" w:afterLines="100" w:line="320" w:lineRule="atLeast"/>
        <w:ind w:firstLine="723" w:firstLineChars="200"/>
        <w:jc w:val="center"/>
        <w:rPr>
          <w:rFonts w:hint="eastAsia" w:ascii="宋体" w:hAnsi="宋体" w:eastAsia="宋体" w:cs="宋体"/>
          <w:b/>
          <w:bCs/>
          <w:color w:val="auto"/>
          <w:kern w:val="0"/>
          <w:sz w:val="36"/>
          <w:szCs w:val="36"/>
          <w:highlight w:val="none"/>
          <w:u w:val="none"/>
        </w:rPr>
      </w:pPr>
      <w:r>
        <w:rPr>
          <w:rFonts w:hint="eastAsia" w:ascii="宋体" w:hAnsi="宋体" w:eastAsia="宋体" w:cs="宋体"/>
          <w:b/>
          <w:bCs/>
          <w:color w:val="auto"/>
          <w:kern w:val="0"/>
          <w:sz w:val="36"/>
          <w:szCs w:val="36"/>
          <w:highlight w:val="none"/>
          <w:u w:val="none"/>
        </w:rPr>
        <w:t>广西壮族自治区政府采购合同</w:t>
      </w:r>
    </w:p>
    <w:p>
      <w:pPr>
        <w:snapToGrid w:val="0"/>
        <w:spacing w:line="440" w:lineRule="exact"/>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合同编号：                                    </w:t>
      </w:r>
    </w:p>
    <w:p>
      <w:pPr>
        <w:snapToGrid w:val="0"/>
        <w:spacing w:line="440" w:lineRule="exact"/>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甲方</w:t>
      </w:r>
      <w:r>
        <w:rPr>
          <w:rFonts w:hint="eastAsia" w:ascii="宋体" w:hAnsi="宋体" w:eastAsia="宋体" w:cs="宋体"/>
          <w:b/>
          <w:bCs/>
          <w:color w:val="auto"/>
          <w:sz w:val="24"/>
          <w:highlight w:val="none"/>
          <w:u w:val="none"/>
          <w:lang w:eastAsia="zh-CN"/>
        </w:rPr>
        <w:t>（采购单位）</w:t>
      </w:r>
      <w:r>
        <w:rPr>
          <w:rFonts w:hint="eastAsia" w:ascii="宋体" w:hAnsi="宋体" w:eastAsia="宋体" w:cs="宋体"/>
          <w:color w:val="auto"/>
          <w:sz w:val="24"/>
          <w:highlight w:val="none"/>
          <w:u w:val="none"/>
        </w:rPr>
        <w:t>：广西壮族自治区工业和信息化厅</w:t>
      </w:r>
    </w:p>
    <w:p>
      <w:pPr>
        <w:snapToGrid w:val="0"/>
        <w:spacing w:line="440" w:lineRule="exact"/>
        <w:ind w:firstLine="720" w:firstLineChars="3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XXXX（使用单位</w:t>
      </w:r>
      <w:r>
        <w:rPr>
          <w:rFonts w:hint="eastAsia" w:ascii="宋体" w:hAnsi="宋体" w:eastAsia="宋体" w:cs="宋体"/>
          <w:color w:val="auto"/>
          <w:sz w:val="24"/>
          <w:highlight w:val="none"/>
          <w:u w:val="none"/>
          <w:lang w:val="en-US" w:eastAsia="zh-CN"/>
        </w:rPr>
        <w:t>1</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XXXX（使用单位</w:t>
      </w:r>
      <w:r>
        <w:rPr>
          <w:rFonts w:hint="eastAsia" w:ascii="宋体" w:hAnsi="宋体" w:eastAsia="宋体" w:cs="宋体"/>
          <w:color w:val="auto"/>
          <w:sz w:val="24"/>
          <w:highlight w:val="none"/>
          <w:u w:val="none"/>
          <w:lang w:val="en-US" w:eastAsia="zh-CN"/>
        </w:rPr>
        <w:t>2</w:t>
      </w:r>
      <w:r>
        <w:rPr>
          <w:rFonts w:hint="eastAsia" w:ascii="宋体" w:hAnsi="宋体" w:eastAsia="宋体" w:cs="宋体"/>
          <w:color w:val="auto"/>
          <w:sz w:val="24"/>
          <w:highlight w:val="none"/>
          <w:u w:val="none"/>
        </w:rPr>
        <w:t>）</w:t>
      </w:r>
    </w:p>
    <w:p>
      <w:pPr>
        <w:snapToGrid w:val="0"/>
        <w:spacing w:line="440" w:lineRule="exact"/>
        <w:ind w:firstLine="720" w:firstLineChars="300"/>
        <w:jc w:val="left"/>
        <w:rPr>
          <w:rFonts w:hint="eastAsia" w:ascii="宋体" w:hAnsi="宋体" w:eastAsia="宋体" w:cs="宋体"/>
          <w:color w:val="auto"/>
          <w:sz w:val="24"/>
          <w:highlight w:val="none"/>
          <w:u w:val="none"/>
          <w:lang w:eastAsia="zh-CN"/>
        </w:rPr>
      </w:pPr>
    </w:p>
    <w:p>
      <w:pPr>
        <w:snapToGrid w:val="0"/>
        <w:spacing w:line="440" w:lineRule="exact"/>
        <w:jc w:val="left"/>
        <w:rPr>
          <w:rFonts w:hint="eastAsia" w:ascii="宋体" w:hAnsi="宋体" w:eastAsia="宋体" w:cs="宋体"/>
          <w:strike/>
          <w:dstrike w:val="0"/>
          <w:color w:val="auto"/>
          <w:sz w:val="24"/>
          <w:highlight w:val="none"/>
          <w:u w:val="single"/>
        </w:rPr>
      </w:pPr>
      <w:r>
        <w:rPr>
          <w:rFonts w:hint="eastAsia" w:ascii="宋体" w:hAnsi="宋体" w:eastAsia="宋体" w:cs="宋体"/>
          <w:color w:val="auto"/>
          <w:sz w:val="24"/>
          <w:highlight w:val="none"/>
          <w:u w:val="none"/>
        </w:rPr>
        <w:t>乙方</w:t>
      </w:r>
      <w:r>
        <w:rPr>
          <w:rFonts w:hint="eastAsia" w:ascii="宋体" w:hAnsi="宋体" w:eastAsia="宋体" w:cs="宋体"/>
          <w:b/>
          <w:bCs/>
          <w:color w:val="auto"/>
          <w:sz w:val="24"/>
          <w:highlight w:val="none"/>
          <w:u w:val="none"/>
          <w:lang w:eastAsia="zh-CN"/>
        </w:rPr>
        <w:t>（成交供应商）</w:t>
      </w:r>
      <w:r>
        <w:rPr>
          <w:rFonts w:hint="eastAsia" w:ascii="宋体" w:hAnsi="宋体" w:eastAsia="宋体" w:cs="宋体"/>
          <w:color w:val="auto"/>
          <w:sz w:val="24"/>
          <w:highlight w:val="none"/>
          <w:u w:val="none"/>
        </w:rPr>
        <w:t xml:space="preserve">：                         </w:t>
      </w:r>
    </w:p>
    <w:p>
      <w:pPr>
        <w:snapToGrid w:val="0"/>
        <w:spacing w:line="440" w:lineRule="exact"/>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采购计划号：                    </w:t>
      </w:r>
    </w:p>
    <w:p>
      <w:pPr>
        <w:snapToGrid w:val="0"/>
        <w:spacing w:line="440" w:lineRule="exact"/>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项目名称：                          项目编号：                     </w:t>
      </w:r>
    </w:p>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签订地点：                          签订时间：       年    月    日</w:t>
      </w:r>
    </w:p>
    <w:p>
      <w:pPr>
        <w:snapToGrid w:val="0"/>
        <w:spacing w:line="360" w:lineRule="exact"/>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 </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根据《中华人民共和国政府采购法》</w:t>
      </w:r>
      <w:r>
        <w:rPr>
          <w:rFonts w:hint="eastAsia" w:ascii="宋体" w:hAnsi="宋体" w:eastAsia="宋体" w:cs="宋体"/>
          <w:color w:val="auto"/>
          <w:kern w:val="0"/>
          <w:sz w:val="24"/>
          <w:szCs w:val="24"/>
          <w:highlight w:val="none"/>
          <w:u w:val="none"/>
        </w:rPr>
        <w:t>、《政府采购货物和服务招标投标管理办法》、</w:t>
      </w:r>
      <w:r>
        <w:rPr>
          <w:rFonts w:hint="eastAsia" w:ascii="宋体" w:hAnsi="宋体" w:eastAsia="宋体" w:cs="宋体"/>
          <w:color w:val="auto"/>
          <w:sz w:val="24"/>
          <w:szCs w:val="24"/>
          <w:highlight w:val="none"/>
          <w:u w:val="none"/>
        </w:rPr>
        <w:t>《中华人民共和国民法典》等法律、法规规定，按照招标文件规定和乙方投标文件及其承诺，甲乙双方</w:t>
      </w:r>
      <w:r>
        <w:rPr>
          <w:rFonts w:hint="eastAsia" w:ascii="宋体" w:hAnsi="宋体" w:eastAsia="宋体" w:cs="宋体"/>
          <w:b w:val="0"/>
          <w:bCs w:val="0"/>
          <w:color w:val="auto"/>
          <w:sz w:val="24"/>
          <w:szCs w:val="24"/>
          <w:highlight w:val="none"/>
          <w:u w:val="none"/>
          <w:lang w:eastAsia="zh-CN"/>
        </w:rPr>
        <w:t>经友好协商，就</w:t>
      </w:r>
      <w:r>
        <w:rPr>
          <w:rFonts w:hint="eastAsia" w:ascii="宋体" w:hAnsi="宋体" w:eastAsia="宋体" w:cs="宋体"/>
          <w:b w:val="0"/>
          <w:bCs w:val="0"/>
          <w:color w:val="auto"/>
          <w:sz w:val="24"/>
          <w:szCs w:val="24"/>
          <w:highlight w:val="none"/>
          <w:u w:val="none"/>
          <w:lang w:val="en-US" w:eastAsia="zh-CN"/>
        </w:rPr>
        <w:t xml:space="preserve">    项目（项目编号：    ）的采购事宜达成如下条款，供双方共同遵守</w:t>
      </w:r>
      <w:r>
        <w:rPr>
          <w:rFonts w:hint="eastAsia" w:ascii="宋体" w:hAnsi="宋体" w:eastAsia="宋体" w:cs="宋体"/>
          <w:b w:val="0"/>
          <w:bCs w:val="0"/>
          <w:color w:val="auto"/>
          <w:sz w:val="24"/>
          <w:szCs w:val="24"/>
          <w:highlight w:val="none"/>
          <w:u w:val="none"/>
          <w:lang w:eastAsia="zh-CN"/>
        </w:rPr>
        <w:t>。</w:t>
      </w:r>
    </w:p>
    <w:p>
      <w:pPr>
        <w:snapToGrid w:val="0"/>
        <w:spacing w:line="440" w:lineRule="exact"/>
        <w:ind w:firstLine="482" w:firstLineChars="200"/>
        <w:jc w:val="left"/>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u w:val="none"/>
        </w:rPr>
        <w:t>第一条 合同标的</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1.供货一览表</w:t>
      </w:r>
    </w:p>
    <w:tbl>
      <w:tblPr>
        <w:tblStyle w:val="54"/>
        <w:tblW w:w="845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96"/>
        <w:gridCol w:w="954"/>
        <w:gridCol w:w="944"/>
        <w:gridCol w:w="1181"/>
        <w:gridCol w:w="716"/>
        <w:gridCol w:w="875"/>
        <w:gridCol w:w="1023"/>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序号</w:t>
            </w:r>
          </w:p>
        </w:tc>
        <w:tc>
          <w:tcPr>
            <w:tcW w:w="996"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产品</w:t>
            </w:r>
          </w:p>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名称</w:t>
            </w:r>
          </w:p>
        </w:tc>
        <w:tc>
          <w:tcPr>
            <w:tcW w:w="954"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商标</w:t>
            </w:r>
          </w:p>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品牌</w:t>
            </w:r>
          </w:p>
        </w:tc>
        <w:tc>
          <w:tcPr>
            <w:tcW w:w="944"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型号</w:t>
            </w:r>
          </w:p>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参数</w:t>
            </w:r>
          </w:p>
        </w:tc>
        <w:tc>
          <w:tcPr>
            <w:tcW w:w="1181"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生产</w:t>
            </w:r>
          </w:p>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厂家</w:t>
            </w:r>
          </w:p>
        </w:tc>
        <w:tc>
          <w:tcPr>
            <w:tcW w:w="716"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数  量</w:t>
            </w:r>
          </w:p>
        </w:tc>
        <w:tc>
          <w:tcPr>
            <w:tcW w:w="875"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单位</w:t>
            </w:r>
          </w:p>
        </w:tc>
        <w:tc>
          <w:tcPr>
            <w:tcW w:w="1023"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单价</w:t>
            </w:r>
          </w:p>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（元）</w:t>
            </w:r>
          </w:p>
        </w:tc>
        <w:tc>
          <w:tcPr>
            <w:tcW w:w="1273"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金额</w:t>
            </w:r>
          </w:p>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w:t>
            </w:r>
          </w:p>
        </w:tc>
        <w:tc>
          <w:tcPr>
            <w:tcW w:w="996"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954"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944"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1181" w:type="dxa"/>
            <w:tcBorders>
              <w:top w:val="single" w:color="auto" w:sz="4" w:space="0"/>
              <w:left w:val="nil"/>
              <w:bottom w:val="single" w:color="auto" w:sz="4" w:space="0"/>
              <w:right w:val="single" w:color="auto" w:sz="4" w:space="0"/>
            </w:tcBorders>
          </w:tcPr>
          <w:p>
            <w:pPr>
              <w:snapToGrid w:val="0"/>
              <w:spacing w:line="300" w:lineRule="exact"/>
              <w:jc w:val="center"/>
              <w:rPr>
                <w:rFonts w:hint="eastAsia" w:ascii="宋体" w:hAnsi="宋体" w:eastAsia="宋体" w:cs="宋体"/>
                <w:color w:val="auto"/>
                <w:sz w:val="24"/>
                <w:highlight w:val="none"/>
                <w:u w:val="none"/>
              </w:rPr>
            </w:pPr>
          </w:p>
        </w:tc>
        <w:tc>
          <w:tcPr>
            <w:tcW w:w="716" w:type="dxa"/>
            <w:tcBorders>
              <w:top w:val="single" w:color="auto" w:sz="4" w:space="0"/>
              <w:left w:val="nil"/>
              <w:bottom w:val="single" w:color="auto" w:sz="4" w:space="0"/>
              <w:right w:val="single" w:color="auto" w:sz="4" w:space="0"/>
            </w:tcBorders>
          </w:tcPr>
          <w:p>
            <w:pPr>
              <w:snapToGrid w:val="0"/>
              <w:spacing w:line="300" w:lineRule="exact"/>
              <w:jc w:val="center"/>
              <w:rPr>
                <w:rFonts w:hint="eastAsia" w:ascii="宋体" w:hAnsi="宋体" w:eastAsia="宋体" w:cs="宋体"/>
                <w:color w:val="auto"/>
                <w:sz w:val="24"/>
                <w:highlight w:val="none"/>
                <w:u w:val="none"/>
              </w:rPr>
            </w:pPr>
          </w:p>
        </w:tc>
        <w:tc>
          <w:tcPr>
            <w:tcW w:w="875" w:type="dxa"/>
            <w:tcBorders>
              <w:top w:val="single" w:color="auto" w:sz="4" w:space="0"/>
              <w:left w:val="nil"/>
              <w:bottom w:val="single" w:color="auto" w:sz="4" w:space="0"/>
              <w:right w:val="single" w:color="auto" w:sz="4" w:space="0"/>
            </w:tcBorders>
          </w:tcPr>
          <w:p>
            <w:pPr>
              <w:snapToGrid w:val="0"/>
              <w:spacing w:line="300" w:lineRule="exact"/>
              <w:jc w:val="center"/>
              <w:rPr>
                <w:rFonts w:hint="eastAsia" w:ascii="宋体" w:hAnsi="宋体" w:eastAsia="宋体" w:cs="宋体"/>
                <w:color w:val="auto"/>
                <w:sz w:val="24"/>
                <w:highlight w:val="none"/>
                <w:u w:val="none"/>
              </w:rPr>
            </w:pPr>
          </w:p>
        </w:tc>
        <w:tc>
          <w:tcPr>
            <w:tcW w:w="1023"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1273"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w:t>
            </w:r>
          </w:p>
        </w:tc>
        <w:tc>
          <w:tcPr>
            <w:tcW w:w="996"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954"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944"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1181" w:type="dxa"/>
            <w:tcBorders>
              <w:top w:val="single" w:color="auto" w:sz="4" w:space="0"/>
              <w:left w:val="nil"/>
              <w:bottom w:val="single" w:color="auto" w:sz="4" w:space="0"/>
              <w:right w:val="single" w:color="auto" w:sz="4" w:space="0"/>
            </w:tcBorders>
          </w:tcPr>
          <w:p>
            <w:pPr>
              <w:snapToGrid w:val="0"/>
              <w:spacing w:line="300" w:lineRule="exact"/>
              <w:jc w:val="center"/>
              <w:rPr>
                <w:rFonts w:hint="eastAsia" w:ascii="宋体" w:hAnsi="宋体" w:eastAsia="宋体" w:cs="宋体"/>
                <w:color w:val="auto"/>
                <w:sz w:val="24"/>
                <w:highlight w:val="none"/>
                <w:u w:val="none"/>
              </w:rPr>
            </w:pPr>
          </w:p>
        </w:tc>
        <w:tc>
          <w:tcPr>
            <w:tcW w:w="716" w:type="dxa"/>
            <w:tcBorders>
              <w:top w:val="single" w:color="auto" w:sz="4" w:space="0"/>
              <w:left w:val="nil"/>
              <w:bottom w:val="single" w:color="auto" w:sz="4" w:space="0"/>
              <w:right w:val="single" w:color="auto" w:sz="4" w:space="0"/>
            </w:tcBorders>
          </w:tcPr>
          <w:p>
            <w:pPr>
              <w:snapToGrid w:val="0"/>
              <w:spacing w:line="300" w:lineRule="exact"/>
              <w:jc w:val="center"/>
              <w:rPr>
                <w:rFonts w:hint="eastAsia" w:ascii="宋体" w:hAnsi="宋体" w:eastAsia="宋体" w:cs="宋体"/>
                <w:color w:val="auto"/>
                <w:sz w:val="24"/>
                <w:highlight w:val="none"/>
                <w:u w:val="none"/>
              </w:rPr>
            </w:pPr>
          </w:p>
        </w:tc>
        <w:tc>
          <w:tcPr>
            <w:tcW w:w="875" w:type="dxa"/>
            <w:tcBorders>
              <w:top w:val="single" w:color="auto" w:sz="4" w:space="0"/>
              <w:left w:val="nil"/>
              <w:bottom w:val="single" w:color="auto" w:sz="4" w:space="0"/>
              <w:right w:val="single" w:color="auto" w:sz="4" w:space="0"/>
            </w:tcBorders>
          </w:tcPr>
          <w:p>
            <w:pPr>
              <w:snapToGrid w:val="0"/>
              <w:spacing w:line="300" w:lineRule="exact"/>
              <w:jc w:val="center"/>
              <w:rPr>
                <w:rFonts w:hint="eastAsia" w:ascii="宋体" w:hAnsi="宋体" w:eastAsia="宋体" w:cs="宋体"/>
                <w:color w:val="auto"/>
                <w:sz w:val="24"/>
                <w:highlight w:val="none"/>
                <w:u w:val="none"/>
              </w:rPr>
            </w:pPr>
          </w:p>
        </w:tc>
        <w:tc>
          <w:tcPr>
            <w:tcW w:w="1023"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1273"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w:t>
            </w:r>
          </w:p>
        </w:tc>
        <w:tc>
          <w:tcPr>
            <w:tcW w:w="996"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954"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944"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1181" w:type="dxa"/>
            <w:tcBorders>
              <w:top w:val="single" w:color="auto" w:sz="4" w:space="0"/>
              <w:left w:val="nil"/>
              <w:bottom w:val="single" w:color="auto" w:sz="4" w:space="0"/>
              <w:right w:val="single" w:color="auto" w:sz="4" w:space="0"/>
            </w:tcBorders>
          </w:tcPr>
          <w:p>
            <w:pPr>
              <w:snapToGrid w:val="0"/>
              <w:spacing w:line="300" w:lineRule="exact"/>
              <w:jc w:val="center"/>
              <w:rPr>
                <w:rFonts w:hint="eastAsia" w:ascii="宋体" w:hAnsi="宋体" w:eastAsia="宋体" w:cs="宋体"/>
                <w:color w:val="auto"/>
                <w:sz w:val="24"/>
                <w:highlight w:val="none"/>
                <w:u w:val="none"/>
              </w:rPr>
            </w:pPr>
          </w:p>
        </w:tc>
        <w:tc>
          <w:tcPr>
            <w:tcW w:w="716" w:type="dxa"/>
            <w:tcBorders>
              <w:top w:val="single" w:color="auto" w:sz="4" w:space="0"/>
              <w:left w:val="nil"/>
              <w:bottom w:val="single" w:color="auto" w:sz="4" w:space="0"/>
              <w:right w:val="single" w:color="auto" w:sz="4" w:space="0"/>
            </w:tcBorders>
          </w:tcPr>
          <w:p>
            <w:pPr>
              <w:snapToGrid w:val="0"/>
              <w:spacing w:line="300" w:lineRule="exact"/>
              <w:jc w:val="center"/>
              <w:rPr>
                <w:rFonts w:hint="eastAsia" w:ascii="宋体" w:hAnsi="宋体" w:eastAsia="宋体" w:cs="宋体"/>
                <w:color w:val="auto"/>
                <w:sz w:val="24"/>
                <w:highlight w:val="none"/>
                <w:u w:val="none"/>
              </w:rPr>
            </w:pPr>
          </w:p>
        </w:tc>
        <w:tc>
          <w:tcPr>
            <w:tcW w:w="875" w:type="dxa"/>
            <w:tcBorders>
              <w:top w:val="single" w:color="auto" w:sz="4" w:space="0"/>
              <w:left w:val="nil"/>
              <w:bottom w:val="single" w:color="auto" w:sz="4" w:space="0"/>
              <w:right w:val="single" w:color="auto" w:sz="4" w:space="0"/>
            </w:tcBorders>
          </w:tcPr>
          <w:p>
            <w:pPr>
              <w:snapToGrid w:val="0"/>
              <w:spacing w:line="300" w:lineRule="exact"/>
              <w:jc w:val="center"/>
              <w:rPr>
                <w:rFonts w:hint="eastAsia" w:ascii="宋体" w:hAnsi="宋体" w:eastAsia="宋体" w:cs="宋体"/>
                <w:color w:val="auto"/>
                <w:sz w:val="24"/>
                <w:highlight w:val="none"/>
                <w:u w:val="none"/>
              </w:rPr>
            </w:pPr>
          </w:p>
        </w:tc>
        <w:tc>
          <w:tcPr>
            <w:tcW w:w="1023"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1273"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458" w:type="dxa"/>
            <w:gridSpan w:val="9"/>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u w:val="none"/>
              </w:rPr>
              <w:t xml:space="preserve">人民币合计金额（大写）                          （小写                ）                 </w:t>
            </w:r>
          </w:p>
        </w:tc>
      </w:tr>
    </w:tbl>
    <w:p>
      <w:pPr>
        <w:pStyle w:val="29"/>
        <w:spacing w:line="440" w:lineRule="exact"/>
        <w:ind w:firstLine="480" w:firstLineChars="200"/>
        <w:jc w:val="left"/>
        <w:rPr>
          <w:rFonts w:hint="eastAsia" w:ascii="宋体" w:hAnsi="宋体" w:eastAsia="宋体" w:cs="宋体"/>
          <w:b/>
          <w:bCs/>
          <w:color w:val="FF0000"/>
          <w:sz w:val="24"/>
          <w:szCs w:val="24"/>
          <w:highlight w:val="none"/>
          <w:u w:val="single"/>
        </w:rPr>
      </w:pPr>
      <w:r>
        <w:rPr>
          <w:rFonts w:hint="eastAsia" w:ascii="宋体" w:hAnsi="宋体" w:eastAsia="宋体" w:cs="宋体"/>
          <w:color w:val="auto"/>
          <w:sz w:val="24"/>
          <w:szCs w:val="24"/>
          <w:highlight w:val="none"/>
          <w:u w:val="none"/>
        </w:rPr>
        <w:t>2.合同价格形式</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eastAsia="zh-CN"/>
        </w:rPr>
        <w:t>合同总价为人民币</w:t>
      </w:r>
      <w:r>
        <w:rPr>
          <w:rFonts w:hint="eastAsia" w:ascii="宋体" w:hAnsi="宋体" w:eastAsia="宋体" w:cs="宋体"/>
          <w:b w:val="0"/>
          <w:bCs w:val="0"/>
          <w:color w:val="auto"/>
          <w:sz w:val="24"/>
          <w:szCs w:val="24"/>
          <w:highlight w:val="none"/>
          <w:u w:val="none"/>
          <w:lang w:val="en-US" w:eastAsia="zh-CN"/>
        </w:rPr>
        <w:t xml:space="preserve">         元，此价格为</w:t>
      </w:r>
      <w:r>
        <w:rPr>
          <w:rFonts w:hint="eastAsia" w:ascii="宋体" w:hAnsi="宋体" w:eastAsia="宋体" w:cs="宋体"/>
          <w:b w:val="0"/>
          <w:bCs w:val="0"/>
          <w:color w:val="auto"/>
          <w:sz w:val="24"/>
          <w:szCs w:val="24"/>
          <w:highlight w:val="none"/>
          <w:u w:val="none"/>
        </w:rPr>
        <w:t>固定总价</w:t>
      </w:r>
      <w:r>
        <w:rPr>
          <w:rFonts w:hint="eastAsia" w:ascii="宋体" w:hAnsi="宋体" w:eastAsia="宋体" w:cs="宋体"/>
          <w:b w:val="0"/>
          <w:bCs w:val="0"/>
          <w:color w:val="auto"/>
          <w:sz w:val="24"/>
          <w:szCs w:val="24"/>
          <w:highlight w:val="none"/>
          <w:u w:val="none"/>
          <w:lang w:eastAsia="zh-CN"/>
        </w:rPr>
        <w:t>，不因市场变化或其他因素而调整</w:t>
      </w:r>
      <w:r>
        <w:rPr>
          <w:rFonts w:hint="eastAsia" w:ascii="宋体" w:hAnsi="宋体" w:eastAsia="宋体" w:cs="宋体"/>
          <w:b w:val="0"/>
          <w:bCs w:val="0"/>
          <w:color w:val="auto"/>
          <w:sz w:val="24"/>
          <w:szCs w:val="24"/>
          <w:highlight w:val="none"/>
          <w:u w:val="none"/>
        </w:rPr>
        <w:t>。</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3.合同合计金额包括产品价、税费、备件、包装、运输（含装卸、上楼）、保险、安装、调试、技术培训、产品检测、产品质保期内维护</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各类</w:t>
      </w:r>
      <w:r>
        <w:rPr>
          <w:rFonts w:hint="eastAsia" w:ascii="宋体" w:hAnsi="宋体" w:eastAsia="宋体" w:cs="宋体"/>
          <w:color w:val="auto"/>
          <w:sz w:val="24"/>
          <w:szCs w:val="24"/>
          <w:highlight w:val="none"/>
          <w:u w:val="none"/>
        </w:rPr>
        <w:t>验收过程中</w:t>
      </w:r>
      <w:r>
        <w:rPr>
          <w:rFonts w:hint="eastAsia" w:ascii="宋体" w:hAnsi="宋体" w:eastAsia="宋体" w:cs="宋体"/>
          <w:color w:val="auto"/>
          <w:sz w:val="24"/>
          <w:szCs w:val="24"/>
          <w:highlight w:val="none"/>
          <w:u w:val="none"/>
          <w:lang w:val="en-US" w:eastAsia="zh-CN"/>
        </w:rPr>
        <w:t>涉及的</w:t>
      </w:r>
      <w:r>
        <w:rPr>
          <w:rFonts w:hint="eastAsia" w:ascii="宋体" w:hAnsi="宋体" w:eastAsia="宋体" w:cs="宋体"/>
          <w:color w:val="auto"/>
          <w:sz w:val="24"/>
          <w:szCs w:val="24"/>
          <w:highlight w:val="none"/>
          <w:u w:val="none"/>
        </w:rPr>
        <w:t>测试</w:t>
      </w:r>
      <w:r>
        <w:rPr>
          <w:rFonts w:hint="eastAsia" w:ascii="宋体" w:hAnsi="宋体" w:eastAsia="宋体" w:cs="宋体"/>
          <w:color w:val="auto"/>
          <w:sz w:val="24"/>
          <w:szCs w:val="24"/>
          <w:highlight w:val="none"/>
          <w:u w:val="none"/>
          <w:lang w:eastAsia="zh-CN"/>
        </w:rPr>
        <w:t>和</w:t>
      </w:r>
      <w:r>
        <w:rPr>
          <w:rFonts w:hint="eastAsia" w:ascii="宋体" w:hAnsi="宋体" w:eastAsia="宋体" w:cs="宋体"/>
          <w:color w:val="auto"/>
          <w:sz w:val="24"/>
          <w:szCs w:val="24"/>
          <w:highlight w:val="none"/>
          <w:u w:val="none"/>
        </w:rPr>
        <w:t>验收等类似服务内容的全部费用。如招标文件对其另有规定的，从其规定。</w:t>
      </w:r>
    </w:p>
    <w:p>
      <w:pPr>
        <w:snapToGrid w:val="0"/>
        <w:spacing w:line="440" w:lineRule="exact"/>
        <w:ind w:firstLine="482" w:firstLineChars="200"/>
        <w:jc w:val="left"/>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第二条  质量保证</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1.乙方所提供的货物型号、规格、技术参数等必须与招标文件、投标文件和承诺相一致。</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2.乙方所提供的货物必须是全新、未使用的原装产品，且在正常安装、使用和保养条件下，其使用寿命期内各项指标均达到质量要求。</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乙方提供的商品或者服务有欺诈行为，甲方有权要求乙方赔偿的金额为本合同总金额的三倍。</w:t>
      </w:r>
    </w:p>
    <w:p>
      <w:pPr>
        <w:pStyle w:val="29"/>
        <w:spacing w:line="440" w:lineRule="exact"/>
        <w:ind w:firstLine="480" w:firstLineChars="200"/>
        <w:jc w:val="left"/>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val="en-US" w:eastAsia="zh-CN"/>
        </w:rPr>
        <w:t>4.</w:t>
      </w:r>
      <w:r>
        <w:rPr>
          <w:rFonts w:hint="eastAsia" w:ascii="宋体" w:hAnsi="宋体" w:eastAsia="宋体" w:cs="宋体"/>
          <w:b w:val="0"/>
          <w:bCs w:val="0"/>
          <w:color w:val="auto"/>
          <w:sz w:val="24"/>
          <w:szCs w:val="24"/>
          <w:highlight w:val="none"/>
          <w:u w:val="none"/>
          <w:lang w:eastAsia="zh-CN"/>
        </w:rPr>
        <w:t>验收货物时发现货物外观和质量不符合合同要求的，甲方有权退货或者要求乙方重新发货。</w:t>
      </w:r>
    </w:p>
    <w:p>
      <w:pPr>
        <w:snapToGrid w:val="0"/>
        <w:spacing w:line="440" w:lineRule="exact"/>
        <w:ind w:firstLine="482" w:firstLineChars="200"/>
        <w:jc w:val="left"/>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第三条  权利保证</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1.乙方应保证所提供货物在使用时不会侵犯任何第三方的专利权、商标权、工业设计权或其他权利。</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2.乙方应按招标文件规定的时间向甲方提供使用货物的有关技术资料。</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4.乙方保证所交付的货物的所有权完全属于乙方且无任何抵押、质押、查封等产权瑕疵。</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5.如采购项目涉及采购标的的知识产权归属的，产权归属为：甲方所有。</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6.如果甲方在使用乙方提供的产品及服务时，受到第三方提出的侵犯其知识产权的起诉，给甲方造成经济损失的，乙方应当赔偿甲方的经济损失。</w:t>
      </w:r>
    </w:p>
    <w:p>
      <w:pPr>
        <w:snapToGrid w:val="0"/>
        <w:spacing w:line="440" w:lineRule="exact"/>
        <w:ind w:firstLine="482" w:firstLineChars="200"/>
        <w:jc w:val="left"/>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u w:val="none"/>
        </w:rPr>
        <w:t>第四条  包装和运输</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1.乙方提供的货物均应按招标文件要求的包装材料、包装标准、包装方式进行包装，每一包装单元内应附详细的装箱单和质量合格证，如有缺失应及时补齐，否则视为交付不合格，甲方有权拒收。</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2.货物的运输方式：乙方自定。</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3.乙方负责货物运输，货物运输合理损耗及计算方法：本合同交付货物不接受损耗。</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4.乙方提供的货物包装及快递包装应满足《财政部等三部门联合印发商品包装和快递包装政府采购需求标准（试行）》财办库【2020】123号文要求。</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5.货物在交付甲方前发生的风险均由乙方负责。</w:t>
      </w:r>
    </w:p>
    <w:p>
      <w:pPr>
        <w:snapToGrid w:val="0"/>
        <w:spacing w:line="440" w:lineRule="exact"/>
        <w:ind w:firstLine="482" w:firstLineChars="200"/>
        <w:jc w:val="left"/>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第五条  交付和验收</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1.交付使用时间：</w:t>
      </w:r>
      <w:bookmarkStart w:id="173" w:name="OLE_LINK37"/>
      <w:r>
        <w:rPr>
          <w:rFonts w:hint="eastAsia" w:ascii="宋体" w:hAnsi="宋体" w:eastAsia="宋体" w:cs="宋体"/>
          <w:color w:val="auto"/>
          <w:sz w:val="24"/>
          <w:szCs w:val="24"/>
          <w:highlight w:val="none"/>
          <w:u w:val="single"/>
          <w:lang w:val="en-US" w:eastAsia="zh-CN"/>
        </w:rPr>
        <w:t xml:space="preserve">                         </w:t>
      </w:r>
      <w:bookmarkEnd w:id="173"/>
      <w:r>
        <w:rPr>
          <w:rFonts w:hint="eastAsia" w:ascii="宋体" w:hAnsi="宋体" w:eastAsia="宋体" w:cs="宋体"/>
          <w:color w:val="auto"/>
          <w:sz w:val="24"/>
          <w:szCs w:val="24"/>
          <w:highlight w:val="none"/>
          <w:u w:val="none"/>
        </w:rPr>
        <w:t>；</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交付地点：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2.乙方提供不符合招标文件、投标文件和本合同规定的货物，甲方有权拒绝接收。</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3.合同验收前，乙方需提供原子化测试报告。</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4.乙方交货前应对产品作出全面检查和对验收材料进行整理，并列出清单随货物交甲方。乙方不能完整交付货物及验收材料，应及时补齐，否则视为未按合同约定交货。</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5.货物到达甲方指定地点后，甲方依据合同的要求和乙方提供的货物清单进行清点和检查，外观、说明书、包装、数量等符合要求的，给予签收，不符合的不予签收。</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6.乙方需完成安装和调试，直到符合合同、甲方招标文件、乙方投标文件及承诺等有关要求。乙方完成安装调试后七个工作日内，向甲方提请</w:t>
      </w:r>
      <w:r>
        <w:rPr>
          <w:rFonts w:hint="eastAsia" w:ascii="宋体" w:hAnsi="宋体" w:eastAsia="宋体" w:cs="宋体"/>
          <w:color w:val="auto"/>
          <w:sz w:val="24"/>
          <w:szCs w:val="24"/>
          <w:highlight w:val="none"/>
          <w:u w:val="none"/>
          <w:lang w:val="en-US" w:eastAsia="zh-CN"/>
        </w:rPr>
        <w:t>合同</w:t>
      </w:r>
      <w:r>
        <w:rPr>
          <w:rFonts w:hint="eastAsia" w:ascii="宋体" w:hAnsi="宋体" w:eastAsia="宋体" w:cs="宋体"/>
          <w:color w:val="auto"/>
          <w:sz w:val="24"/>
          <w:szCs w:val="24"/>
          <w:highlight w:val="none"/>
          <w:u w:val="none"/>
        </w:rPr>
        <w:t>验收。甲方组织验收时，乙方应予以配合，验收合格</w:t>
      </w:r>
      <w:r>
        <w:rPr>
          <w:rFonts w:hint="eastAsia" w:ascii="宋体" w:hAnsi="宋体" w:eastAsia="宋体" w:cs="宋体"/>
          <w:color w:val="auto"/>
          <w:sz w:val="24"/>
          <w:szCs w:val="24"/>
          <w:highlight w:val="none"/>
          <w:u w:val="none"/>
          <w:lang w:val="en-US" w:eastAsia="zh-CN"/>
        </w:rPr>
        <w:tab/>
      </w:r>
      <w:r>
        <w:rPr>
          <w:rFonts w:hint="eastAsia" w:ascii="宋体" w:hAnsi="宋体" w:eastAsia="宋体" w:cs="宋体"/>
          <w:color w:val="auto"/>
          <w:sz w:val="24"/>
          <w:szCs w:val="24"/>
          <w:highlight w:val="none"/>
          <w:u w:val="none"/>
        </w:rPr>
        <w:t>后由甲乙双方签署货物验收单并加盖甲乙双方单位公章，甲乙双方各执一份。</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7.其他未尽事宜应严格按照《关于印发广西壮族自治区政府采购项目履约验收管理办法的通知》[桂财采〔2015〕22号]以及《财政部关于进一步加强政府采购需求和履约验收管理的指导意见》[财库〔2016〕205号]规定执行。</w:t>
      </w:r>
    </w:p>
    <w:p>
      <w:pPr>
        <w:pStyle w:val="29"/>
        <w:spacing w:line="440" w:lineRule="exact"/>
        <w:ind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8.本合同所称验收指按照《国家无线电办公室关于印发&lt;无线电管理基础和技术设施建设项目管理指导意见&gt;的通知》（国无办函〔2019〕21号）等国家和广西有关规定需要开展的合同验收、初步验收、竣工验收。合同验收通过后，乙方应配合甲方开展初步验收和竣工验收，并根据合同验收、初步验收、竣工验收的验收意见完成相关整改，直至符合要求。</w:t>
      </w:r>
    </w:p>
    <w:p>
      <w:pPr>
        <w:pStyle w:val="29"/>
        <w:spacing w:line="440" w:lineRule="exact"/>
        <w:ind w:firstLine="482" w:firstLineChars="200"/>
        <w:jc w:val="left"/>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u w:val="none"/>
        </w:rPr>
        <w:t>第六条  安装和培训</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1.甲方应提供必要安装条件（如场地、电源、水源等），乙方负责安装。</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2.乙方负责甲方有关人员的培训。培训时间、次数、地点：由甲方决定。</w:t>
      </w:r>
    </w:p>
    <w:p>
      <w:pPr>
        <w:snapToGrid w:val="0"/>
        <w:spacing w:line="440" w:lineRule="exact"/>
        <w:ind w:firstLine="482" w:firstLineChars="200"/>
        <w:jc w:val="left"/>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第七条  付款方式</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1.资金性质：财政性资金。</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2.付款方式：合同生效后</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由本合同的所有使用单位共同</w:t>
      </w:r>
      <w:r>
        <w:rPr>
          <w:rFonts w:hint="eastAsia" w:ascii="宋体" w:hAnsi="宋体" w:eastAsia="宋体" w:cs="宋体"/>
          <w:color w:val="auto"/>
          <w:sz w:val="24"/>
          <w:highlight w:val="none"/>
          <w:u w:val="none"/>
        </w:rPr>
        <w:t>支付</w:t>
      </w:r>
      <w:r>
        <w:rPr>
          <w:rFonts w:hint="eastAsia" w:ascii="宋体" w:hAnsi="宋体" w:eastAsia="宋体" w:cs="宋体"/>
          <w:color w:val="auto"/>
          <w:sz w:val="24"/>
          <w:highlight w:val="none"/>
          <w:u w:val="none"/>
          <w:lang w:val="en-US" w:eastAsia="zh-CN"/>
        </w:rPr>
        <w:t>合同总价的</w:t>
      </w:r>
      <w:r>
        <w:rPr>
          <w:rFonts w:hint="eastAsia" w:ascii="宋体" w:hAnsi="宋体" w:eastAsia="宋体" w:cs="宋体"/>
          <w:color w:val="auto"/>
          <w:sz w:val="24"/>
          <w:highlight w:val="none"/>
          <w:u w:val="none"/>
        </w:rPr>
        <w:t>50%</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各使用单位应支付的金额由采购单位确定</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，出厂验收后支付</w:t>
      </w:r>
      <w:r>
        <w:rPr>
          <w:rFonts w:hint="eastAsia" w:ascii="宋体" w:hAnsi="宋体" w:eastAsia="宋体" w:cs="宋体"/>
          <w:color w:val="auto"/>
          <w:sz w:val="24"/>
          <w:highlight w:val="none"/>
          <w:u w:val="none"/>
          <w:lang w:val="en-US" w:eastAsia="zh-CN"/>
        </w:rPr>
        <w:t>合同总价的</w:t>
      </w:r>
      <w:r>
        <w:rPr>
          <w:rFonts w:hint="eastAsia" w:ascii="宋体" w:hAnsi="宋体" w:eastAsia="宋体" w:cs="宋体"/>
          <w:color w:val="auto"/>
          <w:sz w:val="24"/>
          <w:highlight w:val="none"/>
          <w:u w:val="none"/>
        </w:rPr>
        <w:t>30%，合同验收后支付</w:t>
      </w:r>
      <w:r>
        <w:rPr>
          <w:rFonts w:hint="eastAsia" w:ascii="宋体" w:hAnsi="宋体" w:eastAsia="宋体" w:cs="宋体"/>
          <w:color w:val="auto"/>
          <w:sz w:val="24"/>
          <w:highlight w:val="none"/>
          <w:u w:val="none"/>
          <w:lang w:val="en-US" w:eastAsia="zh-CN"/>
        </w:rPr>
        <w:t>合同总价的</w:t>
      </w:r>
      <w:r>
        <w:rPr>
          <w:rFonts w:hint="eastAsia" w:ascii="宋体" w:hAnsi="宋体" w:eastAsia="宋体" w:cs="宋体"/>
          <w:color w:val="auto"/>
          <w:sz w:val="24"/>
          <w:highlight w:val="none"/>
          <w:u w:val="none"/>
        </w:rPr>
        <w:t>17%，竣工验收通过后支付</w:t>
      </w:r>
      <w:r>
        <w:rPr>
          <w:rFonts w:hint="eastAsia" w:ascii="宋体" w:hAnsi="宋体" w:eastAsia="宋体" w:cs="宋体"/>
          <w:color w:val="auto"/>
          <w:sz w:val="24"/>
          <w:highlight w:val="none"/>
          <w:u w:val="none"/>
          <w:lang w:val="en-US" w:eastAsia="zh-CN"/>
        </w:rPr>
        <w:t>合同总价的</w:t>
      </w:r>
      <w:r>
        <w:rPr>
          <w:rFonts w:hint="eastAsia" w:ascii="宋体" w:hAnsi="宋体" w:eastAsia="宋体" w:cs="宋体"/>
          <w:color w:val="auto"/>
          <w:sz w:val="24"/>
          <w:highlight w:val="none"/>
          <w:u w:val="none"/>
        </w:rPr>
        <w:t>3%。乙方收到上述货款之日起10个工作日内开具发票给</w:t>
      </w:r>
      <w:r>
        <w:rPr>
          <w:rFonts w:hint="eastAsia" w:ascii="宋体" w:hAnsi="宋体" w:eastAsia="宋体" w:cs="宋体"/>
          <w:color w:val="auto"/>
          <w:sz w:val="24"/>
          <w:highlight w:val="none"/>
          <w:u w:val="none"/>
          <w:lang w:val="en-US" w:eastAsia="zh-CN"/>
        </w:rPr>
        <w:t>各付款单位（即使用单位）</w:t>
      </w:r>
      <w:r>
        <w:rPr>
          <w:rFonts w:hint="eastAsia" w:ascii="宋体" w:hAnsi="宋体" w:eastAsia="宋体" w:cs="宋体"/>
          <w:color w:val="auto"/>
          <w:sz w:val="24"/>
          <w:highlight w:val="none"/>
          <w:u w:val="none"/>
        </w:rPr>
        <w:t>。</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支付形式：转账。</w:t>
      </w:r>
    </w:p>
    <w:p>
      <w:pPr>
        <w:snapToGrid w:val="0"/>
        <w:spacing w:line="440" w:lineRule="exact"/>
        <w:ind w:firstLine="482" w:firstLineChars="200"/>
        <w:jc w:val="left"/>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u w:val="none"/>
        </w:rPr>
        <w:t>第八条  履约保证金</w:t>
      </w:r>
    </w:p>
    <w:p>
      <w:pPr>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本合同履约保证金金额：无。</w:t>
      </w:r>
    </w:p>
    <w:p>
      <w:pPr>
        <w:snapToGrid w:val="0"/>
        <w:spacing w:line="440" w:lineRule="exact"/>
        <w:ind w:firstLine="482" w:firstLineChars="200"/>
        <w:jc w:val="left"/>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u w:val="none"/>
        </w:rPr>
        <w:t>第九条  税费</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本合同执行中相关的一切税费均由乙方负担。</w:t>
      </w:r>
    </w:p>
    <w:p>
      <w:pPr>
        <w:snapToGrid w:val="0"/>
        <w:spacing w:line="440" w:lineRule="exact"/>
        <w:ind w:firstLine="482" w:firstLineChars="200"/>
        <w:jc w:val="left"/>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u w:val="none"/>
        </w:rPr>
        <w:t>第十条  质保期及售后服务</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1.乙方应按照国家有关法律法规和“三包”规定以及招标文件、投标文件和本合同附件，为甲方提供售后服务。</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2.货物质保期：设备验收合格正式交付使用之日起计算，整套设备免费保修期为   年（因战争、严重火灾、洪水、台风、雷击、地震等不可抗拒因素和人为因素出现的故障不在免费保修范围内，可有偿维修）。质保期内免费维修、更换配件。质保期满后，以优惠价格提供维修和备件更换，且免除一切手续费。</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3.如在使用过程中发生质量问题，乙方在接到甲方通知后在    小时内到达甲方现场。</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4.在质保期内，乙方应对货物或服务成果出现的质量及安全问题负责处理解决并承担一切费用。</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5.乙方提供的服务承诺和售后服务及质保期责任等其它具体约定事项。</w:t>
      </w:r>
    </w:p>
    <w:p>
      <w:pPr>
        <w:snapToGrid w:val="0"/>
        <w:spacing w:line="440" w:lineRule="exact"/>
        <w:ind w:firstLine="482" w:firstLineChars="200"/>
        <w:jc w:val="left"/>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u w:val="none"/>
        </w:rPr>
        <w:t>第十一条  违约责任</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1.乙方所提供的货物经验收不合格，乙方必须在30天内无条件更换，并经验收合格；如果验收不合格，视为乙方构成根本性违约，甲方有权解除合同，乙方应向甲方退还全部合同货款，并支付违约金为验收不合格货款金额的 </w:t>
      </w:r>
      <w:r>
        <w:rPr>
          <w:rFonts w:hint="eastAsia" w:ascii="宋体" w:hAnsi="宋体" w:eastAsia="宋体" w:cs="宋体"/>
          <w:color w:val="auto"/>
          <w:sz w:val="24"/>
          <w:highlight w:val="none"/>
          <w:u w:val="none"/>
          <w:lang w:val="en-US" w:eastAsia="zh-CN"/>
        </w:rPr>
        <w:t>30</w:t>
      </w:r>
      <w:r>
        <w:rPr>
          <w:rFonts w:hint="eastAsia" w:ascii="宋体" w:hAnsi="宋体" w:eastAsia="宋体" w:cs="宋体"/>
          <w:color w:val="auto"/>
          <w:sz w:val="24"/>
          <w:highlight w:val="none"/>
          <w:u w:val="none"/>
        </w:rPr>
        <w:t xml:space="preserve">%。                                       </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2.乙方提供的货物如侵犯了第三方合法权益而引发的任何纠纷或诉讼，均由乙方负责交涉并承担全部责任。</w:t>
      </w:r>
    </w:p>
    <w:p>
      <w:pPr>
        <w:snapToGrid w:val="0"/>
        <w:spacing w:line="440" w:lineRule="exact"/>
        <w:ind w:firstLine="480" w:firstLineChars="200"/>
        <w:jc w:val="left"/>
        <w:rPr>
          <w:rFonts w:hint="eastAsia" w:ascii="宋体" w:hAnsi="宋体" w:eastAsia="宋体" w:cs="宋体"/>
          <w:b w:val="0"/>
          <w:bCs w:val="0"/>
          <w:color w:val="auto"/>
          <w:sz w:val="24"/>
          <w:highlight w:val="none"/>
          <w:u w:val="none"/>
        </w:rPr>
      </w:pPr>
      <w:r>
        <w:rPr>
          <w:rFonts w:hint="eastAsia" w:ascii="宋体" w:hAnsi="宋体" w:eastAsia="宋体" w:cs="宋体"/>
          <w:color w:val="auto"/>
          <w:sz w:val="24"/>
          <w:highlight w:val="none"/>
          <w:u w:val="none"/>
        </w:rPr>
        <w:t>3.因包装、运输引起</w:t>
      </w:r>
      <w:r>
        <w:rPr>
          <w:rFonts w:hint="eastAsia" w:ascii="宋体" w:hAnsi="宋体" w:eastAsia="宋体" w:cs="宋体"/>
          <w:b w:val="0"/>
          <w:bCs w:val="0"/>
          <w:color w:val="auto"/>
          <w:sz w:val="24"/>
          <w:highlight w:val="none"/>
          <w:u w:val="none"/>
        </w:rPr>
        <w:t>的货物损坏，按质量不合格处理，由乙方自行承担。</w:t>
      </w:r>
    </w:p>
    <w:p>
      <w:pPr>
        <w:snapToGrid w:val="0"/>
        <w:spacing w:line="440" w:lineRule="exact"/>
        <w:ind w:firstLine="480" w:firstLineChars="200"/>
        <w:jc w:val="left"/>
        <w:rPr>
          <w:rFonts w:hint="eastAsia" w:ascii="宋体" w:hAnsi="宋体" w:eastAsia="宋体" w:cs="宋体"/>
          <w:b w:val="0"/>
          <w:bCs w:val="0"/>
          <w:color w:val="auto"/>
          <w:sz w:val="24"/>
          <w:highlight w:val="none"/>
          <w:u w:val="none"/>
        </w:rPr>
      </w:pPr>
      <w:r>
        <w:rPr>
          <w:rFonts w:hint="eastAsia" w:ascii="宋体" w:hAnsi="宋体" w:eastAsia="宋体" w:cs="宋体"/>
          <w:b w:val="0"/>
          <w:bCs w:val="0"/>
          <w:color w:val="auto"/>
          <w:sz w:val="24"/>
          <w:highlight w:val="none"/>
          <w:u w:val="none"/>
        </w:rPr>
        <w:t>4.甲方无故延期接收货物，每天向乙方偿付延期接货货款</w:t>
      </w:r>
      <w:r>
        <w:rPr>
          <w:rFonts w:hint="eastAsia" w:ascii="宋体" w:hAnsi="宋体" w:eastAsia="宋体" w:cs="宋体"/>
          <w:b w:val="0"/>
          <w:bCs w:val="0"/>
          <w:color w:val="auto"/>
          <w:sz w:val="24"/>
          <w:highlight w:val="none"/>
          <w:u w:val="none"/>
          <w:lang w:eastAsia="zh-CN"/>
        </w:rPr>
        <w:t>总</w:t>
      </w:r>
      <w:r>
        <w:rPr>
          <w:rFonts w:hint="eastAsia" w:ascii="宋体" w:hAnsi="宋体" w:eastAsia="宋体" w:cs="宋体"/>
          <w:b w:val="0"/>
          <w:bCs w:val="0"/>
          <w:color w:val="auto"/>
          <w:sz w:val="24"/>
          <w:highlight w:val="none"/>
          <w:u w:val="none"/>
        </w:rPr>
        <w:t>金额3‰违约金，但违约金累计不得超过合同货款</w:t>
      </w:r>
      <w:r>
        <w:rPr>
          <w:rFonts w:hint="eastAsia" w:ascii="宋体" w:hAnsi="宋体" w:eastAsia="宋体" w:cs="宋体"/>
          <w:b w:val="0"/>
          <w:bCs w:val="0"/>
          <w:color w:val="auto"/>
          <w:sz w:val="24"/>
          <w:highlight w:val="none"/>
          <w:u w:val="none"/>
          <w:lang w:eastAsia="zh-CN"/>
        </w:rPr>
        <w:t>总</w:t>
      </w:r>
      <w:r>
        <w:rPr>
          <w:rFonts w:hint="eastAsia" w:ascii="宋体" w:hAnsi="宋体" w:eastAsia="宋体" w:cs="宋体"/>
          <w:b w:val="0"/>
          <w:bCs w:val="0"/>
          <w:color w:val="auto"/>
          <w:sz w:val="24"/>
          <w:highlight w:val="none"/>
          <w:u w:val="none"/>
        </w:rPr>
        <w:t>金额5%，超过 30 天乙方有权解除合同，甲方应向乙方支付剩余合同款；甲方延期付货款的，每天向乙方偿付延期货款额3‰ 违约金，但违约金累计不得超过延期货款</w:t>
      </w:r>
      <w:r>
        <w:rPr>
          <w:rFonts w:hint="eastAsia" w:ascii="宋体" w:hAnsi="宋体" w:eastAsia="宋体" w:cs="宋体"/>
          <w:b w:val="0"/>
          <w:bCs w:val="0"/>
          <w:color w:val="auto"/>
          <w:sz w:val="24"/>
          <w:highlight w:val="none"/>
          <w:u w:val="none"/>
          <w:lang w:eastAsia="zh-CN"/>
        </w:rPr>
        <w:t>总金</w:t>
      </w:r>
      <w:r>
        <w:rPr>
          <w:rFonts w:hint="eastAsia" w:ascii="宋体" w:hAnsi="宋体" w:eastAsia="宋体" w:cs="宋体"/>
          <w:b w:val="0"/>
          <w:bCs w:val="0"/>
          <w:color w:val="auto"/>
          <w:sz w:val="24"/>
          <w:highlight w:val="none"/>
          <w:u w:val="none"/>
        </w:rPr>
        <w:t>额5%。</w:t>
      </w:r>
    </w:p>
    <w:p>
      <w:pPr>
        <w:snapToGrid w:val="0"/>
        <w:spacing w:line="440" w:lineRule="exact"/>
        <w:ind w:firstLine="480" w:firstLineChars="200"/>
        <w:jc w:val="left"/>
        <w:rPr>
          <w:rFonts w:hint="eastAsia" w:ascii="宋体" w:hAnsi="宋体" w:eastAsia="宋体" w:cs="宋体"/>
          <w:b w:val="0"/>
          <w:bCs w:val="0"/>
          <w:color w:val="auto"/>
          <w:sz w:val="24"/>
          <w:highlight w:val="none"/>
          <w:u w:val="none"/>
        </w:rPr>
      </w:pPr>
      <w:r>
        <w:rPr>
          <w:rFonts w:hint="eastAsia" w:ascii="宋体" w:hAnsi="宋体" w:eastAsia="宋体" w:cs="宋体"/>
          <w:b w:val="0"/>
          <w:bCs w:val="0"/>
          <w:color w:val="auto"/>
          <w:sz w:val="24"/>
          <w:highlight w:val="none"/>
          <w:u w:val="none"/>
        </w:rPr>
        <w:t>5.乙方逾期交货的，每天向甲方支付逾期交货货款</w:t>
      </w:r>
      <w:r>
        <w:rPr>
          <w:rFonts w:hint="eastAsia" w:ascii="宋体" w:hAnsi="宋体" w:eastAsia="宋体" w:cs="宋体"/>
          <w:b w:val="0"/>
          <w:bCs w:val="0"/>
          <w:color w:val="auto"/>
          <w:sz w:val="24"/>
          <w:highlight w:val="none"/>
          <w:u w:val="none"/>
          <w:lang w:eastAsia="zh-CN"/>
        </w:rPr>
        <w:t>总</w:t>
      </w:r>
      <w:r>
        <w:rPr>
          <w:rFonts w:hint="eastAsia" w:ascii="宋体" w:hAnsi="宋体" w:eastAsia="宋体" w:cs="宋体"/>
          <w:b w:val="0"/>
          <w:bCs w:val="0"/>
          <w:color w:val="auto"/>
          <w:sz w:val="24"/>
          <w:highlight w:val="none"/>
          <w:u w:val="none"/>
        </w:rPr>
        <w:t>金额3‰违约金，但违约金累计不得超过合同货款</w:t>
      </w:r>
      <w:r>
        <w:rPr>
          <w:rFonts w:hint="eastAsia" w:ascii="宋体" w:hAnsi="宋体" w:eastAsia="宋体" w:cs="宋体"/>
          <w:b w:val="0"/>
          <w:bCs w:val="0"/>
          <w:color w:val="auto"/>
          <w:sz w:val="24"/>
          <w:highlight w:val="none"/>
          <w:u w:val="none"/>
          <w:lang w:eastAsia="zh-CN"/>
        </w:rPr>
        <w:t>总</w:t>
      </w:r>
      <w:r>
        <w:rPr>
          <w:rFonts w:hint="eastAsia" w:ascii="宋体" w:hAnsi="宋体" w:eastAsia="宋体" w:cs="宋体"/>
          <w:b w:val="0"/>
          <w:bCs w:val="0"/>
          <w:color w:val="auto"/>
          <w:sz w:val="24"/>
          <w:highlight w:val="none"/>
          <w:u w:val="none"/>
        </w:rPr>
        <w:t>金额5%，超过 30 天甲方有权解除合同，乙方应向甲方退还全部合同货款，并支付违约货款金额</w:t>
      </w:r>
      <w:r>
        <w:rPr>
          <w:rFonts w:hint="eastAsia" w:ascii="宋体" w:hAnsi="宋体" w:eastAsia="宋体" w:cs="宋体"/>
          <w:b w:val="0"/>
          <w:bCs w:val="0"/>
          <w:color w:val="auto"/>
          <w:sz w:val="24"/>
          <w:highlight w:val="none"/>
          <w:u w:val="none"/>
          <w:lang w:val="en-US" w:eastAsia="zh-CN"/>
        </w:rPr>
        <w:t>30</w:t>
      </w:r>
      <w:r>
        <w:rPr>
          <w:rFonts w:hint="eastAsia" w:ascii="宋体" w:hAnsi="宋体" w:eastAsia="宋体" w:cs="宋体"/>
          <w:b w:val="0"/>
          <w:bCs w:val="0"/>
          <w:color w:val="auto"/>
          <w:sz w:val="24"/>
          <w:highlight w:val="none"/>
          <w:u w:val="none"/>
        </w:rPr>
        <w:t>%违约金。</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b w:val="0"/>
          <w:bCs w:val="0"/>
          <w:color w:val="auto"/>
          <w:sz w:val="24"/>
          <w:highlight w:val="none"/>
          <w:u w:val="none"/>
        </w:rPr>
        <w:t>6.乙方未按本合同和投标文件中规定的</w:t>
      </w:r>
      <w:r>
        <w:rPr>
          <w:rFonts w:hint="eastAsia" w:ascii="宋体" w:hAnsi="宋体" w:eastAsia="宋体" w:cs="宋体"/>
          <w:color w:val="auto"/>
          <w:sz w:val="24"/>
          <w:highlight w:val="none"/>
          <w:u w:val="none"/>
        </w:rPr>
        <w:t>服务承诺提供售后服务的，乙方应按本合同合计金额5%向甲方支付违约金。</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7.乙方提供的货物在质量保证期内，因设计、工艺或材料的缺陷和其它质量原因造成的问题，由乙方负责，费用从剩余支付货款中扣除，剩余支付货款不足以支付的，由乙方另行支付。</w:t>
      </w:r>
    </w:p>
    <w:p>
      <w:pPr>
        <w:pStyle w:val="29"/>
        <w:spacing w:line="440" w:lineRule="exact"/>
        <w:ind w:firstLine="480" w:firstLineChars="200"/>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8.因产品质量不合格造成他人财产、人身损害的，乙方应当承担赔偿责任。</w:t>
      </w:r>
    </w:p>
    <w:p>
      <w:pPr>
        <w:snapToGrid w:val="0"/>
        <w:spacing w:line="440" w:lineRule="exact"/>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其它违约行为按违约货款额</w:t>
      </w:r>
      <w:r>
        <w:rPr>
          <w:rFonts w:hint="eastAsia" w:ascii="宋体" w:hAnsi="宋体" w:eastAsia="宋体" w:cs="宋体"/>
          <w:color w:val="auto"/>
          <w:sz w:val="24"/>
          <w:highlight w:val="none"/>
          <w:u w:val="none"/>
          <w:lang w:val="en-US" w:eastAsia="zh-CN"/>
        </w:rPr>
        <w:t>30</w:t>
      </w:r>
      <w:r>
        <w:rPr>
          <w:rFonts w:hint="eastAsia" w:ascii="宋体" w:hAnsi="宋体" w:eastAsia="宋体" w:cs="宋体"/>
          <w:color w:val="auto"/>
          <w:sz w:val="24"/>
          <w:highlight w:val="none"/>
          <w:u w:val="none"/>
        </w:rPr>
        <w:t>%收取违约金，如果违约金不足于赔偿甲方的经济损失，乙方应当足额赔偿甲方经济损失。</w:t>
      </w:r>
    </w:p>
    <w:p>
      <w:pPr>
        <w:pStyle w:val="29"/>
        <w:snapToGrid w:val="0"/>
        <w:spacing w:before="120" w:after="120" w:line="440" w:lineRule="exact"/>
        <w:ind w:firstLine="472" w:firstLineChars="196"/>
        <w:jc w:val="left"/>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rPr>
        <w:t>第十二条  不可抗力事件处理</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1.在合同有效期内，任何一方因不可抗力事件导致不能履行合同，则合同履行期可延长，其延长期与不可抗力影响期相同。</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2.不可抗力事件发生后，应立即书面通知对方，并寄送有关权威机构出具的证明。</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3.不可抗力事件延续一百二十天以上，双方应通过友好协商，确定是否继续履行合同。</w:t>
      </w:r>
    </w:p>
    <w:p>
      <w:pPr>
        <w:snapToGrid w:val="0"/>
        <w:spacing w:line="440" w:lineRule="exact"/>
        <w:ind w:firstLine="482" w:firstLineChars="200"/>
        <w:jc w:val="left"/>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第十三条  合同争议解决</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1.因货物质量问题发生争议的，应对货物进行封存，并邀请</w:t>
      </w:r>
      <w:r>
        <w:rPr>
          <w:rFonts w:hint="eastAsia" w:ascii="宋体" w:hAnsi="宋体" w:eastAsia="宋体" w:cs="宋体"/>
          <w:b/>
          <w:bCs/>
          <w:color w:val="auto"/>
          <w:sz w:val="24"/>
          <w:highlight w:val="none"/>
          <w:u w:val="none"/>
          <w:lang w:eastAsia="zh-CN"/>
        </w:rPr>
        <w:t>省级以上</w:t>
      </w:r>
      <w:r>
        <w:rPr>
          <w:rFonts w:hint="eastAsia" w:ascii="宋体" w:hAnsi="宋体" w:eastAsia="宋体" w:cs="宋体"/>
          <w:color w:val="auto"/>
          <w:sz w:val="24"/>
          <w:highlight w:val="none"/>
          <w:u w:val="none"/>
        </w:rPr>
        <w:t>具备质量检测资质的机构按照国家标准对货物质量进行鉴定。货物符合国家标准的，鉴定费由甲方承担；货物不符合国家标准的，鉴定费由乙方承担。</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2.因履行本合同引起的或与本合同有关的争议，甲乙双方应首先通过友好协商解决，如果协商不能解决，可向甲方所在地人民法院提起诉讼。</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3.诉讼期间，本合同继续履行。</w:t>
      </w:r>
    </w:p>
    <w:p>
      <w:pPr>
        <w:pStyle w:val="29"/>
        <w:snapToGrid w:val="0"/>
        <w:spacing w:before="120" w:after="120" w:line="440" w:lineRule="exact"/>
        <w:ind w:firstLine="482" w:firstLineChars="200"/>
        <w:jc w:val="left"/>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rPr>
        <w:t>第十四条  合同生效及其它</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合同经双方法定代表人或授权代表签字并加盖单位公章后生效。</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合同执行中涉及采购资金和采购内容修改或补充的，须经财政部门审批，并签书面补充协议报财政部门备案，方可作为主合同不可分割的一部分。</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本合同未尽事宜，由双方协商，签订补充协议。</w:t>
      </w:r>
    </w:p>
    <w:p>
      <w:pPr>
        <w:snapToGrid w:val="0"/>
        <w:spacing w:line="440" w:lineRule="exact"/>
        <w:ind w:firstLine="482" w:firstLineChars="200"/>
        <w:jc w:val="left"/>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u w:val="none"/>
        </w:rPr>
        <w:t>第十五条  签订本合同依据</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1.政府采购招标文件；</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2.乙方提供的投标文件；</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3.投标承诺书；</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4.中标（成交）通知书。</w:t>
      </w:r>
    </w:p>
    <w:p>
      <w:pPr>
        <w:snapToGrid w:val="0"/>
        <w:spacing w:line="440" w:lineRule="exact"/>
        <w:ind w:firstLine="482" w:firstLineChars="200"/>
        <w:jc w:val="left"/>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 xml:space="preserve">第十六条 </w:t>
      </w:r>
      <w:r>
        <w:rPr>
          <w:rFonts w:hint="eastAsia" w:ascii="宋体" w:hAnsi="宋体" w:eastAsia="宋体" w:cs="宋体"/>
          <w:color w:val="auto"/>
          <w:sz w:val="24"/>
          <w:highlight w:val="none"/>
          <w:u w:val="none"/>
        </w:rPr>
        <w:t>本合同一式</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份，具有同等法律效力。</w:t>
      </w:r>
      <w:r>
        <w:rPr>
          <w:rFonts w:hint="eastAsia" w:ascii="宋体" w:hAnsi="宋体" w:eastAsia="宋体" w:cs="宋体"/>
          <w:color w:val="auto"/>
          <w:spacing w:val="4"/>
          <w:sz w:val="24"/>
          <w:highlight w:val="none"/>
          <w:u w:val="none"/>
        </w:rPr>
        <w:t>政府采购监督管理部门、采购代理机构</w:t>
      </w:r>
      <w:r>
        <w:rPr>
          <w:rFonts w:hint="eastAsia" w:ascii="宋体" w:hAnsi="宋体" w:eastAsia="宋体" w:cs="宋体"/>
          <w:color w:val="auto"/>
          <w:sz w:val="24"/>
          <w:highlight w:val="none"/>
          <w:u w:val="none"/>
        </w:rPr>
        <w:t>各一份，甲方</w:t>
      </w:r>
      <w:r>
        <w:rPr>
          <w:rFonts w:hint="eastAsia" w:ascii="宋体" w:hAnsi="宋体" w:eastAsia="宋体" w:cs="宋体"/>
          <w:color w:val="auto"/>
          <w:sz w:val="24"/>
          <w:highlight w:val="none"/>
          <w:u w:val="none"/>
          <w:lang w:eastAsia="zh-CN"/>
        </w:rPr>
        <w:t>（采购单位）</w:t>
      </w:r>
      <w:r>
        <w:rPr>
          <w:rFonts w:hint="eastAsia" w:ascii="宋体" w:hAnsi="宋体" w:eastAsia="宋体" w:cs="宋体"/>
          <w:color w:val="auto"/>
          <w:sz w:val="24"/>
          <w:highlight w:val="none"/>
          <w:u w:val="none"/>
        </w:rPr>
        <w:t>三份，</w:t>
      </w:r>
      <w:r>
        <w:rPr>
          <w:rFonts w:hint="eastAsia" w:ascii="宋体" w:hAnsi="宋体" w:eastAsia="宋体" w:cs="宋体"/>
          <w:color w:val="auto"/>
          <w:sz w:val="24"/>
          <w:highlight w:val="none"/>
          <w:u w:val="none"/>
          <w:lang w:eastAsia="zh-CN"/>
        </w:rPr>
        <w:t>甲方（使用单位）各二份，</w:t>
      </w:r>
      <w:r>
        <w:rPr>
          <w:rFonts w:hint="eastAsia" w:ascii="宋体" w:hAnsi="宋体" w:eastAsia="宋体" w:cs="宋体"/>
          <w:color w:val="auto"/>
          <w:sz w:val="24"/>
          <w:highlight w:val="none"/>
          <w:u w:val="none"/>
        </w:rPr>
        <w:t>乙方二份。</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本合同经甲乙双方法定代表人或授权代表签字并加盖单位公章</w:t>
      </w:r>
      <w:r>
        <w:rPr>
          <w:rFonts w:hint="eastAsia" w:ascii="宋体" w:hAnsi="宋体" w:eastAsia="宋体" w:cs="宋体"/>
          <w:color w:val="auto"/>
          <w:sz w:val="24"/>
          <w:highlight w:val="none"/>
          <w:u w:val="none"/>
          <w:lang w:eastAsia="zh-CN"/>
        </w:rPr>
        <w:t>之日起</w:t>
      </w:r>
      <w:r>
        <w:rPr>
          <w:rFonts w:hint="eastAsia" w:ascii="宋体" w:hAnsi="宋体" w:eastAsia="宋体" w:cs="宋体"/>
          <w:color w:val="auto"/>
          <w:sz w:val="24"/>
          <w:highlight w:val="none"/>
          <w:u w:val="none"/>
        </w:rPr>
        <w:t>生效。</w:t>
      </w:r>
    </w:p>
    <w:p>
      <w:pPr>
        <w:widowControl/>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br w:type="page"/>
      </w:r>
    </w:p>
    <w:tbl>
      <w:tblPr>
        <w:tblStyle w:val="54"/>
        <w:tblW w:w="9125" w:type="dxa"/>
        <w:jc w:val="center"/>
        <w:tblLayout w:type="fixed"/>
        <w:tblCellMar>
          <w:top w:w="0" w:type="dxa"/>
          <w:left w:w="108" w:type="dxa"/>
          <w:bottom w:w="0" w:type="dxa"/>
          <w:right w:w="108" w:type="dxa"/>
        </w:tblCellMar>
      </w:tblPr>
      <w:tblGrid>
        <w:gridCol w:w="4437"/>
        <w:gridCol w:w="4688"/>
      </w:tblGrid>
      <w:tr>
        <w:tblPrEx>
          <w:tblCellMar>
            <w:top w:w="0" w:type="dxa"/>
            <w:left w:w="108" w:type="dxa"/>
            <w:bottom w:w="0" w:type="dxa"/>
            <w:right w:w="108" w:type="dxa"/>
          </w:tblCellMar>
        </w:tblPrEx>
        <w:trPr>
          <w:cantSplit/>
          <w:trHeight w:val="975"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甲方（采购单位）：</w:t>
            </w:r>
          </w:p>
          <w:p>
            <w:pPr>
              <w:snapToGrid w:val="0"/>
              <w:spacing w:line="360" w:lineRule="exact"/>
              <w:jc w:val="righ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广西壮族自治区工业和信息化厅（章）</w:t>
            </w:r>
          </w:p>
        </w:tc>
        <w:tc>
          <w:tcPr>
            <w:tcW w:w="4688"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乙方（供应商）：</w:t>
            </w:r>
          </w:p>
          <w:p>
            <w:pPr>
              <w:snapToGrid w:val="0"/>
              <w:spacing w:line="360" w:lineRule="exact"/>
              <w:jc w:val="righ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（章）</w:t>
            </w:r>
          </w:p>
        </w:tc>
      </w:tr>
      <w:tr>
        <w:tblPrEx>
          <w:tblCellMar>
            <w:top w:w="0" w:type="dxa"/>
            <w:left w:w="108" w:type="dxa"/>
            <w:bottom w:w="0" w:type="dxa"/>
            <w:right w:w="108" w:type="dxa"/>
          </w:tblCellMar>
        </w:tblPrEx>
        <w:trPr>
          <w:cantSplit/>
          <w:trHeight w:val="482"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单位地址：</w:t>
            </w:r>
          </w:p>
        </w:tc>
        <w:tc>
          <w:tcPr>
            <w:tcW w:w="4688"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单位地址：</w:t>
            </w:r>
          </w:p>
        </w:tc>
      </w:tr>
      <w:tr>
        <w:tblPrEx>
          <w:tblCellMar>
            <w:top w:w="0" w:type="dxa"/>
            <w:left w:w="108" w:type="dxa"/>
            <w:bottom w:w="0" w:type="dxa"/>
            <w:right w:w="108" w:type="dxa"/>
          </w:tblCellMar>
        </w:tblPrEx>
        <w:trPr>
          <w:cantSplit/>
          <w:trHeight w:val="465"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法定代表人：</w:t>
            </w:r>
          </w:p>
        </w:tc>
        <w:tc>
          <w:tcPr>
            <w:tcW w:w="4688"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法定代表人：</w:t>
            </w:r>
          </w:p>
        </w:tc>
      </w:tr>
      <w:tr>
        <w:tblPrEx>
          <w:tblCellMar>
            <w:top w:w="0" w:type="dxa"/>
            <w:left w:w="108" w:type="dxa"/>
            <w:bottom w:w="0" w:type="dxa"/>
            <w:right w:w="108" w:type="dxa"/>
          </w:tblCellMar>
        </w:tblPrEx>
        <w:trPr>
          <w:cantSplit/>
          <w:trHeight w:val="434"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委托代理人：</w:t>
            </w:r>
          </w:p>
        </w:tc>
        <w:tc>
          <w:tcPr>
            <w:tcW w:w="4688"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委托代理人</w:t>
            </w:r>
          </w:p>
        </w:tc>
      </w:tr>
      <w:tr>
        <w:tblPrEx>
          <w:tblCellMar>
            <w:top w:w="0" w:type="dxa"/>
            <w:left w:w="108" w:type="dxa"/>
            <w:bottom w:w="0" w:type="dxa"/>
            <w:right w:w="108" w:type="dxa"/>
          </w:tblCellMar>
        </w:tblPrEx>
        <w:trPr>
          <w:cantSplit/>
          <w:trHeight w:val="413"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电话：</w:t>
            </w:r>
          </w:p>
        </w:tc>
        <w:tc>
          <w:tcPr>
            <w:tcW w:w="4688"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电话：</w:t>
            </w:r>
          </w:p>
        </w:tc>
      </w:tr>
      <w:tr>
        <w:tblPrEx>
          <w:tblCellMar>
            <w:top w:w="0" w:type="dxa"/>
            <w:left w:w="108" w:type="dxa"/>
            <w:bottom w:w="0" w:type="dxa"/>
            <w:right w:w="108" w:type="dxa"/>
          </w:tblCellMar>
        </w:tblPrEx>
        <w:trPr>
          <w:cantSplit/>
          <w:trHeight w:val="410"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电子邮箱：</w:t>
            </w:r>
          </w:p>
        </w:tc>
        <w:tc>
          <w:tcPr>
            <w:tcW w:w="4688"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电子邮箱：</w:t>
            </w:r>
          </w:p>
        </w:tc>
      </w:tr>
      <w:tr>
        <w:tblPrEx>
          <w:tblCellMar>
            <w:top w:w="0" w:type="dxa"/>
            <w:left w:w="108" w:type="dxa"/>
            <w:bottom w:w="0" w:type="dxa"/>
            <w:right w:w="108" w:type="dxa"/>
          </w:tblCellMar>
        </w:tblPrEx>
        <w:trPr>
          <w:cantSplit/>
          <w:trHeight w:val="410"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开户银行：</w:t>
            </w:r>
          </w:p>
        </w:tc>
        <w:tc>
          <w:tcPr>
            <w:tcW w:w="4688"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开户银行：</w:t>
            </w:r>
          </w:p>
        </w:tc>
      </w:tr>
      <w:tr>
        <w:tblPrEx>
          <w:tblCellMar>
            <w:top w:w="0" w:type="dxa"/>
            <w:left w:w="108" w:type="dxa"/>
            <w:bottom w:w="0" w:type="dxa"/>
            <w:right w:w="108" w:type="dxa"/>
          </w:tblCellMar>
        </w:tblPrEx>
        <w:trPr>
          <w:cantSplit/>
          <w:trHeight w:val="416"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账号：</w:t>
            </w:r>
          </w:p>
        </w:tc>
        <w:tc>
          <w:tcPr>
            <w:tcW w:w="4688"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账号：</w:t>
            </w:r>
          </w:p>
        </w:tc>
      </w:tr>
      <w:tr>
        <w:tblPrEx>
          <w:tblCellMar>
            <w:top w:w="0" w:type="dxa"/>
            <w:left w:w="108" w:type="dxa"/>
            <w:bottom w:w="0" w:type="dxa"/>
            <w:right w:w="108" w:type="dxa"/>
          </w:tblCellMar>
        </w:tblPrEx>
        <w:trPr>
          <w:cantSplit/>
          <w:trHeight w:val="421"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邮政编码：</w:t>
            </w:r>
          </w:p>
        </w:tc>
        <w:tc>
          <w:tcPr>
            <w:tcW w:w="4688"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邮政编码：</w:t>
            </w:r>
          </w:p>
        </w:tc>
      </w:tr>
      <w:tr>
        <w:tblPrEx>
          <w:tblCellMar>
            <w:top w:w="0" w:type="dxa"/>
            <w:left w:w="108" w:type="dxa"/>
            <w:bottom w:w="0" w:type="dxa"/>
            <w:right w:w="108" w:type="dxa"/>
          </w:tblCellMar>
        </w:tblPrEx>
        <w:trPr>
          <w:cantSplit/>
          <w:trHeight w:val="421"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甲方（使用单位）：</w:t>
            </w:r>
          </w:p>
          <w:p>
            <w:pPr>
              <w:snapToGrid w:val="0"/>
              <w:spacing w:line="360" w:lineRule="exact"/>
              <w:jc w:val="righ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（章）</w:t>
            </w:r>
          </w:p>
        </w:tc>
        <w:tc>
          <w:tcPr>
            <w:tcW w:w="4688" w:type="dxa"/>
            <w:vAlign w:val="center"/>
          </w:tcPr>
          <w:p>
            <w:pPr>
              <w:snapToGrid w:val="0"/>
              <w:spacing w:line="360" w:lineRule="exac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cantSplit/>
          <w:trHeight w:val="421"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单位地址：</w:t>
            </w:r>
          </w:p>
        </w:tc>
        <w:tc>
          <w:tcPr>
            <w:tcW w:w="4688" w:type="dxa"/>
            <w:vAlign w:val="center"/>
          </w:tcPr>
          <w:p>
            <w:pPr>
              <w:snapToGrid w:val="0"/>
              <w:spacing w:line="360" w:lineRule="exac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cantSplit/>
          <w:trHeight w:val="421"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法定代表人：</w:t>
            </w:r>
          </w:p>
        </w:tc>
        <w:tc>
          <w:tcPr>
            <w:tcW w:w="4688" w:type="dxa"/>
            <w:vAlign w:val="center"/>
          </w:tcPr>
          <w:p>
            <w:pPr>
              <w:snapToGrid w:val="0"/>
              <w:spacing w:line="360" w:lineRule="exac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cantSplit/>
          <w:trHeight w:val="421"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委托代理人：</w:t>
            </w:r>
          </w:p>
        </w:tc>
        <w:tc>
          <w:tcPr>
            <w:tcW w:w="4688" w:type="dxa"/>
            <w:vAlign w:val="center"/>
          </w:tcPr>
          <w:p>
            <w:pPr>
              <w:snapToGrid w:val="0"/>
              <w:spacing w:line="360" w:lineRule="exac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cantSplit/>
          <w:trHeight w:val="421"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电话：</w:t>
            </w:r>
          </w:p>
        </w:tc>
        <w:tc>
          <w:tcPr>
            <w:tcW w:w="4688" w:type="dxa"/>
            <w:vAlign w:val="center"/>
          </w:tcPr>
          <w:p>
            <w:pPr>
              <w:snapToGrid w:val="0"/>
              <w:spacing w:line="360" w:lineRule="exac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cantSplit/>
          <w:trHeight w:val="421"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电子邮箱：</w:t>
            </w:r>
          </w:p>
        </w:tc>
        <w:tc>
          <w:tcPr>
            <w:tcW w:w="4688" w:type="dxa"/>
            <w:vAlign w:val="center"/>
          </w:tcPr>
          <w:p>
            <w:pPr>
              <w:snapToGrid w:val="0"/>
              <w:spacing w:line="360" w:lineRule="exac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cantSplit/>
          <w:trHeight w:val="421"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开户银行：</w:t>
            </w:r>
          </w:p>
        </w:tc>
        <w:tc>
          <w:tcPr>
            <w:tcW w:w="4688" w:type="dxa"/>
            <w:vAlign w:val="center"/>
          </w:tcPr>
          <w:p>
            <w:pPr>
              <w:snapToGrid w:val="0"/>
              <w:spacing w:line="360" w:lineRule="exac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cantSplit/>
          <w:trHeight w:val="421"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账号：</w:t>
            </w:r>
          </w:p>
        </w:tc>
        <w:tc>
          <w:tcPr>
            <w:tcW w:w="4688" w:type="dxa"/>
            <w:vAlign w:val="center"/>
          </w:tcPr>
          <w:p>
            <w:pPr>
              <w:snapToGrid w:val="0"/>
              <w:spacing w:line="360" w:lineRule="exac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cantSplit/>
          <w:trHeight w:val="421"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邮政编码：</w:t>
            </w:r>
          </w:p>
        </w:tc>
        <w:tc>
          <w:tcPr>
            <w:tcW w:w="4688" w:type="dxa"/>
            <w:vAlign w:val="center"/>
          </w:tcPr>
          <w:p>
            <w:pPr>
              <w:snapToGrid w:val="0"/>
              <w:spacing w:line="360" w:lineRule="exac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cantSplit/>
          <w:trHeight w:val="807" w:hRule="atLeast"/>
          <w:jc w:val="center"/>
        </w:trPr>
        <w:tc>
          <w:tcPr>
            <w:tcW w:w="9125" w:type="dxa"/>
            <w:gridSpan w:val="2"/>
          </w:tcPr>
          <w:p>
            <w:pPr>
              <w:snapToGrid w:val="0"/>
              <w:spacing w:line="360" w:lineRule="exact"/>
              <w:ind w:firstLine="720" w:firstLineChars="300"/>
              <w:jc w:val="right"/>
              <w:rPr>
                <w:rFonts w:hint="eastAsia" w:ascii="宋体" w:hAnsi="宋体" w:eastAsia="宋体" w:cs="宋体"/>
                <w:color w:val="auto"/>
                <w:sz w:val="24"/>
                <w:highlight w:val="none"/>
                <w:u w:val="none"/>
              </w:rPr>
            </w:pPr>
          </w:p>
          <w:p>
            <w:pPr>
              <w:snapToGrid w:val="0"/>
              <w:spacing w:line="36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                                          签订日期：    年    月    日</w:t>
            </w:r>
          </w:p>
        </w:tc>
      </w:tr>
    </w:tbl>
    <w:p>
      <w:pPr>
        <w:rPr>
          <w:rFonts w:hint="eastAsia" w:ascii="宋体" w:hAnsi="宋体" w:eastAsia="宋体" w:cs="宋体"/>
          <w:color w:val="auto"/>
          <w:highlight w:val="none"/>
          <w:u w:val="none"/>
        </w:rPr>
      </w:pPr>
    </w:p>
    <w:p>
      <w:pPr>
        <w:rPr>
          <w:rFonts w:hint="eastAsia" w:ascii="宋体" w:hAnsi="宋体" w:eastAsia="宋体" w:cs="宋体"/>
          <w:color w:val="auto"/>
          <w:highlight w:val="none"/>
        </w:rPr>
      </w:pPr>
    </w:p>
    <w:p>
      <w:pPr>
        <w:spacing w:line="480" w:lineRule="auto"/>
        <w:rPr>
          <w:rFonts w:hint="eastAsia" w:ascii="宋体" w:hAnsi="宋体" w:eastAsia="宋体" w:cs="宋体"/>
          <w:sz w:val="24"/>
          <w:szCs w:val="32"/>
          <w:highlight w:val="none"/>
        </w:rPr>
      </w:pPr>
    </w:p>
    <w:p>
      <w:pPr>
        <w:snapToGrid w:val="0"/>
        <w:spacing w:line="440" w:lineRule="exact"/>
        <w:jc w:val="left"/>
        <w:rPr>
          <w:rFonts w:ascii="仿宋" w:hAnsi="仿宋" w:eastAsia="仿宋" w:cs="仿宋"/>
          <w:color w:val="auto"/>
          <w:sz w:val="24"/>
          <w:highlight w:val="none"/>
        </w:rPr>
      </w:pPr>
    </w:p>
    <w:p>
      <w:pPr>
        <w:rPr>
          <w:color w:val="auto"/>
          <w:highlight w:val="none"/>
        </w:rPr>
      </w:pPr>
    </w:p>
    <w:p>
      <w:pPr>
        <w:spacing w:line="480" w:lineRule="auto"/>
        <w:rPr>
          <w:sz w:val="24"/>
          <w:szCs w:val="32"/>
          <w:highlight w:val="none"/>
        </w:rPr>
      </w:pPr>
    </w:p>
    <w:p>
      <w:pPr>
        <w:widowControl/>
        <w:jc w:val="left"/>
        <w:rPr>
          <w:sz w:val="32"/>
          <w:szCs w:val="32"/>
          <w:highlight w:val="none"/>
        </w:rPr>
      </w:pPr>
      <w:bookmarkStart w:id="174" w:name="_Toc12927"/>
      <w:r>
        <w:rPr>
          <w:sz w:val="32"/>
          <w:szCs w:val="32"/>
          <w:highlight w:val="none"/>
        </w:rPr>
        <w:br w:type="page"/>
      </w:r>
    </w:p>
    <w:p>
      <w:pPr>
        <w:pStyle w:val="29"/>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jc w:val="center"/>
        <w:textAlignment w:val="auto"/>
        <w:outlineLvl w:val="0"/>
        <w:rPr>
          <w:rFonts w:hint="eastAsia" w:ascii="Times New Roman" w:hAnsi="Times New Roman" w:cs="Times New Roman"/>
          <w:b/>
          <w:sz w:val="36"/>
          <w:szCs w:val="36"/>
          <w:highlight w:val="none"/>
        </w:rPr>
      </w:pPr>
      <w:r>
        <w:rPr>
          <w:rFonts w:hint="eastAsia" w:ascii="Times New Roman" w:hAnsi="Times New Roman" w:cs="Times New Roman"/>
          <w:b/>
          <w:sz w:val="36"/>
          <w:szCs w:val="36"/>
          <w:highlight w:val="none"/>
        </w:rPr>
        <w:t>第六章  投标文件格式</w:t>
      </w:r>
      <w:bookmarkEnd w:id="174"/>
    </w:p>
    <w:p>
      <w:pPr>
        <w:rPr>
          <w:sz w:val="28"/>
          <w:szCs w:val="28"/>
          <w:highlight w:val="none"/>
        </w:rPr>
      </w:pPr>
    </w:p>
    <w:p>
      <w:pPr>
        <w:spacing w:line="500" w:lineRule="exact"/>
        <w:ind w:firstLine="560" w:firstLineChars="200"/>
        <w:rPr>
          <w:sz w:val="28"/>
          <w:szCs w:val="28"/>
          <w:highlight w:val="none"/>
        </w:rPr>
      </w:pPr>
      <w:bookmarkStart w:id="175" w:name="_Hlk19114175"/>
      <w:r>
        <w:rPr>
          <w:rFonts w:hint="eastAsia"/>
          <w:sz w:val="28"/>
          <w:szCs w:val="28"/>
          <w:highlight w:val="none"/>
        </w:rPr>
        <w:t>注：有签字、盖章要求的应按要求签字、盖章。</w:t>
      </w:r>
      <w:bookmarkEnd w:id="175"/>
    </w:p>
    <w:p>
      <w:pPr>
        <w:spacing w:line="500" w:lineRule="exact"/>
        <w:rPr>
          <w:bCs/>
          <w:sz w:val="24"/>
          <w:highlight w:val="none"/>
        </w:rPr>
      </w:pPr>
      <w:r>
        <w:rPr>
          <w:rFonts w:ascii="宋体" w:hAnsi="宋体"/>
          <w:sz w:val="24"/>
          <w:highlight w:val="none"/>
        </w:rPr>
        <w:br w:type="page"/>
      </w:r>
      <w:bookmarkEnd w:id="0"/>
      <w:bookmarkEnd w:id="1"/>
    </w:p>
    <w:p>
      <w:pPr>
        <w:snapToGrid w:val="0"/>
        <w:spacing w:before="165" w:beforeLines="50" w:after="50" w:line="440" w:lineRule="exact"/>
        <w:jc w:val="left"/>
        <w:outlineLvl w:val="1"/>
        <w:rPr>
          <w:bCs/>
          <w:sz w:val="24"/>
          <w:highlight w:val="none"/>
        </w:rPr>
      </w:pPr>
      <w:r>
        <w:rPr>
          <w:rFonts w:hint="eastAsia" w:cs="宋体"/>
          <w:bCs/>
          <w:sz w:val="24"/>
          <w:highlight w:val="none"/>
          <w:lang w:val="en-US" w:eastAsia="zh-CN" w:bidi="ar"/>
        </w:rPr>
        <w:t>一、</w:t>
      </w:r>
      <w:r>
        <w:rPr>
          <w:rFonts w:hint="eastAsia" w:cs="宋体"/>
          <w:bCs/>
          <w:sz w:val="24"/>
          <w:highlight w:val="none"/>
          <w:lang w:bidi="ar"/>
        </w:rPr>
        <w:t>投标文件封面参考格式</w:t>
      </w:r>
      <w:bookmarkStart w:id="176" w:name="_Hlk92966991"/>
      <w:r>
        <w:rPr>
          <w:rFonts w:hint="eastAsia" w:cs="宋体"/>
          <w:bCs/>
          <w:sz w:val="24"/>
          <w:highlight w:val="none"/>
          <w:lang w:bidi="ar"/>
        </w:rPr>
        <w:t>（资格证明文件）</w:t>
      </w:r>
      <w:bookmarkEnd w:id="176"/>
    </w:p>
    <w:p>
      <w:pPr>
        <w:snapToGrid w:val="0"/>
        <w:spacing w:before="165" w:beforeLines="50" w:after="50" w:line="360" w:lineRule="exact"/>
        <w:rPr>
          <w:sz w:val="24"/>
          <w:highlight w:val="none"/>
        </w:rPr>
      </w:pPr>
    </w:p>
    <w:p>
      <w:pPr>
        <w:snapToGrid w:val="0"/>
        <w:spacing w:before="165" w:beforeLines="50" w:after="50" w:line="360" w:lineRule="exact"/>
        <w:jc w:val="center"/>
        <w:rPr>
          <w:bCs/>
          <w:sz w:val="24"/>
          <w:highlight w:val="none"/>
        </w:rPr>
      </w:pPr>
    </w:p>
    <w:p>
      <w:pPr>
        <w:snapToGrid w:val="0"/>
        <w:spacing w:before="165" w:beforeLines="50" w:after="50" w:line="360" w:lineRule="exact"/>
        <w:jc w:val="center"/>
        <w:rPr>
          <w:b/>
          <w:bCs/>
          <w:sz w:val="44"/>
          <w:szCs w:val="44"/>
          <w:highlight w:val="none"/>
        </w:rPr>
      </w:pPr>
      <w:r>
        <w:rPr>
          <w:rFonts w:hint="eastAsia" w:cs="宋体"/>
          <w:b/>
          <w:bCs/>
          <w:sz w:val="44"/>
          <w:szCs w:val="44"/>
          <w:highlight w:val="none"/>
          <w:lang w:bidi="ar"/>
        </w:rPr>
        <w:t>电子投标文件</w:t>
      </w:r>
    </w:p>
    <w:p>
      <w:pPr>
        <w:snapToGrid w:val="0"/>
        <w:spacing w:before="165" w:beforeLines="50" w:after="50" w:line="360" w:lineRule="exact"/>
        <w:jc w:val="center"/>
        <w:rPr>
          <w:b/>
          <w:bCs/>
          <w:sz w:val="44"/>
          <w:szCs w:val="44"/>
          <w:highlight w:val="none"/>
        </w:rPr>
      </w:pPr>
    </w:p>
    <w:p>
      <w:pPr>
        <w:snapToGrid w:val="0"/>
        <w:spacing w:before="165" w:beforeLines="50" w:after="50" w:line="360" w:lineRule="exact"/>
        <w:jc w:val="center"/>
        <w:rPr>
          <w:b/>
          <w:bCs/>
          <w:sz w:val="44"/>
          <w:szCs w:val="44"/>
          <w:highlight w:val="none"/>
        </w:rPr>
      </w:pPr>
    </w:p>
    <w:p>
      <w:pPr>
        <w:snapToGrid w:val="0"/>
        <w:spacing w:before="165" w:beforeLines="50" w:after="50" w:line="360" w:lineRule="exact"/>
        <w:jc w:val="center"/>
        <w:rPr>
          <w:b/>
          <w:bCs/>
          <w:sz w:val="44"/>
          <w:szCs w:val="44"/>
          <w:highlight w:val="none"/>
        </w:rPr>
      </w:pPr>
      <w:bookmarkStart w:id="177" w:name="_Hlk92967018"/>
      <w:r>
        <w:rPr>
          <w:rFonts w:hint="eastAsia" w:cs="宋体"/>
          <w:b/>
          <w:bCs/>
          <w:sz w:val="44"/>
          <w:szCs w:val="44"/>
          <w:highlight w:val="none"/>
          <w:lang w:bidi="ar"/>
        </w:rPr>
        <w:t>资格证明文件</w:t>
      </w:r>
    </w:p>
    <w:bookmarkEnd w:id="177"/>
    <w:p>
      <w:pPr>
        <w:snapToGrid w:val="0"/>
        <w:spacing w:before="165" w:beforeLines="50" w:after="50" w:line="360" w:lineRule="exact"/>
        <w:rPr>
          <w:bCs/>
          <w:sz w:val="24"/>
          <w:highlight w:val="none"/>
        </w:rPr>
      </w:pPr>
    </w:p>
    <w:p>
      <w:pPr>
        <w:snapToGrid w:val="0"/>
        <w:spacing w:before="165" w:beforeLines="50" w:after="50" w:line="360" w:lineRule="exact"/>
        <w:rPr>
          <w:bCs/>
          <w:sz w:val="24"/>
          <w:highlight w:val="none"/>
        </w:rPr>
      </w:pPr>
    </w:p>
    <w:p>
      <w:pPr>
        <w:snapToGrid w:val="0"/>
        <w:spacing w:before="165" w:beforeLines="50" w:after="50" w:line="360" w:lineRule="exact"/>
        <w:rPr>
          <w:bCs/>
          <w:sz w:val="24"/>
          <w:highlight w:val="none"/>
        </w:rPr>
      </w:pPr>
    </w:p>
    <w:p>
      <w:pPr>
        <w:snapToGrid w:val="0"/>
        <w:spacing w:before="165" w:beforeLines="50" w:after="50" w:line="360" w:lineRule="exact"/>
        <w:ind w:firstLine="720" w:firstLineChars="300"/>
        <w:rPr>
          <w:bCs/>
          <w:sz w:val="24"/>
          <w:highlight w:val="none"/>
        </w:rPr>
      </w:pPr>
      <w:r>
        <w:rPr>
          <w:rFonts w:hint="eastAsia" w:cs="宋体"/>
          <w:bCs/>
          <w:sz w:val="24"/>
          <w:highlight w:val="none"/>
          <w:lang w:bidi="ar"/>
        </w:rPr>
        <w:t>项目名称：</w:t>
      </w:r>
      <w:r>
        <w:rPr>
          <w:bCs/>
          <w:sz w:val="24"/>
          <w:highlight w:val="none"/>
          <w:lang w:bidi="ar"/>
        </w:rPr>
        <w:t xml:space="preserve"> </w:t>
      </w:r>
    </w:p>
    <w:p>
      <w:pPr>
        <w:snapToGrid w:val="0"/>
        <w:spacing w:before="165" w:beforeLines="50" w:after="50" w:line="360" w:lineRule="exact"/>
        <w:ind w:firstLine="720" w:firstLineChars="300"/>
        <w:rPr>
          <w:bCs/>
          <w:sz w:val="24"/>
          <w:highlight w:val="none"/>
        </w:rPr>
      </w:pPr>
      <w:r>
        <w:rPr>
          <w:rFonts w:hint="eastAsia" w:cs="宋体"/>
          <w:bCs/>
          <w:sz w:val="24"/>
          <w:highlight w:val="none"/>
          <w:lang w:bidi="ar"/>
        </w:rPr>
        <w:t>项目编号：</w:t>
      </w:r>
    </w:p>
    <w:p>
      <w:pPr>
        <w:snapToGrid w:val="0"/>
        <w:spacing w:before="165" w:beforeLines="50" w:after="50" w:line="360" w:lineRule="exact"/>
        <w:ind w:firstLine="720" w:firstLineChars="300"/>
        <w:rPr>
          <w:bCs/>
          <w:sz w:val="24"/>
          <w:highlight w:val="none"/>
        </w:rPr>
      </w:pPr>
      <w:r>
        <w:rPr>
          <w:rFonts w:hint="eastAsia" w:cs="宋体"/>
          <w:bCs/>
          <w:sz w:val="24"/>
          <w:highlight w:val="none"/>
          <w:lang w:eastAsia="zh-CN" w:bidi="ar"/>
        </w:rPr>
        <w:t>分标名称</w:t>
      </w:r>
      <w:r>
        <w:rPr>
          <w:rFonts w:hint="eastAsia" w:cs="宋体"/>
          <w:bCs/>
          <w:sz w:val="24"/>
          <w:highlight w:val="none"/>
          <w:lang w:bidi="ar"/>
        </w:rPr>
        <w:t>：（若无留空或写</w:t>
      </w:r>
      <w:r>
        <w:rPr>
          <w:bCs/>
          <w:sz w:val="24"/>
          <w:highlight w:val="none"/>
          <w:lang w:bidi="ar"/>
        </w:rPr>
        <w:t>“/”</w:t>
      </w:r>
      <w:r>
        <w:rPr>
          <w:rFonts w:hint="eastAsia" w:cs="宋体"/>
          <w:bCs/>
          <w:sz w:val="24"/>
          <w:highlight w:val="none"/>
          <w:lang w:bidi="ar"/>
        </w:rPr>
        <w:t>）</w:t>
      </w:r>
    </w:p>
    <w:p>
      <w:pPr>
        <w:snapToGrid w:val="0"/>
        <w:spacing w:before="165" w:beforeLines="50" w:after="50" w:line="360" w:lineRule="exact"/>
        <w:ind w:firstLine="720" w:firstLineChars="300"/>
        <w:rPr>
          <w:bCs/>
          <w:sz w:val="24"/>
          <w:highlight w:val="none"/>
        </w:rPr>
      </w:pPr>
      <w:r>
        <w:rPr>
          <w:rFonts w:hint="eastAsia" w:cs="宋体"/>
          <w:bCs/>
          <w:sz w:val="24"/>
          <w:highlight w:val="none"/>
          <w:lang w:bidi="ar"/>
        </w:rPr>
        <w:t>供应商名称：</w:t>
      </w:r>
    </w:p>
    <w:p>
      <w:pPr>
        <w:snapToGrid w:val="0"/>
        <w:spacing w:before="165" w:beforeLines="50" w:after="50" w:line="360" w:lineRule="exact"/>
        <w:ind w:firstLine="720" w:firstLineChars="300"/>
        <w:rPr>
          <w:bCs/>
          <w:sz w:val="24"/>
          <w:highlight w:val="none"/>
        </w:rPr>
      </w:pPr>
      <w:r>
        <w:rPr>
          <w:rFonts w:hint="eastAsia" w:cs="宋体"/>
          <w:bCs/>
          <w:sz w:val="24"/>
          <w:highlight w:val="none"/>
          <w:lang w:bidi="ar"/>
        </w:rPr>
        <w:t>供应商地址：</w:t>
      </w:r>
    </w:p>
    <w:p>
      <w:pPr>
        <w:pStyle w:val="49"/>
        <w:widowControl w:val="0"/>
        <w:snapToGrid w:val="0"/>
        <w:spacing w:before="50" w:beforeAutospacing="0" w:after="50" w:afterAutospacing="0" w:line="360" w:lineRule="exact"/>
        <w:ind w:left="1260" w:firstLine="960" w:firstLineChars="400"/>
        <w:jc w:val="both"/>
        <w:rPr>
          <w:bCs/>
          <w:highlight w:val="none"/>
        </w:rPr>
      </w:pPr>
    </w:p>
    <w:p>
      <w:pPr>
        <w:snapToGrid w:val="0"/>
        <w:spacing w:before="165" w:beforeLines="50" w:after="50" w:line="360" w:lineRule="exact"/>
        <w:jc w:val="center"/>
        <w:rPr>
          <w:sz w:val="24"/>
          <w:highlight w:val="none"/>
        </w:rPr>
      </w:pPr>
      <w:r>
        <w:rPr>
          <w:sz w:val="24"/>
          <w:highlight w:val="none"/>
          <w:lang w:bidi="ar"/>
        </w:rPr>
        <w:t xml:space="preserve">                        </w:t>
      </w:r>
      <w:r>
        <w:rPr>
          <w:rFonts w:hint="eastAsia" w:cs="宋体"/>
          <w:sz w:val="24"/>
          <w:highlight w:val="none"/>
          <w:lang w:bidi="ar"/>
        </w:rPr>
        <w:t>年</w:t>
      </w:r>
      <w:r>
        <w:rPr>
          <w:sz w:val="24"/>
          <w:highlight w:val="none"/>
          <w:lang w:bidi="ar"/>
        </w:rPr>
        <w:t xml:space="preserve">  </w:t>
      </w:r>
      <w:r>
        <w:rPr>
          <w:rFonts w:hint="eastAsia" w:cs="宋体"/>
          <w:sz w:val="24"/>
          <w:highlight w:val="none"/>
          <w:lang w:bidi="ar"/>
        </w:rPr>
        <w:t>月</w:t>
      </w:r>
      <w:r>
        <w:rPr>
          <w:sz w:val="24"/>
          <w:highlight w:val="none"/>
          <w:lang w:bidi="ar"/>
        </w:rPr>
        <w:t xml:space="preserve">  </w:t>
      </w:r>
      <w:r>
        <w:rPr>
          <w:rFonts w:hint="eastAsia" w:cs="宋体"/>
          <w:sz w:val="24"/>
          <w:highlight w:val="none"/>
          <w:lang w:bidi="ar"/>
        </w:rPr>
        <w:t>日</w:t>
      </w:r>
    </w:p>
    <w:p>
      <w:pPr>
        <w:jc w:val="center"/>
        <w:outlineLvl w:val="2"/>
        <w:rPr>
          <w:rFonts w:cs="宋体"/>
          <w:b/>
          <w:sz w:val="36"/>
          <w:szCs w:val="36"/>
          <w:highlight w:val="none"/>
          <w:lang w:bidi="ar"/>
        </w:rPr>
      </w:pPr>
      <w:r>
        <w:rPr>
          <w:highlight w:val="none"/>
          <w:lang w:bidi="ar"/>
        </w:rPr>
        <w:br w:type="page"/>
      </w:r>
      <w:bookmarkStart w:id="178" w:name="_Toc254970698"/>
      <w:bookmarkEnd w:id="178"/>
      <w:bookmarkStart w:id="179" w:name="_Toc254970557"/>
      <w:bookmarkEnd w:id="179"/>
      <w:r>
        <w:rPr>
          <w:rFonts w:hint="eastAsia" w:cs="宋体"/>
          <w:b/>
          <w:sz w:val="36"/>
          <w:szCs w:val="36"/>
          <w:highlight w:val="none"/>
          <w:lang w:bidi="ar"/>
        </w:rPr>
        <w:t>目录</w:t>
      </w:r>
    </w:p>
    <w:p>
      <w:pPr>
        <w:snapToGrid w:val="0"/>
        <w:spacing w:line="360" w:lineRule="auto"/>
        <w:jc w:val="center"/>
        <w:rPr>
          <w:rFonts w:ascii="宋体" w:hAnsi="宋体" w:cs="宋体"/>
          <w:b/>
          <w:szCs w:val="21"/>
          <w:highlight w:val="none"/>
        </w:rPr>
      </w:pPr>
      <w:r>
        <w:rPr>
          <w:rFonts w:hint="eastAsia" w:ascii="宋体" w:hAnsi="宋体" w:cs="宋体"/>
          <w:b/>
          <w:szCs w:val="21"/>
          <w:highlight w:val="none"/>
        </w:rPr>
        <w:t>（可根据投标人实际情况调整目录）</w:t>
      </w:r>
    </w:p>
    <w:p>
      <w:pPr>
        <w:snapToGrid w:val="0"/>
        <w:spacing w:line="360" w:lineRule="auto"/>
        <w:jc w:val="left"/>
        <w:rPr>
          <w:rFonts w:ascii="宋体" w:hAnsi="宋体" w:cs="宋体"/>
          <w:kern w:val="0"/>
          <w:szCs w:val="21"/>
          <w:highlight w:val="none"/>
        </w:rPr>
      </w:pPr>
      <w:r>
        <w:rPr>
          <w:rFonts w:hint="eastAsia" w:ascii="宋体" w:hAnsi="宋体" w:cs="宋体"/>
          <w:kern w:val="0"/>
          <w:szCs w:val="21"/>
          <w:highlight w:val="none"/>
        </w:rPr>
        <w:t>一、</w:t>
      </w:r>
      <w:r>
        <w:rPr>
          <w:rFonts w:hint="eastAsia" w:ascii="宋体" w:hAnsi="宋体" w:cs="宋体"/>
          <w:szCs w:val="21"/>
          <w:highlight w:val="none"/>
        </w:rPr>
        <w:t>营业执照(或事业法人登记证或其他工商等登记证明材料)</w:t>
      </w:r>
      <w:r>
        <w:rPr>
          <w:rFonts w:hint="eastAsia" w:ascii="宋体" w:hAnsi="宋体" w:cs="宋体"/>
          <w:szCs w:val="21"/>
          <w:highlight w:val="none"/>
          <w:lang w:val="en-US" w:eastAsia="zh-CN"/>
        </w:rPr>
        <w:t>扫描件</w:t>
      </w:r>
      <w:r>
        <w:rPr>
          <w:rFonts w:hint="eastAsia" w:ascii="宋体" w:hAnsi="宋体" w:cs="宋体"/>
          <w:szCs w:val="21"/>
          <w:highlight w:val="none"/>
        </w:rPr>
        <w:t>（投标人为自然人的，须提供</w:t>
      </w:r>
      <w:r>
        <w:rPr>
          <w:rFonts w:hint="eastAsia" w:ascii="宋体" w:hAnsi="宋体" w:cs="宋体"/>
          <w:kern w:val="0"/>
          <w:szCs w:val="21"/>
          <w:highlight w:val="none"/>
        </w:rPr>
        <w:t>自然人的身份证明</w:t>
      </w:r>
      <w:r>
        <w:rPr>
          <w:rFonts w:hint="eastAsia" w:ascii="宋体" w:hAnsi="宋体" w:cs="宋体"/>
          <w:szCs w:val="21"/>
          <w:highlight w:val="none"/>
        </w:rPr>
        <w:t>）</w:t>
      </w:r>
      <w:r>
        <w:rPr>
          <w:rFonts w:hint="eastAsia" w:ascii="宋体" w:hAnsi="宋体" w:cs="宋体"/>
          <w:kern w:val="0"/>
          <w:szCs w:val="21"/>
          <w:highlight w:val="none"/>
        </w:rPr>
        <w:t>……………………………………………………………（页码）</w:t>
      </w:r>
    </w:p>
    <w:p>
      <w:pPr>
        <w:snapToGrid w:val="0"/>
        <w:spacing w:line="360" w:lineRule="auto"/>
        <w:jc w:val="left"/>
        <w:rPr>
          <w:rFonts w:ascii="宋体" w:hAnsi="宋体" w:cs="宋体"/>
          <w:kern w:val="0"/>
          <w:szCs w:val="21"/>
          <w:highlight w:val="none"/>
        </w:rPr>
      </w:pPr>
      <w:r>
        <w:rPr>
          <w:rFonts w:hint="eastAsia" w:ascii="宋体" w:hAnsi="宋体" w:cs="宋体"/>
          <w:kern w:val="0"/>
          <w:szCs w:val="21"/>
          <w:highlight w:val="none"/>
        </w:rPr>
        <w:t>二、财务状况报告方面的材料…………………………………………………………（页码）</w:t>
      </w:r>
    </w:p>
    <w:p>
      <w:pPr>
        <w:snapToGrid w:val="0"/>
        <w:spacing w:line="360" w:lineRule="auto"/>
        <w:jc w:val="left"/>
        <w:rPr>
          <w:rFonts w:ascii="宋体" w:hAnsi="宋体" w:cs="宋体"/>
          <w:kern w:val="0"/>
          <w:szCs w:val="21"/>
          <w:highlight w:val="none"/>
        </w:rPr>
      </w:pPr>
      <w:r>
        <w:rPr>
          <w:rFonts w:hint="eastAsia" w:ascii="宋体" w:hAnsi="宋体" w:cs="宋体"/>
          <w:kern w:val="0"/>
          <w:szCs w:val="21"/>
          <w:highlight w:val="none"/>
        </w:rPr>
        <w:t>三、符合参与政府采购活动的资格条件依法缴纳税收、社会保障资金等方面的材料…………………………………………………………………………………………（页码）</w:t>
      </w:r>
    </w:p>
    <w:p>
      <w:pPr>
        <w:snapToGrid w:val="0"/>
        <w:spacing w:line="360" w:lineRule="auto"/>
        <w:jc w:val="left"/>
        <w:rPr>
          <w:rFonts w:ascii="宋体" w:hAnsi="宋体" w:cs="宋体"/>
          <w:kern w:val="0"/>
          <w:szCs w:val="21"/>
          <w:highlight w:val="none"/>
        </w:rPr>
      </w:pPr>
      <w:r>
        <w:rPr>
          <w:rFonts w:hint="eastAsia" w:ascii="宋体" w:hAnsi="宋体" w:cs="宋体"/>
          <w:szCs w:val="21"/>
          <w:highlight w:val="none"/>
        </w:rPr>
        <w:t>四、投标人直接控股股东信息</w:t>
      </w:r>
      <w:r>
        <w:rPr>
          <w:rFonts w:hint="eastAsia" w:ascii="宋体" w:hAnsi="宋体" w:cs="宋体"/>
          <w:kern w:val="0"/>
          <w:szCs w:val="21"/>
          <w:highlight w:val="none"/>
        </w:rPr>
        <w:t>…………………………………………………………（页码）</w:t>
      </w:r>
    </w:p>
    <w:p>
      <w:pPr>
        <w:snapToGrid w:val="0"/>
        <w:spacing w:line="360" w:lineRule="auto"/>
        <w:jc w:val="left"/>
        <w:rPr>
          <w:rFonts w:ascii="宋体" w:hAnsi="宋体" w:cs="宋体"/>
          <w:kern w:val="0"/>
          <w:szCs w:val="21"/>
          <w:highlight w:val="none"/>
        </w:rPr>
      </w:pPr>
      <w:r>
        <w:rPr>
          <w:rFonts w:hint="eastAsia" w:ascii="宋体" w:hAnsi="宋体" w:cs="宋体"/>
          <w:szCs w:val="21"/>
          <w:highlight w:val="none"/>
        </w:rPr>
        <w:t>五、投标人直接关联关系信息表</w:t>
      </w:r>
      <w:r>
        <w:rPr>
          <w:rFonts w:hint="eastAsia" w:ascii="宋体" w:hAnsi="宋体" w:cs="宋体"/>
          <w:kern w:val="0"/>
          <w:szCs w:val="21"/>
          <w:highlight w:val="none"/>
        </w:rPr>
        <w:t>………………………………………………………（页码）</w:t>
      </w:r>
    </w:p>
    <w:p>
      <w:pPr>
        <w:snapToGrid w:val="0"/>
        <w:spacing w:line="360" w:lineRule="auto"/>
        <w:jc w:val="left"/>
        <w:rPr>
          <w:rFonts w:ascii="宋体" w:hAnsi="宋体" w:cs="宋体"/>
          <w:kern w:val="0"/>
          <w:szCs w:val="21"/>
          <w:highlight w:val="none"/>
        </w:rPr>
      </w:pPr>
      <w:r>
        <w:rPr>
          <w:rFonts w:hint="eastAsia" w:ascii="宋体" w:hAnsi="宋体" w:cs="宋体"/>
          <w:kern w:val="0"/>
          <w:szCs w:val="21"/>
          <w:highlight w:val="none"/>
        </w:rPr>
        <w:t>六、投标声明书…………………………………………………………………………（页码）</w:t>
      </w:r>
    </w:p>
    <w:p>
      <w:pPr>
        <w:snapToGrid w:val="0"/>
        <w:spacing w:line="360" w:lineRule="auto"/>
        <w:jc w:val="left"/>
        <w:rPr>
          <w:rFonts w:ascii="宋体" w:hAnsi="宋体" w:cs="宋体"/>
          <w:kern w:val="0"/>
          <w:szCs w:val="21"/>
          <w:highlight w:val="none"/>
        </w:rPr>
      </w:pPr>
      <w:r>
        <w:rPr>
          <w:rFonts w:ascii="宋体" w:hAnsi="宋体" w:cs="宋体"/>
          <w:kern w:val="0"/>
          <w:szCs w:val="21"/>
          <w:highlight w:val="none"/>
        </w:rPr>
        <w:t>七、</w:t>
      </w:r>
      <w:r>
        <w:rPr>
          <w:rFonts w:hint="eastAsia" w:cs="宋体"/>
          <w:szCs w:val="21"/>
          <w:highlight w:val="none"/>
          <w:lang w:bidi="ar"/>
        </w:rPr>
        <w:t>投标保证金缴纳证明</w:t>
      </w:r>
      <w:r>
        <w:rPr>
          <w:rFonts w:hint="eastAsia" w:ascii="宋体" w:hAnsi="宋体" w:cs="宋体"/>
          <w:kern w:val="0"/>
          <w:szCs w:val="21"/>
          <w:highlight w:val="none"/>
        </w:rPr>
        <w:t>………………………………………………………………（页码）</w:t>
      </w:r>
    </w:p>
    <w:p>
      <w:pPr>
        <w:snapToGri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八、落实政府采购政策需满足的资格要求</w:t>
      </w:r>
      <w:r>
        <w:rPr>
          <w:rFonts w:hint="eastAsia" w:ascii="宋体" w:hAnsi="宋体" w:eastAsia="宋体" w:cs="宋体"/>
          <w:kern w:val="0"/>
          <w:szCs w:val="21"/>
          <w:highlight w:val="none"/>
          <w:lang w:val="en-US" w:eastAsia="zh-CN"/>
        </w:rPr>
        <w:t>证明材料</w:t>
      </w:r>
      <w:r>
        <w:rPr>
          <w:rFonts w:hint="eastAsia" w:ascii="宋体" w:hAnsi="宋体" w:eastAsia="宋体" w:cs="宋体"/>
          <w:kern w:val="0"/>
          <w:szCs w:val="21"/>
          <w:highlight w:val="none"/>
        </w:rPr>
        <w:t>…………………………………（页码）</w:t>
      </w:r>
    </w:p>
    <w:p>
      <w:pPr>
        <w:snapToGrid w:val="0"/>
        <w:spacing w:line="360" w:lineRule="auto"/>
        <w:jc w:val="left"/>
        <w:rPr>
          <w:rFonts w:ascii="宋体" w:hAnsi="宋体" w:cs="宋体"/>
          <w:kern w:val="0"/>
          <w:szCs w:val="21"/>
          <w:highlight w:val="none"/>
        </w:rPr>
      </w:pPr>
      <w:r>
        <w:rPr>
          <w:rFonts w:hint="eastAsia" w:ascii="宋体" w:hAnsi="宋体" w:cs="宋体"/>
          <w:szCs w:val="21"/>
          <w:highlight w:val="none"/>
        </w:rPr>
        <w:t>九、除招标文件规定必须提供以外，投标人认为需要提供的其他证明材料</w:t>
      </w:r>
      <w:r>
        <w:rPr>
          <w:rFonts w:hint="eastAsia" w:ascii="宋体" w:hAnsi="宋体" w:cs="宋体"/>
          <w:kern w:val="0"/>
          <w:szCs w:val="21"/>
          <w:highlight w:val="none"/>
        </w:rPr>
        <w:t>…………（页码）</w:t>
      </w:r>
    </w:p>
    <w:p>
      <w:pPr>
        <w:spacing w:line="360" w:lineRule="auto"/>
        <w:jc w:val="left"/>
        <w:rPr>
          <w:rFonts w:ascii="宋体" w:hAnsi="宋体" w:cs="宋体"/>
          <w:b/>
          <w:bCs/>
          <w:szCs w:val="21"/>
          <w:highlight w:val="none"/>
        </w:rPr>
      </w:pPr>
      <w:r>
        <w:rPr>
          <w:rFonts w:hint="eastAsia" w:ascii="宋体" w:hAnsi="宋体" w:cs="宋体"/>
          <w:b/>
          <w:bCs/>
          <w:szCs w:val="21"/>
          <w:highlight w:val="none"/>
        </w:rPr>
        <w:t>注：以上目录是基本格式要求，各投标人可根据自身情况进一步向下增加内容或细化。</w:t>
      </w:r>
    </w:p>
    <w:p>
      <w:pPr>
        <w:snapToGrid w:val="0"/>
        <w:spacing w:before="50" w:after="50" w:line="440" w:lineRule="exact"/>
        <w:ind w:firstLine="118" w:firstLineChars="49"/>
        <w:jc w:val="center"/>
        <w:rPr>
          <w:b/>
          <w:sz w:val="24"/>
          <w:highlight w:val="none"/>
        </w:rPr>
      </w:pPr>
    </w:p>
    <w:p>
      <w:pPr>
        <w:snapToGrid w:val="0"/>
        <w:spacing w:before="50" w:after="50" w:line="440" w:lineRule="exact"/>
        <w:ind w:firstLine="118" w:firstLineChars="49"/>
        <w:jc w:val="center"/>
        <w:rPr>
          <w:b/>
          <w:sz w:val="24"/>
          <w:highlight w:val="none"/>
        </w:rPr>
      </w:pPr>
      <w:r>
        <w:rPr>
          <w:b/>
          <w:sz w:val="24"/>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cs="宋体"/>
          <w:b/>
          <w:bCs/>
          <w:szCs w:val="21"/>
          <w:highlight w:val="none"/>
          <w:lang w:bidi="ar"/>
        </w:rPr>
      </w:pPr>
      <w:r>
        <w:rPr>
          <w:rFonts w:hint="eastAsia" w:ascii="宋体" w:hAnsi="宋体"/>
          <w:b/>
          <w:bCs/>
          <w:szCs w:val="21"/>
          <w:highlight w:val="none"/>
          <w:lang w:bidi="ar"/>
        </w:rPr>
        <w:t>1.</w:t>
      </w:r>
      <w:r>
        <w:rPr>
          <w:rFonts w:hint="eastAsia" w:ascii="宋体" w:hAnsi="宋体" w:cs="宋体"/>
          <w:b/>
          <w:bCs/>
          <w:szCs w:val="21"/>
          <w:highlight w:val="none"/>
          <w:lang w:bidi="ar"/>
        </w:rPr>
        <w:t>法人或者其他组织的营业执照</w:t>
      </w:r>
      <w:bookmarkStart w:id="180" w:name="OLE_LINK62"/>
      <w:r>
        <w:rPr>
          <w:rFonts w:hint="eastAsia" w:ascii="宋体" w:hAnsi="宋体" w:cs="宋体"/>
          <w:b/>
          <w:bCs/>
          <w:szCs w:val="21"/>
          <w:highlight w:val="none"/>
          <w:lang w:bidi="ar"/>
        </w:rPr>
        <w:t>等证明文件</w:t>
      </w:r>
      <w:bookmarkEnd w:id="180"/>
      <w:r>
        <w:rPr>
          <w:rFonts w:hint="eastAsia" w:ascii="宋体" w:hAnsi="宋体" w:cs="宋体"/>
          <w:b/>
          <w:bCs/>
          <w:szCs w:val="21"/>
          <w:highlight w:val="none"/>
          <w:lang w:bidi="ar"/>
        </w:rPr>
        <w:t>、自然人的身份证明。须按以下要求提供，材料须有效。</w:t>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9"/>
        <w:rPr>
          <w:rFonts w:hint="eastAsia" w:ascii="宋体" w:hAnsi="宋体"/>
          <w:b/>
          <w:bCs/>
          <w:szCs w:val="21"/>
          <w:highlight w:val="none"/>
          <w:lang w:bidi="ar"/>
        </w:rPr>
      </w:pPr>
      <w:r>
        <w:rPr>
          <w:rFonts w:hint="eastAsia" w:ascii="宋体" w:hAnsi="宋体" w:cs="宋体"/>
          <w:b/>
          <w:bCs/>
          <w:szCs w:val="21"/>
          <w:highlight w:val="none"/>
          <w:lang w:bidi="ar"/>
        </w:rPr>
        <w:t>供应商是企业则审查营业执照（副本）扫描件；供应商是事业单位，则审查事业单位法人证书（副本）扫描件；供应商是非企业专业服务机构的，则审查执业许可证等证明文件扫描件；供应商是个体工商户，则审查个体工商户营业执照扫描件；供应商是自然人，则审查自然人身份证明扫描件；如供应商不是以上所列的法人、组织、自然人的，则提供国家规定的相关证明材料。</w:t>
      </w:r>
      <w:r>
        <w:rPr>
          <w:rFonts w:hint="eastAsia" w:ascii="宋体" w:hAnsi="宋体"/>
          <w:b/>
          <w:bCs/>
          <w:szCs w:val="21"/>
          <w:highlight w:val="none"/>
          <w:lang w:bidi="ar"/>
        </w:rPr>
        <w:t>（按“第四章  评标方法及评标标准”</w:t>
      </w:r>
      <w:r>
        <w:rPr>
          <w:rFonts w:hint="eastAsia" w:ascii="宋体" w:hAnsi="宋体"/>
          <w:b/>
          <w:bCs/>
          <w:szCs w:val="21"/>
          <w:highlight w:val="none"/>
          <w:lang w:val="en-US" w:eastAsia="zh-CN" w:bidi="ar"/>
        </w:rPr>
        <w:t>中</w:t>
      </w:r>
      <w:r>
        <w:rPr>
          <w:rFonts w:hint="eastAsia" w:ascii="宋体" w:hAnsi="宋体"/>
          <w:b/>
          <w:bCs/>
          <w:szCs w:val="21"/>
          <w:highlight w:val="none"/>
          <w:lang w:bidi="ar"/>
        </w:rPr>
        <w:t>“资格审查表”规定提供）</w:t>
      </w:r>
      <w:r>
        <w:rPr>
          <w:rFonts w:hint="eastAsia" w:ascii="宋体" w:hAnsi="宋体" w:cs="宋体"/>
          <w:b/>
          <w:bCs/>
          <w:szCs w:val="21"/>
          <w:highlight w:val="none"/>
          <w:lang w:eastAsia="zh-CN" w:bidi="ar"/>
        </w:rPr>
        <w:t>【</w:t>
      </w:r>
      <w:r>
        <w:rPr>
          <w:rFonts w:hint="eastAsia" w:ascii="宋体" w:hAnsi="宋体" w:cs="宋体"/>
          <w:b/>
          <w:bCs/>
          <w:szCs w:val="21"/>
          <w:highlight w:val="none"/>
          <w:lang w:bidi="ar"/>
        </w:rPr>
        <w:t>加盖供应商</w:t>
      </w:r>
      <w:r>
        <w:rPr>
          <w:rFonts w:hint="eastAsia" w:ascii="宋体" w:hAnsi="宋体" w:cs="宋体"/>
          <w:b/>
          <w:bCs/>
          <w:szCs w:val="21"/>
          <w:highlight w:val="none"/>
          <w:lang w:val="en-US" w:eastAsia="zh-CN" w:bidi="ar"/>
        </w:rPr>
        <w:t>公章（或</w:t>
      </w:r>
      <w:r>
        <w:rPr>
          <w:rFonts w:hint="eastAsia" w:ascii="宋体" w:hAnsi="宋体" w:cs="宋体"/>
          <w:b/>
          <w:bCs/>
          <w:szCs w:val="21"/>
          <w:highlight w:val="none"/>
          <w:lang w:bidi="ar"/>
        </w:rPr>
        <w:t>电子签章）</w:t>
      </w:r>
      <w:r>
        <w:rPr>
          <w:rFonts w:hint="eastAsia" w:ascii="宋体" w:hAnsi="宋体" w:cs="宋体"/>
          <w:b/>
          <w:bCs/>
          <w:szCs w:val="21"/>
          <w:highlight w:val="none"/>
          <w:lang w:eastAsia="zh-CN" w:bidi="ar"/>
        </w:rPr>
        <w:t>】</w:t>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9"/>
        <w:rPr>
          <w:rFonts w:ascii="宋体" w:hAnsi="宋体"/>
          <w:b/>
          <w:bCs/>
          <w:szCs w:val="21"/>
          <w:highlight w:val="none"/>
        </w:rPr>
      </w:pPr>
    </w:p>
    <w:p>
      <w:pPr>
        <w:snapToGrid w:val="0"/>
        <w:spacing w:before="165" w:beforeLines="50" w:after="50" w:line="440" w:lineRule="exact"/>
        <w:outlineLvl w:val="9"/>
        <w:rPr>
          <w:rFonts w:ascii="宋体" w:hAnsi="宋体"/>
          <w:sz w:val="18"/>
          <w:szCs w:val="18"/>
          <w:highlight w:val="none"/>
        </w:rPr>
      </w:pPr>
    </w:p>
    <w:p>
      <w:pPr>
        <w:snapToGrid w:val="0"/>
        <w:spacing w:before="165" w:beforeLines="50" w:after="50" w:line="440" w:lineRule="exact"/>
        <w:rPr>
          <w:rFonts w:ascii="宋体" w:hAnsi="宋体"/>
          <w:sz w:val="18"/>
          <w:szCs w:val="18"/>
          <w:highlight w:val="none"/>
        </w:rPr>
      </w:pPr>
    </w:p>
    <w:p>
      <w:pPr>
        <w:snapToGrid w:val="0"/>
        <w:spacing w:before="165" w:beforeLines="50" w:after="50" w:line="440" w:lineRule="exact"/>
        <w:rPr>
          <w:rFonts w:ascii="宋体" w:hAnsi="宋体"/>
          <w:sz w:val="18"/>
          <w:szCs w:val="18"/>
          <w:highlight w:val="none"/>
        </w:rPr>
      </w:pP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bookmarkStart w:id="181" w:name="OLE_LINK51"/>
      <w:bookmarkStart w:id="182" w:name="_Hlk19114230"/>
      <w:r>
        <w:rPr>
          <w:rFonts w:hint="eastAsia" w:ascii="宋体" w:hAnsi="宋体"/>
          <w:b/>
          <w:bCs/>
          <w:szCs w:val="21"/>
          <w:highlight w:val="none"/>
          <w:lang w:bidi="ar"/>
        </w:rPr>
        <w:t>2.</w:t>
      </w:r>
      <w:bookmarkStart w:id="183" w:name="OLE_LINK92"/>
      <w:r>
        <w:rPr>
          <w:rFonts w:hint="eastAsia" w:ascii="宋体" w:hAnsi="宋体"/>
          <w:b/>
          <w:bCs/>
          <w:szCs w:val="21"/>
          <w:highlight w:val="none"/>
          <w:lang w:val="en-US" w:eastAsia="zh-CN" w:bidi="ar"/>
        </w:rPr>
        <w:t>提供2023年或2024年任意一年的财务报表或经审计的财务报告（审计报告）</w:t>
      </w:r>
      <w:r>
        <w:rPr>
          <w:rFonts w:hint="eastAsia" w:ascii="宋体" w:hAnsi="宋体"/>
          <w:b/>
          <w:bCs/>
          <w:color w:val="FF0000"/>
          <w:szCs w:val="21"/>
          <w:highlight w:val="none"/>
          <w:lang w:val="en-US" w:eastAsia="zh-CN" w:bidi="ar"/>
        </w:rPr>
        <w:t>（如提供审计报告的，审计报告须经过“注册会计师行业统一监管平台”自动赋码，审计报告编码（二维码）能通过统一监管平台进行查验，否则无效）</w:t>
      </w:r>
      <w:r>
        <w:rPr>
          <w:rFonts w:hint="eastAsia" w:ascii="宋体" w:hAnsi="宋体"/>
          <w:b/>
          <w:bCs/>
          <w:szCs w:val="21"/>
          <w:highlight w:val="none"/>
          <w:lang w:val="en-US" w:eastAsia="zh-CN" w:bidi="ar"/>
        </w:rPr>
        <w:t>扫描件，</w:t>
      </w:r>
      <w:bookmarkEnd w:id="181"/>
      <w:r>
        <w:rPr>
          <w:rFonts w:hint="eastAsia" w:ascii="宋体" w:hAnsi="宋体"/>
          <w:b/>
          <w:bCs/>
          <w:szCs w:val="21"/>
          <w:highlight w:val="none"/>
          <w:lang w:val="en-US" w:eastAsia="zh-CN" w:bidi="ar"/>
        </w:rPr>
        <w:t>或者提供银行出具的资信证明扫描件；</w:t>
      </w:r>
      <w:bookmarkEnd w:id="183"/>
      <w:r>
        <w:rPr>
          <w:rFonts w:hint="eastAsia" w:ascii="宋体" w:hAnsi="宋体"/>
          <w:b/>
          <w:bCs/>
          <w:szCs w:val="21"/>
          <w:highlight w:val="none"/>
          <w:lang w:bidi="ar"/>
        </w:rPr>
        <w:t>成立年限不足一年的，按实际月份财务报表提供，或者中国人民银行征信中心出具的信用报告（企业竞标的提供企业信用报告，自然人竞标的提供个人信用报告）；供应商属于成立时间在规定年度之后的，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bookmarkStart w:id="184" w:name="OLE_LINK39"/>
      <w:bookmarkStart w:id="185" w:name="OLE_LINK40"/>
      <w:r>
        <w:rPr>
          <w:rFonts w:hint="eastAsia" w:ascii="宋体" w:hAnsi="宋体"/>
          <w:b/>
          <w:bCs/>
          <w:szCs w:val="21"/>
          <w:highlight w:val="none"/>
          <w:lang w:bidi="ar"/>
        </w:rPr>
        <w:t>（按“第四章  评标方法及评标标准”</w:t>
      </w:r>
      <w:r>
        <w:rPr>
          <w:rFonts w:hint="eastAsia" w:ascii="宋体" w:hAnsi="宋体"/>
          <w:b/>
          <w:bCs/>
          <w:szCs w:val="21"/>
          <w:highlight w:val="none"/>
          <w:lang w:val="en-US" w:eastAsia="zh-CN" w:bidi="ar"/>
        </w:rPr>
        <w:t>中</w:t>
      </w:r>
      <w:r>
        <w:rPr>
          <w:rFonts w:hint="eastAsia" w:ascii="宋体" w:hAnsi="宋体"/>
          <w:b/>
          <w:bCs/>
          <w:szCs w:val="21"/>
          <w:highlight w:val="none"/>
          <w:lang w:bidi="ar"/>
        </w:rPr>
        <w:t>“资格审查表”规定提供）</w:t>
      </w:r>
      <w:bookmarkEnd w:id="184"/>
      <w:r>
        <w:rPr>
          <w:rFonts w:hint="eastAsia" w:ascii="宋体" w:hAnsi="宋体" w:cs="宋体"/>
          <w:b/>
          <w:bCs/>
          <w:szCs w:val="21"/>
          <w:highlight w:val="none"/>
          <w:lang w:eastAsia="zh-CN" w:bidi="ar"/>
        </w:rPr>
        <w:t>【</w:t>
      </w:r>
      <w:r>
        <w:rPr>
          <w:rFonts w:hint="eastAsia" w:ascii="宋体" w:hAnsi="宋体" w:cs="宋体"/>
          <w:b/>
          <w:bCs/>
          <w:szCs w:val="21"/>
          <w:highlight w:val="none"/>
          <w:lang w:bidi="ar"/>
        </w:rPr>
        <w:t>加盖供应商</w:t>
      </w:r>
      <w:r>
        <w:rPr>
          <w:rFonts w:hint="eastAsia" w:ascii="宋体" w:hAnsi="宋体" w:cs="宋体"/>
          <w:b/>
          <w:bCs/>
          <w:szCs w:val="21"/>
          <w:highlight w:val="none"/>
          <w:lang w:val="en-US" w:eastAsia="zh-CN" w:bidi="ar"/>
        </w:rPr>
        <w:t>公章（或</w:t>
      </w:r>
      <w:r>
        <w:rPr>
          <w:rFonts w:hint="eastAsia" w:ascii="宋体" w:hAnsi="宋体" w:cs="宋体"/>
          <w:b/>
          <w:bCs/>
          <w:szCs w:val="21"/>
          <w:highlight w:val="none"/>
          <w:lang w:bidi="ar"/>
        </w:rPr>
        <w:t>电子签章）</w:t>
      </w:r>
      <w:r>
        <w:rPr>
          <w:rFonts w:hint="eastAsia" w:ascii="宋体" w:hAnsi="宋体" w:cs="宋体"/>
          <w:b/>
          <w:bCs/>
          <w:szCs w:val="21"/>
          <w:highlight w:val="none"/>
          <w:lang w:eastAsia="zh-CN" w:bidi="ar"/>
        </w:rPr>
        <w:t>】</w:t>
      </w:r>
    </w:p>
    <w:bookmarkEnd w:id="185"/>
    <w:p>
      <w:pPr>
        <w:snapToGrid w:val="0"/>
        <w:spacing w:before="165" w:beforeLines="50" w:after="50" w:line="440" w:lineRule="exact"/>
        <w:rPr>
          <w:rFonts w:ascii="宋体" w:hAnsi="宋体"/>
          <w:szCs w:val="21"/>
          <w:highlight w:val="none"/>
        </w:rPr>
      </w:pPr>
    </w:p>
    <w:p>
      <w:pPr>
        <w:snapToGrid w:val="0"/>
        <w:spacing w:before="165" w:beforeLines="50" w:after="50" w:line="440" w:lineRule="exact"/>
        <w:rPr>
          <w:rFonts w:ascii="宋体" w:hAnsi="宋体"/>
          <w:szCs w:val="21"/>
          <w:highlight w:val="none"/>
        </w:rPr>
      </w:pPr>
    </w:p>
    <w:p>
      <w:pPr>
        <w:snapToGrid w:val="0"/>
        <w:spacing w:before="165" w:beforeLines="50" w:after="50" w:line="440" w:lineRule="exact"/>
        <w:rPr>
          <w:rFonts w:ascii="宋体" w:hAnsi="宋体"/>
          <w:szCs w:val="21"/>
          <w:highlight w:val="none"/>
        </w:rPr>
      </w:pPr>
    </w:p>
    <w:bookmarkEnd w:id="182"/>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3.</w:t>
      </w:r>
      <w:r>
        <w:rPr>
          <w:rFonts w:hint="eastAsia" w:ascii="宋体" w:hAnsi="宋体"/>
          <w:b/>
          <w:bCs/>
          <w:szCs w:val="21"/>
          <w:highlight w:val="none"/>
          <w:lang w:val="en-US" w:eastAsia="zh-CN" w:bidi="ar"/>
        </w:rPr>
        <w:t>提供</w:t>
      </w:r>
      <w:bookmarkStart w:id="186" w:name="OLE_LINK43"/>
      <w:r>
        <w:rPr>
          <w:rFonts w:hint="eastAsia" w:ascii="宋体" w:hAnsi="宋体"/>
          <w:b/>
          <w:bCs/>
          <w:szCs w:val="21"/>
          <w:highlight w:val="none"/>
          <w:lang w:bidi="ar"/>
        </w:rPr>
        <w:t>2024年9月至投标截止时间内供应商任意1个月</w:t>
      </w:r>
      <w:bookmarkEnd w:id="186"/>
      <w:r>
        <w:rPr>
          <w:rFonts w:hint="eastAsia" w:ascii="宋体" w:hAnsi="宋体"/>
          <w:b/>
          <w:bCs/>
          <w:szCs w:val="21"/>
          <w:highlight w:val="none"/>
          <w:lang w:bidi="ar"/>
        </w:rPr>
        <w:t>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hint="eastAsia" w:ascii="宋体" w:hAnsi="宋体"/>
          <w:b/>
          <w:bCs/>
          <w:szCs w:val="21"/>
          <w:highlight w:val="none"/>
          <w:lang w:val="en-US" w:eastAsia="zh-CN" w:bidi="ar"/>
        </w:rPr>
        <w:t>证明材料</w:t>
      </w:r>
      <w:r>
        <w:rPr>
          <w:rFonts w:hint="eastAsia" w:ascii="宋体" w:hAnsi="宋体"/>
          <w:b/>
          <w:bCs/>
          <w:szCs w:val="21"/>
          <w:highlight w:val="none"/>
          <w:lang w:bidi="ar"/>
        </w:rPr>
        <w:t>。（按“第四章  评标方法及评标标准”</w:t>
      </w:r>
      <w:r>
        <w:rPr>
          <w:rFonts w:hint="eastAsia" w:ascii="宋体" w:hAnsi="宋体"/>
          <w:b/>
          <w:bCs/>
          <w:szCs w:val="21"/>
          <w:highlight w:val="none"/>
          <w:lang w:val="en-US" w:eastAsia="zh-CN" w:bidi="ar"/>
        </w:rPr>
        <w:t>中</w:t>
      </w:r>
      <w:r>
        <w:rPr>
          <w:rFonts w:hint="eastAsia" w:ascii="宋体" w:hAnsi="宋体"/>
          <w:b/>
          <w:bCs/>
          <w:szCs w:val="21"/>
          <w:highlight w:val="none"/>
          <w:lang w:bidi="ar"/>
        </w:rPr>
        <w:t>“资格审查表”规定提供）</w:t>
      </w:r>
      <w:r>
        <w:rPr>
          <w:rFonts w:hint="eastAsia" w:ascii="宋体" w:hAnsi="宋体" w:cs="宋体"/>
          <w:b/>
          <w:bCs/>
          <w:szCs w:val="21"/>
          <w:highlight w:val="none"/>
          <w:lang w:eastAsia="zh-CN" w:bidi="ar"/>
        </w:rPr>
        <w:t>【</w:t>
      </w:r>
      <w:r>
        <w:rPr>
          <w:rFonts w:hint="eastAsia" w:ascii="宋体" w:hAnsi="宋体" w:cs="宋体"/>
          <w:b/>
          <w:bCs/>
          <w:szCs w:val="21"/>
          <w:highlight w:val="none"/>
          <w:lang w:bidi="ar"/>
        </w:rPr>
        <w:t>加盖供应商</w:t>
      </w:r>
      <w:r>
        <w:rPr>
          <w:rFonts w:hint="eastAsia" w:ascii="宋体" w:hAnsi="宋体" w:cs="宋体"/>
          <w:b/>
          <w:bCs/>
          <w:szCs w:val="21"/>
          <w:highlight w:val="none"/>
          <w:lang w:val="en-US" w:eastAsia="zh-CN" w:bidi="ar"/>
        </w:rPr>
        <w:t>公章（或</w:t>
      </w:r>
      <w:r>
        <w:rPr>
          <w:rFonts w:hint="eastAsia" w:ascii="宋体" w:hAnsi="宋体" w:cs="宋体"/>
          <w:b/>
          <w:bCs/>
          <w:szCs w:val="21"/>
          <w:highlight w:val="none"/>
          <w:lang w:bidi="ar"/>
        </w:rPr>
        <w:t>电子签章）</w:t>
      </w:r>
      <w:r>
        <w:rPr>
          <w:rFonts w:hint="eastAsia" w:ascii="宋体" w:hAnsi="宋体" w:cs="宋体"/>
          <w:b/>
          <w:bCs/>
          <w:szCs w:val="21"/>
          <w:highlight w:val="none"/>
          <w:lang w:eastAsia="zh-CN" w:bidi="ar"/>
        </w:rPr>
        <w:t>】</w:t>
      </w:r>
    </w:p>
    <w:p>
      <w:pPr>
        <w:widowControl/>
        <w:jc w:val="left"/>
        <w:outlineLvl w:val="9"/>
        <w:rPr>
          <w:rFonts w:ascii="宋体" w:hAnsi="宋体"/>
          <w:highlight w:val="none"/>
        </w:rPr>
      </w:pPr>
      <w:bookmarkStart w:id="187" w:name="_Hlk19114283"/>
      <w:r>
        <w:rPr>
          <w:rFonts w:ascii="宋体" w:hAnsi="宋体"/>
          <w:highlight w:val="none"/>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bookmarkStart w:id="188" w:name="_Hlk93048232"/>
      <w:r>
        <w:rPr>
          <w:rFonts w:hint="eastAsia" w:ascii="宋体" w:hAnsi="宋体"/>
          <w:b/>
          <w:bCs/>
          <w:szCs w:val="21"/>
          <w:highlight w:val="none"/>
          <w:lang w:bidi="ar"/>
        </w:rPr>
        <w:t>4.</w:t>
      </w:r>
      <w:bookmarkStart w:id="189" w:name="OLE_LINK25"/>
      <w:r>
        <w:rPr>
          <w:rFonts w:hint="eastAsia" w:ascii="宋体" w:hAnsi="宋体"/>
          <w:b/>
          <w:bCs/>
          <w:szCs w:val="21"/>
          <w:highlight w:val="none"/>
          <w:lang w:bidi="ar"/>
        </w:rPr>
        <w:t>投标人直接控股股东信息表</w:t>
      </w:r>
      <w:bookmarkEnd w:id="189"/>
    </w:p>
    <w:tbl>
      <w:tblPr>
        <w:tblStyle w:val="54"/>
        <w:tblW w:w="5000" w:type="pct"/>
        <w:tblInd w:w="0" w:type="dxa"/>
        <w:tblLayout w:type="autofit"/>
        <w:tblCellMar>
          <w:top w:w="0" w:type="dxa"/>
          <w:left w:w="0" w:type="dxa"/>
          <w:bottom w:w="0" w:type="dxa"/>
          <w:right w:w="0" w:type="dxa"/>
        </w:tblCellMar>
      </w:tblPr>
      <w:tblGrid>
        <w:gridCol w:w="746"/>
        <w:gridCol w:w="2046"/>
        <w:gridCol w:w="1118"/>
        <w:gridCol w:w="3581"/>
        <w:gridCol w:w="1055"/>
      </w:tblGrid>
      <w:tr>
        <w:tblPrEx>
          <w:tblCellMar>
            <w:top w:w="0" w:type="dxa"/>
            <w:left w:w="0" w:type="dxa"/>
            <w:bottom w:w="0" w:type="dxa"/>
            <w:right w:w="0" w:type="dxa"/>
          </w:tblCellMar>
        </w:tblPrEx>
        <w:trPr>
          <w:tblHeader/>
        </w:trPr>
        <w:tc>
          <w:tcPr>
            <w:tcW w:w="43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r>
              <w:rPr>
                <w:rFonts w:hint="eastAsia" w:cs="宋体"/>
                <w:szCs w:val="21"/>
                <w:highlight w:val="none"/>
              </w:rPr>
              <w:t>序号</w:t>
            </w:r>
          </w:p>
        </w:tc>
        <w:tc>
          <w:tcPr>
            <w:tcW w:w="119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r>
              <w:rPr>
                <w:rFonts w:hint="eastAsia" w:cs="宋体"/>
                <w:szCs w:val="21"/>
                <w:highlight w:val="none"/>
              </w:rPr>
              <w:t>直接控股股东名称</w:t>
            </w:r>
          </w:p>
        </w:tc>
        <w:tc>
          <w:tcPr>
            <w:tcW w:w="654"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r>
              <w:rPr>
                <w:rFonts w:hint="eastAsia" w:cs="宋体"/>
                <w:szCs w:val="21"/>
                <w:highlight w:val="none"/>
              </w:rPr>
              <w:t>出资比例</w:t>
            </w:r>
          </w:p>
        </w:tc>
        <w:tc>
          <w:tcPr>
            <w:tcW w:w="2095"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r>
              <w:rPr>
                <w:rFonts w:hint="eastAsia" w:cs="宋体"/>
                <w:szCs w:val="21"/>
                <w:highlight w:val="none"/>
              </w:rPr>
              <w:t>身份证号码或者统一社会信用代码</w:t>
            </w:r>
          </w:p>
        </w:tc>
        <w:tc>
          <w:tcPr>
            <w:tcW w:w="61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r>
              <w:rPr>
                <w:rFonts w:hint="eastAsia" w:cs="宋体"/>
                <w:szCs w:val="21"/>
                <w:highlight w:val="none"/>
              </w:rPr>
              <w:t>备注</w:t>
            </w:r>
          </w:p>
        </w:tc>
      </w:tr>
      <w:tr>
        <w:tblPrEx>
          <w:tblCellMar>
            <w:top w:w="0" w:type="dxa"/>
            <w:left w:w="0" w:type="dxa"/>
            <w:bottom w:w="0" w:type="dxa"/>
            <w:right w:w="0" w:type="dxa"/>
          </w:tblCellMar>
        </w:tblPrEx>
        <w:tc>
          <w:tcPr>
            <w:tcW w:w="43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r>
              <w:rPr>
                <w:szCs w:val="21"/>
                <w:highlight w:val="none"/>
              </w:rPr>
              <w:t>1</w:t>
            </w:r>
          </w:p>
        </w:tc>
        <w:tc>
          <w:tcPr>
            <w:tcW w:w="119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654"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2095"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61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r>
      <w:tr>
        <w:tblPrEx>
          <w:tblCellMar>
            <w:top w:w="0" w:type="dxa"/>
            <w:left w:w="0" w:type="dxa"/>
            <w:bottom w:w="0" w:type="dxa"/>
            <w:right w:w="0" w:type="dxa"/>
          </w:tblCellMar>
        </w:tblPrEx>
        <w:tc>
          <w:tcPr>
            <w:tcW w:w="43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r>
              <w:rPr>
                <w:szCs w:val="21"/>
                <w:highlight w:val="none"/>
              </w:rPr>
              <w:t>2</w:t>
            </w:r>
          </w:p>
        </w:tc>
        <w:tc>
          <w:tcPr>
            <w:tcW w:w="119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654"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2095"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61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r>
      <w:tr>
        <w:tblPrEx>
          <w:tblCellMar>
            <w:top w:w="0" w:type="dxa"/>
            <w:left w:w="0" w:type="dxa"/>
            <w:bottom w:w="0" w:type="dxa"/>
            <w:right w:w="0" w:type="dxa"/>
          </w:tblCellMar>
        </w:tblPrEx>
        <w:tc>
          <w:tcPr>
            <w:tcW w:w="43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r>
              <w:rPr>
                <w:szCs w:val="21"/>
                <w:highlight w:val="none"/>
              </w:rPr>
              <w:t>3</w:t>
            </w:r>
          </w:p>
        </w:tc>
        <w:tc>
          <w:tcPr>
            <w:tcW w:w="119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654"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2095"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61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r>
      <w:tr>
        <w:tblPrEx>
          <w:tblCellMar>
            <w:top w:w="0" w:type="dxa"/>
            <w:left w:w="0" w:type="dxa"/>
            <w:bottom w:w="0" w:type="dxa"/>
            <w:right w:w="0" w:type="dxa"/>
          </w:tblCellMar>
        </w:tblPrEx>
        <w:tc>
          <w:tcPr>
            <w:tcW w:w="43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r>
              <w:rPr>
                <w:szCs w:val="21"/>
                <w:highlight w:val="none"/>
              </w:rPr>
              <w:t>……</w:t>
            </w:r>
          </w:p>
        </w:tc>
        <w:tc>
          <w:tcPr>
            <w:tcW w:w="119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654"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2095"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61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r>
    </w:tbl>
    <w:p>
      <w:pPr>
        <w:snapToGrid w:val="0"/>
        <w:spacing w:line="360" w:lineRule="auto"/>
        <w:jc w:val="left"/>
        <w:rPr>
          <w:szCs w:val="21"/>
          <w:highlight w:val="none"/>
        </w:rPr>
      </w:pPr>
      <w:r>
        <w:rPr>
          <w:rFonts w:hint="eastAsia" w:cs="宋体"/>
          <w:szCs w:val="21"/>
          <w:highlight w:val="none"/>
          <w:lang w:bidi="ar"/>
        </w:rPr>
        <w:t>注：</w:t>
      </w:r>
    </w:p>
    <w:p>
      <w:pPr>
        <w:snapToGrid w:val="0"/>
        <w:spacing w:line="360" w:lineRule="auto"/>
        <w:jc w:val="left"/>
        <w:rPr>
          <w:szCs w:val="21"/>
          <w:highlight w:val="none"/>
        </w:rPr>
      </w:pPr>
      <w:r>
        <w:rPr>
          <w:szCs w:val="21"/>
          <w:highlight w:val="none"/>
          <w:lang w:bidi="ar"/>
        </w:rPr>
        <w:t>1.</w:t>
      </w:r>
      <w:r>
        <w:rPr>
          <w:rFonts w:hint="eastAsia" w:cs="宋体"/>
          <w:szCs w:val="21"/>
          <w:highlight w:val="none"/>
          <w:lang w:bidi="ar"/>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szCs w:val="21"/>
          <w:highlight w:val="none"/>
        </w:rPr>
      </w:pPr>
      <w:r>
        <w:rPr>
          <w:szCs w:val="21"/>
          <w:highlight w:val="none"/>
          <w:lang w:bidi="ar"/>
        </w:rPr>
        <w:t>2.</w:t>
      </w:r>
      <w:r>
        <w:rPr>
          <w:rFonts w:hint="eastAsia" w:cs="宋体"/>
          <w:szCs w:val="21"/>
          <w:highlight w:val="none"/>
          <w:lang w:bidi="ar"/>
        </w:rPr>
        <w:t>本表所指的控股关系仅限于直接控股关系，不包括间接的控股关系。公司实际控制人与公司之间的关系不属于本表所指的直接控股关系。</w:t>
      </w:r>
    </w:p>
    <w:p>
      <w:pPr>
        <w:snapToGrid w:val="0"/>
        <w:spacing w:line="360" w:lineRule="auto"/>
        <w:jc w:val="left"/>
        <w:rPr>
          <w:szCs w:val="21"/>
          <w:highlight w:val="none"/>
        </w:rPr>
      </w:pPr>
      <w:r>
        <w:rPr>
          <w:szCs w:val="21"/>
          <w:highlight w:val="none"/>
          <w:lang w:bidi="ar"/>
        </w:rPr>
        <w:t>3.</w:t>
      </w:r>
      <w:r>
        <w:rPr>
          <w:rFonts w:hint="eastAsia" w:cs="宋体"/>
          <w:szCs w:val="21"/>
          <w:highlight w:val="none"/>
          <w:lang w:bidi="ar"/>
        </w:rPr>
        <w:t>供应商不存在直接控股股东的，则填</w:t>
      </w:r>
      <w:r>
        <w:rPr>
          <w:szCs w:val="21"/>
          <w:highlight w:val="none"/>
          <w:lang w:bidi="ar"/>
        </w:rPr>
        <w:t>“</w:t>
      </w:r>
      <w:r>
        <w:rPr>
          <w:rFonts w:hint="eastAsia" w:cs="宋体"/>
          <w:szCs w:val="21"/>
          <w:highlight w:val="none"/>
          <w:lang w:bidi="ar"/>
        </w:rPr>
        <w:t>无</w:t>
      </w:r>
      <w:r>
        <w:rPr>
          <w:szCs w:val="21"/>
          <w:highlight w:val="none"/>
          <w:lang w:bidi="ar"/>
        </w:rPr>
        <w:t>”</w:t>
      </w:r>
      <w:r>
        <w:rPr>
          <w:rFonts w:hint="eastAsia" w:cs="宋体"/>
          <w:szCs w:val="21"/>
          <w:highlight w:val="none"/>
          <w:lang w:bidi="ar"/>
        </w:rPr>
        <w:t>。</w:t>
      </w:r>
    </w:p>
    <w:p>
      <w:pPr>
        <w:snapToGrid w:val="0"/>
        <w:spacing w:line="360" w:lineRule="auto"/>
        <w:jc w:val="left"/>
        <w:rPr>
          <w:szCs w:val="21"/>
          <w:highlight w:val="none"/>
        </w:rPr>
      </w:pPr>
    </w:p>
    <w:p>
      <w:pPr>
        <w:snapToGrid w:val="0"/>
        <w:spacing w:line="360" w:lineRule="auto"/>
        <w:jc w:val="left"/>
        <w:rPr>
          <w:szCs w:val="21"/>
          <w:highlight w:val="none"/>
        </w:rPr>
      </w:pPr>
    </w:p>
    <w:p>
      <w:pPr>
        <w:snapToGrid w:val="0"/>
        <w:spacing w:line="360" w:lineRule="auto"/>
        <w:jc w:val="left"/>
        <w:rPr>
          <w:szCs w:val="21"/>
          <w:highlight w:val="none"/>
        </w:rPr>
      </w:pPr>
    </w:p>
    <w:p>
      <w:pPr>
        <w:snapToGrid w:val="0"/>
        <w:spacing w:line="360" w:lineRule="auto"/>
        <w:jc w:val="left"/>
        <w:rPr>
          <w:szCs w:val="21"/>
          <w:highlight w:val="none"/>
        </w:rPr>
      </w:pPr>
    </w:p>
    <w:p>
      <w:pPr>
        <w:snapToGrid w:val="0"/>
        <w:spacing w:line="360" w:lineRule="auto"/>
        <w:jc w:val="left"/>
        <w:rPr>
          <w:rFonts w:ascii="宋体" w:hAnsi="宋体"/>
          <w:szCs w:val="21"/>
          <w:highlight w:val="none"/>
        </w:rPr>
      </w:pPr>
    </w:p>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snapToGrid w:val="0"/>
        <w:jc w:val="center"/>
        <w:rPr>
          <w:b/>
          <w:sz w:val="28"/>
          <w:szCs w:val="28"/>
          <w:highlight w:val="none"/>
        </w:rPr>
      </w:pPr>
      <w:r>
        <w:rPr>
          <w:b/>
          <w:sz w:val="28"/>
          <w:szCs w:val="28"/>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5.</w:t>
      </w:r>
      <w:bookmarkStart w:id="190" w:name="OLE_LINK26"/>
      <w:r>
        <w:rPr>
          <w:rFonts w:hint="eastAsia" w:ascii="宋体" w:hAnsi="宋体"/>
          <w:b/>
          <w:bCs/>
          <w:szCs w:val="21"/>
          <w:highlight w:val="none"/>
          <w:lang w:bidi="ar"/>
        </w:rPr>
        <w:t>投标人直接管理关系信息表</w:t>
      </w:r>
    </w:p>
    <w:bookmarkEnd w:id="190"/>
    <w:tbl>
      <w:tblPr>
        <w:tblStyle w:val="54"/>
        <w:tblW w:w="5000" w:type="pct"/>
        <w:tblInd w:w="0" w:type="dxa"/>
        <w:shd w:val="clear" w:color="auto" w:fill="FBFBFB"/>
        <w:tblLayout w:type="autofit"/>
        <w:tblCellMar>
          <w:top w:w="0" w:type="dxa"/>
          <w:left w:w="0" w:type="dxa"/>
          <w:bottom w:w="0" w:type="dxa"/>
          <w:right w:w="0" w:type="dxa"/>
        </w:tblCellMar>
      </w:tblPr>
      <w:tblGrid>
        <w:gridCol w:w="890"/>
        <w:gridCol w:w="2354"/>
        <w:gridCol w:w="3475"/>
        <w:gridCol w:w="1827"/>
      </w:tblGrid>
      <w:tr>
        <w:tblPrEx>
          <w:tblCellMar>
            <w:top w:w="0" w:type="dxa"/>
            <w:left w:w="0" w:type="dxa"/>
            <w:bottom w:w="0" w:type="dxa"/>
            <w:right w:w="0" w:type="dxa"/>
          </w:tblCellMar>
        </w:tblPrEx>
        <w:trPr>
          <w:tblHeader/>
        </w:trPr>
        <w:tc>
          <w:tcPr>
            <w:tcW w:w="521"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r>
              <w:rPr>
                <w:rFonts w:hint="eastAsia" w:cs="宋体"/>
                <w:szCs w:val="21"/>
                <w:highlight w:val="none"/>
              </w:rPr>
              <w:t>序号</w:t>
            </w:r>
          </w:p>
        </w:tc>
        <w:tc>
          <w:tcPr>
            <w:tcW w:w="1377"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r>
              <w:rPr>
                <w:rFonts w:hint="eastAsia" w:cs="宋体"/>
                <w:szCs w:val="21"/>
                <w:highlight w:val="none"/>
              </w:rPr>
              <w:t>直接管理关系单位名称</w:t>
            </w:r>
          </w:p>
        </w:tc>
        <w:tc>
          <w:tcPr>
            <w:tcW w:w="2033"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r>
              <w:rPr>
                <w:rFonts w:hint="eastAsia" w:cs="宋体"/>
                <w:szCs w:val="21"/>
                <w:highlight w:val="none"/>
              </w:rPr>
              <w:t>统一社会信用代码</w:t>
            </w:r>
          </w:p>
        </w:tc>
        <w:tc>
          <w:tcPr>
            <w:tcW w:w="1069"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r>
              <w:rPr>
                <w:rFonts w:hint="eastAsia" w:cs="宋体"/>
                <w:szCs w:val="21"/>
                <w:highlight w:val="none"/>
              </w:rPr>
              <w:t>备注</w:t>
            </w:r>
          </w:p>
        </w:tc>
      </w:tr>
      <w:tr>
        <w:tblPrEx>
          <w:tblCellMar>
            <w:top w:w="0" w:type="dxa"/>
            <w:left w:w="0" w:type="dxa"/>
            <w:bottom w:w="0" w:type="dxa"/>
            <w:right w:w="0" w:type="dxa"/>
          </w:tblCellMar>
        </w:tblPrEx>
        <w:tc>
          <w:tcPr>
            <w:tcW w:w="521"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r>
              <w:rPr>
                <w:szCs w:val="21"/>
                <w:highlight w:val="none"/>
              </w:rPr>
              <w:t>1</w:t>
            </w:r>
          </w:p>
        </w:tc>
        <w:tc>
          <w:tcPr>
            <w:tcW w:w="1377"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r>
      <w:tr>
        <w:tblPrEx>
          <w:tblCellMar>
            <w:top w:w="0" w:type="dxa"/>
            <w:left w:w="0" w:type="dxa"/>
            <w:bottom w:w="0" w:type="dxa"/>
            <w:right w:w="0" w:type="dxa"/>
          </w:tblCellMar>
        </w:tblPrEx>
        <w:tc>
          <w:tcPr>
            <w:tcW w:w="521"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r>
              <w:rPr>
                <w:szCs w:val="21"/>
                <w:highlight w:val="none"/>
              </w:rPr>
              <w:t>2</w:t>
            </w:r>
          </w:p>
        </w:tc>
        <w:tc>
          <w:tcPr>
            <w:tcW w:w="1377"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r>
      <w:tr>
        <w:tblPrEx>
          <w:shd w:val="clear" w:color="auto" w:fill="FBFBFB"/>
          <w:tblCellMar>
            <w:top w:w="0" w:type="dxa"/>
            <w:left w:w="0" w:type="dxa"/>
            <w:bottom w:w="0" w:type="dxa"/>
            <w:right w:w="0" w:type="dxa"/>
          </w:tblCellMar>
        </w:tblPrEx>
        <w:tc>
          <w:tcPr>
            <w:tcW w:w="521"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r>
              <w:rPr>
                <w:szCs w:val="21"/>
                <w:highlight w:val="none"/>
              </w:rPr>
              <w:t>3</w:t>
            </w:r>
          </w:p>
        </w:tc>
        <w:tc>
          <w:tcPr>
            <w:tcW w:w="1377"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r>
      <w:tr>
        <w:tblPrEx>
          <w:shd w:val="clear" w:color="auto" w:fill="FBFBFB"/>
          <w:tblCellMar>
            <w:top w:w="0" w:type="dxa"/>
            <w:left w:w="0" w:type="dxa"/>
            <w:bottom w:w="0" w:type="dxa"/>
            <w:right w:w="0" w:type="dxa"/>
          </w:tblCellMar>
        </w:tblPrEx>
        <w:tc>
          <w:tcPr>
            <w:tcW w:w="521"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r>
              <w:rPr>
                <w:szCs w:val="21"/>
                <w:highlight w:val="none"/>
              </w:rPr>
              <w:t>……</w:t>
            </w:r>
          </w:p>
        </w:tc>
        <w:tc>
          <w:tcPr>
            <w:tcW w:w="1377"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r>
    </w:tbl>
    <w:p>
      <w:pPr>
        <w:snapToGrid w:val="0"/>
        <w:spacing w:line="360" w:lineRule="auto"/>
        <w:jc w:val="left"/>
        <w:rPr>
          <w:szCs w:val="21"/>
          <w:highlight w:val="none"/>
        </w:rPr>
      </w:pPr>
      <w:r>
        <w:rPr>
          <w:rFonts w:hint="eastAsia" w:cs="宋体"/>
          <w:szCs w:val="21"/>
          <w:highlight w:val="none"/>
          <w:lang w:bidi="ar"/>
        </w:rPr>
        <w:t>注：</w:t>
      </w:r>
    </w:p>
    <w:p>
      <w:pPr>
        <w:snapToGrid w:val="0"/>
        <w:spacing w:line="360" w:lineRule="auto"/>
        <w:ind w:firstLine="420" w:firstLineChars="200"/>
        <w:jc w:val="left"/>
        <w:rPr>
          <w:szCs w:val="21"/>
          <w:highlight w:val="none"/>
        </w:rPr>
      </w:pPr>
      <w:r>
        <w:rPr>
          <w:szCs w:val="21"/>
          <w:highlight w:val="none"/>
          <w:lang w:bidi="ar"/>
        </w:rPr>
        <w:t>1.</w:t>
      </w:r>
      <w:r>
        <w:rPr>
          <w:rFonts w:hint="eastAsia" w:cs="宋体"/>
          <w:szCs w:val="21"/>
          <w:highlight w:val="none"/>
          <w:lang w:bidi="ar"/>
        </w:rPr>
        <w:t>管理关系：是指不具有出资持股关系的其他单位之间存在的管理与被管理关系，如一些上下级关系的事业单位和团体组织。</w:t>
      </w:r>
    </w:p>
    <w:p>
      <w:pPr>
        <w:snapToGrid w:val="0"/>
        <w:spacing w:line="360" w:lineRule="auto"/>
        <w:ind w:firstLine="420" w:firstLineChars="200"/>
        <w:jc w:val="left"/>
        <w:rPr>
          <w:szCs w:val="21"/>
          <w:highlight w:val="none"/>
        </w:rPr>
      </w:pPr>
      <w:r>
        <w:rPr>
          <w:szCs w:val="21"/>
          <w:highlight w:val="none"/>
          <w:lang w:bidi="ar"/>
        </w:rPr>
        <w:t>2.</w:t>
      </w:r>
      <w:r>
        <w:rPr>
          <w:rFonts w:hint="eastAsia" w:cs="宋体"/>
          <w:szCs w:val="21"/>
          <w:highlight w:val="none"/>
          <w:lang w:bidi="ar"/>
        </w:rPr>
        <w:t>本表所指的管理关系仅限于直接管理关系，不包括间接的管理关系。</w:t>
      </w:r>
    </w:p>
    <w:p>
      <w:pPr>
        <w:snapToGrid w:val="0"/>
        <w:spacing w:line="360" w:lineRule="auto"/>
        <w:ind w:firstLine="420" w:firstLineChars="200"/>
        <w:jc w:val="left"/>
        <w:rPr>
          <w:szCs w:val="21"/>
          <w:highlight w:val="none"/>
        </w:rPr>
      </w:pPr>
      <w:r>
        <w:rPr>
          <w:szCs w:val="21"/>
          <w:highlight w:val="none"/>
          <w:lang w:bidi="ar"/>
        </w:rPr>
        <w:t>3.</w:t>
      </w:r>
      <w:r>
        <w:rPr>
          <w:rFonts w:hint="eastAsia" w:cs="宋体"/>
          <w:szCs w:val="21"/>
          <w:highlight w:val="none"/>
          <w:lang w:bidi="ar"/>
        </w:rPr>
        <w:t>供应商不存在直接管理关系的，则填</w:t>
      </w:r>
      <w:r>
        <w:rPr>
          <w:szCs w:val="21"/>
          <w:highlight w:val="none"/>
          <w:lang w:bidi="ar"/>
        </w:rPr>
        <w:t>“</w:t>
      </w:r>
      <w:r>
        <w:rPr>
          <w:rFonts w:hint="eastAsia" w:cs="宋体"/>
          <w:szCs w:val="21"/>
          <w:highlight w:val="none"/>
          <w:lang w:bidi="ar"/>
        </w:rPr>
        <w:t>无</w:t>
      </w:r>
      <w:r>
        <w:rPr>
          <w:szCs w:val="21"/>
          <w:highlight w:val="none"/>
          <w:lang w:bidi="ar"/>
        </w:rPr>
        <w:t>”</w:t>
      </w:r>
      <w:r>
        <w:rPr>
          <w:rFonts w:hint="eastAsia" w:cs="宋体"/>
          <w:szCs w:val="21"/>
          <w:highlight w:val="none"/>
          <w:lang w:bidi="ar"/>
        </w:rPr>
        <w:t>。</w:t>
      </w:r>
    </w:p>
    <w:p>
      <w:pPr>
        <w:snapToGrid w:val="0"/>
        <w:spacing w:line="360" w:lineRule="auto"/>
        <w:jc w:val="left"/>
        <w:rPr>
          <w:szCs w:val="21"/>
          <w:highlight w:val="none"/>
        </w:rPr>
      </w:pPr>
    </w:p>
    <w:p>
      <w:pPr>
        <w:snapToGrid w:val="0"/>
        <w:spacing w:line="360" w:lineRule="auto"/>
        <w:jc w:val="left"/>
        <w:rPr>
          <w:szCs w:val="21"/>
          <w:highlight w:val="none"/>
        </w:rPr>
      </w:pPr>
    </w:p>
    <w:p>
      <w:pPr>
        <w:snapToGrid w:val="0"/>
        <w:spacing w:line="360" w:lineRule="auto"/>
        <w:jc w:val="left"/>
        <w:rPr>
          <w:szCs w:val="21"/>
          <w:highlight w:val="none"/>
        </w:rPr>
      </w:pPr>
    </w:p>
    <w:p>
      <w:pPr>
        <w:snapToGrid w:val="0"/>
        <w:spacing w:line="360" w:lineRule="auto"/>
        <w:jc w:val="left"/>
        <w:rPr>
          <w:rFonts w:ascii="宋体" w:hAnsi="宋体"/>
          <w:szCs w:val="21"/>
          <w:highlight w:val="none"/>
        </w:rPr>
      </w:pPr>
    </w:p>
    <w:bookmarkEnd w:id="188"/>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widowControl/>
        <w:jc w:val="left"/>
        <w:rPr>
          <w:rFonts w:ascii="宋体" w:hAnsi="宋体" w:cs="宋体"/>
          <w:szCs w:val="21"/>
          <w:highlight w:val="none"/>
          <w:lang w:bidi="ar"/>
        </w:rPr>
      </w:pPr>
      <w:r>
        <w:rPr>
          <w:rFonts w:ascii="宋体" w:hAnsi="宋体" w:cs="宋体"/>
          <w:szCs w:val="21"/>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6.投标声明书（格式）</w:t>
      </w:r>
    </w:p>
    <w:p>
      <w:pPr>
        <w:snapToGrid w:val="0"/>
        <w:spacing w:before="165" w:beforeLines="50" w:after="50" w:line="360" w:lineRule="exact"/>
        <w:jc w:val="center"/>
        <w:rPr>
          <w:b/>
          <w:szCs w:val="21"/>
          <w:highlight w:val="none"/>
        </w:rPr>
      </w:pPr>
      <w:r>
        <w:rPr>
          <w:rFonts w:hint="eastAsia" w:cs="宋体"/>
          <w:b/>
          <w:szCs w:val="21"/>
          <w:highlight w:val="none"/>
          <w:lang w:bidi="ar"/>
        </w:rPr>
        <w:t>投标声明书</w:t>
      </w:r>
    </w:p>
    <w:p>
      <w:pPr>
        <w:snapToGrid w:val="0"/>
        <w:spacing w:before="165" w:beforeLines="50" w:after="50" w:line="360" w:lineRule="exact"/>
        <w:rPr>
          <w:szCs w:val="21"/>
          <w:highlight w:val="none"/>
        </w:rPr>
      </w:pPr>
      <w:r>
        <w:rPr>
          <w:rFonts w:hint="eastAsia" w:cs="宋体"/>
          <w:szCs w:val="21"/>
          <w:highlight w:val="none"/>
          <w:lang w:bidi="ar"/>
        </w:rPr>
        <w:t>致：</w:t>
      </w:r>
      <w:r>
        <w:rPr>
          <w:rFonts w:hint="eastAsia" w:cs="宋体"/>
          <w:i/>
          <w:iCs/>
          <w:szCs w:val="21"/>
          <w:highlight w:val="none"/>
          <w:u w:val="single"/>
          <w:lang w:bidi="ar"/>
        </w:rPr>
        <w:t>（采购人名称）</w:t>
      </w:r>
      <w:r>
        <w:rPr>
          <w:rFonts w:hint="eastAsia" w:cs="宋体"/>
          <w:szCs w:val="21"/>
          <w:highlight w:val="none"/>
          <w:lang w:bidi="ar"/>
        </w:rPr>
        <w:t>：</w:t>
      </w:r>
    </w:p>
    <w:p>
      <w:pPr>
        <w:snapToGrid w:val="0"/>
        <w:spacing w:line="360" w:lineRule="auto"/>
        <w:ind w:firstLine="420" w:firstLineChars="200"/>
        <w:rPr>
          <w:szCs w:val="21"/>
          <w:highlight w:val="none"/>
        </w:rPr>
      </w:pPr>
      <w:r>
        <w:rPr>
          <w:rFonts w:hint="eastAsia" w:cs="宋体"/>
          <w:i/>
          <w:iCs/>
          <w:szCs w:val="21"/>
          <w:highlight w:val="none"/>
          <w:u w:val="single"/>
          <w:lang w:bidi="ar"/>
        </w:rPr>
        <w:t>（供应商名称）</w:t>
      </w:r>
      <w:r>
        <w:rPr>
          <w:rFonts w:hint="eastAsia" w:cs="宋体"/>
          <w:szCs w:val="21"/>
          <w:highlight w:val="none"/>
          <w:lang w:bidi="ar"/>
        </w:rPr>
        <w:t>系中华人民共和国合法企业，</w:t>
      </w:r>
      <w:r>
        <w:rPr>
          <w:szCs w:val="21"/>
          <w:highlight w:val="none"/>
          <w:u w:val="single"/>
          <w:lang w:bidi="ar"/>
        </w:rPr>
        <w:t xml:space="preserve"> </w:t>
      </w:r>
      <w:r>
        <w:rPr>
          <w:i/>
          <w:iCs/>
          <w:szCs w:val="21"/>
          <w:highlight w:val="none"/>
          <w:u w:val="single"/>
          <w:lang w:bidi="ar"/>
        </w:rPr>
        <w:t xml:space="preserve"> </w:t>
      </w:r>
      <w:r>
        <w:rPr>
          <w:rFonts w:hint="eastAsia" w:cs="宋体"/>
          <w:i/>
          <w:iCs/>
          <w:szCs w:val="21"/>
          <w:highlight w:val="none"/>
          <w:u w:val="single"/>
          <w:lang w:bidi="ar"/>
        </w:rPr>
        <w:t>（经营地址）</w:t>
      </w:r>
      <w:r>
        <w:rPr>
          <w:i/>
          <w:iCs/>
          <w:szCs w:val="21"/>
          <w:highlight w:val="none"/>
          <w:u w:val="single"/>
          <w:lang w:bidi="ar"/>
        </w:rPr>
        <w:t xml:space="preserve">  </w:t>
      </w:r>
      <w:r>
        <w:rPr>
          <w:szCs w:val="21"/>
          <w:highlight w:val="none"/>
          <w:u w:val="single"/>
          <w:lang w:bidi="ar"/>
        </w:rPr>
        <w:t xml:space="preserve"> </w:t>
      </w:r>
      <w:r>
        <w:rPr>
          <w:rFonts w:hint="eastAsia" w:cs="宋体"/>
          <w:szCs w:val="21"/>
          <w:highlight w:val="none"/>
          <w:lang w:bidi="ar"/>
        </w:rPr>
        <w:t>。</w:t>
      </w:r>
    </w:p>
    <w:p>
      <w:pPr>
        <w:snapToGrid w:val="0"/>
        <w:spacing w:line="360" w:lineRule="auto"/>
        <w:ind w:firstLine="420" w:firstLineChars="200"/>
        <w:rPr>
          <w:szCs w:val="21"/>
          <w:highlight w:val="none"/>
        </w:rPr>
      </w:pPr>
      <w:r>
        <w:rPr>
          <w:rFonts w:hint="eastAsia" w:cs="宋体"/>
          <w:szCs w:val="21"/>
          <w:highlight w:val="none"/>
          <w:lang w:bidi="ar"/>
        </w:rPr>
        <w:t>我</w:t>
      </w:r>
      <w:r>
        <w:rPr>
          <w:rFonts w:hint="eastAsia" w:cs="宋体"/>
          <w:i/>
          <w:iCs/>
          <w:szCs w:val="21"/>
          <w:highlight w:val="none"/>
          <w:u w:val="single"/>
          <w:lang w:bidi="ar"/>
        </w:rPr>
        <w:t>（姓名）</w:t>
      </w:r>
      <w:r>
        <w:rPr>
          <w:i/>
          <w:iCs/>
          <w:szCs w:val="21"/>
          <w:highlight w:val="none"/>
          <w:u w:val="single"/>
          <w:lang w:bidi="ar"/>
        </w:rPr>
        <w:t xml:space="preserve"> </w:t>
      </w:r>
      <w:r>
        <w:rPr>
          <w:rFonts w:hint="eastAsia" w:cs="宋体"/>
          <w:szCs w:val="21"/>
          <w:highlight w:val="none"/>
          <w:lang w:bidi="ar"/>
        </w:rPr>
        <w:t>系</w:t>
      </w:r>
      <w:r>
        <w:rPr>
          <w:rFonts w:hint="eastAsia" w:cs="宋体"/>
          <w:i/>
          <w:iCs/>
          <w:szCs w:val="21"/>
          <w:highlight w:val="none"/>
          <w:u w:val="single"/>
          <w:lang w:bidi="ar"/>
        </w:rPr>
        <w:t>（供应商名称）</w:t>
      </w:r>
      <w:r>
        <w:rPr>
          <w:rFonts w:hint="eastAsia" w:cs="宋体"/>
          <w:szCs w:val="21"/>
          <w:highlight w:val="none"/>
          <w:lang w:bidi="ar"/>
        </w:rPr>
        <w:t>的法定代表人，我方愿意参加贵方组织的</w:t>
      </w:r>
      <w:r>
        <w:rPr>
          <w:szCs w:val="21"/>
          <w:highlight w:val="none"/>
          <w:lang w:bidi="ar"/>
        </w:rPr>
        <w:t xml:space="preserve"> </w:t>
      </w:r>
      <w:r>
        <w:rPr>
          <w:rFonts w:hint="eastAsia" w:cs="宋体"/>
          <w:i/>
          <w:iCs/>
          <w:szCs w:val="21"/>
          <w:highlight w:val="none"/>
          <w:u w:val="single"/>
          <w:lang w:bidi="ar"/>
        </w:rPr>
        <w:t>（项目名称）</w:t>
      </w:r>
      <w:r>
        <w:rPr>
          <w:i/>
          <w:iCs/>
          <w:szCs w:val="21"/>
          <w:highlight w:val="none"/>
          <w:u w:val="single"/>
          <w:lang w:bidi="ar"/>
        </w:rPr>
        <w:t xml:space="preserve"> </w:t>
      </w:r>
      <w:r>
        <w:rPr>
          <w:rFonts w:hint="eastAsia" w:cs="宋体"/>
          <w:szCs w:val="21"/>
          <w:highlight w:val="none"/>
          <w:lang w:bidi="ar"/>
        </w:rPr>
        <w:t>项目的投标，为便于贵方公正、择优地确定中标人及其投标产品和服务，我方就本次投标有关事项郑重声明如下：</w:t>
      </w:r>
    </w:p>
    <w:p>
      <w:pPr>
        <w:snapToGrid w:val="0"/>
        <w:spacing w:line="360" w:lineRule="auto"/>
        <w:ind w:firstLine="420" w:firstLineChars="200"/>
        <w:rPr>
          <w:szCs w:val="21"/>
          <w:highlight w:val="none"/>
        </w:rPr>
      </w:pPr>
      <w:r>
        <w:rPr>
          <w:rFonts w:hint="eastAsia" w:cs="宋体"/>
          <w:szCs w:val="21"/>
          <w:highlight w:val="none"/>
          <w:lang w:bidi="ar"/>
        </w:rPr>
        <w:t>（</w:t>
      </w:r>
      <w:r>
        <w:rPr>
          <w:szCs w:val="21"/>
          <w:highlight w:val="none"/>
          <w:lang w:bidi="ar"/>
        </w:rPr>
        <w:t>1</w:t>
      </w:r>
      <w:r>
        <w:rPr>
          <w:rFonts w:hint="eastAsia" w:cs="宋体"/>
          <w:szCs w:val="21"/>
          <w:highlight w:val="none"/>
          <w:lang w:bidi="ar"/>
        </w:rPr>
        <w:t>）我方向贵方提交的所有投标文件、资料都是准确的和真实的。</w:t>
      </w:r>
      <w:r>
        <w:rPr>
          <w:szCs w:val="21"/>
          <w:highlight w:val="none"/>
          <w:lang w:bidi="ar"/>
        </w:rPr>
        <w:t xml:space="preserve"> </w:t>
      </w:r>
    </w:p>
    <w:p>
      <w:pPr>
        <w:snapToGrid w:val="0"/>
        <w:spacing w:line="360" w:lineRule="auto"/>
        <w:ind w:firstLine="420" w:firstLineChars="200"/>
        <w:rPr>
          <w:szCs w:val="21"/>
          <w:highlight w:val="none"/>
        </w:rPr>
      </w:pPr>
      <w:r>
        <w:rPr>
          <w:rFonts w:hint="eastAsia" w:cs="宋体"/>
          <w:szCs w:val="21"/>
          <w:highlight w:val="none"/>
          <w:lang w:bidi="ar"/>
        </w:rPr>
        <w:t>（</w:t>
      </w:r>
      <w:r>
        <w:rPr>
          <w:szCs w:val="21"/>
          <w:highlight w:val="none"/>
          <w:lang w:bidi="ar"/>
        </w:rPr>
        <w:t>2</w:t>
      </w:r>
      <w:r>
        <w:rPr>
          <w:rFonts w:hint="eastAsia" w:cs="宋体"/>
          <w:szCs w:val="21"/>
          <w:highlight w:val="none"/>
          <w:lang w:bidi="ar"/>
        </w:rPr>
        <w:t>）我方不是采购人的附属机构；也不是为本项目提供整体设计、规范编制或者项目管理、监理、检测等服务的供应商或其附属机构。</w:t>
      </w:r>
    </w:p>
    <w:p>
      <w:pPr>
        <w:snapToGrid w:val="0"/>
        <w:spacing w:line="360" w:lineRule="auto"/>
        <w:ind w:firstLine="420" w:firstLineChars="200"/>
        <w:rPr>
          <w:szCs w:val="21"/>
          <w:highlight w:val="none"/>
        </w:rPr>
      </w:pPr>
      <w:r>
        <w:rPr>
          <w:rFonts w:hint="eastAsia" w:cs="宋体"/>
          <w:szCs w:val="21"/>
          <w:highlight w:val="none"/>
          <w:lang w:bidi="ar"/>
        </w:rPr>
        <w:t>（</w:t>
      </w:r>
      <w:r>
        <w:rPr>
          <w:szCs w:val="21"/>
          <w:highlight w:val="none"/>
          <w:lang w:bidi="ar"/>
        </w:rPr>
        <w:t>3</w:t>
      </w:r>
      <w:r>
        <w:rPr>
          <w:rFonts w:hint="eastAsia" w:cs="宋体"/>
          <w:szCs w:val="21"/>
          <w:highlight w:val="none"/>
          <w:lang w:bidi="ar"/>
        </w:rPr>
        <w:t>）我方承诺在参加本政府采购项目活动前，没有被纳入政府部门或银行认定的失信名单，我方具有良好的商业信誉。</w:t>
      </w:r>
    </w:p>
    <w:p>
      <w:pPr>
        <w:snapToGrid w:val="0"/>
        <w:spacing w:line="360" w:lineRule="auto"/>
        <w:ind w:firstLine="420" w:firstLineChars="200"/>
        <w:rPr>
          <w:szCs w:val="21"/>
          <w:highlight w:val="none"/>
        </w:rPr>
      </w:pPr>
      <w:r>
        <w:rPr>
          <w:rFonts w:hint="eastAsia" w:cs="宋体"/>
          <w:szCs w:val="21"/>
          <w:highlight w:val="none"/>
          <w:lang w:bidi="ar"/>
        </w:rPr>
        <w:t>（</w:t>
      </w:r>
      <w:r>
        <w:rPr>
          <w:szCs w:val="21"/>
          <w:highlight w:val="none"/>
          <w:lang w:bidi="ar"/>
        </w:rPr>
        <w:t>4</w:t>
      </w:r>
      <w:r>
        <w:rPr>
          <w:rFonts w:hint="eastAsia" w:cs="宋体"/>
          <w:szCs w:val="21"/>
          <w:highlight w:val="none"/>
          <w:lang w:bidi="ar"/>
        </w:rPr>
        <w:t>）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pPr>
        <w:snapToGrid w:val="0"/>
        <w:spacing w:line="360" w:lineRule="auto"/>
        <w:ind w:firstLine="420" w:firstLineChars="200"/>
        <w:rPr>
          <w:szCs w:val="21"/>
          <w:highlight w:val="none"/>
        </w:rPr>
      </w:pPr>
      <w:r>
        <w:rPr>
          <w:rFonts w:hint="eastAsia" w:cs="宋体"/>
          <w:szCs w:val="21"/>
          <w:highlight w:val="none"/>
          <w:lang w:bidi="ar"/>
        </w:rPr>
        <w:t>（</w:t>
      </w:r>
      <w:r>
        <w:rPr>
          <w:szCs w:val="21"/>
          <w:highlight w:val="none"/>
          <w:lang w:bidi="ar"/>
        </w:rPr>
        <w:t>5</w:t>
      </w:r>
      <w:r>
        <w:rPr>
          <w:rFonts w:hint="eastAsia" w:cs="宋体"/>
          <w:szCs w:val="21"/>
          <w:highlight w:val="none"/>
          <w:lang w:bidi="ar"/>
        </w:rPr>
        <w:t>）我方承诺具有履行本项目合同所必需的设备和专业技术能力。</w:t>
      </w:r>
    </w:p>
    <w:p>
      <w:pPr>
        <w:snapToGrid w:val="0"/>
        <w:spacing w:line="360" w:lineRule="auto"/>
        <w:ind w:firstLine="420" w:firstLineChars="200"/>
        <w:rPr>
          <w:szCs w:val="21"/>
          <w:highlight w:val="none"/>
        </w:rPr>
      </w:pPr>
      <w:r>
        <w:rPr>
          <w:rFonts w:hint="eastAsia" w:cs="宋体"/>
          <w:szCs w:val="21"/>
          <w:highlight w:val="none"/>
          <w:lang w:bidi="ar"/>
        </w:rPr>
        <w:t>（</w:t>
      </w:r>
      <w:r>
        <w:rPr>
          <w:szCs w:val="21"/>
          <w:highlight w:val="none"/>
          <w:lang w:bidi="ar"/>
        </w:rPr>
        <w:t>6</w:t>
      </w:r>
      <w:r>
        <w:rPr>
          <w:rFonts w:hint="eastAsia" w:cs="宋体"/>
          <w:szCs w:val="21"/>
          <w:highlight w:val="none"/>
          <w:lang w:bidi="ar"/>
        </w:rPr>
        <w:t>）我方承诺未被列入</w:t>
      </w:r>
      <w:r>
        <w:rPr>
          <w:rFonts w:hint="eastAsia" w:ascii="宋体" w:hAnsi="宋体"/>
          <w:szCs w:val="21"/>
          <w:highlight w:val="none"/>
        </w:rPr>
        <w:t>失信被执行人、重大税收违法失信主体、政府采购严重违法失信行为记录名单</w:t>
      </w:r>
      <w:r>
        <w:rPr>
          <w:rFonts w:hint="eastAsia" w:cs="宋体"/>
          <w:szCs w:val="21"/>
          <w:highlight w:val="none"/>
          <w:lang w:bidi="ar"/>
        </w:rPr>
        <w:t>，如我方提供的声明不实，则接受本次投标作为否决投标的处理，并根据财库〔</w:t>
      </w:r>
      <w:r>
        <w:rPr>
          <w:szCs w:val="21"/>
          <w:highlight w:val="none"/>
          <w:lang w:bidi="ar"/>
        </w:rPr>
        <w:t>2016</w:t>
      </w:r>
      <w:r>
        <w:rPr>
          <w:rFonts w:hint="eastAsia" w:cs="宋体"/>
          <w:szCs w:val="21"/>
          <w:highlight w:val="none"/>
          <w:lang w:bidi="ar"/>
        </w:rPr>
        <w:t>〕</w:t>
      </w:r>
      <w:r>
        <w:rPr>
          <w:szCs w:val="21"/>
          <w:highlight w:val="none"/>
          <w:lang w:bidi="ar"/>
        </w:rPr>
        <w:t>125</w:t>
      </w:r>
      <w:r>
        <w:rPr>
          <w:rFonts w:hint="eastAsia" w:cs="宋体"/>
          <w:szCs w:val="21"/>
          <w:highlight w:val="none"/>
          <w:lang w:bidi="ar"/>
        </w:rPr>
        <w:t>号《财政部关于在政府采购活动中查询及使用信用记录有关问题的通知》规定接受失信联合惩戒。</w:t>
      </w:r>
    </w:p>
    <w:p>
      <w:pPr>
        <w:snapToGrid w:val="0"/>
        <w:spacing w:line="360" w:lineRule="auto"/>
        <w:ind w:firstLine="420" w:firstLineChars="200"/>
        <w:rPr>
          <w:szCs w:val="21"/>
          <w:highlight w:val="none"/>
        </w:rPr>
      </w:pPr>
      <w:r>
        <w:rPr>
          <w:rFonts w:hint="eastAsia" w:cs="宋体"/>
          <w:szCs w:val="21"/>
          <w:highlight w:val="none"/>
          <w:lang w:bidi="ar"/>
        </w:rPr>
        <w:t>（</w:t>
      </w:r>
      <w:r>
        <w:rPr>
          <w:szCs w:val="21"/>
          <w:highlight w:val="none"/>
          <w:lang w:bidi="ar"/>
        </w:rPr>
        <w:t>7</w:t>
      </w:r>
      <w:r>
        <w:rPr>
          <w:rFonts w:hint="eastAsia" w:cs="宋体"/>
          <w:szCs w:val="21"/>
          <w:highlight w:val="none"/>
          <w:lang w:bidi="ar"/>
        </w:rPr>
        <w:t>）我方承诺中标后按规定缴纳代理服务费。如未按时缴纳，贵方可不退还我方提交的投标保证金，并从中扣除代理服务费。</w:t>
      </w:r>
    </w:p>
    <w:p>
      <w:pPr>
        <w:snapToGrid w:val="0"/>
        <w:spacing w:line="360" w:lineRule="auto"/>
        <w:ind w:firstLine="420" w:firstLineChars="200"/>
        <w:rPr>
          <w:szCs w:val="21"/>
          <w:highlight w:val="none"/>
        </w:rPr>
      </w:pPr>
      <w:r>
        <w:rPr>
          <w:rFonts w:hint="eastAsia" w:cs="宋体"/>
          <w:szCs w:val="21"/>
          <w:highlight w:val="none"/>
          <w:lang w:bidi="ar"/>
        </w:rPr>
        <w:t>我方对以上声明负全部法律责任。如有虚假或隐瞒，我方愿意承担一切后果，并不再寻求任何旨在减轻或免除法律责任的辩解。</w:t>
      </w:r>
    </w:p>
    <w:p>
      <w:pPr>
        <w:snapToGrid w:val="0"/>
        <w:spacing w:before="165" w:beforeLines="50" w:line="360" w:lineRule="exact"/>
        <w:rPr>
          <w:szCs w:val="21"/>
          <w:highlight w:val="none"/>
          <w:u w:val="single"/>
        </w:rPr>
      </w:pPr>
    </w:p>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widowControl/>
        <w:jc w:val="left"/>
        <w:rPr>
          <w:szCs w:val="21"/>
          <w:highlight w:val="none"/>
        </w:rPr>
      </w:pPr>
      <w:r>
        <w:rPr>
          <w:szCs w:val="21"/>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szCs w:val="21"/>
          <w:highlight w:val="none"/>
          <w:lang w:bidi="ar"/>
        </w:rPr>
      </w:pPr>
      <w:r>
        <w:rPr>
          <w:rFonts w:hint="eastAsia" w:ascii="宋体" w:hAnsi="宋体"/>
          <w:szCs w:val="21"/>
          <w:highlight w:val="none"/>
          <w:lang w:bidi="ar"/>
        </w:rPr>
        <w:t>7.投标保证金缴纳证明。（如招标文件有要求时提供）</w:t>
      </w:r>
    </w:p>
    <w:p>
      <w:pPr>
        <w:snapToGrid w:val="0"/>
        <w:spacing w:before="50" w:after="165" w:afterLines="50" w:line="440" w:lineRule="exact"/>
        <w:jc w:val="left"/>
        <w:rPr>
          <w:highlight w:val="none"/>
        </w:rPr>
      </w:pPr>
      <w:r>
        <w:rPr>
          <w:rFonts w:hint="eastAsia" w:cs="宋体"/>
          <w:highlight w:val="none"/>
          <w:lang w:bidi="ar"/>
        </w:rPr>
        <w:t>以转账、电汇形式缴纳的，提供转账、电汇凭证扫描件或复印件（网银可提供截图）加盖</w:t>
      </w:r>
      <w:r>
        <w:rPr>
          <w:rFonts w:hint="eastAsia" w:cs="宋体"/>
          <w:szCs w:val="21"/>
          <w:highlight w:val="none"/>
          <w:lang w:bidi="ar"/>
        </w:rPr>
        <w:t>供应商电子签章</w:t>
      </w:r>
      <w:r>
        <w:rPr>
          <w:rFonts w:hint="eastAsia" w:cs="宋体"/>
          <w:highlight w:val="none"/>
          <w:lang w:bidi="ar"/>
        </w:rPr>
        <w:t>；</w:t>
      </w:r>
    </w:p>
    <w:p>
      <w:pPr>
        <w:snapToGrid w:val="0"/>
        <w:spacing w:before="50" w:after="165" w:afterLines="50" w:line="440" w:lineRule="exact"/>
        <w:jc w:val="left"/>
        <w:rPr>
          <w:highlight w:val="none"/>
        </w:rPr>
      </w:pPr>
      <w:r>
        <w:rPr>
          <w:rFonts w:hint="eastAsia" w:cs="宋体"/>
          <w:highlight w:val="none"/>
          <w:lang w:bidi="ar"/>
        </w:rPr>
        <w:t>以其他非现金形式缴纳的，提供原件扫描件或复印件加盖</w:t>
      </w:r>
      <w:r>
        <w:rPr>
          <w:rFonts w:hint="eastAsia" w:cs="宋体"/>
          <w:szCs w:val="21"/>
          <w:highlight w:val="none"/>
          <w:lang w:bidi="ar"/>
        </w:rPr>
        <w:t>供应商电子签章</w:t>
      </w:r>
      <w:r>
        <w:rPr>
          <w:rFonts w:hint="eastAsia" w:cs="宋体"/>
          <w:highlight w:val="none"/>
          <w:lang w:bidi="ar"/>
        </w:rPr>
        <w:t>。</w:t>
      </w:r>
    </w:p>
    <w:p>
      <w:pPr>
        <w:widowControl/>
        <w:jc w:val="left"/>
        <w:rPr>
          <w:szCs w:val="21"/>
          <w:highlight w:val="none"/>
          <w:lang w:bidi="ar"/>
        </w:rPr>
      </w:pPr>
      <w:r>
        <w:rPr>
          <w:szCs w:val="21"/>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eastAsia="zh-CN" w:bidi="ar"/>
        </w:rPr>
      </w:pPr>
      <w:r>
        <w:rPr>
          <w:rFonts w:hint="eastAsia" w:ascii="宋体" w:hAnsi="宋体"/>
          <w:b/>
          <w:bCs/>
          <w:szCs w:val="21"/>
          <w:highlight w:val="none"/>
          <w:lang w:bidi="ar"/>
        </w:rPr>
        <w:t>8.落实政府采购政策需满足的资格要求</w:t>
      </w:r>
      <w:r>
        <w:rPr>
          <w:rFonts w:hint="eastAsia" w:ascii="宋体" w:hAnsi="宋体"/>
          <w:b/>
          <w:bCs/>
          <w:szCs w:val="21"/>
          <w:highlight w:val="none"/>
          <w:lang w:eastAsia="zh-CN" w:bidi="ar"/>
        </w:rPr>
        <w:t>（</w:t>
      </w:r>
      <w:r>
        <w:rPr>
          <w:rFonts w:hint="eastAsia" w:ascii="宋体" w:hAnsi="宋体"/>
          <w:b/>
          <w:bCs/>
          <w:szCs w:val="21"/>
          <w:highlight w:val="none"/>
          <w:lang w:val="en-US" w:eastAsia="zh-CN" w:bidi="ar"/>
        </w:rPr>
        <w:t>本标项如为专门面向中小或小微企业采购的项目，必须提供中小企业声明函或者残疾人福利性单位声明函或者供应商属于监狱企业的证明材料</w:t>
      </w:r>
      <w:r>
        <w:rPr>
          <w:rFonts w:hint="eastAsia" w:ascii="宋体" w:hAnsi="宋体"/>
          <w:b/>
          <w:bCs/>
          <w:szCs w:val="21"/>
          <w:highlight w:val="none"/>
          <w:lang w:eastAsia="zh-CN" w:bidi="ar"/>
        </w:rPr>
        <w:t>）</w:t>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9"/>
        <w:rPr>
          <w:rFonts w:hint="eastAsia" w:ascii="宋体" w:hAnsi="宋体"/>
          <w:b/>
          <w:bCs/>
          <w:szCs w:val="21"/>
          <w:highlight w:val="none"/>
          <w:lang w:bidi="ar"/>
        </w:rPr>
      </w:pPr>
      <w:r>
        <w:rPr>
          <w:rFonts w:hint="eastAsia" w:ascii="宋体" w:hAnsi="宋体"/>
          <w:b/>
          <w:bCs/>
          <w:szCs w:val="21"/>
          <w:highlight w:val="none"/>
          <w:lang w:bidi="ar"/>
        </w:rPr>
        <w:t>中小企业须符合本项目采购标的所属行业对应的中小企业划分标准</w:t>
      </w:r>
    </w:p>
    <w:p>
      <w:pPr>
        <w:spacing w:line="300" w:lineRule="auto"/>
        <w:jc w:val="center"/>
        <w:outlineLvl w:val="3"/>
        <w:rPr>
          <w:rFonts w:ascii="宋体" w:hAnsi="宋体" w:cs="仿宋_GB2312"/>
          <w:sz w:val="32"/>
          <w:szCs w:val="32"/>
          <w:highlight w:val="none"/>
        </w:rPr>
      </w:pPr>
      <w:r>
        <w:rPr>
          <w:rFonts w:hint="eastAsia" w:ascii="宋体" w:hAnsi="宋体"/>
          <w:b/>
          <w:sz w:val="32"/>
          <w:szCs w:val="32"/>
          <w:highlight w:val="none"/>
        </w:rPr>
        <w:t>中小企业声明函</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本公司(联合体)郑重声明，根据《政府采购促进中小企业发展管理办法》(财库( 2020 )46号)的规定，本公司(联合体)参加</w:t>
      </w:r>
      <w:r>
        <w:rPr>
          <w:rFonts w:hint="eastAsia" w:ascii="宋体" w:hAnsi="宋体" w:cs="仿宋_GB2312"/>
          <w:i/>
          <w:szCs w:val="21"/>
          <w:highlight w:val="none"/>
          <w:u w:val="single"/>
        </w:rPr>
        <w:t xml:space="preserve">(单位名称)  </w:t>
      </w:r>
      <w:r>
        <w:rPr>
          <w:rFonts w:hint="eastAsia" w:ascii="宋体" w:hAnsi="宋体" w:cs="仿宋_GB2312"/>
          <w:szCs w:val="21"/>
          <w:highlight w:val="none"/>
        </w:rPr>
        <w:t>的</w:t>
      </w:r>
      <w:r>
        <w:rPr>
          <w:rFonts w:hint="eastAsia" w:ascii="宋体" w:hAnsi="宋体" w:cs="仿宋_GB2312"/>
          <w:i/>
          <w:szCs w:val="21"/>
          <w:highlight w:val="none"/>
          <w:u w:val="single"/>
        </w:rPr>
        <w:t xml:space="preserve">(项目名称) （分标名称） </w:t>
      </w:r>
      <w:r>
        <w:rPr>
          <w:rFonts w:hint="eastAsia" w:ascii="宋体" w:hAnsi="宋体" w:cs="仿宋_GB2312"/>
          <w:szCs w:val="21"/>
          <w:highlight w:val="none"/>
        </w:rPr>
        <w:t>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宋体" w:hAnsi="宋体" w:cs="仿宋_GB2312"/>
          <w:i w:val="0"/>
          <w:iCs w:val="0"/>
          <w:szCs w:val="21"/>
          <w:highlight w:val="none"/>
        </w:rPr>
      </w:pPr>
      <w:r>
        <w:rPr>
          <w:rFonts w:hint="eastAsia" w:ascii="宋体" w:hAnsi="宋体" w:cs="仿宋_GB2312"/>
          <w:i w:val="0"/>
          <w:iCs w:val="0"/>
          <w:szCs w:val="21"/>
          <w:highlight w:val="none"/>
        </w:rPr>
        <w:t>1.</w:t>
      </w:r>
      <w:r>
        <w:rPr>
          <w:rFonts w:hint="eastAsia" w:ascii="宋体" w:hAnsi="宋体" w:cs="仿宋_GB2312"/>
          <w:i w:val="0"/>
          <w:iCs w:val="0"/>
          <w:szCs w:val="21"/>
          <w:highlight w:val="none"/>
          <w:u w:val="single"/>
        </w:rPr>
        <w:t xml:space="preserve">(标的名称)  </w:t>
      </w:r>
      <w:r>
        <w:rPr>
          <w:rFonts w:hint="eastAsia" w:ascii="宋体" w:hAnsi="宋体" w:cs="仿宋_GB2312"/>
          <w:i w:val="0"/>
          <w:iCs w:val="0"/>
          <w:szCs w:val="21"/>
          <w:highlight w:val="none"/>
        </w:rPr>
        <w:t>，属于</w:t>
      </w:r>
      <w:r>
        <w:rPr>
          <w:rFonts w:hint="eastAsia" w:ascii="宋体" w:hAnsi="宋体" w:cs="仿宋_GB2312"/>
          <w:i w:val="0"/>
          <w:iCs w:val="0"/>
          <w:szCs w:val="21"/>
          <w:highlight w:val="none"/>
          <w:u w:val="single"/>
        </w:rPr>
        <w:t xml:space="preserve">(招标文件中明确的所属行业)  </w:t>
      </w:r>
      <w:r>
        <w:rPr>
          <w:rFonts w:hint="eastAsia" w:ascii="宋体" w:hAnsi="宋体" w:cs="仿宋_GB2312"/>
          <w:i w:val="0"/>
          <w:iCs w:val="0"/>
          <w:szCs w:val="21"/>
          <w:highlight w:val="none"/>
        </w:rPr>
        <w:t>行业；制造商为</w:t>
      </w:r>
      <w:r>
        <w:rPr>
          <w:rFonts w:hint="eastAsia" w:ascii="宋体" w:hAnsi="宋体" w:cs="仿宋_GB2312"/>
          <w:i w:val="0"/>
          <w:iCs w:val="0"/>
          <w:szCs w:val="21"/>
          <w:highlight w:val="none"/>
          <w:u w:val="single"/>
        </w:rPr>
        <w:t>(企业名称)</w:t>
      </w:r>
      <w:r>
        <w:rPr>
          <w:rFonts w:hint="eastAsia" w:ascii="宋体" w:hAnsi="宋体" w:cs="仿宋_GB2312"/>
          <w:i w:val="0"/>
          <w:iCs w:val="0"/>
          <w:szCs w:val="21"/>
          <w:highlight w:val="none"/>
        </w:rPr>
        <w:t>，从业人员____人， 营业收入为___万元，资产总额为___万元，属于</w:t>
      </w:r>
      <w:r>
        <w:rPr>
          <w:rFonts w:hint="eastAsia" w:ascii="宋体" w:hAnsi="宋体" w:cs="仿宋_GB2312"/>
          <w:i w:val="0"/>
          <w:iCs w:val="0"/>
          <w:szCs w:val="21"/>
          <w:highlight w:val="none"/>
          <w:u w:val="single"/>
        </w:rPr>
        <w:t xml:space="preserve">(中型企业、小型企业、微型企业)  </w:t>
      </w:r>
      <w:r>
        <w:rPr>
          <w:rFonts w:hint="eastAsia" w:ascii="宋体" w:hAnsi="宋体" w:cs="仿宋_GB2312"/>
          <w:i w:val="0"/>
          <w:iCs w:val="0"/>
          <w:szCs w:val="21"/>
          <w:highlight w:val="none"/>
        </w:rPr>
        <w:t>；</w:t>
      </w:r>
    </w:p>
    <w:p>
      <w:pPr>
        <w:spacing w:line="360" w:lineRule="auto"/>
        <w:ind w:firstLine="420" w:firstLineChars="200"/>
        <w:rPr>
          <w:rFonts w:ascii="宋体" w:hAnsi="宋体" w:cs="仿宋_GB2312"/>
          <w:i w:val="0"/>
          <w:iCs w:val="0"/>
          <w:szCs w:val="21"/>
          <w:highlight w:val="none"/>
        </w:rPr>
      </w:pPr>
      <w:r>
        <w:rPr>
          <w:rFonts w:hint="eastAsia" w:ascii="宋体" w:hAnsi="宋体" w:cs="仿宋_GB2312"/>
          <w:i w:val="0"/>
          <w:iCs w:val="0"/>
          <w:szCs w:val="21"/>
          <w:highlight w:val="none"/>
        </w:rPr>
        <w:t>2.</w:t>
      </w:r>
      <w:r>
        <w:rPr>
          <w:rFonts w:hint="eastAsia" w:ascii="宋体" w:hAnsi="宋体" w:cs="仿宋_GB2312"/>
          <w:i w:val="0"/>
          <w:iCs w:val="0"/>
          <w:szCs w:val="21"/>
          <w:highlight w:val="none"/>
          <w:u w:val="single"/>
        </w:rPr>
        <w:t xml:space="preserve">(标的名称)  </w:t>
      </w:r>
      <w:r>
        <w:rPr>
          <w:rFonts w:hint="eastAsia" w:ascii="宋体" w:hAnsi="宋体" w:cs="仿宋_GB2312"/>
          <w:i w:val="0"/>
          <w:iCs w:val="0"/>
          <w:szCs w:val="21"/>
          <w:highlight w:val="none"/>
        </w:rPr>
        <w:t xml:space="preserve"> ,属于</w:t>
      </w:r>
      <w:r>
        <w:rPr>
          <w:rFonts w:hint="eastAsia" w:ascii="宋体" w:hAnsi="宋体" w:cs="仿宋_GB2312"/>
          <w:i w:val="0"/>
          <w:iCs w:val="0"/>
          <w:szCs w:val="21"/>
          <w:highlight w:val="none"/>
          <w:u w:val="single"/>
        </w:rPr>
        <w:t xml:space="preserve">(招标文件中明确的所属行业)  </w:t>
      </w:r>
      <w:r>
        <w:rPr>
          <w:rFonts w:hint="eastAsia" w:ascii="宋体" w:hAnsi="宋体" w:cs="仿宋_GB2312"/>
          <w:i w:val="0"/>
          <w:iCs w:val="0"/>
          <w:szCs w:val="21"/>
          <w:highlight w:val="none"/>
        </w:rPr>
        <w:t>行业；制造商为</w:t>
      </w:r>
      <w:r>
        <w:rPr>
          <w:rFonts w:hint="eastAsia" w:ascii="宋体" w:hAnsi="宋体" w:cs="仿宋_GB2312"/>
          <w:i w:val="0"/>
          <w:iCs w:val="0"/>
          <w:szCs w:val="21"/>
          <w:highlight w:val="none"/>
          <w:u w:val="single"/>
        </w:rPr>
        <w:t>(企业名称)</w:t>
      </w:r>
      <w:r>
        <w:rPr>
          <w:rFonts w:hint="eastAsia" w:ascii="宋体" w:hAnsi="宋体" w:cs="仿宋_GB2312"/>
          <w:i w:val="0"/>
          <w:iCs w:val="0"/>
          <w:szCs w:val="21"/>
          <w:highlight w:val="none"/>
        </w:rPr>
        <w:t>，从业人员___人， 营业收入为___ 万元，资产总额为___万元，属于</w:t>
      </w:r>
      <w:r>
        <w:rPr>
          <w:rFonts w:hint="eastAsia" w:ascii="宋体" w:hAnsi="宋体" w:cs="仿宋_GB2312"/>
          <w:i w:val="0"/>
          <w:iCs w:val="0"/>
          <w:szCs w:val="21"/>
          <w:highlight w:val="none"/>
          <w:u w:val="single"/>
        </w:rPr>
        <w:t xml:space="preserve">(中型企业、小型企业、微型企业)  </w:t>
      </w:r>
      <w:r>
        <w:rPr>
          <w:rFonts w:hint="eastAsia" w:ascii="宋体" w:hAnsi="宋体" w:cs="仿宋_GB2312"/>
          <w:i w:val="0"/>
          <w:iCs w:val="0"/>
          <w:szCs w:val="21"/>
          <w:highlight w:val="none"/>
        </w:rPr>
        <w:t>；</w:t>
      </w:r>
    </w:p>
    <w:p>
      <w:pPr>
        <w:ind w:firstLine="420" w:firstLineChars="200"/>
        <w:rPr>
          <w:rFonts w:ascii="宋体" w:hAnsi="宋体"/>
          <w:highlight w:val="none"/>
        </w:rPr>
      </w:pPr>
      <w:r>
        <w:rPr>
          <w:rFonts w:hint="eastAsia" w:ascii="宋体" w:hAnsi="宋体"/>
          <w:highlight w:val="none"/>
        </w:rPr>
        <w:t>……</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以上企业，不属于大企业的分支机构，不存在控股股东为大企业的情形，也不存在与大企业的负责人为同一人的情形。</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本企业对.上述声明内容的真实性负责。如有虚假，将依法承担相应责任。</w:t>
      </w:r>
    </w:p>
    <w:p>
      <w:pPr>
        <w:spacing w:line="360" w:lineRule="auto"/>
        <w:rPr>
          <w:rFonts w:ascii="宋体" w:hAnsi="宋体" w:cs="仿宋_GB2312"/>
          <w:szCs w:val="21"/>
          <w:highlight w:val="none"/>
        </w:rPr>
      </w:pPr>
    </w:p>
    <w:p>
      <w:pPr>
        <w:spacing w:line="360" w:lineRule="auto"/>
        <w:ind w:firstLine="3542" w:firstLineChars="1687"/>
        <w:jc w:val="left"/>
        <w:rPr>
          <w:rFonts w:ascii="宋体" w:hAnsi="宋体" w:cs="仿宋_GB2312"/>
          <w:szCs w:val="21"/>
          <w:highlight w:val="none"/>
        </w:rPr>
      </w:pPr>
      <w:r>
        <w:rPr>
          <w:rFonts w:hint="eastAsia" w:ascii="宋体" w:hAnsi="宋体" w:cs="仿宋_GB2312"/>
          <w:szCs w:val="21"/>
          <w:highlight w:val="none"/>
        </w:rPr>
        <w:t xml:space="preserve">                 企业名称（</w:t>
      </w:r>
      <w:r>
        <w:rPr>
          <w:rFonts w:hint="eastAsia" w:ascii="宋体" w:hAnsi="宋体" w:cs="仿宋_GB2312"/>
          <w:szCs w:val="21"/>
          <w:highlight w:val="none"/>
          <w:lang w:eastAsia="zh-CN"/>
        </w:rPr>
        <w:t>公章或电子签章</w:t>
      </w:r>
      <w:r>
        <w:rPr>
          <w:rFonts w:hint="eastAsia" w:ascii="宋体" w:hAnsi="宋体" w:cs="仿宋_GB2312"/>
          <w:szCs w:val="21"/>
          <w:highlight w:val="none"/>
        </w:rPr>
        <w:t>）：</w:t>
      </w:r>
    </w:p>
    <w:p>
      <w:pPr>
        <w:spacing w:line="360" w:lineRule="auto"/>
        <w:ind w:firstLine="6520" w:firstLineChars="3105"/>
        <w:jc w:val="center"/>
        <w:rPr>
          <w:rFonts w:ascii="宋体" w:hAnsi="宋体" w:cs="仿宋_GB2312"/>
          <w:szCs w:val="21"/>
          <w:highlight w:val="none"/>
        </w:rPr>
      </w:pPr>
      <w:r>
        <w:rPr>
          <w:rFonts w:hint="eastAsia" w:ascii="宋体" w:hAnsi="宋体" w:cs="仿宋_GB2312"/>
          <w:szCs w:val="21"/>
          <w:highlight w:val="none"/>
        </w:rPr>
        <w:t xml:space="preserve">年 </w:t>
      </w:r>
      <w:r>
        <w:rPr>
          <w:rFonts w:ascii="宋体" w:hAnsi="宋体" w:cs="仿宋_GB2312"/>
          <w:szCs w:val="21"/>
          <w:highlight w:val="none"/>
        </w:rPr>
        <w:t xml:space="preserve">   </w:t>
      </w:r>
      <w:r>
        <w:rPr>
          <w:rFonts w:hint="eastAsia" w:ascii="宋体" w:hAnsi="宋体" w:cs="仿宋_GB2312"/>
          <w:szCs w:val="21"/>
          <w:highlight w:val="none"/>
        </w:rPr>
        <w:t xml:space="preserve">月 </w:t>
      </w:r>
      <w:r>
        <w:rPr>
          <w:rFonts w:ascii="宋体" w:hAnsi="宋体" w:cs="仿宋_GB2312"/>
          <w:szCs w:val="21"/>
          <w:highlight w:val="none"/>
        </w:rPr>
        <w:t xml:space="preserve">   </w:t>
      </w:r>
      <w:r>
        <w:rPr>
          <w:rFonts w:hint="eastAsia" w:ascii="宋体" w:hAnsi="宋体" w:cs="仿宋_GB2312"/>
          <w:szCs w:val="21"/>
          <w:highlight w:val="none"/>
        </w:rPr>
        <w:t>日</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注：</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（1）请根据自己的真实情况出具《中小企业声明函》。依法享受中小企业优惠政策的，采购人或者采购代理机构在公告成交结果时，同时公告其《中小企业声明函》，接受社会监督。</w:t>
      </w:r>
    </w:p>
    <w:p>
      <w:pPr>
        <w:spacing w:line="360" w:lineRule="auto"/>
        <w:ind w:firstLine="420" w:firstLineChars="200"/>
        <w:rPr>
          <w:rFonts w:ascii="宋体" w:hAnsi="宋体"/>
          <w:highlight w:val="none"/>
        </w:rPr>
      </w:pPr>
      <w:r>
        <w:rPr>
          <w:rFonts w:hint="eastAsia" w:ascii="宋体" w:hAnsi="宋体"/>
          <w:highlight w:val="none"/>
        </w:rPr>
        <w:t>（2）从业人员、营业收入、资产总额填报上一年度数据，无上一年度数据的新成立企业可不填报。</w:t>
      </w:r>
    </w:p>
    <w:p>
      <w:pPr>
        <w:widowControl/>
        <w:jc w:val="left"/>
        <w:rPr>
          <w:rFonts w:ascii="宋体" w:hAnsi="宋体"/>
          <w:b/>
          <w:szCs w:val="21"/>
          <w:highlight w:val="none"/>
        </w:rPr>
      </w:pPr>
      <w:r>
        <w:rPr>
          <w:rFonts w:ascii="宋体" w:hAnsi="宋体"/>
          <w:b/>
          <w:szCs w:val="21"/>
          <w:highlight w:val="none"/>
        </w:rPr>
        <w:br w:type="page"/>
      </w:r>
    </w:p>
    <w:p>
      <w:pPr>
        <w:snapToGrid w:val="0"/>
        <w:spacing w:before="165" w:beforeLines="50" w:after="331" w:afterLines="100"/>
        <w:jc w:val="center"/>
        <w:outlineLvl w:val="3"/>
        <w:rPr>
          <w:rFonts w:ascii="宋体" w:hAnsi="宋体" w:cs="仿宋_GB2312"/>
          <w:szCs w:val="21"/>
          <w:highlight w:val="none"/>
        </w:rPr>
      </w:pPr>
      <w:r>
        <w:rPr>
          <w:rFonts w:hint="eastAsia" w:ascii="宋体" w:hAnsi="宋体"/>
          <w:b/>
          <w:szCs w:val="21"/>
          <w:highlight w:val="none"/>
        </w:rPr>
        <w:t>残疾人福利性单位声明函</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Cs w:val="21"/>
          <w:highlight w:val="none"/>
          <w:u w:val="single"/>
        </w:rPr>
        <w:t xml:space="preserve">       </w:t>
      </w:r>
      <w:r>
        <w:rPr>
          <w:rFonts w:hint="eastAsia" w:ascii="宋体" w:hAnsi="宋体" w:cs="仿宋_GB2312"/>
          <w:szCs w:val="21"/>
          <w:highlight w:val="none"/>
        </w:rPr>
        <w:t>单位的</w:t>
      </w:r>
      <w:r>
        <w:rPr>
          <w:rFonts w:hint="eastAsia" w:ascii="宋体" w:hAnsi="宋体" w:cs="仿宋_GB2312"/>
          <w:szCs w:val="21"/>
          <w:highlight w:val="none"/>
          <w:u w:val="single"/>
        </w:rPr>
        <w:t xml:space="preserve">    </w:t>
      </w:r>
      <w:r>
        <w:rPr>
          <w:rFonts w:hint="eastAsia" w:ascii="宋体" w:hAnsi="宋体"/>
          <w:kern w:val="0"/>
          <w:szCs w:val="21"/>
          <w:highlight w:val="none"/>
          <w:u w:val="single"/>
        </w:rPr>
        <w:t>（项目名称、分标名称）</w:t>
      </w:r>
      <w:r>
        <w:rPr>
          <w:rFonts w:hint="eastAsia" w:ascii="宋体" w:hAnsi="宋体" w:cs="仿宋_GB2312"/>
          <w:szCs w:val="21"/>
          <w:highlight w:val="none"/>
          <w:u w:val="single"/>
        </w:rPr>
        <w:t xml:space="preserve">    </w:t>
      </w:r>
      <w:r>
        <w:rPr>
          <w:rFonts w:hint="eastAsia" w:ascii="宋体" w:hAnsi="宋体" w:cs="仿宋_GB2312"/>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本单位对上述声明的真实性负责。如有虚假，将依法承担相应责任。</w:t>
      </w:r>
    </w:p>
    <w:p>
      <w:pPr>
        <w:spacing w:line="360" w:lineRule="auto"/>
        <w:ind w:firstLine="2100" w:firstLineChars="1000"/>
        <w:jc w:val="right"/>
        <w:rPr>
          <w:rFonts w:ascii="宋体" w:hAnsi="宋体" w:cs="仿宋_GB2312"/>
          <w:szCs w:val="21"/>
          <w:highlight w:val="none"/>
        </w:rPr>
      </w:pPr>
      <w:r>
        <w:rPr>
          <w:rFonts w:hint="eastAsia" w:ascii="宋体" w:hAnsi="宋体" w:cs="仿宋_GB2312"/>
          <w:szCs w:val="21"/>
          <w:highlight w:val="none"/>
        </w:rPr>
        <w:t>企业名称（</w:t>
      </w:r>
      <w:r>
        <w:rPr>
          <w:rFonts w:hint="eastAsia" w:ascii="宋体" w:hAnsi="宋体" w:cs="仿宋_GB2312"/>
          <w:szCs w:val="21"/>
          <w:highlight w:val="none"/>
          <w:lang w:eastAsia="zh-CN"/>
        </w:rPr>
        <w:t>公章或电子签章</w:t>
      </w:r>
      <w:r>
        <w:rPr>
          <w:rFonts w:hint="eastAsia" w:ascii="宋体" w:hAnsi="宋体" w:cs="仿宋_GB2312"/>
          <w:szCs w:val="21"/>
          <w:highlight w:val="none"/>
        </w:rPr>
        <w:t>）：</w:t>
      </w:r>
    </w:p>
    <w:p>
      <w:pPr>
        <w:spacing w:line="360" w:lineRule="auto"/>
        <w:ind w:firstLine="3150" w:firstLineChars="1500"/>
        <w:jc w:val="right"/>
        <w:rPr>
          <w:rFonts w:ascii="宋体" w:hAnsi="宋体" w:cs="仿宋_GB2312"/>
          <w:szCs w:val="21"/>
          <w:highlight w:val="none"/>
        </w:rPr>
      </w:pPr>
      <w:r>
        <w:rPr>
          <w:rFonts w:hint="eastAsia" w:ascii="宋体" w:hAnsi="宋体" w:cs="仿宋_GB2312"/>
          <w:szCs w:val="21"/>
          <w:highlight w:val="none"/>
        </w:rPr>
        <w:t>日  期：</w:t>
      </w:r>
    </w:p>
    <w:p>
      <w:pPr>
        <w:spacing w:line="360" w:lineRule="auto"/>
        <w:rPr>
          <w:rFonts w:ascii="宋体" w:hAnsi="宋体" w:cs="仿宋_GB2312"/>
          <w:szCs w:val="21"/>
          <w:highlight w:val="none"/>
        </w:rPr>
      </w:pPr>
      <w:r>
        <w:rPr>
          <w:rFonts w:hint="eastAsia" w:ascii="宋体" w:hAnsi="宋体" w:cs="仿宋_GB2312"/>
          <w:szCs w:val="21"/>
          <w:highlight w:val="none"/>
        </w:rPr>
        <w:t>注：请根据自己的真实情况出具《残疾人福利性单位声明函》。依法享受中小企业优惠政策的，采购人或者采购代理机构在公告成交结果时，同时公告其《残疾人福利性单位声明函》，接受社会监督。</w:t>
      </w:r>
    </w:p>
    <w:p>
      <w:pPr>
        <w:widowControl/>
        <w:jc w:val="left"/>
        <w:rPr>
          <w:rFonts w:ascii="宋体" w:hAnsi="宋体" w:cs="仿宋_GB2312"/>
          <w:szCs w:val="21"/>
          <w:highlight w:val="none"/>
        </w:rPr>
      </w:pPr>
      <w:r>
        <w:rPr>
          <w:rFonts w:ascii="宋体" w:hAnsi="宋体" w:cs="仿宋_GB2312"/>
          <w:szCs w:val="21"/>
          <w:highlight w:val="none"/>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9.供应商认为应当要提交的其他资格证明材料。</w:t>
      </w:r>
    </w:p>
    <w:p>
      <w:pPr>
        <w:widowControl/>
        <w:jc w:val="left"/>
        <w:rPr>
          <w:szCs w:val="21"/>
          <w:highlight w:val="none"/>
          <w:lang w:bidi="ar"/>
        </w:rPr>
      </w:pPr>
      <w:bookmarkStart w:id="191" w:name="_Hlk93048308"/>
      <w:r>
        <w:rPr>
          <w:szCs w:val="21"/>
          <w:highlight w:val="none"/>
          <w:lang w:bidi="ar"/>
        </w:rPr>
        <w:br w:type="page"/>
      </w:r>
    </w:p>
    <w:bookmarkEnd w:id="187"/>
    <w:bookmarkEnd w:id="191"/>
    <w:p>
      <w:pPr>
        <w:snapToGrid w:val="0"/>
        <w:spacing w:before="165" w:beforeLines="50" w:after="50" w:line="440" w:lineRule="exact"/>
        <w:jc w:val="left"/>
        <w:outlineLvl w:val="1"/>
        <w:rPr>
          <w:bCs/>
          <w:sz w:val="24"/>
          <w:highlight w:val="none"/>
        </w:rPr>
      </w:pPr>
      <w:r>
        <w:rPr>
          <w:rFonts w:hint="eastAsia"/>
          <w:bCs/>
          <w:sz w:val="24"/>
          <w:highlight w:val="none"/>
          <w:lang w:val="en-US" w:eastAsia="zh-CN" w:bidi="ar"/>
        </w:rPr>
        <w:t>二、</w:t>
      </w:r>
      <w:r>
        <w:rPr>
          <w:rFonts w:hint="eastAsia" w:cs="宋体"/>
          <w:bCs/>
          <w:sz w:val="24"/>
          <w:highlight w:val="none"/>
          <w:lang w:bidi="ar"/>
        </w:rPr>
        <w:t>投标文件封面参考格式（商务技术文件）</w:t>
      </w:r>
    </w:p>
    <w:p>
      <w:pPr>
        <w:snapToGrid w:val="0"/>
        <w:spacing w:before="50" w:after="165" w:afterLines="50" w:line="400" w:lineRule="exact"/>
        <w:jc w:val="left"/>
        <w:rPr>
          <w:bCs/>
          <w:sz w:val="24"/>
          <w:highlight w:val="none"/>
        </w:rPr>
      </w:pPr>
    </w:p>
    <w:p>
      <w:pPr>
        <w:snapToGrid w:val="0"/>
        <w:spacing w:before="165" w:beforeLines="50" w:after="50" w:line="360" w:lineRule="exact"/>
        <w:rPr>
          <w:sz w:val="24"/>
          <w:highlight w:val="none"/>
        </w:rPr>
      </w:pPr>
    </w:p>
    <w:p>
      <w:pPr>
        <w:snapToGrid w:val="0"/>
        <w:spacing w:before="165" w:beforeLines="50" w:after="50" w:line="360" w:lineRule="exact"/>
        <w:jc w:val="center"/>
        <w:rPr>
          <w:bCs/>
          <w:sz w:val="24"/>
          <w:highlight w:val="none"/>
        </w:rPr>
      </w:pPr>
    </w:p>
    <w:p>
      <w:pPr>
        <w:snapToGrid w:val="0"/>
        <w:spacing w:before="165" w:beforeLines="50" w:after="50" w:line="360" w:lineRule="exact"/>
        <w:jc w:val="center"/>
        <w:rPr>
          <w:b/>
          <w:bCs/>
          <w:sz w:val="44"/>
          <w:szCs w:val="44"/>
          <w:highlight w:val="none"/>
        </w:rPr>
      </w:pPr>
      <w:r>
        <w:rPr>
          <w:rFonts w:hint="eastAsia" w:cs="宋体"/>
          <w:b/>
          <w:bCs/>
          <w:sz w:val="44"/>
          <w:szCs w:val="44"/>
          <w:highlight w:val="none"/>
          <w:lang w:bidi="ar"/>
        </w:rPr>
        <w:t>电子投标文件</w:t>
      </w:r>
    </w:p>
    <w:p>
      <w:pPr>
        <w:snapToGrid w:val="0"/>
        <w:spacing w:before="165" w:beforeLines="50" w:after="50" w:line="360" w:lineRule="exact"/>
        <w:jc w:val="center"/>
        <w:rPr>
          <w:b/>
          <w:bCs/>
          <w:sz w:val="44"/>
          <w:szCs w:val="44"/>
          <w:highlight w:val="none"/>
        </w:rPr>
      </w:pPr>
    </w:p>
    <w:p>
      <w:pPr>
        <w:snapToGrid w:val="0"/>
        <w:spacing w:before="165" w:beforeLines="50" w:after="50" w:line="360" w:lineRule="exact"/>
        <w:jc w:val="center"/>
        <w:rPr>
          <w:b/>
          <w:bCs/>
          <w:sz w:val="44"/>
          <w:szCs w:val="44"/>
          <w:highlight w:val="none"/>
        </w:rPr>
      </w:pPr>
    </w:p>
    <w:p>
      <w:pPr>
        <w:snapToGrid w:val="0"/>
        <w:spacing w:before="165" w:beforeLines="50" w:after="50" w:line="360" w:lineRule="exact"/>
        <w:jc w:val="center"/>
        <w:rPr>
          <w:b/>
          <w:bCs/>
          <w:sz w:val="44"/>
          <w:szCs w:val="44"/>
          <w:highlight w:val="none"/>
        </w:rPr>
      </w:pPr>
      <w:r>
        <w:rPr>
          <w:b/>
          <w:bCs/>
          <w:sz w:val="44"/>
          <w:szCs w:val="44"/>
          <w:highlight w:val="none"/>
          <w:lang w:bidi="ar"/>
        </w:rPr>
        <w:t xml:space="preserve"> </w:t>
      </w:r>
      <w:r>
        <w:rPr>
          <w:rFonts w:hint="eastAsia" w:cs="宋体"/>
          <w:b/>
          <w:bCs/>
          <w:sz w:val="44"/>
          <w:szCs w:val="44"/>
          <w:highlight w:val="none"/>
          <w:lang w:bidi="ar"/>
        </w:rPr>
        <w:t>商务技术文件</w:t>
      </w:r>
    </w:p>
    <w:p>
      <w:pPr>
        <w:snapToGrid w:val="0"/>
        <w:spacing w:before="165" w:beforeLines="50" w:after="50" w:line="360" w:lineRule="exact"/>
        <w:rPr>
          <w:bCs/>
          <w:sz w:val="24"/>
          <w:highlight w:val="none"/>
        </w:rPr>
      </w:pPr>
    </w:p>
    <w:p>
      <w:pPr>
        <w:snapToGrid w:val="0"/>
        <w:spacing w:before="165" w:beforeLines="50" w:after="50" w:line="360" w:lineRule="exact"/>
        <w:rPr>
          <w:bCs/>
          <w:sz w:val="24"/>
          <w:highlight w:val="none"/>
        </w:rPr>
      </w:pPr>
    </w:p>
    <w:p>
      <w:pPr>
        <w:snapToGrid w:val="0"/>
        <w:spacing w:before="165" w:beforeLines="50" w:after="50" w:line="360" w:lineRule="exact"/>
        <w:rPr>
          <w:bCs/>
          <w:sz w:val="24"/>
          <w:highlight w:val="none"/>
        </w:rPr>
      </w:pPr>
    </w:p>
    <w:p>
      <w:pPr>
        <w:snapToGrid w:val="0"/>
        <w:spacing w:before="165" w:beforeLines="50" w:after="50" w:line="360" w:lineRule="exact"/>
        <w:ind w:firstLine="720" w:firstLineChars="300"/>
        <w:rPr>
          <w:bCs/>
          <w:sz w:val="24"/>
          <w:highlight w:val="none"/>
        </w:rPr>
      </w:pPr>
      <w:r>
        <w:rPr>
          <w:rFonts w:hint="eastAsia" w:cs="宋体"/>
          <w:bCs/>
          <w:sz w:val="24"/>
          <w:highlight w:val="none"/>
          <w:lang w:bidi="ar"/>
        </w:rPr>
        <w:t>项目名称：</w:t>
      </w:r>
      <w:r>
        <w:rPr>
          <w:bCs/>
          <w:sz w:val="24"/>
          <w:highlight w:val="none"/>
          <w:lang w:bidi="ar"/>
        </w:rPr>
        <w:t xml:space="preserve"> </w:t>
      </w:r>
    </w:p>
    <w:p>
      <w:pPr>
        <w:snapToGrid w:val="0"/>
        <w:spacing w:before="165" w:beforeLines="50" w:after="50" w:line="360" w:lineRule="exact"/>
        <w:ind w:firstLine="720" w:firstLineChars="300"/>
        <w:rPr>
          <w:bCs/>
          <w:sz w:val="24"/>
          <w:highlight w:val="none"/>
        </w:rPr>
      </w:pPr>
      <w:r>
        <w:rPr>
          <w:rFonts w:hint="eastAsia" w:cs="宋体"/>
          <w:bCs/>
          <w:sz w:val="24"/>
          <w:highlight w:val="none"/>
          <w:lang w:bidi="ar"/>
        </w:rPr>
        <w:t>项目编号：</w:t>
      </w:r>
    </w:p>
    <w:p>
      <w:pPr>
        <w:snapToGrid w:val="0"/>
        <w:spacing w:before="165" w:beforeLines="50" w:after="50" w:line="360" w:lineRule="exact"/>
        <w:ind w:firstLine="720" w:firstLineChars="300"/>
        <w:rPr>
          <w:bCs/>
          <w:sz w:val="24"/>
          <w:highlight w:val="none"/>
        </w:rPr>
      </w:pPr>
      <w:r>
        <w:rPr>
          <w:rFonts w:hint="eastAsia" w:cs="宋体"/>
          <w:bCs/>
          <w:sz w:val="24"/>
          <w:highlight w:val="none"/>
          <w:lang w:eastAsia="zh-CN" w:bidi="ar"/>
        </w:rPr>
        <w:t>分标名称</w:t>
      </w:r>
      <w:r>
        <w:rPr>
          <w:rFonts w:hint="eastAsia" w:cs="宋体"/>
          <w:bCs/>
          <w:sz w:val="24"/>
          <w:highlight w:val="none"/>
          <w:lang w:bidi="ar"/>
        </w:rPr>
        <w:t>：（若无留空或写</w:t>
      </w:r>
      <w:r>
        <w:rPr>
          <w:bCs/>
          <w:sz w:val="24"/>
          <w:highlight w:val="none"/>
          <w:lang w:bidi="ar"/>
        </w:rPr>
        <w:t>“/”</w:t>
      </w:r>
      <w:r>
        <w:rPr>
          <w:rFonts w:hint="eastAsia" w:cs="宋体"/>
          <w:bCs/>
          <w:sz w:val="24"/>
          <w:highlight w:val="none"/>
          <w:lang w:bidi="ar"/>
        </w:rPr>
        <w:t>）</w:t>
      </w:r>
    </w:p>
    <w:p>
      <w:pPr>
        <w:snapToGrid w:val="0"/>
        <w:spacing w:before="165" w:beforeLines="50" w:after="50" w:line="360" w:lineRule="exact"/>
        <w:ind w:firstLine="720" w:firstLineChars="300"/>
        <w:rPr>
          <w:bCs/>
          <w:sz w:val="24"/>
          <w:highlight w:val="none"/>
        </w:rPr>
      </w:pPr>
      <w:r>
        <w:rPr>
          <w:rFonts w:hint="eastAsia" w:cs="宋体"/>
          <w:bCs/>
          <w:sz w:val="24"/>
          <w:highlight w:val="none"/>
          <w:lang w:bidi="ar"/>
        </w:rPr>
        <w:t>供应商名称：</w:t>
      </w:r>
    </w:p>
    <w:p>
      <w:pPr>
        <w:snapToGrid w:val="0"/>
        <w:spacing w:before="165" w:beforeLines="50" w:after="50" w:line="360" w:lineRule="exact"/>
        <w:ind w:firstLine="720" w:firstLineChars="300"/>
        <w:rPr>
          <w:bCs/>
          <w:sz w:val="24"/>
          <w:highlight w:val="none"/>
        </w:rPr>
      </w:pPr>
      <w:r>
        <w:rPr>
          <w:rFonts w:hint="eastAsia" w:cs="宋体"/>
          <w:bCs/>
          <w:sz w:val="24"/>
          <w:highlight w:val="none"/>
          <w:lang w:bidi="ar"/>
        </w:rPr>
        <w:t>供应商地址：</w:t>
      </w:r>
    </w:p>
    <w:p>
      <w:pPr>
        <w:snapToGrid w:val="0"/>
        <w:spacing w:before="165" w:beforeLines="50" w:after="50" w:line="360" w:lineRule="exact"/>
        <w:ind w:firstLine="720" w:firstLineChars="300"/>
        <w:rPr>
          <w:bCs/>
          <w:sz w:val="24"/>
          <w:highlight w:val="none"/>
        </w:rPr>
      </w:pPr>
    </w:p>
    <w:p>
      <w:pPr>
        <w:pStyle w:val="49"/>
        <w:widowControl w:val="0"/>
        <w:snapToGrid w:val="0"/>
        <w:spacing w:before="50" w:beforeAutospacing="0" w:after="50" w:afterAutospacing="0" w:line="360" w:lineRule="exact"/>
        <w:ind w:left="1260" w:firstLine="960" w:firstLineChars="400"/>
        <w:jc w:val="both"/>
        <w:rPr>
          <w:bCs/>
          <w:highlight w:val="none"/>
        </w:rPr>
      </w:pPr>
    </w:p>
    <w:p>
      <w:pPr>
        <w:snapToGrid w:val="0"/>
        <w:spacing w:before="165" w:beforeLines="50" w:after="50" w:line="360" w:lineRule="exact"/>
        <w:jc w:val="center"/>
        <w:rPr>
          <w:sz w:val="24"/>
          <w:highlight w:val="none"/>
        </w:rPr>
      </w:pPr>
      <w:r>
        <w:rPr>
          <w:sz w:val="24"/>
          <w:highlight w:val="none"/>
          <w:lang w:bidi="ar"/>
        </w:rPr>
        <w:t xml:space="preserve">                        </w:t>
      </w:r>
      <w:r>
        <w:rPr>
          <w:rFonts w:hint="eastAsia" w:cs="宋体"/>
          <w:sz w:val="24"/>
          <w:highlight w:val="none"/>
          <w:lang w:bidi="ar"/>
        </w:rPr>
        <w:t>年</w:t>
      </w:r>
      <w:r>
        <w:rPr>
          <w:sz w:val="24"/>
          <w:highlight w:val="none"/>
          <w:lang w:bidi="ar"/>
        </w:rPr>
        <w:t xml:space="preserve">  </w:t>
      </w:r>
      <w:r>
        <w:rPr>
          <w:rFonts w:hint="eastAsia" w:cs="宋体"/>
          <w:sz w:val="24"/>
          <w:highlight w:val="none"/>
          <w:lang w:bidi="ar"/>
        </w:rPr>
        <w:t>月</w:t>
      </w:r>
      <w:r>
        <w:rPr>
          <w:sz w:val="24"/>
          <w:highlight w:val="none"/>
          <w:lang w:bidi="ar"/>
        </w:rPr>
        <w:t xml:space="preserve">  </w:t>
      </w:r>
      <w:r>
        <w:rPr>
          <w:rFonts w:hint="eastAsia" w:cs="宋体"/>
          <w:sz w:val="24"/>
          <w:highlight w:val="none"/>
          <w:lang w:bidi="ar"/>
        </w:rPr>
        <w:t>日</w:t>
      </w:r>
    </w:p>
    <w:p>
      <w:pPr>
        <w:rPr>
          <w:highlight w:val="none"/>
        </w:rPr>
      </w:pPr>
      <w:r>
        <w:rPr>
          <w:highlight w:val="none"/>
          <w:lang w:bidi="ar"/>
        </w:rPr>
        <w:br w:type="page"/>
      </w:r>
    </w:p>
    <w:p>
      <w:pPr>
        <w:jc w:val="center"/>
        <w:outlineLvl w:val="2"/>
        <w:rPr>
          <w:rFonts w:hint="eastAsia" w:cs="宋体"/>
          <w:b/>
          <w:sz w:val="36"/>
          <w:szCs w:val="36"/>
          <w:highlight w:val="none"/>
          <w:lang w:bidi="ar"/>
        </w:rPr>
      </w:pPr>
      <w:r>
        <w:rPr>
          <w:rFonts w:hint="eastAsia" w:cs="宋体"/>
          <w:b/>
          <w:sz w:val="36"/>
          <w:szCs w:val="36"/>
          <w:highlight w:val="none"/>
          <w:lang w:bidi="ar"/>
        </w:rPr>
        <w:t>目录</w:t>
      </w:r>
    </w:p>
    <w:p>
      <w:pPr>
        <w:snapToGrid w:val="0"/>
        <w:spacing w:line="360" w:lineRule="auto"/>
        <w:jc w:val="center"/>
        <w:rPr>
          <w:rFonts w:ascii="宋体" w:hAnsi="宋体" w:cs="宋体"/>
          <w:b/>
          <w:szCs w:val="21"/>
          <w:highlight w:val="none"/>
        </w:rPr>
      </w:pPr>
      <w:r>
        <w:rPr>
          <w:rFonts w:hint="eastAsia" w:ascii="宋体" w:hAnsi="宋体" w:cs="宋体"/>
          <w:b/>
          <w:szCs w:val="21"/>
          <w:highlight w:val="none"/>
        </w:rPr>
        <w:t>（可根据投标人实际情况调整目录）</w:t>
      </w:r>
    </w:p>
    <w:p>
      <w:pPr>
        <w:snapToGrid w:val="0"/>
        <w:spacing w:line="360" w:lineRule="auto"/>
        <w:jc w:val="left"/>
        <w:rPr>
          <w:rFonts w:ascii="宋体" w:hAnsi="宋体" w:cs="宋体"/>
          <w:szCs w:val="21"/>
          <w:highlight w:val="none"/>
        </w:rPr>
      </w:pPr>
      <w:r>
        <w:rPr>
          <w:rFonts w:hint="eastAsia" w:ascii="宋体" w:hAnsi="宋体" w:cs="宋体"/>
          <w:szCs w:val="21"/>
          <w:highlight w:val="none"/>
        </w:rPr>
        <w:t>一、法定代表人身份证明及法定代表人有效身份证正反面</w:t>
      </w:r>
      <w:r>
        <w:rPr>
          <w:rFonts w:hint="eastAsia" w:ascii="宋体" w:hAnsi="宋体" w:cs="宋体"/>
          <w:szCs w:val="21"/>
          <w:highlight w:val="none"/>
          <w:lang w:val="en-US" w:eastAsia="zh-CN"/>
        </w:rPr>
        <w:t>扫描件</w:t>
      </w:r>
      <w:r>
        <w:rPr>
          <w:rFonts w:hint="eastAsia" w:ascii="宋体" w:hAnsi="宋体" w:cs="宋体"/>
          <w:szCs w:val="21"/>
          <w:highlight w:val="none"/>
        </w:rPr>
        <w:t>…………………（页码）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二、法定代表人授权委托书（如有委托时）…………………………………………（页码）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三、无串通投标行为的承诺函…………………………………………………………（页码）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四、商务条款偏离表……………………………………………………………………（页码）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五、投标人类似业绩的证明文件………………………………………………………（页码）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六、项目实施人员一览表………………………………………………………………（页码）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七、企业证书……………………………………………………………………………（页码）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八、技术条款偏离表……………………………………………………………………（页码）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九、货物或产品配置清单………………………………………………………………（页码）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十、技术方案……………………………………………………………………</w:t>
      </w:r>
      <w:bookmarkStart w:id="192" w:name="OLE_LINK61"/>
      <w:r>
        <w:rPr>
          <w:rFonts w:hint="eastAsia" w:ascii="宋体" w:hAnsi="宋体" w:cs="宋体"/>
          <w:szCs w:val="21"/>
          <w:highlight w:val="none"/>
        </w:rPr>
        <w:t>…</w:t>
      </w:r>
      <w:bookmarkEnd w:id="192"/>
      <w:r>
        <w:rPr>
          <w:rFonts w:hint="eastAsia" w:ascii="宋体" w:hAnsi="宋体" w:cs="宋体"/>
          <w:szCs w:val="21"/>
          <w:highlight w:val="none"/>
        </w:rPr>
        <w:t>……（页码）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十一、项目实施方案……………………………………………………………………（页码）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十二、售后服务方案……………………………………………………………………（页码）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十三、培训方案…………………………………………………………………………（页码）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十四、供应商需要说明的其他商务技术文件和说明…………………………………（页码）</w:t>
      </w:r>
    </w:p>
    <w:p>
      <w:pPr>
        <w:widowControl/>
        <w:jc w:val="left"/>
        <w:rPr>
          <w:b/>
          <w:szCs w:val="21"/>
          <w:highlight w:val="none"/>
          <w:lang w:bidi="ar"/>
        </w:rPr>
      </w:pPr>
      <w:bookmarkStart w:id="193" w:name="_Toc455309222"/>
      <w:bookmarkStart w:id="194" w:name="_Toc462320613"/>
      <w:bookmarkStart w:id="195" w:name="_Toc462223472"/>
      <w:bookmarkStart w:id="196" w:name="_Hlk19114325"/>
      <w:r>
        <w:rPr>
          <w:b/>
          <w:szCs w:val="21"/>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1.法定代表人身份证明（无授权代表时</w:t>
      </w:r>
      <w:r>
        <w:rPr>
          <w:rFonts w:hint="eastAsia" w:ascii="宋体" w:hAnsi="宋体"/>
          <w:b/>
          <w:bCs/>
          <w:szCs w:val="21"/>
          <w:highlight w:val="none"/>
          <w:lang w:val="en-US" w:eastAsia="zh-CN" w:bidi="ar"/>
        </w:rPr>
        <w:t>必须</w:t>
      </w:r>
      <w:r>
        <w:rPr>
          <w:rFonts w:hint="eastAsia" w:ascii="宋体" w:hAnsi="宋体"/>
          <w:b/>
          <w:bCs/>
          <w:szCs w:val="21"/>
          <w:highlight w:val="none"/>
          <w:lang w:bidi="ar"/>
        </w:rPr>
        <w:t>提供）</w:t>
      </w:r>
    </w:p>
    <w:p>
      <w:pPr>
        <w:snapToGrid w:val="0"/>
        <w:spacing w:before="165" w:beforeLines="50" w:after="50" w:line="440" w:lineRule="exact"/>
        <w:jc w:val="center"/>
        <w:rPr>
          <w:b/>
          <w:szCs w:val="21"/>
          <w:highlight w:val="none"/>
        </w:rPr>
      </w:pPr>
      <w:r>
        <w:rPr>
          <w:rFonts w:hint="eastAsia" w:cs="宋体"/>
          <w:b/>
          <w:szCs w:val="21"/>
          <w:highlight w:val="none"/>
          <w:lang w:bidi="ar"/>
        </w:rPr>
        <w:t>法定代表人身份证明</w:t>
      </w:r>
      <w:bookmarkEnd w:id="193"/>
      <w:bookmarkEnd w:id="194"/>
      <w:bookmarkEnd w:id="195"/>
    </w:p>
    <w:p>
      <w:pPr>
        <w:spacing w:line="540" w:lineRule="exact"/>
        <w:rPr>
          <w:szCs w:val="21"/>
          <w:highlight w:val="none"/>
        </w:rPr>
      </w:pPr>
      <w:r>
        <w:rPr>
          <w:rFonts w:hint="eastAsia" w:cs="宋体"/>
          <w:szCs w:val="21"/>
          <w:highlight w:val="none"/>
          <w:lang w:bidi="ar"/>
        </w:rPr>
        <w:t>供应商名称：</w:t>
      </w:r>
      <w:r>
        <w:rPr>
          <w:szCs w:val="21"/>
          <w:highlight w:val="none"/>
          <w:u w:val="single"/>
          <w:lang w:bidi="ar"/>
        </w:rPr>
        <w:t xml:space="preserve">                                         </w:t>
      </w:r>
    </w:p>
    <w:p>
      <w:pPr>
        <w:spacing w:line="540" w:lineRule="exact"/>
        <w:rPr>
          <w:szCs w:val="21"/>
          <w:highlight w:val="none"/>
        </w:rPr>
      </w:pPr>
      <w:r>
        <w:rPr>
          <w:rFonts w:hint="eastAsia" w:cs="宋体"/>
          <w:szCs w:val="21"/>
          <w:highlight w:val="none"/>
          <w:lang w:bidi="ar"/>
        </w:rPr>
        <w:t>单位性质：</w:t>
      </w:r>
      <w:r>
        <w:rPr>
          <w:szCs w:val="21"/>
          <w:highlight w:val="none"/>
          <w:u w:val="single"/>
          <w:lang w:bidi="ar"/>
        </w:rPr>
        <w:t xml:space="preserve">                                           </w:t>
      </w:r>
    </w:p>
    <w:p>
      <w:pPr>
        <w:spacing w:line="540" w:lineRule="exact"/>
        <w:rPr>
          <w:szCs w:val="21"/>
          <w:highlight w:val="none"/>
        </w:rPr>
      </w:pPr>
      <w:r>
        <w:rPr>
          <w:rFonts w:hint="eastAsia" w:cs="宋体"/>
          <w:szCs w:val="21"/>
          <w:highlight w:val="none"/>
          <w:lang w:bidi="ar"/>
        </w:rPr>
        <w:t>地址：</w:t>
      </w:r>
      <w:r>
        <w:rPr>
          <w:szCs w:val="21"/>
          <w:highlight w:val="none"/>
          <w:u w:val="single"/>
          <w:lang w:bidi="ar"/>
        </w:rPr>
        <w:t xml:space="preserve">                                               </w:t>
      </w:r>
    </w:p>
    <w:p>
      <w:pPr>
        <w:spacing w:line="540" w:lineRule="exact"/>
        <w:rPr>
          <w:szCs w:val="21"/>
          <w:highlight w:val="none"/>
          <w:u w:val="single"/>
        </w:rPr>
      </w:pPr>
      <w:r>
        <w:rPr>
          <w:rFonts w:hint="eastAsia" w:cs="宋体"/>
          <w:szCs w:val="21"/>
          <w:highlight w:val="none"/>
          <w:lang w:bidi="ar"/>
        </w:rPr>
        <w:t>成立时间：</w:t>
      </w:r>
      <w:r>
        <w:rPr>
          <w:szCs w:val="21"/>
          <w:highlight w:val="none"/>
          <w:u w:val="single"/>
          <w:lang w:bidi="ar"/>
        </w:rPr>
        <w:t xml:space="preserve">          </w:t>
      </w:r>
      <w:r>
        <w:rPr>
          <w:rFonts w:hint="eastAsia" w:cs="宋体"/>
          <w:szCs w:val="21"/>
          <w:highlight w:val="none"/>
          <w:u w:val="single"/>
          <w:lang w:bidi="ar"/>
        </w:rPr>
        <w:t>年</w:t>
      </w:r>
      <w:r>
        <w:rPr>
          <w:szCs w:val="21"/>
          <w:highlight w:val="none"/>
          <w:u w:val="single"/>
          <w:lang w:bidi="ar"/>
        </w:rPr>
        <w:t xml:space="preserve">        </w:t>
      </w:r>
      <w:r>
        <w:rPr>
          <w:rFonts w:hint="eastAsia" w:cs="宋体"/>
          <w:szCs w:val="21"/>
          <w:highlight w:val="none"/>
          <w:u w:val="single"/>
          <w:lang w:bidi="ar"/>
        </w:rPr>
        <w:t>月</w:t>
      </w:r>
      <w:r>
        <w:rPr>
          <w:szCs w:val="21"/>
          <w:highlight w:val="none"/>
          <w:u w:val="single"/>
          <w:lang w:bidi="ar"/>
        </w:rPr>
        <w:t xml:space="preserve">        </w:t>
      </w:r>
      <w:r>
        <w:rPr>
          <w:rFonts w:hint="eastAsia" w:cs="宋体"/>
          <w:szCs w:val="21"/>
          <w:highlight w:val="none"/>
          <w:u w:val="single"/>
          <w:lang w:bidi="ar"/>
        </w:rPr>
        <w:t>日</w:t>
      </w:r>
    </w:p>
    <w:p>
      <w:pPr>
        <w:spacing w:line="540" w:lineRule="exact"/>
        <w:rPr>
          <w:szCs w:val="21"/>
          <w:highlight w:val="none"/>
        </w:rPr>
      </w:pPr>
      <w:r>
        <w:rPr>
          <w:rFonts w:hint="eastAsia" w:cs="宋体"/>
          <w:szCs w:val="21"/>
          <w:highlight w:val="none"/>
          <w:lang w:bidi="ar"/>
        </w:rPr>
        <w:t>经营期限：</w:t>
      </w:r>
      <w:r>
        <w:rPr>
          <w:szCs w:val="21"/>
          <w:highlight w:val="none"/>
          <w:u w:val="single"/>
          <w:lang w:bidi="ar"/>
        </w:rPr>
        <w:t xml:space="preserve">                                           </w:t>
      </w:r>
    </w:p>
    <w:p>
      <w:pPr>
        <w:spacing w:line="540" w:lineRule="exact"/>
        <w:rPr>
          <w:szCs w:val="21"/>
          <w:highlight w:val="none"/>
        </w:rPr>
      </w:pPr>
      <w:r>
        <w:rPr>
          <w:rFonts w:hint="eastAsia" w:cs="宋体"/>
          <w:szCs w:val="21"/>
          <w:highlight w:val="none"/>
          <w:lang w:bidi="ar"/>
        </w:rPr>
        <w:t>姓名：</w:t>
      </w:r>
      <w:r>
        <w:rPr>
          <w:szCs w:val="21"/>
          <w:highlight w:val="none"/>
          <w:u w:val="single"/>
          <w:lang w:bidi="ar"/>
        </w:rPr>
        <w:t xml:space="preserve">                   </w:t>
      </w:r>
      <w:r>
        <w:rPr>
          <w:rFonts w:hint="eastAsia" w:cs="宋体"/>
          <w:szCs w:val="21"/>
          <w:highlight w:val="none"/>
          <w:lang w:bidi="ar"/>
        </w:rPr>
        <w:t>；性别：</w:t>
      </w:r>
      <w:r>
        <w:rPr>
          <w:szCs w:val="21"/>
          <w:highlight w:val="none"/>
          <w:u w:val="single"/>
          <w:lang w:bidi="ar"/>
        </w:rPr>
        <w:t xml:space="preserve">              </w:t>
      </w:r>
      <w:r>
        <w:rPr>
          <w:szCs w:val="21"/>
          <w:highlight w:val="none"/>
          <w:lang w:bidi="ar"/>
        </w:rPr>
        <w:t xml:space="preserve">        </w:t>
      </w:r>
    </w:p>
    <w:p>
      <w:pPr>
        <w:spacing w:line="540" w:lineRule="exact"/>
        <w:rPr>
          <w:szCs w:val="21"/>
          <w:highlight w:val="none"/>
        </w:rPr>
      </w:pPr>
      <w:r>
        <w:rPr>
          <w:rFonts w:hint="eastAsia" w:cs="宋体"/>
          <w:szCs w:val="21"/>
          <w:highlight w:val="none"/>
          <w:lang w:bidi="ar"/>
        </w:rPr>
        <w:t>年龄：</w:t>
      </w:r>
      <w:r>
        <w:rPr>
          <w:szCs w:val="21"/>
          <w:highlight w:val="none"/>
          <w:u w:val="single"/>
          <w:lang w:bidi="ar"/>
        </w:rPr>
        <w:t xml:space="preserve">         </w:t>
      </w:r>
      <w:r>
        <w:rPr>
          <w:rFonts w:hint="eastAsia" w:cs="宋体"/>
          <w:szCs w:val="21"/>
          <w:highlight w:val="none"/>
          <w:lang w:bidi="ar"/>
        </w:rPr>
        <w:t>；职务：</w:t>
      </w:r>
      <w:r>
        <w:rPr>
          <w:szCs w:val="21"/>
          <w:highlight w:val="none"/>
          <w:u w:val="single"/>
          <w:lang w:bidi="ar"/>
        </w:rPr>
        <w:t xml:space="preserve">              </w:t>
      </w:r>
      <w:r>
        <w:rPr>
          <w:rFonts w:hint="eastAsia" w:cs="宋体"/>
          <w:szCs w:val="21"/>
          <w:highlight w:val="none"/>
          <w:lang w:bidi="ar"/>
        </w:rPr>
        <w:t>；身份证：</w:t>
      </w:r>
      <w:r>
        <w:rPr>
          <w:szCs w:val="21"/>
          <w:highlight w:val="none"/>
          <w:u w:val="single"/>
          <w:lang w:bidi="ar"/>
        </w:rPr>
        <w:t xml:space="preserve">                                </w:t>
      </w:r>
    </w:p>
    <w:p>
      <w:pPr>
        <w:spacing w:line="540" w:lineRule="exact"/>
        <w:rPr>
          <w:szCs w:val="21"/>
          <w:highlight w:val="none"/>
        </w:rPr>
      </w:pPr>
      <w:r>
        <w:rPr>
          <w:rFonts w:hint="eastAsia" w:cs="宋体"/>
          <w:szCs w:val="21"/>
          <w:highlight w:val="none"/>
          <w:lang w:bidi="ar"/>
        </w:rPr>
        <w:t>系</w:t>
      </w:r>
      <w:r>
        <w:rPr>
          <w:szCs w:val="21"/>
          <w:highlight w:val="none"/>
          <w:u w:val="single"/>
          <w:lang w:bidi="ar"/>
        </w:rPr>
        <w:t xml:space="preserve">                                      </w:t>
      </w:r>
      <w:r>
        <w:rPr>
          <w:rFonts w:hint="eastAsia" w:cs="宋体"/>
          <w:szCs w:val="21"/>
          <w:highlight w:val="none"/>
          <w:u w:val="single"/>
          <w:lang w:bidi="ar"/>
        </w:rPr>
        <w:t>（</w:t>
      </w:r>
      <w:r>
        <w:rPr>
          <w:szCs w:val="21"/>
          <w:highlight w:val="none"/>
          <w:u w:val="single"/>
          <w:lang w:bidi="ar"/>
        </w:rPr>
        <w:t xml:space="preserve"> </w:t>
      </w:r>
      <w:r>
        <w:rPr>
          <w:rFonts w:hint="eastAsia" w:cs="宋体"/>
          <w:szCs w:val="21"/>
          <w:highlight w:val="none"/>
          <w:u w:val="single"/>
          <w:lang w:bidi="ar"/>
        </w:rPr>
        <w:t>供应商名称）</w:t>
      </w:r>
      <w:r>
        <w:rPr>
          <w:rFonts w:hint="eastAsia" w:cs="宋体"/>
          <w:szCs w:val="21"/>
          <w:highlight w:val="none"/>
          <w:lang w:bidi="ar"/>
        </w:rPr>
        <w:t>的法定代表人。</w:t>
      </w:r>
    </w:p>
    <w:p>
      <w:pPr>
        <w:spacing w:line="540" w:lineRule="exact"/>
        <w:ind w:firstLine="420" w:firstLineChars="200"/>
        <w:rPr>
          <w:szCs w:val="21"/>
          <w:highlight w:val="none"/>
        </w:rPr>
      </w:pPr>
      <w:r>
        <w:rPr>
          <w:rFonts w:hint="eastAsia" w:cs="宋体"/>
          <w:szCs w:val="21"/>
          <w:highlight w:val="none"/>
          <w:lang w:bidi="ar"/>
        </w:rPr>
        <w:t>特此证明。</w:t>
      </w:r>
    </w:p>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spacing w:line="360" w:lineRule="auto"/>
        <w:rPr>
          <w:rFonts w:hint="eastAsia" w:eastAsia="宋体"/>
          <w:szCs w:val="21"/>
          <w:highlight w:val="none"/>
          <w:lang w:val="en-US" w:eastAsia="zh-CN"/>
        </w:rPr>
      </w:pPr>
      <w:r>
        <w:rPr>
          <w:rFonts w:hint="eastAsia" w:cs="宋体"/>
          <w:szCs w:val="21"/>
          <w:highlight w:val="none"/>
          <w:lang w:bidi="ar"/>
        </w:rPr>
        <w:t>附件：法定代表人身份证</w:t>
      </w:r>
      <w:bookmarkStart w:id="197" w:name="OLE_LINK41"/>
      <w:r>
        <w:rPr>
          <w:rFonts w:hint="eastAsia" w:cs="宋体"/>
          <w:szCs w:val="21"/>
          <w:highlight w:val="none"/>
          <w:lang w:val="en-US" w:eastAsia="zh-CN" w:bidi="ar"/>
        </w:rPr>
        <w:t>正反面扫描件</w:t>
      </w:r>
      <w:bookmarkEnd w:id="197"/>
    </w:p>
    <w:p>
      <w:pPr>
        <w:spacing w:line="360" w:lineRule="auto"/>
        <w:rPr>
          <w:szCs w:val="21"/>
          <w:highlight w:val="none"/>
        </w:rPr>
      </w:pPr>
    </w:p>
    <w:bookmarkEnd w:id="196"/>
    <w:p>
      <w:pPr>
        <w:snapToGrid w:val="0"/>
        <w:spacing w:before="165" w:beforeLines="50" w:after="50" w:line="360" w:lineRule="exact"/>
        <w:outlineLvl w:val="2"/>
        <w:rPr>
          <w:rFonts w:hint="eastAsia" w:ascii="宋体" w:hAnsi="宋体" w:eastAsia="宋体" w:cs="Times New Roman"/>
          <w:b/>
          <w:bCs/>
          <w:szCs w:val="21"/>
          <w:highlight w:val="none"/>
          <w:lang w:bidi="ar"/>
        </w:rPr>
      </w:pPr>
      <w:r>
        <w:rPr>
          <w:b/>
          <w:szCs w:val="21"/>
          <w:highlight w:val="none"/>
          <w:lang w:bidi="ar"/>
        </w:rPr>
        <w:br w:type="page"/>
      </w:r>
      <w:r>
        <w:rPr>
          <w:rFonts w:hint="eastAsia" w:ascii="宋体" w:hAnsi="宋体" w:eastAsia="宋体" w:cs="Times New Roman"/>
          <w:b/>
          <w:bCs/>
          <w:szCs w:val="21"/>
          <w:highlight w:val="none"/>
          <w:lang w:bidi="ar"/>
        </w:rPr>
        <w:t>2.授权委托书（有授权代表时</w:t>
      </w:r>
      <w:r>
        <w:rPr>
          <w:rFonts w:hint="eastAsia" w:ascii="宋体" w:hAnsi="宋体" w:cs="Times New Roman"/>
          <w:b/>
          <w:bCs/>
          <w:szCs w:val="21"/>
          <w:highlight w:val="none"/>
          <w:lang w:val="en-US" w:eastAsia="zh-CN" w:bidi="ar"/>
        </w:rPr>
        <w:t>必须</w:t>
      </w:r>
      <w:r>
        <w:rPr>
          <w:rFonts w:hint="eastAsia" w:ascii="宋体" w:hAnsi="宋体" w:eastAsia="宋体" w:cs="Times New Roman"/>
          <w:b/>
          <w:bCs/>
          <w:szCs w:val="21"/>
          <w:highlight w:val="none"/>
          <w:lang w:bidi="ar"/>
        </w:rPr>
        <w:t>提供）</w:t>
      </w:r>
    </w:p>
    <w:p>
      <w:pPr>
        <w:snapToGrid w:val="0"/>
        <w:spacing w:before="165" w:beforeLines="50" w:after="50" w:line="440" w:lineRule="exact"/>
        <w:jc w:val="center"/>
        <w:rPr>
          <w:b/>
          <w:szCs w:val="21"/>
          <w:highlight w:val="none"/>
        </w:rPr>
      </w:pPr>
      <w:r>
        <w:rPr>
          <w:rFonts w:hint="eastAsia" w:cs="宋体"/>
          <w:b/>
          <w:szCs w:val="21"/>
          <w:highlight w:val="none"/>
          <w:lang w:bidi="ar"/>
        </w:rPr>
        <w:t>法定代表人授权委托书</w:t>
      </w:r>
    </w:p>
    <w:p>
      <w:pPr>
        <w:snapToGrid w:val="0"/>
        <w:spacing w:line="440" w:lineRule="exact"/>
        <w:rPr>
          <w:b/>
          <w:bCs/>
          <w:szCs w:val="21"/>
          <w:highlight w:val="none"/>
        </w:rPr>
      </w:pPr>
      <w:r>
        <w:rPr>
          <w:rFonts w:hint="eastAsia" w:cs="宋体"/>
          <w:bCs/>
          <w:szCs w:val="21"/>
          <w:highlight w:val="none"/>
          <w:lang w:bidi="ar"/>
        </w:rPr>
        <w:t>致：</w:t>
      </w:r>
      <w:r>
        <w:rPr>
          <w:rFonts w:hint="eastAsia" w:cs="宋体"/>
          <w:i/>
          <w:iCs/>
          <w:szCs w:val="21"/>
          <w:highlight w:val="none"/>
          <w:u w:val="single"/>
          <w:lang w:bidi="ar"/>
        </w:rPr>
        <w:t>（采购人名称）</w:t>
      </w:r>
      <w:r>
        <w:rPr>
          <w:rFonts w:hint="eastAsia" w:cs="宋体"/>
          <w:szCs w:val="21"/>
          <w:highlight w:val="none"/>
          <w:lang w:bidi="ar"/>
        </w:rPr>
        <w:t>：</w:t>
      </w:r>
    </w:p>
    <w:p>
      <w:pPr>
        <w:snapToGrid w:val="0"/>
        <w:spacing w:line="440" w:lineRule="exact"/>
        <w:ind w:firstLine="420" w:firstLineChars="200"/>
        <w:rPr>
          <w:szCs w:val="21"/>
          <w:highlight w:val="none"/>
        </w:rPr>
      </w:pPr>
      <w:r>
        <w:rPr>
          <w:rFonts w:hint="eastAsia" w:cs="宋体"/>
          <w:szCs w:val="21"/>
          <w:highlight w:val="none"/>
          <w:lang w:bidi="ar"/>
        </w:rPr>
        <w:t>我</w:t>
      </w:r>
      <w:r>
        <w:rPr>
          <w:rFonts w:hint="eastAsia" w:cs="宋体"/>
          <w:i/>
          <w:iCs/>
          <w:szCs w:val="21"/>
          <w:highlight w:val="none"/>
          <w:u w:val="single"/>
          <w:lang w:bidi="ar"/>
        </w:rPr>
        <w:t>（法定代表人姓名）</w:t>
      </w:r>
      <w:r>
        <w:rPr>
          <w:rFonts w:hint="eastAsia" w:cs="宋体"/>
          <w:szCs w:val="21"/>
          <w:highlight w:val="none"/>
          <w:lang w:bidi="ar"/>
        </w:rPr>
        <w:t>系</w:t>
      </w:r>
      <w:r>
        <w:rPr>
          <w:rFonts w:hint="eastAsia" w:cs="宋体"/>
          <w:i/>
          <w:iCs/>
          <w:szCs w:val="21"/>
          <w:highlight w:val="none"/>
          <w:u w:val="single"/>
          <w:lang w:bidi="ar"/>
        </w:rPr>
        <w:t>（供应商名称）</w:t>
      </w:r>
      <w:r>
        <w:rPr>
          <w:rFonts w:hint="eastAsia" w:cs="宋体"/>
          <w:szCs w:val="21"/>
          <w:highlight w:val="none"/>
          <w:lang w:bidi="ar"/>
        </w:rPr>
        <w:t>的法定代表人，现授权委托本单位在职职工</w:t>
      </w:r>
      <w:r>
        <w:rPr>
          <w:szCs w:val="21"/>
          <w:highlight w:val="none"/>
          <w:lang w:bidi="ar"/>
        </w:rPr>
        <w:t xml:space="preserve"> </w:t>
      </w:r>
      <w:r>
        <w:rPr>
          <w:szCs w:val="21"/>
          <w:highlight w:val="none"/>
          <w:u w:val="single"/>
          <w:lang w:bidi="ar"/>
        </w:rPr>
        <w:t xml:space="preserve">        </w:t>
      </w:r>
      <w:r>
        <w:rPr>
          <w:rFonts w:hint="eastAsia" w:cs="宋体"/>
          <w:szCs w:val="21"/>
          <w:highlight w:val="none"/>
          <w:lang w:bidi="ar"/>
        </w:rPr>
        <w:t>（姓名）以我方的名义参加</w:t>
      </w:r>
      <w:r>
        <w:rPr>
          <w:szCs w:val="21"/>
          <w:highlight w:val="none"/>
          <w:u w:val="single"/>
          <w:lang w:bidi="ar"/>
        </w:rPr>
        <w:t xml:space="preserve"> </w:t>
      </w:r>
      <w:r>
        <w:rPr>
          <w:rFonts w:hint="eastAsia" w:cs="宋体"/>
          <w:i/>
          <w:iCs/>
          <w:szCs w:val="21"/>
          <w:highlight w:val="none"/>
          <w:u w:val="single"/>
          <w:lang w:bidi="ar"/>
        </w:rPr>
        <w:t>（项目名称）</w:t>
      </w:r>
      <w:r>
        <w:rPr>
          <w:szCs w:val="21"/>
          <w:highlight w:val="none"/>
          <w:u w:val="single"/>
          <w:lang w:bidi="ar"/>
        </w:rPr>
        <w:t xml:space="preserve"> </w:t>
      </w:r>
      <w:r>
        <w:rPr>
          <w:rFonts w:hint="eastAsia" w:cs="宋体"/>
          <w:szCs w:val="21"/>
          <w:highlight w:val="none"/>
          <w:lang w:bidi="ar"/>
        </w:rPr>
        <w:t>项目的投标活动，并代表我方全权办理针对上述项目的投标、开标、评审、签约等具体事务和签署相关文件。</w:t>
      </w:r>
    </w:p>
    <w:p>
      <w:pPr>
        <w:snapToGrid w:val="0"/>
        <w:spacing w:line="440" w:lineRule="exact"/>
        <w:rPr>
          <w:szCs w:val="21"/>
          <w:highlight w:val="none"/>
        </w:rPr>
      </w:pPr>
      <w:r>
        <w:rPr>
          <w:szCs w:val="21"/>
          <w:highlight w:val="none"/>
          <w:lang w:bidi="ar"/>
        </w:rPr>
        <w:t xml:space="preserve">    </w:t>
      </w:r>
      <w:r>
        <w:rPr>
          <w:rFonts w:hint="eastAsia" w:cs="宋体"/>
          <w:szCs w:val="21"/>
          <w:highlight w:val="none"/>
          <w:lang w:bidi="ar"/>
        </w:rPr>
        <w:t>我方对被授权人的签名事项负全部责任。</w:t>
      </w:r>
    </w:p>
    <w:p>
      <w:pPr>
        <w:snapToGrid w:val="0"/>
        <w:spacing w:line="440" w:lineRule="exact"/>
        <w:ind w:firstLine="480"/>
        <w:rPr>
          <w:szCs w:val="21"/>
          <w:highlight w:val="none"/>
        </w:rPr>
      </w:pPr>
      <w:r>
        <w:rPr>
          <w:rFonts w:hint="eastAsia" w:cs="宋体"/>
          <w:szCs w:val="21"/>
          <w:highlight w:val="none"/>
          <w:lang w:bidi="ar"/>
        </w:rPr>
        <w:t>在撤销授权的书面通知以前，本授权书一直有效。被授权人在授权书有效期内签署的所有文件不因授权的撤销而失效。</w:t>
      </w:r>
    </w:p>
    <w:p>
      <w:pPr>
        <w:snapToGrid w:val="0"/>
        <w:spacing w:line="440" w:lineRule="exact"/>
        <w:ind w:firstLine="480"/>
        <w:rPr>
          <w:szCs w:val="21"/>
          <w:highlight w:val="none"/>
        </w:rPr>
      </w:pPr>
      <w:r>
        <w:rPr>
          <w:rFonts w:hint="eastAsia" w:cs="宋体"/>
          <w:szCs w:val="21"/>
          <w:highlight w:val="none"/>
          <w:lang w:bidi="ar"/>
        </w:rPr>
        <w:t>被授权人无转委托权，特此委托。</w:t>
      </w:r>
    </w:p>
    <w:p>
      <w:pPr>
        <w:snapToGrid w:val="0"/>
        <w:spacing w:line="440" w:lineRule="exact"/>
        <w:rPr>
          <w:szCs w:val="21"/>
          <w:highlight w:val="none"/>
          <w:u w:val="single"/>
        </w:rPr>
      </w:pPr>
      <w:r>
        <w:rPr>
          <w:rFonts w:hint="eastAsia" w:cs="宋体"/>
          <w:szCs w:val="21"/>
          <w:highlight w:val="none"/>
          <w:lang w:bidi="ar"/>
        </w:rPr>
        <w:t>被授权人签字或签章：</w:t>
      </w:r>
      <w:r>
        <w:rPr>
          <w:szCs w:val="21"/>
          <w:highlight w:val="none"/>
          <w:u w:val="single"/>
          <w:lang w:bidi="ar"/>
        </w:rPr>
        <w:t xml:space="preserve">          </w:t>
      </w:r>
      <w:r>
        <w:rPr>
          <w:szCs w:val="21"/>
          <w:highlight w:val="none"/>
          <w:lang w:bidi="ar"/>
        </w:rPr>
        <w:t xml:space="preserve">                     </w:t>
      </w:r>
      <w:r>
        <w:rPr>
          <w:rFonts w:hint="eastAsia" w:cs="宋体"/>
          <w:szCs w:val="21"/>
          <w:highlight w:val="none"/>
          <w:lang w:bidi="ar"/>
        </w:rPr>
        <w:t>法定代表人签字或签章：</w:t>
      </w:r>
      <w:r>
        <w:rPr>
          <w:szCs w:val="21"/>
          <w:highlight w:val="none"/>
          <w:u w:val="single"/>
          <w:lang w:bidi="ar"/>
        </w:rPr>
        <w:t xml:space="preserve">     </w:t>
      </w:r>
    </w:p>
    <w:p>
      <w:pPr>
        <w:snapToGrid w:val="0"/>
        <w:spacing w:line="440" w:lineRule="exact"/>
        <w:rPr>
          <w:szCs w:val="21"/>
          <w:highlight w:val="none"/>
        </w:rPr>
      </w:pPr>
      <w:r>
        <w:rPr>
          <w:rFonts w:hint="eastAsia" w:cs="宋体"/>
          <w:szCs w:val="21"/>
          <w:highlight w:val="none"/>
          <w:lang w:bidi="ar"/>
        </w:rPr>
        <w:t>职务：</w:t>
      </w:r>
      <w:r>
        <w:rPr>
          <w:szCs w:val="21"/>
          <w:highlight w:val="none"/>
          <w:u w:val="single"/>
          <w:lang w:bidi="ar"/>
        </w:rPr>
        <w:t xml:space="preserve">           </w:t>
      </w:r>
      <w:r>
        <w:rPr>
          <w:szCs w:val="21"/>
          <w:highlight w:val="none"/>
          <w:lang w:bidi="ar"/>
        </w:rPr>
        <w:t xml:space="preserve">                                                 </w:t>
      </w:r>
      <w:r>
        <w:rPr>
          <w:rFonts w:hint="eastAsia" w:cs="宋体"/>
          <w:szCs w:val="21"/>
          <w:highlight w:val="none"/>
          <w:lang w:bidi="ar"/>
        </w:rPr>
        <w:t>职务：</w:t>
      </w:r>
      <w:r>
        <w:rPr>
          <w:szCs w:val="21"/>
          <w:highlight w:val="none"/>
          <w:u w:val="single"/>
          <w:lang w:bidi="ar"/>
        </w:rPr>
        <w:t xml:space="preserve">      </w:t>
      </w:r>
    </w:p>
    <w:p>
      <w:pPr>
        <w:snapToGrid w:val="0"/>
        <w:spacing w:line="440" w:lineRule="exact"/>
        <w:rPr>
          <w:szCs w:val="21"/>
          <w:highlight w:val="none"/>
          <w:u w:val="single"/>
        </w:rPr>
      </w:pPr>
      <w:r>
        <w:rPr>
          <w:rFonts w:hint="eastAsia" w:cs="宋体"/>
          <w:szCs w:val="21"/>
          <w:highlight w:val="none"/>
          <w:lang w:bidi="ar"/>
        </w:rPr>
        <w:t>被授权人身份证号码：</w:t>
      </w:r>
      <w:r>
        <w:rPr>
          <w:szCs w:val="21"/>
          <w:highlight w:val="none"/>
          <w:u w:val="single"/>
          <w:lang w:bidi="ar"/>
        </w:rPr>
        <w:t xml:space="preserve">                   </w:t>
      </w:r>
      <w:r>
        <w:rPr>
          <w:szCs w:val="21"/>
          <w:highlight w:val="none"/>
          <w:lang w:bidi="ar"/>
        </w:rPr>
        <w:t xml:space="preserve">            </w:t>
      </w:r>
      <w:r>
        <w:rPr>
          <w:rFonts w:hint="eastAsia" w:cs="宋体"/>
          <w:szCs w:val="21"/>
          <w:highlight w:val="none"/>
          <w:lang w:bidi="ar"/>
        </w:rPr>
        <w:t>授权人身份证号码：</w:t>
      </w:r>
      <w:r>
        <w:rPr>
          <w:szCs w:val="21"/>
          <w:highlight w:val="none"/>
          <w:u w:val="single"/>
          <w:lang w:bidi="ar"/>
        </w:rPr>
        <w:t xml:space="preserve">         </w:t>
      </w:r>
    </w:p>
    <w:p>
      <w:pPr>
        <w:snapToGrid w:val="0"/>
        <w:spacing w:line="440" w:lineRule="exact"/>
        <w:rPr>
          <w:szCs w:val="21"/>
          <w:highlight w:val="none"/>
        </w:rPr>
      </w:pPr>
      <w:r>
        <w:rPr>
          <w:rFonts w:hint="eastAsia" w:cs="宋体"/>
          <w:szCs w:val="21"/>
          <w:highlight w:val="none"/>
          <w:lang w:bidi="ar"/>
        </w:rPr>
        <w:t>被授权人邮箱：</w:t>
      </w:r>
      <w:r>
        <w:rPr>
          <w:szCs w:val="21"/>
          <w:highlight w:val="none"/>
          <w:u w:val="single"/>
          <w:lang w:bidi="ar"/>
        </w:rPr>
        <w:t xml:space="preserve">                        </w:t>
      </w:r>
    </w:p>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spacing w:line="360" w:lineRule="auto"/>
        <w:rPr>
          <w:rFonts w:cs="宋体"/>
          <w:szCs w:val="21"/>
          <w:highlight w:val="none"/>
          <w:lang w:bidi="ar"/>
        </w:rPr>
      </w:pPr>
      <w:r>
        <w:rPr>
          <w:rFonts w:hint="eastAsia" w:cs="宋体"/>
          <w:szCs w:val="21"/>
          <w:highlight w:val="none"/>
          <w:lang w:bidi="ar"/>
        </w:rPr>
        <w:t>附件：法定代表人身份证正反面扫描件及授权代表身份证正反面扫描件</w:t>
      </w:r>
    </w:p>
    <w:p>
      <w:pPr>
        <w:widowControl/>
        <w:jc w:val="left"/>
        <w:rPr>
          <w:rFonts w:cs="宋体"/>
          <w:szCs w:val="21"/>
          <w:highlight w:val="none"/>
          <w:lang w:bidi="ar"/>
        </w:rPr>
      </w:pPr>
      <w:r>
        <w:rPr>
          <w:rFonts w:cs="宋体"/>
          <w:szCs w:val="21"/>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eastAsia="宋体"/>
          <w:b/>
          <w:bCs/>
          <w:szCs w:val="21"/>
          <w:highlight w:val="none"/>
          <w:lang w:eastAsia="zh-CN" w:bidi="ar"/>
        </w:rPr>
      </w:pPr>
      <w:r>
        <w:rPr>
          <w:rFonts w:hint="eastAsia" w:ascii="宋体" w:hAnsi="宋体"/>
          <w:b/>
          <w:bCs/>
          <w:szCs w:val="21"/>
          <w:highlight w:val="none"/>
          <w:lang w:bidi="ar"/>
        </w:rPr>
        <w:t>3.无串通投标行为的承诺函</w:t>
      </w:r>
      <w:bookmarkStart w:id="198" w:name="OLE_LINK80"/>
      <w:r>
        <w:rPr>
          <w:rFonts w:hint="eastAsia" w:ascii="宋体" w:hAnsi="宋体"/>
          <w:b/>
          <w:bCs/>
          <w:szCs w:val="21"/>
          <w:highlight w:val="none"/>
          <w:lang w:eastAsia="zh-CN" w:bidi="ar"/>
        </w:rPr>
        <w:t>（</w:t>
      </w:r>
      <w:r>
        <w:rPr>
          <w:rFonts w:hint="eastAsia" w:ascii="宋体" w:hAnsi="宋体"/>
          <w:b/>
          <w:bCs/>
          <w:szCs w:val="21"/>
          <w:highlight w:val="none"/>
          <w:lang w:val="en-US" w:eastAsia="zh-CN" w:bidi="ar"/>
        </w:rPr>
        <w:t>必须提供</w:t>
      </w:r>
      <w:r>
        <w:rPr>
          <w:rFonts w:hint="eastAsia" w:ascii="宋体" w:hAnsi="宋体"/>
          <w:b/>
          <w:bCs/>
          <w:szCs w:val="21"/>
          <w:highlight w:val="none"/>
          <w:lang w:eastAsia="zh-CN" w:bidi="ar"/>
        </w:rPr>
        <w:t>）</w:t>
      </w:r>
    </w:p>
    <w:bookmarkEnd w:id="198"/>
    <w:p>
      <w:pPr>
        <w:snapToGrid w:val="0"/>
        <w:spacing w:before="165" w:beforeLines="50" w:after="50" w:line="440" w:lineRule="exact"/>
        <w:jc w:val="center"/>
        <w:rPr>
          <w:rFonts w:cs="宋体"/>
          <w:b/>
          <w:szCs w:val="21"/>
          <w:highlight w:val="none"/>
          <w:lang w:bidi="ar"/>
        </w:rPr>
      </w:pPr>
      <w:r>
        <w:rPr>
          <w:rFonts w:hint="eastAsia" w:cs="宋体"/>
          <w:b/>
          <w:szCs w:val="21"/>
          <w:highlight w:val="none"/>
          <w:lang w:bidi="ar"/>
        </w:rPr>
        <w:t>投标人参加本项目无围标串标行为的承诺函</w:t>
      </w:r>
    </w:p>
    <w:p>
      <w:pPr>
        <w:snapToGrid w:val="0"/>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一、我方承诺无下列相互串通投标的情形：</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1.不同投标人的投标文件由同一单位或者个人编制；或者不同投标人报名的IP地址一致的；或者编制标书硬件设备CPU编号、硬盘编号、网卡地址一致的情况。</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2.不同投标人委托同一单位或者个人办理投标事宜；</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3.不同的投标人的投标文件载明的项目管理员为同一个人；</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4.不同投标人的投标文件异常一致或者投标报价呈规律性差异；</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5.不同投标人的投标文件相互混装；</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6.不同投标人的投标保证金从同一单位或者个人账户转出。</w:t>
      </w:r>
    </w:p>
    <w:p>
      <w:pPr>
        <w:snapToGrid w:val="0"/>
        <w:spacing w:line="360" w:lineRule="auto"/>
        <w:ind w:firstLine="422" w:firstLineChars="200"/>
        <w:jc w:val="left"/>
        <w:rPr>
          <w:rFonts w:ascii="宋体" w:hAnsi="宋体" w:cs="宋体"/>
          <w:szCs w:val="21"/>
          <w:highlight w:val="none"/>
        </w:rPr>
      </w:pPr>
      <w:r>
        <w:rPr>
          <w:rFonts w:hint="eastAsia" w:ascii="宋体" w:hAnsi="宋体" w:cs="宋体"/>
          <w:b/>
          <w:szCs w:val="21"/>
          <w:highlight w:val="none"/>
        </w:rPr>
        <w:t>二、我方承诺无下列恶意串通的情形：</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1.投标人直接或者间接从采购人或者采购代理机构处获得其他投标人的相关信息并修改其投标文件或者投标文件；</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2.投标人按照采购人或者采购代理机构的授意撤换、修改投标文件或者投标文件；</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3.投标人之间协商报价、技术方案等投标文件或者投标文件的实质性内容；</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4.属于同一集团、协会、商会等组织成员的投标人按照该组织要求协同参加政府采购活动；</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6.投标人之间商定部分投标人放弃参加政府采购活动或者放弃中标；</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7.投标人与采购人或者采购代理机构之间、投标人相互之间，为谋求特定投标人中标或者排斥其他投标人的其他串通行为。</w:t>
      </w:r>
    </w:p>
    <w:p>
      <w:pPr>
        <w:snapToGrid w:val="0"/>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以上情形一经核查属实，我方愿意承担一切后果，接受政府采购监管部门对我方认定存在围标串标行为，并不再寻求任何旨在减轻或者免除法律责任的辩解。</w:t>
      </w:r>
    </w:p>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snapToGrid w:val="0"/>
        <w:spacing w:line="360" w:lineRule="auto"/>
        <w:ind w:firstLine="420" w:firstLineChars="200"/>
        <w:jc w:val="right"/>
        <w:rPr>
          <w:szCs w:val="21"/>
          <w:highlight w:val="none"/>
        </w:rPr>
      </w:pPr>
      <w:r>
        <w:rPr>
          <w:szCs w:val="21"/>
          <w:highlight w:val="none"/>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4</w:t>
      </w:r>
      <w:r>
        <w:rPr>
          <w:rFonts w:hint="eastAsia" w:ascii="宋体" w:hAnsi="宋体"/>
          <w:b/>
          <w:bCs/>
          <w:szCs w:val="21"/>
          <w:highlight w:val="none"/>
          <w:lang w:val="en-US" w:eastAsia="zh-CN" w:bidi="ar"/>
        </w:rPr>
        <w:t>.</w:t>
      </w:r>
      <w:r>
        <w:rPr>
          <w:rFonts w:hint="eastAsia" w:ascii="宋体" w:hAnsi="宋体"/>
          <w:b/>
          <w:bCs/>
          <w:szCs w:val="21"/>
          <w:highlight w:val="none"/>
          <w:lang w:bidi="ar"/>
        </w:rPr>
        <w:t>商务条款偏离表（必须提供）</w:t>
      </w:r>
    </w:p>
    <w:p>
      <w:pPr>
        <w:snapToGrid w:val="0"/>
        <w:spacing w:before="165" w:beforeLines="50" w:after="50" w:line="360" w:lineRule="exact"/>
        <w:jc w:val="center"/>
        <w:rPr>
          <w:b/>
          <w:szCs w:val="21"/>
          <w:highlight w:val="none"/>
          <w:lang w:bidi="ar"/>
        </w:rPr>
      </w:pPr>
      <w:r>
        <w:rPr>
          <w:rFonts w:hint="eastAsia"/>
          <w:b/>
          <w:szCs w:val="21"/>
          <w:highlight w:val="none"/>
          <w:lang w:bidi="ar"/>
        </w:rPr>
        <w:t>商务条款偏离表</w:t>
      </w:r>
    </w:p>
    <w:tbl>
      <w:tblPr>
        <w:tblStyle w:val="54"/>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720"/>
        <w:gridCol w:w="2037"/>
        <w:gridCol w:w="4580"/>
        <w:gridCol w:w="118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9"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rFonts w:hint="eastAsia" w:cs="宋体"/>
                <w:szCs w:val="21"/>
                <w:highlight w:val="none"/>
                <w:lang w:bidi="ar"/>
              </w:rPr>
              <w:t>序号</w:t>
            </w:r>
          </w:p>
        </w:tc>
        <w:tc>
          <w:tcPr>
            <w:tcW w:w="1195"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rFonts w:hint="eastAsia" w:cs="宋体"/>
                <w:szCs w:val="21"/>
                <w:highlight w:val="none"/>
                <w:lang w:bidi="ar"/>
              </w:rPr>
              <w:t>招标文件的商务要求</w:t>
            </w:r>
          </w:p>
        </w:tc>
        <w:tc>
          <w:tcPr>
            <w:tcW w:w="2687"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rFonts w:hint="eastAsia" w:cs="宋体"/>
                <w:szCs w:val="21"/>
                <w:highlight w:val="none"/>
                <w:lang w:bidi="ar"/>
              </w:rPr>
              <w:t>投标文件响应内容（可注明所在页码）</w:t>
            </w:r>
          </w:p>
        </w:tc>
        <w:tc>
          <w:tcPr>
            <w:tcW w:w="695"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rFonts w:hint="eastAsia" w:cs="宋体"/>
                <w:highlight w:val="none"/>
                <w:lang w:bidi="ar"/>
              </w:rPr>
              <w:t>偏离</w:t>
            </w:r>
            <w:r>
              <w:rPr>
                <w:rFonts w:hint="eastAsia" w:cs="宋体"/>
                <w:szCs w:val="21"/>
                <w:highlight w:val="none"/>
                <w:lang w:bidi="ar"/>
              </w:rPr>
              <w:t>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4" w:hRule="exact"/>
          <w:jc w:val="center"/>
        </w:trPr>
        <w:tc>
          <w:tcPr>
            <w:tcW w:w="42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1195"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2687"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4" w:hRule="exact"/>
          <w:jc w:val="center"/>
        </w:trPr>
        <w:tc>
          <w:tcPr>
            <w:tcW w:w="42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1195"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2687"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2" w:hRule="exact"/>
          <w:jc w:val="center"/>
        </w:trPr>
        <w:tc>
          <w:tcPr>
            <w:tcW w:w="42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1195"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szCs w:val="21"/>
                <w:highlight w:val="none"/>
                <w:lang w:bidi="ar"/>
              </w:rPr>
              <w:t>……</w:t>
            </w:r>
          </w:p>
        </w:tc>
        <w:tc>
          <w:tcPr>
            <w:tcW w:w="2687"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r>
    </w:tbl>
    <w:p>
      <w:pPr>
        <w:pStyle w:val="49"/>
        <w:widowControl w:val="0"/>
        <w:tabs>
          <w:tab w:val="left" w:pos="2127"/>
        </w:tabs>
        <w:spacing w:before="0" w:beforeAutospacing="0" w:after="0" w:afterAutospacing="0" w:line="340" w:lineRule="exact"/>
        <w:rPr>
          <w:rFonts w:ascii="Times New Roman" w:hAnsi="Times New Roman"/>
          <w:kern w:val="2"/>
          <w:sz w:val="21"/>
          <w:szCs w:val="21"/>
          <w:highlight w:val="none"/>
          <w:lang w:bidi="ar"/>
        </w:rPr>
      </w:pPr>
      <w:bookmarkStart w:id="199" w:name="_Hlk88990584"/>
      <w:bookmarkStart w:id="200" w:name="_Hlk48144603"/>
      <w:r>
        <w:rPr>
          <w:rFonts w:hint="eastAsia" w:ascii="Times New Roman" w:hAnsi="Times New Roman"/>
          <w:kern w:val="2"/>
          <w:sz w:val="21"/>
          <w:szCs w:val="21"/>
          <w:highlight w:val="none"/>
          <w:lang w:bidi="ar"/>
        </w:rPr>
        <w:t>注：</w:t>
      </w:r>
      <w:bookmarkStart w:id="201" w:name="_Hlk19049081"/>
    </w:p>
    <w:p>
      <w:pPr>
        <w:pStyle w:val="49"/>
        <w:widowControl w:val="0"/>
        <w:tabs>
          <w:tab w:val="left" w:pos="2127"/>
        </w:tabs>
        <w:spacing w:before="0" w:beforeAutospacing="0" w:after="0" w:afterAutospacing="0" w:line="360" w:lineRule="auto"/>
        <w:ind w:firstLine="420" w:firstLineChars="200"/>
        <w:rPr>
          <w:rFonts w:ascii="Times New Roman" w:hAnsi="Times New Roman"/>
          <w:highlight w:val="none"/>
        </w:rPr>
      </w:pPr>
      <w:r>
        <w:rPr>
          <w:rFonts w:hint="eastAsia" w:ascii="Times New Roman" w:hAnsi="Times New Roman"/>
          <w:kern w:val="2"/>
          <w:sz w:val="21"/>
          <w:szCs w:val="21"/>
          <w:highlight w:val="none"/>
          <w:lang w:bidi="ar"/>
        </w:rPr>
        <w:t>（</w:t>
      </w:r>
      <w:r>
        <w:rPr>
          <w:rFonts w:ascii="Times New Roman" w:hAnsi="Times New Roman"/>
          <w:kern w:val="2"/>
          <w:sz w:val="21"/>
          <w:szCs w:val="21"/>
          <w:highlight w:val="none"/>
          <w:lang w:bidi="ar"/>
        </w:rPr>
        <w:t>1</w:t>
      </w:r>
      <w:r>
        <w:rPr>
          <w:rFonts w:hint="eastAsia" w:ascii="Times New Roman" w:hAnsi="Times New Roman"/>
          <w:kern w:val="2"/>
          <w:sz w:val="21"/>
          <w:szCs w:val="21"/>
          <w:highlight w:val="none"/>
          <w:lang w:bidi="ar"/>
        </w:rPr>
        <w:t>）本表应对招标文件第二章《采购需求》中所列</w:t>
      </w:r>
      <w:r>
        <w:rPr>
          <w:rFonts w:hint="eastAsia" w:ascii="Times New Roman" w:hAnsi="Times New Roman"/>
          <w:kern w:val="2"/>
          <w:sz w:val="21"/>
          <w:szCs w:val="21"/>
          <w:highlight w:val="none"/>
          <w:lang w:eastAsia="zh-CN" w:bidi="ar"/>
        </w:rPr>
        <w:t>“</w:t>
      </w:r>
      <w:r>
        <w:rPr>
          <w:rFonts w:hint="eastAsia" w:ascii="Times New Roman" w:hAnsi="Times New Roman"/>
          <w:kern w:val="2"/>
          <w:sz w:val="21"/>
          <w:szCs w:val="21"/>
          <w:highlight w:val="none"/>
          <w:lang w:bidi="ar"/>
        </w:rPr>
        <w:t>商务要求</w:t>
      </w:r>
      <w:r>
        <w:rPr>
          <w:rFonts w:hint="eastAsia" w:ascii="Times New Roman" w:hAnsi="Times New Roman"/>
          <w:kern w:val="2"/>
          <w:sz w:val="21"/>
          <w:szCs w:val="21"/>
          <w:highlight w:val="none"/>
          <w:lang w:eastAsia="zh-CN" w:bidi="ar"/>
        </w:rPr>
        <w:t>”</w:t>
      </w:r>
      <w:r>
        <w:rPr>
          <w:rFonts w:hint="eastAsia" w:ascii="Times New Roman" w:hAnsi="Times New Roman"/>
          <w:kern w:val="2"/>
          <w:sz w:val="21"/>
          <w:szCs w:val="21"/>
          <w:highlight w:val="none"/>
          <w:lang w:bidi="ar"/>
        </w:rPr>
        <w:t>进行响应，并根据响应情况在</w:t>
      </w:r>
      <w:r>
        <w:rPr>
          <w:rFonts w:hint="eastAsia" w:ascii="Times New Roman" w:hAnsi="Times New Roman"/>
          <w:kern w:val="2"/>
          <w:sz w:val="21"/>
          <w:szCs w:val="21"/>
          <w:highlight w:val="none"/>
          <w:lang w:eastAsia="zh-CN" w:bidi="ar"/>
        </w:rPr>
        <w:t>“</w:t>
      </w:r>
      <w:r>
        <w:rPr>
          <w:rFonts w:hint="eastAsia" w:ascii="Times New Roman" w:hAnsi="Times New Roman"/>
          <w:kern w:val="2"/>
          <w:sz w:val="21"/>
          <w:szCs w:val="21"/>
          <w:highlight w:val="none"/>
          <w:lang w:bidi="ar"/>
        </w:rPr>
        <w:t>偏离说明</w:t>
      </w:r>
      <w:r>
        <w:rPr>
          <w:rFonts w:hint="eastAsia" w:ascii="Times New Roman" w:hAnsi="Times New Roman"/>
          <w:kern w:val="2"/>
          <w:sz w:val="21"/>
          <w:szCs w:val="21"/>
          <w:highlight w:val="none"/>
          <w:lang w:eastAsia="zh-CN" w:bidi="ar"/>
        </w:rPr>
        <w:t>”</w:t>
      </w:r>
      <w:r>
        <w:rPr>
          <w:rFonts w:hint="eastAsia" w:ascii="Times New Roman" w:hAnsi="Times New Roman"/>
          <w:kern w:val="2"/>
          <w:sz w:val="21"/>
          <w:szCs w:val="21"/>
          <w:highlight w:val="none"/>
          <w:lang w:bidi="ar"/>
        </w:rPr>
        <w:t>栏填写正偏离或负偏离及原因，完全符合的填写</w:t>
      </w:r>
      <w:bookmarkStart w:id="202" w:name="OLE_LINK59"/>
      <w:r>
        <w:rPr>
          <w:rFonts w:hint="eastAsia" w:ascii="Times New Roman" w:hAnsi="Times New Roman"/>
          <w:kern w:val="2"/>
          <w:sz w:val="21"/>
          <w:szCs w:val="21"/>
          <w:highlight w:val="none"/>
          <w:lang w:eastAsia="zh-CN" w:bidi="ar"/>
        </w:rPr>
        <w:t>“</w:t>
      </w:r>
      <w:r>
        <w:rPr>
          <w:rFonts w:hint="eastAsia" w:ascii="Times New Roman" w:hAnsi="Times New Roman"/>
          <w:kern w:val="2"/>
          <w:sz w:val="21"/>
          <w:szCs w:val="21"/>
          <w:highlight w:val="none"/>
          <w:lang w:bidi="ar"/>
        </w:rPr>
        <w:t>无偏离</w:t>
      </w:r>
      <w:r>
        <w:rPr>
          <w:rFonts w:hint="eastAsia" w:ascii="Times New Roman" w:hAnsi="Times New Roman"/>
          <w:kern w:val="2"/>
          <w:sz w:val="21"/>
          <w:szCs w:val="21"/>
          <w:highlight w:val="none"/>
          <w:lang w:eastAsia="zh-CN" w:bidi="ar"/>
        </w:rPr>
        <w:t>”</w:t>
      </w:r>
      <w:bookmarkEnd w:id="202"/>
      <w:r>
        <w:rPr>
          <w:rFonts w:hint="eastAsia" w:ascii="Times New Roman" w:hAnsi="Times New Roman"/>
          <w:kern w:val="2"/>
          <w:sz w:val="21"/>
          <w:szCs w:val="21"/>
          <w:highlight w:val="none"/>
          <w:lang w:bidi="ar"/>
        </w:rPr>
        <w:t>。</w:t>
      </w:r>
    </w:p>
    <w:p>
      <w:pPr>
        <w:pStyle w:val="49"/>
        <w:widowControl w:val="0"/>
        <w:tabs>
          <w:tab w:val="left" w:pos="2127"/>
        </w:tabs>
        <w:spacing w:before="0" w:beforeAutospacing="0" w:after="0" w:afterAutospacing="0" w:line="360" w:lineRule="auto"/>
        <w:ind w:firstLine="420" w:firstLineChars="200"/>
        <w:rPr>
          <w:rFonts w:ascii="Times New Roman" w:hAnsi="Times New Roman"/>
          <w:highlight w:val="none"/>
        </w:rPr>
      </w:pPr>
      <w:r>
        <w:rPr>
          <w:rFonts w:hint="eastAsia" w:ascii="Times New Roman" w:hAnsi="Times New Roman"/>
          <w:kern w:val="2"/>
          <w:sz w:val="21"/>
          <w:szCs w:val="21"/>
          <w:highlight w:val="none"/>
          <w:lang w:bidi="ar"/>
        </w:rPr>
        <w:t>（</w:t>
      </w:r>
      <w:r>
        <w:rPr>
          <w:rFonts w:ascii="Times New Roman" w:hAnsi="Times New Roman"/>
          <w:kern w:val="2"/>
          <w:sz w:val="21"/>
          <w:szCs w:val="21"/>
          <w:highlight w:val="none"/>
          <w:lang w:bidi="ar"/>
        </w:rPr>
        <w:t>2</w:t>
      </w:r>
      <w:r>
        <w:rPr>
          <w:rFonts w:hint="eastAsia" w:ascii="Times New Roman" w:hAnsi="Times New Roman"/>
          <w:kern w:val="2"/>
          <w:sz w:val="21"/>
          <w:szCs w:val="21"/>
          <w:highlight w:val="none"/>
          <w:lang w:bidi="ar"/>
        </w:rPr>
        <w:t>）供应商应根据自身的承诺，对照</w:t>
      </w:r>
      <w:r>
        <w:rPr>
          <w:rFonts w:hint="eastAsia" w:ascii="Times New Roman" w:hAnsi="Times New Roman"/>
          <w:kern w:val="2"/>
          <w:sz w:val="21"/>
          <w:szCs w:val="21"/>
          <w:highlight w:val="none"/>
          <w:lang w:eastAsia="zh-CN" w:bidi="ar"/>
        </w:rPr>
        <w:t>招标文件</w:t>
      </w:r>
      <w:r>
        <w:rPr>
          <w:rFonts w:hint="eastAsia" w:ascii="Times New Roman" w:hAnsi="Times New Roman"/>
          <w:kern w:val="2"/>
          <w:sz w:val="21"/>
          <w:szCs w:val="21"/>
          <w:highlight w:val="none"/>
          <w:lang w:bidi="ar"/>
        </w:rPr>
        <w:t>要求在“偏离说明”中注明“正偏离”、“负偏离”或者“无偏离”。既不属于“正偏离”也不属于“负偏离”即为“无偏离”。</w:t>
      </w:r>
    </w:p>
    <w:bookmarkEnd w:id="201"/>
    <w:p>
      <w:pPr>
        <w:pStyle w:val="49"/>
        <w:widowControl w:val="0"/>
        <w:tabs>
          <w:tab w:val="left" w:pos="2127"/>
        </w:tabs>
        <w:spacing w:before="0" w:beforeAutospacing="0" w:after="0" w:afterAutospacing="0" w:line="360" w:lineRule="auto"/>
        <w:ind w:firstLine="420" w:firstLineChars="200"/>
        <w:rPr>
          <w:rFonts w:ascii="Times New Roman" w:hAnsi="Times New Roman"/>
          <w:highlight w:val="none"/>
        </w:rPr>
      </w:pPr>
      <w:r>
        <w:rPr>
          <w:rFonts w:hint="eastAsia" w:ascii="Times New Roman" w:hAnsi="Times New Roman"/>
          <w:kern w:val="2"/>
          <w:sz w:val="21"/>
          <w:szCs w:val="21"/>
          <w:highlight w:val="none"/>
          <w:lang w:bidi="ar"/>
        </w:rPr>
        <w:t>（</w:t>
      </w:r>
      <w:r>
        <w:rPr>
          <w:rFonts w:hint="eastAsia" w:ascii="Times New Roman" w:hAnsi="Times New Roman"/>
          <w:kern w:val="2"/>
          <w:sz w:val="21"/>
          <w:szCs w:val="21"/>
          <w:highlight w:val="none"/>
          <w:lang w:val="en-US" w:eastAsia="zh-CN" w:bidi="ar"/>
        </w:rPr>
        <w:t>3</w:t>
      </w:r>
      <w:r>
        <w:rPr>
          <w:rFonts w:hint="eastAsia" w:ascii="Times New Roman" w:hAnsi="Times New Roman"/>
          <w:kern w:val="2"/>
          <w:sz w:val="21"/>
          <w:szCs w:val="21"/>
          <w:highlight w:val="none"/>
          <w:lang w:bidi="ar"/>
        </w:rPr>
        <w:t>）本表可扩展。</w:t>
      </w:r>
    </w:p>
    <w:bookmarkEnd w:id="199"/>
    <w:bookmarkEnd w:id="200"/>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widowControl/>
        <w:jc w:val="left"/>
        <w:rPr>
          <w:szCs w:val="21"/>
          <w:highlight w:val="none"/>
          <w:lang w:bidi="ar"/>
        </w:rPr>
      </w:pPr>
      <w:r>
        <w:rPr>
          <w:szCs w:val="21"/>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5.投标人类似业绩的证明文件</w:t>
      </w:r>
    </w:p>
    <w:p>
      <w:pPr>
        <w:autoSpaceDE w:val="0"/>
        <w:autoSpaceDN w:val="0"/>
        <w:spacing w:line="360" w:lineRule="auto"/>
        <w:ind w:firstLine="120"/>
        <w:jc w:val="center"/>
        <w:rPr>
          <w:rFonts w:ascii="宋体" w:hAnsi="宋体" w:cs="宋体"/>
          <w:sz w:val="24"/>
          <w:highlight w:val="none"/>
        </w:rPr>
      </w:pPr>
      <w:r>
        <w:rPr>
          <w:rFonts w:hint="eastAsia"/>
          <w:b/>
          <w:szCs w:val="21"/>
          <w:highlight w:val="none"/>
          <w:lang w:bidi="ar"/>
        </w:rPr>
        <w:t>投标人类似业绩</w:t>
      </w:r>
      <w:r>
        <w:rPr>
          <w:rFonts w:hint="eastAsia" w:ascii="宋体" w:hAnsi="宋体" w:cs="宋体"/>
          <w:b/>
          <w:sz w:val="24"/>
          <w:highlight w:val="none"/>
        </w:rPr>
        <w:t>一览表</w:t>
      </w:r>
    </w:p>
    <w:tbl>
      <w:tblPr>
        <w:tblStyle w:val="54"/>
        <w:tblW w:w="5000" w:type="pct"/>
        <w:jc w:val="center"/>
        <w:tblLayout w:type="autofit"/>
        <w:tblCellMar>
          <w:top w:w="0" w:type="dxa"/>
          <w:left w:w="108" w:type="dxa"/>
          <w:bottom w:w="0" w:type="dxa"/>
          <w:right w:w="108" w:type="dxa"/>
        </w:tblCellMar>
      </w:tblPr>
      <w:tblGrid>
        <w:gridCol w:w="961"/>
        <w:gridCol w:w="992"/>
        <w:gridCol w:w="1133"/>
        <w:gridCol w:w="1416"/>
        <w:gridCol w:w="2500"/>
        <w:gridCol w:w="1520"/>
      </w:tblGrid>
      <w:tr>
        <w:tblPrEx>
          <w:tblCellMar>
            <w:top w:w="0" w:type="dxa"/>
            <w:left w:w="108" w:type="dxa"/>
            <w:bottom w:w="0" w:type="dxa"/>
            <w:right w:w="108" w:type="dxa"/>
          </w:tblCellMar>
        </w:tblPrEx>
        <w:trPr>
          <w:cantSplit/>
          <w:trHeight w:val="372" w:hRule="atLeast"/>
          <w:jc w:val="center"/>
        </w:trPr>
        <w:tc>
          <w:tcPr>
            <w:tcW w:w="564" w:type="pct"/>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Fonts w:ascii="宋体" w:hAnsi="宋体" w:cs="宋体"/>
                <w:szCs w:val="21"/>
                <w:highlight w:val="none"/>
              </w:rPr>
            </w:pPr>
            <w:r>
              <w:rPr>
                <w:rFonts w:ascii="宋体" w:hAnsi="宋体" w:cs="宋体"/>
                <w:szCs w:val="21"/>
                <w:highlight w:val="none"/>
              </w:rPr>
              <w:t>采购人名称</w:t>
            </w:r>
          </w:p>
        </w:tc>
        <w:tc>
          <w:tcPr>
            <w:tcW w:w="582" w:type="pct"/>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Fonts w:ascii="宋体" w:hAnsi="宋体" w:cs="宋体"/>
                <w:szCs w:val="21"/>
                <w:highlight w:val="none"/>
              </w:rPr>
            </w:pPr>
            <w:r>
              <w:rPr>
                <w:rFonts w:ascii="宋体" w:hAnsi="宋体" w:cs="宋体"/>
                <w:szCs w:val="21"/>
                <w:highlight w:val="none"/>
              </w:rPr>
              <w:t>项目</w:t>
            </w:r>
          </w:p>
          <w:p>
            <w:pPr>
              <w:snapToGrid w:val="0"/>
              <w:spacing w:line="440" w:lineRule="exact"/>
              <w:jc w:val="center"/>
              <w:rPr>
                <w:rFonts w:ascii="宋体" w:hAnsi="宋体" w:cs="宋体"/>
                <w:szCs w:val="21"/>
                <w:highlight w:val="none"/>
              </w:rPr>
            </w:pPr>
            <w:r>
              <w:rPr>
                <w:rFonts w:ascii="宋体" w:hAnsi="宋体" w:cs="宋体"/>
                <w:szCs w:val="21"/>
                <w:highlight w:val="none"/>
              </w:rPr>
              <w:t>名称</w:t>
            </w:r>
          </w:p>
        </w:tc>
        <w:tc>
          <w:tcPr>
            <w:tcW w:w="665" w:type="pct"/>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Fonts w:ascii="宋体" w:hAnsi="宋体" w:cs="宋体"/>
                <w:szCs w:val="21"/>
                <w:highlight w:val="none"/>
              </w:rPr>
            </w:pPr>
            <w:r>
              <w:rPr>
                <w:rFonts w:ascii="宋体" w:hAnsi="宋体" w:cs="宋体"/>
                <w:szCs w:val="21"/>
                <w:highlight w:val="none"/>
              </w:rPr>
              <w:t>合同金额（万元）</w:t>
            </w:r>
          </w:p>
        </w:tc>
        <w:tc>
          <w:tcPr>
            <w:tcW w:w="2298"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Fonts w:ascii="宋体" w:hAnsi="宋体" w:cs="宋体"/>
                <w:szCs w:val="21"/>
                <w:highlight w:val="none"/>
              </w:rPr>
            </w:pPr>
            <w:r>
              <w:rPr>
                <w:rFonts w:ascii="宋体" w:hAnsi="宋体" w:cs="宋体"/>
                <w:szCs w:val="21"/>
                <w:highlight w:val="none"/>
              </w:rPr>
              <w:t>附件</w:t>
            </w:r>
            <w:r>
              <w:rPr>
                <w:rFonts w:hint="eastAsia" w:ascii="宋体" w:hAnsi="宋体" w:cs="宋体"/>
                <w:szCs w:val="21"/>
                <w:highlight w:val="none"/>
              </w:rPr>
              <w:t>投标文件</w:t>
            </w:r>
            <w:r>
              <w:rPr>
                <w:rFonts w:ascii="宋体" w:hAnsi="宋体" w:cs="宋体"/>
                <w:szCs w:val="21"/>
                <w:highlight w:val="none"/>
              </w:rPr>
              <w:t>中页码</w:t>
            </w:r>
          </w:p>
        </w:tc>
        <w:tc>
          <w:tcPr>
            <w:tcW w:w="892" w:type="pct"/>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Fonts w:ascii="宋体" w:hAnsi="宋体" w:cs="宋体"/>
                <w:szCs w:val="21"/>
                <w:highlight w:val="none"/>
              </w:rPr>
            </w:pPr>
            <w:r>
              <w:rPr>
                <w:rFonts w:ascii="宋体" w:hAnsi="宋体" w:cs="宋体"/>
                <w:szCs w:val="21"/>
                <w:highlight w:val="none"/>
              </w:rPr>
              <w:t>采购人联系人及联系电话</w:t>
            </w:r>
          </w:p>
        </w:tc>
      </w:tr>
      <w:tr>
        <w:tblPrEx>
          <w:tblCellMar>
            <w:top w:w="0" w:type="dxa"/>
            <w:left w:w="108" w:type="dxa"/>
            <w:bottom w:w="0" w:type="dxa"/>
            <w:right w:w="108" w:type="dxa"/>
          </w:tblCellMar>
        </w:tblPrEx>
        <w:trPr>
          <w:cantSplit/>
          <w:trHeight w:val="409"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宋体" w:hAnsi="宋体" w:cs="宋体"/>
                <w:szCs w:val="21"/>
                <w:highlight w:val="none"/>
              </w:rPr>
            </w:pPr>
          </w:p>
        </w:tc>
        <w:tc>
          <w:tcPr>
            <w:tcW w:w="582" w:type="pct"/>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宋体" w:hAnsi="宋体" w:cs="宋体"/>
                <w:szCs w:val="21"/>
                <w:highlight w:val="none"/>
              </w:rPr>
            </w:pPr>
          </w:p>
        </w:tc>
        <w:tc>
          <w:tcPr>
            <w:tcW w:w="665" w:type="pct"/>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宋体" w:hAnsi="宋体" w:cs="宋体"/>
                <w:szCs w:val="21"/>
                <w:highlight w:val="none"/>
              </w:rPr>
            </w:pPr>
          </w:p>
        </w:tc>
        <w:tc>
          <w:tcPr>
            <w:tcW w:w="831" w:type="pct"/>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Fonts w:ascii="宋体" w:hAnsi="宋体" w:cs="宋体"/>
                <w:szCs w:val="21"/>
                <w:highlight w:val="none"/>
              </w:rPr>
            </w:pPr>
            <w:r>
              <w:rPr>
                <w:rFonts w:ascii="宋体" w:hAnsi="宋体" w:cs="宋体"/>
                <w:szCs w:val="21"/>
                <w:highlight w:val="none"/>
              </w:rPr>
              <w:t>合同</w:t>
            </w:r>
          </w:p>
        </w:tc>
        <w:tc>
          <w:tcPr>
            <w:tcW w:w="1466" w:type="pct"/>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Fonts w:ascii="宋体" w:hAnsi="宋体" w:cs="宋体"/>
                <w:szCs w:val="21"/>
                <w:highlight w:val="none"/>
              </w:rPr>
            </w:pPr>
            <w:r>
              <w:rPr>
                <w:rFonts w:ascii="宋体" w:hAnsi="宋体" w:cs="宋体"/>
                <w:szCs w:val="21"/>
                <w:highlight w:val="none"/>
              </w:rPr>
              <w:t>中标（成交）通知书</w:t>
            </w:r>
          </w:p>
        </w:tc>
        <w:tc>
          <w:tcPr>
            <w:tcW w:w="892" w:type="pct"/>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宋体" w:hAnsi="宋体" w:cs="宋体"/>
                <w:szCs w:val="21"/>
                <w:highlight w:val="none"/>
              </w:rPr>
            </w:pPr>
          </w:p>
        </w:tc>
      </w:tr>
      <w:tr>
        <w:tblPrEx>
          <w:tblCellMar>
            <w:top w:w="0" w:type="dxa"/>
            <w:left w:w="108" w:type="dxa"/>
            <w:bottom w:w="0" w:type="dxa"/>
            <w:right w:w="108" w:type="dxa"/>
          </w:tblCellMar>
        </w:tblPrEx>
        <w:trPr>
          <w:trHeight w:val="649" w:hRule="atLeast"/>
          <w:jc w:val="center"/>
        </w:trPr>
        <w:tc>
          <w:tcPr>
            <w:tcW w:w="564" w:type="pct"/>
            <w:tcBorders>
              <w:top w:val="single" w:color="000000" w:sz="4" w:space="0"/>
              <w:left w:val="single" w:color="000000" w:sz="4" w:space="0"/>
              <w:bottom w:val="single" w:color="000000" w:sz="4" w:space="0"/>
              <w:right w:val="single" w:color="000000" w:sz="4" w:space="0"/>
            </w:tcBorders>
          </w:tcPr>
          <w:p>
            <w:pPr>
              <w:snapToGrid w:val="0"/>
              <w:spacing w:line="440" w:lineRule="exact"/>
              <w:jc w:val="left"/>
              <w:rPr>
                <w:rFonts w:ascii="宋体" w:hAnsi="宋体" w:cs="宋体"/>
                <w:szCs w:val="21"/>
                <w:highlight w:val="none"/>
              </w:rPr>
            </w:pPr>
          </w:p>
        </w:tc>
        <w:tc>
          <w:tcPr>
            <w:tcW w:w="582" w:type="pct"/>
            <w:tcBorders>
              <w:top w:val="single" w:color="000000" w:sz="4" w:space="0"/>
              <w:left w:val="single" w:color="000000" w:sz="4" w:space="0"/>
              <w:bottom w:val="single" w:color="000000" w:sz="4" w:space="0"/>
              <w:right w:val="single" w:color="000000" w:sz="4" w:space="0"/>
            </w:tcBorders>
          </w:tcPr>
          <w:p>
            <w:pPr>
              <w:snapToGrid w:val="0"/>
              <w:spacing w:line="440" w:lineRule="exact"/>
              <w:jc w:val="left"/>
              <w:rPr>
                <w:rFonts w:ascii="宋体" w:hAnsi="宋体" w:cs="宋体"/>
                <w:szCs w:val="21"/>
                <w:highlight w:val="none"/>
              </w:rPr>
            </w:pPr>
          </w:p>
        </w:tc>
        <w:tc>
          <w:tcPr>
            <w:tcW w:w="665" w:type="pct"/>
            <w:tcBorders>
              <w:top w:val="single" w:color="000000" w:sz="4" w:space="0"/>
              <w:left w:val="single" w:color="000000" w:sz="4" w:space="0"/>
              <w:bottom w:val="single" w:color="000000" w:sz="4" w:space="0"/>
              <w:right w:val="single" w:color="000000" w:sz="4" w:space="0"/>
            </w:tcBorders>
          </w:tcPr>
          <w:p>
            <w:pPr>
              <w:snapToGrid w:val="0"/>
              <w:spacing w:line="440" w:lineRule="exact"/>
              <w:jc w:val="left"/>
              <w:rPr>
                <w:rFonts w:ascii="宋体" w:hAnsi="宋体" w:cs="宋体"/>
                <w:szCs w:val="21"/>
                <w:highlight w:val="none"/>
              </w:rPr>
            </w:pPr>
          </w:p>
        </w:tc>
        <w:tc>
          <w:tcPr>
            <w:tcW w:w="831" w:type="pct"/>
            <w:tcBorders>
              <w:top w:val="single" w:color="000000" w:sz="4" w:space="0"/>
              <w:left w:val="single" w:color="000000" w:sz="4" w:space="0"/>
              <w:bottom w:val="single" w:color="000000" w:sz="4" w:space="0"/>
              <w:right w:val="single" w:color="000000" w:sz="4" w:space="0"/>
            </w:tcBorders>
          </w:tcPr>
          <w:p>
            <w:pPr>
              <w:snapToGrid w:val="0"/>
              <w:spacing w:line="440" w:lineRule="exact"/>
              <w:jc w:val="left"/>
              <w:rPr>
                <w:rFonts w:ascii="宋体" w:hAnsi="宋体" w:cs="宋体"/>
                <w:szCs w:val="21"/>
                <w:highlight w:val="none"/>
              </w:rPr>
            </w:pPr>
          </w:p>
        </w:tc>
        <w:tc>
          <w:tcPr>
            <w:tcW w:w="1466" w:type="pct"/>
            <w:tcBorders>
              <w:top w:val="single" w:color="000000" w:sz="4" w:space="0"/>
              <w:left w:val="single" w:color="000000" w:sz="4" w:space="0"/>
              <w:bottom w:val="single" w:color="000000" w:sz="4" w:space="0"/>
              <w:right w:val="single" w:color="000000" w:sz="4" w:space="0"/>
            </w:tcBorders>
          </w:tcPr>
          <w:p>
            <w:pPr>
              <w:snapToGrid w:val="0"/>
              <w:spacing w:line="440" w:lineRule="exact"/>
              <w:jc w:val="left"/>
              <w:rPr>
                <w:rFonts w:ascii="宋体" w:hAnsi="宋体" w:cs="宋体"/>
                <w:szCs w:val="21"/>
                <w:highlight w:val="none"/>
              </w:rPr>
            </w:pPr>
          </w:p>
        </w:tc>
        <w:tc>
          <w:tcPr>
            <w:tcW w:w="892" w:type="pct"/>
            <w:tcBorders>
              <w:top w:val="single" w:color="000000" w:sz="4" w:space="0"/>
              <w:left w:val="single" w:color="000000" w:sz="4" w:space="0"/>
              <w:bottom w:val="single" w:color="000000" w:sz="4" w:space="0"/>
              <w:right w:val="single" w:color="000000" w:sz="4" w:space="0"/>
            </w:tcBorders>
          </w:tcPr>
          <w:p>
            <w:pPr>
              <w:snapToGrid w:val="0"/>
              <w:spacing w:line="440" w:lineRule="exact"/>
              <w:jc w:val="left"/>
              <w:rPr>
                <w:rFonts w:ascii="宋体" w:hAnsi="宋体" w:cs="宋体"/>
                <w:szCs w:val="21"/>
                <w:highlight w:val="none"/>
              </w:rPr>
            </w:pPr>
          </w:p>
        </w:tc>
      </w:tr>
      <w:tr>
        <w:tblPrEx>
          <w:tblCellMar>
            <w:top w:w="0" w:type="dxa"/>
            <w:left w:w="108" w:type="dxa"/>
            <w:bottom w:w="0" w:type="dxa"/>
            <w:right w:w="108" w:type="dxa"/>
          </w:tblCellMar>
        </w:tblPrEx>
        <w:trPr>
          <w:jc w:val="center"/>
        </w:trPr>
        <w:tc>
          <w:tcPr>
            <w:tcW w:w="564"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582"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665"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831"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1466"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892"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r>
      <w:tr>
        <w:tblPrEx>
          <w:tblCellMar>
            <w:top w:w="0" w:type="dxa"/>
            <w:left w:w="108" w:type="dxa"/>
            <w:bottom w:w="0" w:type="dxa"/>
            <w:right w:w="108" w:type="dxa"/>
          </w:tblCellMar>
        </w:tblPrEx>
        <w:trPr>
          <w:trHeight w:val="710" w:hRule="atLeast"/>
          <w:jc w:val="center"/>
        </w:trPr>
        <w:tc>
          <w:tcPr>
            <w:tcW w:w="564"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582"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665"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831"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1466"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892"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r>
      <w:tr>
        <w:tblPrEx>
          <w:tblCellMar>
            <w:top w:w="0" w:type="dxa"/>
            <w:left w:w="108" w:type="dxa"/>
            <w:bottom w:w="0" w:type="dxa"/>
            <w:right w:w="108" w:type="dxa"/>
          </w:tblCellMar>
        </w:tblPrEx>
        <w:trPr>
          <w:jc w:val="center"/>
        </w:trPr>
        <w:tc>
          <w:tcPr>
            <w:tcW w:w="564"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582"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665"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831"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1466"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892"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r>
      <w:tr>
        <w:tblPrEx>
          <w:tblCellMar>
            <w:top w:w="0" w:type="dxa"/>
            <w:left w:w="108" w:type="dxa"/>
            <w:bottom w:w="0" w:type="dxa"/>
            <w:right w:w="108" w:type="dxa"/>
          </w:tblCellMar>
        </w:tblPrEx>
        <w:trPr>
          <w:jc w:val="center"/>
        </w:trPr>
        <w:tc>
          <w:tcPr>
            <w:tcW w:w="564"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582"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665"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831"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1466"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892"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r>
    </w:tbl>
    <w:p>
      <w:pPr>
        <w:spacing w:line="360" w:lineRule="auto"/>
        <w:ind w:left="72"/>
        <w:rPr>
          <w:rFonts w:ascii="宋体" w:hAnsi="宋体" w:cs="宋体"/>
          <w:szCs w:val="20"/>
          <w:highlight w:val="none"/>
        </w:rPr>
      </w:pPr>
      <w:r>
        <w:rPr>
          <w:rFonts w:hint="eastAsia" w:ascii="宋体" w:hAnsi="宋体" w:cs="宋体"/>
          <w:szCs w:val="20"/>
          <w:highlight w:val="none"/>
        </w:rPr>
        <w:t>注：投标人可按上述的格式自行编制，须随表提交</w:t>
      </w:r>
      <w:r>
        <w:rPr>
          <w:rFonts w:hint="eastAsia"/>
          <w:highlight w:val="none"/>
        </w:rPr>
        <w:t>评标办法要求的证明材料</w:t>
      </w:r>
      <w:r>
        <w:rPr>
          <w:rFonts w:hint="eastAsia" w:ascii="宋体" w:hAnsi="宋体" w:cs="宋体"/>
          <w:szCs w:val="20"/>
          <w:highlight w:val="none"/>
        </w:rPr>
        <w:t>。</w:t>
      </w:r>
    </w:p>
    <w:p>
      <w:pPr>
        <w:snapToGrid w:val="0"/>
        <w:spacing w:line="360" w:lineRule="auto"/>
        <w:rPr>
          <w:rFonts w:ascii="宋体" w:hAnsi="宋体" w:cs="宋体"/>
          <w:szCs w:val="21"/>
          <w:highlight w:val="none"/>
        </w:rPr>
      </w:pPr>
    </w:p>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widowControl/>
        <w:jc w:val="left"/>
        <w:rPr>
          <w:rFonts w:cs="宋体"/>
          <w:spacing w:val="20"/>
          <w:szCs w:val="21"/>
          <w:highlight w:val="none"/>
          <w:lang w:bidi="ar"/>
        </w:rPr>
      </w:pPr>
      <w:r>
        <w:rPr>
          <w:rFonts w:cs="宋体"/>
          <w:spacing w:val="20"/>
          <w:szCs w:val="21"/>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6.</w:t>
      </w:r>
      <w:bookmarkStart w:id="203" w:name="OLE_LINK60"/>
      <w:r>
        <w:rPr>
          <w:rFonts w:hint="eastAsia" w:ascii="宋体" w:hAnsi="宋体"/>
          <w:b/>
          <w:bCs/>
          <w:szCs w:val="21"/>
          <w:highlight w:val="none"/>
          <w:lang w:bidi="ar"/>
        </w:rPr>
        <w:t>项目实施人员一览表</w:t>
      </w:r>
      <w:bookmarkEnd w:id="203"/>
    </w:p>
    <w:p>
      <w:pPr>
        <w:spacing w:before="331" w:beforeLines="100" w:after="331" w:afterLines="100" w:line="320" w:lineRule="exact"/>
        <w:jc w:val="center"/>
        <w:rPr>
          <w:rFonts w:ascii="宋体" w:hAnsi="宋体"/>
          <w:b/>
          <w:szCs w:val="21"/>
          <w:highlight w:val="none"/>
        </w:rPr>
      </w:pPr>
      <w:r>
        <w:rPr>
          <w:rFonts w:hint="eastAsia" w:ascii="宋体" w:hAnsi="宋体"/>
          <w:b/>
          <w:szCs w:val="21"/>
          <w:highlight w:val="none"/>
        </w:rPr>
        <w:t>项目</w:t>
      </w:r>
      <w:r>
        <w:rPr>
          <w:rFonts w:ascii="宋体" w:hAnsi="宋体"/>
          <w:b/>
          <w:szCs w:val="21"/>
          <w:highlight w:val="none"/>
        </w:rPr>
        <w:t>实施人员一览表</w:t>
      </w:r>
    </w:p>
    <w:p>
      <w:pPr>
        <w:spacing w:line="360" w:lineRule="auto"/>
        <w:rPr>
          <w:rFonts w:ascii="宋体" w:hAnsi="宋体" w:cs="仿宋_GB2312"/>
          <w:kern w:val="0"/>
          <w:szCs w:val="21"/>
          <w:highlight w:val="none"/>
          <w:u w:val="single"/>
        </w:rPr>
      </w:pPr>
      <w:r>
        <w:rPr>
          <w:rFonts w:hint="eastAsia" w:ascii="宋体" w:hAnsi="宋体" w:cs="仿宋_GB2312"/>
          <w:kern w:val="0"/>
          <w:szCs w:val="21"/>
          <w:highlight w:val="none"/>
        </w:rPr>
        <w:t>项目名称：</w:t>
      </w:r>
    </w:p>
    <w:p>
      <w:pPr>
        <w:spacing w:line="360" w:lineRule="auto"/>
        <w:rPr>
          <w:rFonts w:ascii="宋体" w:hAnsi="Courier New"/>
          <w:kern w:val="0"/>
          <w:sz w:val="20"/>
          <w:szCs w:val="21"/>
          <w:highlight w:val="none"/>
        </w:rPr>
      </w:pPr>
      <w:r>
        <w:rPr>
          <w:rFonts w:hint="eastAsia" w:ascii="宋体" w:hAnsi="Courier New"/>
          <w:kern w:val="0"/>
          <w:szCs w:val="21"/>
          <w:highlight w:val="none"/>
        </w:rPr>
        <w:t>项目编</w:t>
      </w:r>
      <w:r>
        <w:rPr>
          <w:rFonts w:hint="eastAsia" w:ascii="宋体" w:hAnsi="Courier New"/>
          <w:kern w:val="0"/>
          <w:sz w:val="20"/>
          <w:szCs w:val="21"/>
          <w:highlight w:val="none"/>
        </w:rPr>
        <w:t>号：</w:t>
      </w:r>
    </w:p>
    <w:p>
      <w:pPr>
        <w:spacing w:line="360" w:lineRule="auto"/>
        <w:rPr>
          <w:rFonts w:ascii="宋体" w:hAnsi="宋体" w:cs="仿宋_GB2312"/>
          <w:kern w:val="0"/>
          <w:szCs w:val="21"/>
          <w:highlight w:val="none"/>
        </w:rPr>
      </w:pPr>
      <w:r>
        <w:rPr>
          <w:rFonts w:hint="eastAsia" w:ascii="宋体" w:hAnsi="宋体" w:cs="仿宋_GB2312"/>
          <w:kern w:val="0"/>
          <w:szCs w:val="21"/>
          <w:highlight w:val="none"/>
        </w:rPr>
        <w:t>分标名称：</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707"/>
        <w:gridCol w:w="709"/>
        <w:gridCol w:w="648"/>
        <w:gridCol w:w="685"/>
        <w:gridCol w:w="1360"/>
        <w:gridCol w:w="707"/>
        <w:gridCol w:w="709"/>
        <w:gridCol w:w="707"/>
        <w:gridCol w:w="71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98"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序号</w:t>
            </w:r>
          </w:p>
        </w:tc>
        <w:tc>
          <w:tcPr>
            <w:tcW w:w="415"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姓名</w:t>
            </w:r>
          </w:p>
        </w:tc>
        <w:tc>
          <w:tcPr>
            <w:tcW w:w="416"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性别</w:t>
            </w:r>
          </w:p>
        </w:tc>
        <w:tc>
          <w:tcPr>
            <w:tcW w:w="380"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学历</w:t>
            </w:r>
          </w:p>
        </w:tc>
        <w:tc>
          <w:tcPr>
            <w:tcW w:w="402"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职务</w:t>
            </w:r>
          </w:p>
        </w:tc>
        <w:tc>
          <w:tcPr>
            <w:tcW w:w="798" w:type="pct"/>
            <w:vAlign w:val="center"/>
          </w:tcPr>
          <w:p>
            <w:pPr>
              <w:snapToGrid w:val="0"/>
              <w:spacing w:before="50" w:after="165" w:afterLines="50"/>
              <w:jc w:val="center"/>
              <w:rPr>
                <w:rFonts w:ascii="宋体" w:hAnsi="宋体"/>
                <w:szCs w:val="21"/>
                <w:highlight w:val="none"/>
              </w:rPr>
            </w:pPr>
            <w:r>
              <w:rPr>
                <w:rFonts w:hint="eastAsia" w:hAnsi="宋体"/>
                <w:szCs w:val="21"/>
                <w:highlight w:val="none"/>
              </w:rPr>
              <w:t>证书名称及专业</w:t>
            </w:r>
          </w:p>
        </w:tc>
        <w:tc>
          <w:tcPr>
            <w:tcW w:w="415" w:type="pct"/>
            <w:vAlign w:val="center"/>
          </w:tcPr>
          <w:p>
            <w:pPr>
              <w:snapToGrid w:val="0"/>
              <w:spacing w:before="50" w:after="165" w:afterLines="50"/>
              <w:jc w:val="center"/>
              <w:rPr>
                <w:rFonts w:ascii="宋体" w:hAnsi="宋体"/>
                <w:szCs w:val="21"/>
                <w:highlight w:val="none"/>
              </w:rPr>
            </w:pPr>
            <w:r>
              <w:rPr>
                <w:rFonts w:hint="eastAsia" w:hAnsi="宋体"/>
                <w:szCs w:val="21"/>
                <w:highlight w:val="none"/>
              </w:rPr>
              <w:t>证书编号</w:t>
            </w:r>
          </w:p>
        </w:tc>
        <w:tc>
          <w:tcPr>
            <w:tcW w:w="416"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身份证号</w:t>
            </w:r>
          </w:p>
        </w:tc>
        <w:tc>
          <w:tcPr>
            <w:tcW w:w="415"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联系电话</w:t>
            </w:r>
          </w:p>
        </w:tc>
        <w:tc>
          <w:tcPr>
            <w:tcW w:w="417"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是否驻场</w:t>
            </w:r>
          </w:p>
        </w:tc>
        <w:tc>
          <w:tcPr>
            <w:tcW w:w="529"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98"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1</w:t>
            </w:r>
          </w:p>
        </w:tc>
        <w:tc>
          <w:tcPr>
            <w:tcW w:w="415" w:type="pct"/>
            <w:vAlign w:val="center"/>
          </w:tcPr>
          <w:p>
            <w:pPr>
              <w:snapToGrid w:val="0"/>
              <w:spacing w:before="50" w:after="165" w:afterLines="50"/>
              <w:jc w:val="center"/>
              <w:rPr>
                <w:rFonts w:ascii="宋体" w:hAnsi="宋体"/>
                <w:szCs w:val="21"/>
                <w:highlight w:val="none"/>
              </w:rPr>
            </w:pPr>
          </w:p>
        </w:tc>
        <w:tc>
          <w:tcPr>
            <w:tcW w:w="416" w:type="pct"/>
            <w:vAlign w:val="center"/>
          </w:tcPr>
          <w:p>
            <w:pPr>
              <w:snapToGrid w:val="0"/>
              <w:spacing w:before="50" w:after="165" w:afterLines="50"/>
              <w:jc w:val="center"/>
              <w:rPr>
                <w:rFonts w:ascii="宋体" w:hAnsi="宋体"/>
                <w:szCs w:val="21"/>
                <w:highlight w:val="none"/>
              </w:rPr>
            </w:pPr>
          </w:p>
        </w:tc>
        <w:tc>
          <w:tcPr>
            <w:tcW w:w="380" w:type="pct"/>
            <w:vAlign w:val="center"/>
          </w:tcPr>
          <w:p>
            <w:pPr>
              <w:snapToGrid w:val="0"/>
              <w:spacing w:before="50" w:after="165" w:afterLines="50"/>
              <w:jc w:val="center"/>
              <w:rPr>
                <w:rFonts w:ascii="宋体" w:hAnsi="宋体"/>
                <w:szCs w:val="21"/>
                <w:highlight w:val="none"/>
              </w:rPr>
            </w:pPr>
          </w:p>
        </w:tc>
        <w:tc>
          <w:tcPr>
            <w:tcW w:w="402" w:type="pct"/>
            <w:vAlign w:val="center"/>
          </w:tcPr>
          <w:p>
            <w:pPr>
              <w:snapToGrid w:val="0"/>
              <w:spacing w:before="50" w:after="165" w:afterLines="50"/>
              <w:jc w:val="center"/>
              <w:rPr>
                <w:rFonts w:ascii="宋体" w:hAnsi="宋体"/>
                <w:szCs w:val="21"/>
                <w:highlight w:val="none"/>
              </w:rPr>
            </w:pPr>
          </w:p>
        </w:tc>
        <w:tc>
          <w:tcPr>
            <w:tcW w:w="798" w:type="pct"/>
          </w:tcPr>
          <w:p>
            <w:pPr>
              <w:snapToGrid w:val="0"/>
              <w:spacing w:before="50" w:after="165" w:afterLines="50"/>
              <w:jc w:val="center"/>
              <w:rPr>
                <w:rFonts w:ascii="宋体" w:hAnsi="宋体"/>
                <w:szCs w:val="21"/>
                <w:highlight w:val="none"/>
              </w:rPr>
            </w:pPr>
          </w:p>
        </w:tc>
        <w:tc>
          <w:tcPr>
            <w:tcW w:w="415" w:type="pct"/>
            <w:vAlign w:val="center"/>
          </w:tcPr>
          <w:p>
            <w:pPr>
              <w:snapToGrid w:val="0"/>
              <w:spacing w:before="50" w:after="165" w:afterLines="50"/>
              <w:jc w:val="center"/>
              <w:rPr>
                <w:rFonts w:ascii="宋体" w:hAnsi="宋体"/>
                <w:szCs w:val="21"/>
                <w:highlight w:val="none"/>
              </w:rPr>
            </w:pPr>
          </w:p>
        </w:tc>
        <w:tc>
          <w:tcPr>
            <w:tcW w:w="416" w:type="pct"/>
            <w:vAlign w:val="center"/>
          </w:tcPr>
          <w:p>
            <w:pPr>
              <w:snapToGrid w:val="0"/>
              <w:spacing w:before="50" w:after="165" w:afterLines="50"/>
              <w:jc w:val="center"/>
              <w:rPr>
                <w:rFonts w:ascii="宋体" w:hAnsi="宋体"/>
                <w:szCs w:val="21"/>
                <w:highlight w:val="none"/>
              </w:rPr>
            </w:pPr>
          </w:p>
        </w:tc>
        <w:tc>
          <w:tcPr>
            <w:tcW w:w="415" w:type="pct"/>
            <w:vAlign w:val="center"/>
          </w:tcPr>
          <w:p>
            <w:pPr>
              <w:snapToGrid w:val="0"/>
              <w:spacing w:before="50" w:after="165" w:afterLines="50"/>
              <w:jc w:val="center"/>
              <w:rPr>
                <w:rFonts w:ascii="宋体" w:hAnsi="宋体"/>
                <w:szCs w:val="21"/>
                <w:highlight w:val="none"/>
              </w:rPr>
            </w:pPr>
          </w:p>
        </w:tc>
        <w:tc>
          <w:tcPr>
            <w:tcW w:w="417" w:type="pct"/>
            <w:vAlign w:val="center"/>
          </w:tcPr>
          <w:p>
            <w:pPr>
              <w:snapToGrid w:val="0"/>
              <w:spacing w:before="50" w:after="165" w:afterLines="50"/>
              <w:jc w:val="center"/>
              <w:rPr>
                <w:rFonts w:ascii="宋体" w:hAnsi="宋体"/>
                <w:szCs w:val="21"/>
                <w:highlight w:val="none"/>
              </w:rPr>
            </w:pPr>
          </w:p>
        </w:tc>
        <w:tc>
          <w:tcPr>
            <w:tcW w:w="529" w:type="pct"/>
            <w:vAlign w:val="center"/>
          </w:tcPr>
          <w:p>
            <w:pPr>
              <w:snapToGrid w:val="0"/>
              <w:spacing w:before="50" w:after="165" w:afterLines="5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98"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2</w:t>
            </w:r>
          </w:p>
        </w:tc>
        <w:tc>
          <w:tcPr>
            <w:tcW w:w="415" w:type="pct"/>
            <w:vAlign w:val="center"/>
          </w:tcPr>
          <w:p>
            <w:pPr>
              <w:snapToGrid w:val="0"/>
              <w:spacing w:before="50" w:after="165" w:afterLines="50"/>
              <w:jc w:val="center"/>
              <w:rPr>
                <w:rFonts w:ascii="宋体" w:hAnsi="宋体"/>
                <w:szCs w:val="21"/>
                <w:highlight w:val="none"/>
              </w:rPr>
            </w:pPr>
          </w:p>
        </w:tc>
        <w:tc>
          <w:tcPr>
            <w:tcW w:w="416" w:type="pct"/>
            <w:vAlign w:val="center"/>
          </w:tcPr>
          <w:p>
            <w:pPr>
              <w:snapToGrid w:val="0"/>
              <w:spacing w:before="50" w:after="165" w:afterLines="50"/>
              <w:jc w:val="center"/>
              <w:rPr>
                <w:rFonts w:ascii="宋体" w:hAnsi="宋体"/>
                <w:szCs w:val="21"/>
                <w:highlight w:val="none"/>
              </w:rPr>
            </w:pPr>
          </w:p>
        </w:tc>
        <w:tc>
          <w:tcPr>
            <w:tcW w:w="380" w:type="pct"/>
            <w:vAlign w:val="center"/>
          </w:tcPr>
          <w:p>
            <w:pPr>
              <w:snapToGrid w:val="0"/>
              <w:spacing w:before="50" w:after="165" w:afterLines="50"/>
              <w:jc w:val="center"/>
              <w:rPr>
                <w:rFonts w:ascii="宋体" w:hAnsi="宋体"/>
                <w:szCs w:val="21"/>
                <w:highlight w:val="none"/>
              </w:rPr>
            </w:pPr>
          </w:p>
        </w:tc>
        <w:tc>
          <w:tcPr>
            <w:tcW w:w="402" w:type="pct"/>
            <w:vAlign w:val="center"/>
          </w:tcPr>
          <w:p>
            <w:pPr>
              <w:snapToGrid w:val="0"/>
              <w:spacing w:before="50" w:after="165" w:afterLines="50"/>
              <w:jc w:val="center"/>
              <w:rPr>
                <w:rFonts w:ascii="宋体" w:hAnsi="宋体"/>
                <w:szCs w:val="21"/>
                <w:highlight w:val="none"/>
              </w:rPr>
            </w:pPr>
          </w:p>
        </w:tc>
        <w:tc>
          <w:tcPr>
            <w:tcW w:w="798" w:type="pct"/>
          </w:tcPr>
          <w:p>
            <w:pPr>
              <w:snapToGrid w:val="0"/>
              <w:spacing w:before="50" w:after="165" w:afterLines="50"/>
              <w:jc w:val="center"/>
              <w:rPr>
                <w:rFonts w:ascii="宋体" w:hAnsi="宋体"/>
                <w:szCs w:val="21"/>
                <w:highlight w:val="none"/>
              </w:rPr>
            </w:pPr>
          </w:p>
        </w:tc>
        <w:tc>
          <w:tcPr>
            <w:tcW w:w="415" w:type="pct"/>
            <w:vAlign w:val="center"/>
          </w:tcPr>
          <w:p>
            <w:pPr>
              <w:snapToGrid w:val="0"/>
              <w:spacing w:before="50" w:after="165" w:afterLines="50"/>
              <w:jc w:val="center"/>
              <w:rPr>
                <w:rFonts w:ascii="宋体" w:hAnsi="宋体"/>
                <w:szCs w:val="21"/>
                <w:highlight w:val="none"/>
              </w:rPr>
            </w:pPr>
          </w:p>
        </w:tc>
        <w:tc>
          <w:tcPr>
            <w:tcW w:w="416" w:type="pct"/>
            <w:vAlign w:val="center"/>
          </w:tcPr>
          <w:p>
            <w:pPr>
              <w:snapToGrid w:val="0"/>
              <w:spacing w:before="50" w:after="165" w:afterLines="50"/>
              <w:jc w:val="center"/>
              <w:rPr>
                <w:rFonts w:ascii="宋体" w:hAnsi="宋体"/>
                <w:szCs w:val="21"/>
                <w:highlight w:val="none"/>
              </w:rPr>
            </w:pPr>
          </w:p>
        </w:tc>
        <w:tc>
          <w:tcPr>
            <w:tcW w:w="415" w:type="pct"/>
            <w:vAlign w:val="center"/>
          </w:tcPr>
          <w:p>
            <w:pPr>
              <w:snapToGrid w:val="0"/>
              <w:spacing w:before="50" w:after="165" w:afterLines="50"/>
              <w:jc w:val="center"/>
              <w:rPr>
                <w:rFonts w:ascii="宋体" w:hAnsi="宋体"/>
                <w:szCs w:val="21"/>
                <w:highlight w:val="none"/>
              </w:rPr>
            </w:pPr>
          </w:p>
        </w:tc>
        <w:tc>
          <w:tcPr>
            <w:tcW w:w="417" w:type="pct"/>
            <w:vAlign w:val="center"/>
          </w:tcPr>
          <w:p>
            <w:pPr>
              <w:snapToGrid w:val="0"/>
              <w:spacing w:before="50" w:after="165" w:afterLines="50"/>
              <w:jc w:val="center"/>
              <w:rPr>
                <w:rFonts w:ascii="宋体" w:hAnsi="宋体"/>
                <w:szCs w:val="21"/>
                <w:highlight w:val="none"/>
              </w:rPr>
            </w:pPr>
          </w:p>
        </w:tc>
        <w:tc>
          <w:tcPr>
            <w:tcW w:w="529" w:type="pct"/>
            <w:vAlign w:val="center"/>
          </w:tcPr>
          <w:p>
            <w:pPr>
              <w:snapToGrid w:val="0"/>
              <w:spacing w:before="50" w:after="165" w:afterLines="5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98"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3</w:t>
            </w:r>
          </w:p>
        </w:tc>
        <w:tc>
          <w:tcPr>
            <w:tcW w:w="415" w:type="pct"/>
            <w:vAlign w:val="center"/>
          </w:tcPr>
          <w:p>
            <w:pPr>
              <w:snapToGrid w:val="0"/>
              <w:spacing w:before="50" w:after="165" w:afterLines="50"/>
              <w:jc w:val="center"/>
              <w:rPr>
                <w:rFonts w:ascii="宋体" w:hAnsi="宋体"/>
                <w:szCs w:val="21"/>
                <w:highlight w:val="none"/>
              </w:rPr>
            </w:pPr>
          </w:p>
        </w:tc>
        <w:tc>
          <w:tcPr>
            <w:tcW w:w="416" w:type="pct"/>
            <w:vAlign w:val="center"/>
          </w:tcPr>
          <w:p>
            <w:pPr>
              <w:snapToGrid w:val="0"/>
              <w:spacing w:before="50" w:after="165" w:afterLines="50"/>
              <w:jc w:val="center"/>
              <w:rPr>
                <w:rFonts w:ascii="宋体" w:hAnsi="宋体"/>
                <w:szCs w:val="21"/>
                <w:highlight w:val="none"/>
              </w:rPr>
            </w:pPr>
          </w:p>
        </w:tc>
        <w:tc>
          <w:tcPr>
            <w:tcW w:w="380" w:type="pct"/>
            <w:vAlign w:val="center"/>
          </w:tcPr>
          <w:p>
            <w:pPr>
              <w:snapToGrid w:val="0"/>
              <w:spacing w:before="50" w:after="165" w:afterLines="50"/>
              <w:jc w:val="center"/>
              <w:rPr>
                <w:rFonts w:ascii="宋体" w:hAnsi="宋体"/>
                <w:szCs w:val="21"/>
                <w:highlight w:val="none"/>
              </w:rPr>
            </w:pPr>
          </w:p>
        </w:tc>
        <w:tc>
          <w:tcPr>
            <w:tcW w:w="402" w:type="pct"/>
            <w:vAlign w:val="center"/>
          </w:tcPr>
          <w:p>
            <w:pPr>
              <w:snapToGrid w:val="0"/>
              <w:spacing w:before="50" w:after="165" w:afterLines="50"/>
              <w:jc w:val="center"/>
              <w:rPr>
                <w:rFonts w:ascii="宋体" w:hAnsi="宋体"/>
                <w:szCs w:val="21"/>
                <w:highlight w:val="none"/>
              </w:rPr>
            </w:pPr>
          </w:p>
        </w:tc>
        <w:tc>
          <w:tcPr>
            <w:tcW w:w="798" w:type="pct"/>
          </w:tcPr>
          <w:p>
            <w:pPr>
              <w:snapToGrid w:val="0"/>
              <w:spacing w:before="50" w:after="165" w:afterLines="50"/>
              <w:jc w:val="center"/>
              <w:rPr>
                <w:rFonts w:ascii="宋体" w:hAnsi="宋体"/>
                <w:szCs w:val="21"/>
                <w:highlight w:val="none"/>
              </w:rPr>
            </w:pPr>
          </w:p>
        </w:tc>
        <w:tc>
          <w:tcPr>
            <w:tcW w:w="415" w:type="pct"/>
            <w:vAlign w:val="center"/>
          </w:tcPr>
          <w:p>
            <w:pPr>
              <w:snapToGrid w:val="0"/>
              <w:spacing w:before="50" w:after="165" w:afterLines="50"/>
              <w:jc w:val="center"/>
              <w:rPr>
                <w:rFonts w:ascii="宋体" w:hAnsi="宋体"/>
                <w:szCs w:val="21"/>
                <w:highlight w:val="none"/>
              </w:rPr>
            </w:pPr>
          </w:p>
        </w:tc>
        <w:tc>
          <w:tcPr>
            <w:tcW w:w="416" w:type="pct"/>
            <w:vAlign w:val="center"/>
          </w:tcPr>
          <w:p>
            <w:pPr>
              <w:snapToGrid w:val="0"/>
              <w:spacing w:before="50" w:after="165" w:afterLines="50"/>
              <w:jc w:val="center"/>
              <w:rPr>
                <w:rFonts w:ascii="宋体" w:hAnsi="宋体"/>
                <w:szCs w:val="21"/>
                <w:highlight w:val="none"/>
              </w:rPr>
            </w:pPr>
          </w:p>
        </w:tc>
        <w:tc>
          <w:tcPr>
            <w:tcW w:w="415" w:type="pct"/>
            <w:vAlign w:val="center"/>
          </w:tcPr>
          <w:p>
            <w:pPr>
              <w:snapToGrid w:val="0"/>
              <w:spacing w:before="50" w:after="165" w:afterLines="50"/>
              <w:jc w:val="center"/>
              <w:rPr>
                <w:rFonts w:ascii="宋体" w:hAnsi="宋体"/>
                <w:szCs w:val="21"/>
                <w:highlight w:val="none"/>
              </w:rPr>
            </w:pPr>
          </w:p>
        </w:tc>
        <w:tc>
          <w:tcPr>
            <w:tcW w:w="417" w:type="pct"/>
            <w:vAlign w:val="center"/>
          </w:tcPr>
          <w:p>
            <w:pPr>
              <w:snapToGrid w:val="0"/>
              <w:spacing w:before="50" w:after="165" w:afterLines="50"/>
              <w:jc w:val="center"/>
              <w:rPr>
                <w:rFonts w:ascii="宋体" w:hAnsi="宋体"/>
                <w:szCs w:val="21"/>
                <w:highlight w:val="none"/>
              </w:rPr>
            </w:pPr>
          </w:p>
        </w:tc>
        <w:tc>
          <w:tcPr>
            <w:tcW w:w="529" w:type="pct"/>
            <w:vAlign w:val="center"/>
          </w:tcPr>
          <w:p>
            <w:pPr>
              <w:snapToGrid w:val="0"/>
              <w:spacing w:before="50" w:after="165" w:afterLines="5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98"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w:t>
            </w:r>
          </w:p>
        </w:tc>
        <w:tc>
          <w:tcPr>
            <w:tcW w:w="415" w:type="pct"/>
            <w:vAlign w:val="center"/>
          </w:tcPr>
          <w:p>
            <w:pPr>
              <w:snapToGrid w:val="0"/>
              <w:spacing w:before="50" w:after="165" w:afterLines="50"/>
              <w:jc w:val="center"/>
              <w:rPr>
                <w:rFonts w:ascii="宋体" w:hAnsi="宋体"/>
                <w:szCs w:val="21"/>
                <w:highlight w:val="none"/>
              </w:rPr>
            </w:pPr>
          </w:p>
        </w:tc>
        <w:tc>
          <w:tcPr>
            <w:tcW w:w="416" w:type="pct"/>
            <w:vAlign w:val="center"/>
          </w:tcPr>
          <w:p>
            <w:pPr>
              <w:snapToGrid w:val="0"/>
              <w:spacing w:before="50" w:after="165" w:afterLines="50"/>
              <w:jc w:val="center"/>
              <w:rPr>
                <w:rFonts w:ascii="宋体" w:hAnsi="宋体"/>
                <w:szCs w:val="21"/>
                <w:highlight w:val="none"/>
              </w:rPr>
            </w:pPr>
          </w:p>
        </w:tc>
        <w:tc>
          <w:tcPr>
            <w:tcW w:w="380" w:type="pct"/>
            <w:vAlign w:val="center"/>
          </w:tcPr>
          <w:p>
            <w:pPr>
              <w:snapToGrid w:val="0"/>
              <w:spacing w:before="50" w:after="165" w:afterLines="50"/>
              <w:jc w:val="center"/>
              <w:rPr>
                <w:rFonts w:ascii="宋体" w:hAnsi="宋体"/>
                <w:szCs w:val="21"/>
                <w:highlight w:val="none"/>
              </w:rPr>
            </w:pPr>
          </w:p>
        </w:tc>
        <w:tc>
          <w:tcPr>
            <w:tcW w:w="402" w:type="pct"/>
            <w:vAlign w:val="center"/>
          </w:tcPr>
          <w:p>
            <w:pPr>
              <w:snapToGrid w:val="0"/>
              <w:spacing w:before="50" w:after="165" w:afterLines="50"/>
              <w:jc w:val="center"/>
              <w:rPr>
                <w:rFonts w:ascii="宋体" w:hAnsi="宋体"/>
                <w:szCs w:val="21"/>
                <w:highlight w:val="none"/>
              </w:rPr>
            </w:pPr>
          </w:p>
        </w:tc>
        <w:tc>
          <w:tcPr>
            <w:tcW w:w="798" w:type="pct"/>
          </w:tcPr>
          <w:p>
            <w:pPr>
              <w:snapToGrid w:val="0"/>
              <w:spacing w:before="50" w:after="165" w:afterLines="50"/>
              <w:jc w:val="center"/>
              <w:rPr>
                <w:rFonts w:ascii="宋体" w:hAnsi="宋体"/>
                <w:szCs w:val="21"/>
                <w:highlight w:val="none"/>
              </w:rPr>
            </w:pPr>
          </w:p>
        </w:tc>
        <w:tc>
          <w:tcPr>
            <w:tcW w:w="415" w:type="pct"/>
            <w:vAlign w:val="center"/>
          </w:tcPr>
          <w:p>
            <w:pPr>
              <w:snapToGrid w:val="0"/>
              <w:spacing w:before="50" w:after="165" w:afterLines="50"/>
              <w:jc w:val="center"/>
              <w:rPr>
                <w:rFonts w:ascii="宋体" w:hAnsi="宋体"/>
                <w:szCs w:val="21"/>
                <w:highlight w:val="none"/>
              </w:rPr>
            </w:pPr>
          </w:p>
        </w:tc>
        <w:tc>
          <w:tcPr>
            <w:tcW w:w="416" w:type="pct"/>
            <w:vAlign w:val="center"/>
          </w:tcPr>
          <w:p>
            <w:pPr>
              <w:snapToGrid w:val="0"/>
              <w:spacing w:before="50" w:after="165" w:afterLines="50"/>
              <w:jc w:val="center"/>
              <w:rPr>
                <w:rFonts w:ascii="宋体" w:hAnsi="宋体"/>
                <w:szCs w:val="21"/>
                <w:highlight w:val="none"/>
              </w:rPr>
            </w:pPr>
          </w:p>
        </w:tc>
        <w:tc>
          <w:tcPr>
            <w:tcW w:w="415" w:type="pct"/>
            <w:vAlign w:val="center"/>
          </w:tcPr>
          <w:p>
            <w:pPr>
              <w:snapToGrid w:val="0"/>
              <w:spacing w:before="50" w:after="165" w:afterLines="50"/>
              <w:jc w:val="center"/>
              <w:rPr>
                <w:rFonts w:ascii="宋体" w:hAnsi="宋体"/>
                <w:szCs w:val="21"/>
                <w:highlight w:val="none"/>
              </w:rPr>
            </w:pPr>
          </w:p>
        </w:tc>
        <w:tc>
          <w:tcPr>
            <w:tcW w:w="417" w:type="pct"/>
            <w:vAlign w:val="center"/>
          </w:tcPr>
          <w:p>
            <w:pPr>
              <w:snapToGrid w:val="0"/>
              <w:spacing w:before="50" w:after="165" w:afterLines="50"/>
              <w:jc w:val="center"/>
              <w:rPr>
                <w:rFonts w:ascii="宋体" w:hAnsi="宋体"/>
                <w:szCs w:val="21"/>
                <w:highlight w:val="none"/>
              </w:rPr>
            </w:pPr>
          </w:p>
        </w:tc>
        <w:tc>
          <w:tcPr>
            <w:tcW w:w="529" w:type="pct"/>
            <w:vAlign w:val="center"/>
          </w:tcPr>
          <w:p>
            <w:pPr>
              <w:snapToGrid w:val="0"/>
              <w:spacing w:before="50" w:after="165" w:afterLines="5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98"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N</w:t>
            </w:r>
          </w:p>
        </w:tc>
        <w:tc>
          <w:tcPr>
            <w:tcW w:w="415" w:type="pct"/>
            <w:vAlign w:val="center"/>
          </w:tcPr>
          <w:p>
            <w:pPr>
              <w:snapToGrid w:val="0"/>
              <w:spacing w:before="50" w:after="165" w:afterLines="50"/>
              <w:jc w:val="center"/>
              <w:rPr>
                <w:rFonts w:ascii="宋体" w:hAnsi="宋体"/>
                <w:szCs w:val="21"/>
                <w:highlight w:val="none"/>
              </w:rPr>
            </w:pPr>
          </w:p>
        </w:tc>
        <w:tc>
          <w:tcPr>
            <w:tcW w:w="416" w:type="pct"/>
            <w:vAlign w:val="center"/>
          </w:tcPr>
          <w:p>
            <w:pPr>
              <w:snapToGrid w:val="0"/>
              <w:spacing w:before="50" w:after="165" w:afterLines="50"/>
              <w:jc w:val="center"/>
              <w:rPr>
                <w:rFonts w:ascii="宋体" w:hAnsi="宋体"/>
                <w:szCs w:val="21"/>
                <w:highlight w:val="none"/>
              </w:rPr>
            </w:pPr>
          </w:p>
        </w:tc>
        <w:tc>
          <w:tcPr>
            <w:tcW w:w="380" w:type="pct"/>
            <w:vAlign w:val="center"/>
          </w:tcPr>
          <w:p>
            <w:pPr>
              <w:snapToGrid w:val="0"/>
              <w:spacing w:before="50" w:after="165" w:afterLines="50"/>
              <w:jc w:val="center"/>
              <w:rPr>
                <w:rFonts w:ascii="宋体" w:hAnsi="宋体"/>
                <w:szCs w:val="21"/>
                <w:highlight w:val="none"/>
              </w:rPr>
            </w:pPr>
          </w:p>
        </w:tc>
        <w:tc>
          <w:tcPr>
            <w:tcW w:w="402" w:type="pct"/>
            <w:vAlign w:val="center"/>
          </w:tcPr>
          <w:p>
            <w:pPr>
              <w:snapToGrid w:val="0"/>
              <w:spacing w:before="50" w:after="165" w:afterLines="50"/>
              <w:jc w:val="center"/>
              <w:rPr>
                <w:rFonts w:ascii="宋体" w:hAnsi="宋体"/>
                <w:szCs w:val="21"/>
                <w:highlight w:val="none"/>
              </w:rPr>
            </w:pPr>
          </w:p>
        </w:tc>
        <w:tc>
          <w:tcPr>
            <w:tcW w:w="798" w:type="pct"/>
          </w:tcPr>
          <w:p>
            <w:pPr>
              <w:snapToGrid w:val="0"/>
              <w:spacing w:before="50" w:after="165" w:afterLines="50"/>
              <w:jc w:val="center"/>
              <w:rPr>
                <w:rFonts w:ascii="宋体" w:hAnsi="宋体"/>
                <w:szCs w:val="21"/>
                <w:highlight w:val="none"/>
              </w:rPr>
            </w:pPr>
          </w:p>
        </w:tc>
        <w:tc>
          <w:tcPr>
            <w:tcW w:w="415" w:type="pct"/>
            <w:vAlign w:val="center"/>
          </w:tcPr>
          <w:p>
            <w:pPr>
              <w:snapToGrid w:val="0"/>
              <w:spacing w:before="50" w:after="165" w:afterLines="50"/>
              <w:jc w:val="center"/>
              <w:rPr>
                <w:rFonts w:ascii="宋体" w:hAnsi="宋体"/>
                <w:szCs w:val="21"/>
                <w:highlight w:val="none"/>
              </w:rPr>
            </w:pPr>
          </w:p>
        </w:tc>
        <w:tc>
          <w:tcPr>
            <w:tcW w:w="416" w:type="pct"/>
            <w:vAlign w:val="center"/>
          </w:tcPr>
          <w:p>
            <w:pPr>
              <w:snapToGrid w:val="0"/>
              <w:spacing w:before="50" w:after="165" w:afterLines="50"/>
              <w:jc w:val="center"/>
              <w:rPr>
                <w:rFonts w:ascii="宋体" w:hAnsi="宋体"/>
                <w:szCs w:val="21"/>
                <w:highlight w:val="none"/>
              </w:rPr>
            </w:pPr>
          </w:p>
        </w:tc>
        <w:tc>
          <w:tcPr>
            <w:tcW w:w="415" w:type="pct"/>
            <w:vAlign w:val="center"/>
          </w:tcPr>
          <w:p>
            <w:pPr>
              <w:snapToGrid w:val="0"/>
              <w:spacing w:before="50" w:after="165" w:afterLines="50"/>
              <w:jc w:val="center"/>
              <w:rPr>
                <w:rFonts w:ascii="宋体" w:hAnsi="宋体"/>
                <w:szCs w:val="21"/>
                <w:highlight w:val="none"/>
              </w:rPr>
            </w:pPr>
          </w:p>
        </w:tc>
        <w:tc>
          <w:tcPr>
            <w:tcW w:w="417" w:type="pct"/>
            <w:vAlign w:val="center"/>
          </w:tcPr>
          <w:p>
            <w:pPr>
              <w:snapToGrid w:val="0"/>
              <w:spacing w:before="50" w:after="165" w:afterLines="50"/>
              <w:jc w:val="center"/>
              <w:rPr>
                <w:rFonts w:ascii="宋体" w:hAnsi="宋体"/>
                <w:szCs w:val="21"/>
                <w:highlight w:val="none"/>
              </w:rPr>
            </w:pPr>
          </w:p>
        </w:tc>
        <w:tc>
          <w:tcPr>
            <w:tcW w:w="529" w:type="pct"/>
            <w:vAlign w:val="center"/>
          </w:tcPr>
          <w:p>
            <w:pPr>
              <w:snapToGrid w:val="0"/>
              <w:spacing w:before="50" w:after="165" w:afterLines="50"/>
              <w:jc w:val="center"/>
              <w:rPr>
                <w:rFonts w:ascii="宋体" w:hAnsi="宋体"/>
                <w:szCs w:val="21"/>
                <w:highlight w:val="none"/>
              </w:rPr>
            </w:pPr>
          </w:p>
        </w:tc>
      </w:tr>
    </w:tbl>
    <w:p>
      <w:pPr>
        <w:snapToGrid w:val="0"/>
        <w:spacing w:line="360" w:lineRule="auto"/>
        <w:rPr>
          <w:highlight w:val="none"/>
        </w:rPr>
      </w:pPr>
      <w:r>
        <w:rPr>
          <w:rFonts w:hint="eastAsia" w:ascii="宋体" w:hAnsi="宋体" w:cs="宋体"/>
          <w:b/>
          <w:bCs/>
          <w:kern w:val="0"/>
          <w:szCs w:val="21"/>
          <w:highlight w:val="none"/>
        </w:rPr>
        <w:t>注：附人员名单、身份证正反面扫描件、相关证书扫描件以及投标人为拟投入团队人员缴纳的2024年9月至投标文件提交截止时间内任意1个月的社保证明或劳动合同扫描件；提供的身份证及相关证明扫描件须加盖投标人公章（或电子签章）。</w:t>
      </w:r>
    </w:p>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widowControl/>
        <w:jc w:val="left"/>
        <w:rPr>
          <w:rFonts w:cs="宋体"/>
          <w:spacing w:val="20"/>
          <w:szCs w:val="21"/>
          <w:highlight w:val="none"/>
          <w:lang w:bidi="ar"/>
        </w:rPr>
      </w:pPr>
      <w:r>
        <w:rPr>
          <w:rFonts w:cs="宋体"/>
          <w:spacing w:val="20"/>
          <w:szCs w:val="21"/>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7.企业证书：提供以下证书</w:t>
      </w:r>
      <w:r>
        <w:rPr>
          <w:rFonts w:hint="eastAsia" w:ascii="宋体" w:hAnsi="宋体"/>
          <w:b/>
          <w:bCs/>
          <w:szCs w:val="21"/>
          <w:highlight w:val="none"/>
          <w:lang w:val="en-US" w:eastAsia="zh-CN" w:bidi="ar"/>
        </w:rPr>
        <w:t>扫描件</w:t>
      </w:r>
      <w:r>
        <w:rPr>
          <w:rFonts w:hint="eastAsia" w:ascii="宋体" w:hAnsi="宋体"/>
          <w:b/>
          <w:bCs/>
          <w:szCs w:val="21"/>
          <w:highlight w:val="none"/>
          <w:lang w:bidi="ar"/>
        </w:rPr>
        <w:t>并加盖公章或电子签章。</w:t>
      </w:r>
    </w:p>
    <w:p>
      <w:pPr>
        <w:tabs>
          <w:tab w:val="left" w:pos="312"/>
        </w:tabs>
        <w:spacing w:line="360" w:lineRule="auto"/>
        <w:rPr>
          <w:rFonts w:ascii="宋体" w:hAnsi="宋体"/>
          <w:szCs w:val="21"/>
          <w:highlight w:val="none"/>
        </w:rPr>
      </w:pPr>
      <w:r>
        <w:rPr>
          <w:rFonts w:hint="eastAsia" w:ascii="宋体" w:hAnsi="宋体"/>
          <w:szCs w:val="21"/>
          <w:highlight w:val="none"/>
        </w:rPr>
        <w:t>1.具备有效的质量管理体系认证；</w:t>
      </w:r>
    </w:p>
    <w:p>
      <w:pPr>
        <w:tabs>
          <w:tab w:val="left" w:pos="312"/>
        </w:tabs>
        <w:spacing w:line="360" w:lineRule="auto"/>
        <w:rPr>
          <w:rFonts w:ascii="宋体" w:hAnsi="宋体"/>
          <w:szCs w:val="21"/>
          <w:highlight w:val="none"/>
        </w:rPr>
      </w:pPr>
      <w:r>
        <w:rPr>
          <w:rFonts w:hint="eastAsia" w:ascii="宋体" w:hAnsi="宋体"/>
          <w:szCs w:val="21"/>
          <w:highlight w:val="none"/>
        </w:rPr>
        <w:t>2.具备有效的信息技术服务管理体系认证；</w:t>
      </w:r>
    </w:p>
    <w:p>
      <w:pPr>
        <w:tabs>
          <w:tab w:val="left" w:pos="312"/>
        </w:tabs>
        <w:spacing w:line="360" w:lineRule="auto"/>
        <w:rPr>
          <w:rFonts w:ascii="宋体" w:hAnsi="宋体"/>
          <w:szCs w:val="21"/>
          <w:highlight w:val="none"/>
        </w:rPr>
      </w:pPr>
      <w:r>
        <w:rPr>
          <w:rFonts w:hint="eastAsia" w:ascii="宋体" w:hAnsi="宋体"/>
          <w:szCs w:val="21"/>
          <w:highlight w:val="none"/>
        </w:rPr>
        <w:t>3.具备有效的信息安全管理体系认证。</w:t>
      </w:r>
    </w:p>
    <w:p>
      <w:pPr>
        <w:widowControl/>
        <w:jc w:val="left"/>
        <w:rPr>
          <w:rFonts w:ascii="宋体" w:hAnsi="宋体"/>
          <w:szCs w:val="21"/>
          <w:highlight w:val="none"/>
        </w:rPr>
      </w:pPr>
      <w:r>
        <w:rPr>
          <w:rFonts w:ascii="宋体" w:hAnsi="宋体"/>
          <w:szCs w:val="21"/>
          <w:highlight w:val="none"/>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8.技术需求偏离表（必须提供）</w:t>
      </w:r>
    </w:p>
    <w:p>
      <w:pPr>
        <w:snapToGrid w:val="0"/>
        <w:spacing w:before="165" w:beforeLines="50" w:after="50" w:line="360" w:lineRule="exact"/>
        <w:jc w:val="center"/>
        <w:rPr>
          <w:b/>
          <w:szCs w:val="21"/>
          <w:highlight w:val="none"/>
          <w:lang w:bidi="ar"/>
        </w:rPr>
      </w:pPr>
      <w:r>
        <w:rPr>
          <w:rFonts w:hint="eastAsia" w:ascii="宋体" w:hAnsi="宋体"/>
          <w:b/>
          <w:szCs w:val="21"/>
          <w:highlight w:val="none"/>
        </w:rPr>
        <w:t>技术需求偏离表</w:t>
      </w:r>
    </w:p>
    <w:tbl>
      <w:tblPr>
        <w:tblStyle w:val="54"/>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721"/>
        <w:gridCol w:w="3470"/>
        <w:gridCol w:w="3288"/>
        <w:gridCol w:w="104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8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rFonts w:hint="eastAsia" w:cs="宋体"/>
                <w:szCs w:val="21"/>
                <w:highlight w:val="none"/>
                <w:lang w:bidi="ar"/>
              </w:rPr>
              <w:t>序号</w:t>
            </w:r>
          </w:p>
        </w:tc>
        <w:tc>
          <w:tcPr>
            <w:tcW w:w="2036"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rFonts w:hint="eastAsia" w:cs="宋体"/>
                <w:szCs w:val="21"/>
                <w:highlight w:val="none"/>
                <w:lang w:bidi="ar"/>
              </w:rPr>
              <w:t>招标文件要求</w:t>
            </w:r>
          </w:p>
          <w:p>
            <w:pPr>
              <w:snapToGrid w:val="0"/>
              <w:spacing w:before="165" w:beforeLines="50"/>
              <w:jc w:val="center"/>
              <w:rPr>
                <w:szCs w:val="21"/>
                <w:highlight w:val="none"/>
              </w:rPr>
            </w:pPr>
            <w:r>
              <w:rPr>
                <w:rFonts w:hint="eastAsia" w:cs="宋体"/>
                <w:szCs w:val="21"/>
                <w:highlight w:val="none"/>
                <w:lang w:bidi="ar"/>
              </w:rPr>
              <w:t>（注明章节及条款号）</w:t>
            </w:r>
          </w:p>
        </w:tc>
        <w:tc>
          <w:tcPr>
            <w:tcW w:w="1929"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rFonts w:hint="eastAsia" w:cs="宋体"/>
                <w:szCs w:val="21"/>
                <w:highlight w:val="none"/>
                <w:lang w:bidi="ar"/>
              </w:rPr>
              <w:t>投标文件响应内容</w:t>
            </w:r>
          </w:p>
          <w:p>
            <w:pPr>
              <w:snapToGrid w:val="0"/>
              <w:spacing w:before="165" w:beforeLines="50"/>
              <w:jc w:val="center"/>
              <w:rPr>
                <w:szCs w:val="21"/>
                <w:highlight w:val="none"/>
              </w:rPr>
            </w:pPr>
            <w:r>
              <w:rPr>
                <w:rFonts w:hint="eastAsia" w:cs="宋体"/>
                <w:szCs w:val="21"/>
                <w:highlight w:val="none"/>
                <w:lang w:bidi="ar"/>
              </w:rPr>
              <w:t>（可注明证明材料所在页码）</w:t>
            </w: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rFonts w:hint="eastAsia" w:cs="宋体"/>
                <w:highlight w:val="none"/>
                <w:lang w:bidi="ar"/>
              </w:rPr>
              <w:t>偏离</w:t>
            </w:r>
            <w:r>
              <w:rPr>
                <w:rFonts w:hint="eastAsia" w:cs="宋体"/>
                <w:szCs w:val="21"/>
                <w:highlight w:val="none"/>
                <w:lang w:bidi="ar"/>
              </w:rPr>
              <w:t>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4" w:hRule="exact"/>
          <w:jc w:val="center"/>
        </w:trPr>
        <w:tc>
          <w:tcPr>
            <w:tcW w:w="42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2036"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1929"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4" w:hRule="exact"/>
          <w:jc w:val="center"/>
        </w:trPr>
        <w:tc>
          <w:tcPr>
            <w:tcW w:w="42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2036"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1929"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4" w:hRule="exact"/>
          <w:jc w:val="center"/>
        </w:trPr>
        <w:tc>
          <w:tcPr>
            <w:tcW w:w="42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2036"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1929"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4" w:hRule="exact"/>
          <w:jc w:val="center"/>
        </w:trPr>
        <w:tc>
          <w:tcPr>
            <w:tcW w:w="42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szCs w:val="21"/>
                <w:highlight w:val="none"/>
                <w:lang w:bidi="ar"/>
              </w:rPr>
              <w:t>……</w:t>
            </w:r>
          </w:p>
        </w:tc>
        <w:tc>
          <w:tcPr>
            <w:tcW w:w="2036"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szCs w:val="21"/>
                <w:highlight w:val="none"/>
                <w:lang w:bidi="ar"/>
              </w:rPr>
              <w:t>……</w:t>
            </w:r>
          </w:p>
        </w:tc>
        <w:tc>
          <w:tcPr>
            <w:tcW w:w="1929"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szCs w:val="21"/>
                <w:highlight w:val="none"/>
                <w:lang w:bidi="ar"/>
              </w:rPr>
              <w:t>……</w:t>
            </w: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szCs w:val="21"/>
                <w:highlight w:val="none"/>
                <w:lang w:bidi="ar"/>
              </w:rPr>
              <w:t>……</w:t>
            </w:r>
          </w:p>
        </w:tc>
      </w:tr>
    </w:tbl>
    <w:p>
      <w:pPr>
        <w:pStyle w:val="49"/>
        <w:widowControl w:val="0"/>
        <w:tabs>
          <w:tab w:val="left" w:pos="2127"/>
        </w:tabs>
        <w:spacing w:before="0" w:beforeAutospacing="0" w:after="0" w:afterAutospacing="0" w:line="340" w:lineRule="exact"/>
        <w:rPr>
          <w:rFonts w:ascii="Times New Roman" w:hAnsi="Times New Roman"/>
          <w:kern w:val="2"/>
          <w:sz w:val="21"/>
          <w:szCs w:val="21"/>
          <w:highlight w:val="none"/>
          <w:lang w:bidi="ar"/>
        </w:rPr>
      </w:pPr>
      <w:r>
        <w:rPr>
          <w:rFonts w:hint="eastAsia" w:ascii="Times New Roman" w:hAnsi="Times New Roman"/>
          <w:kern w:val="2"/>
          <w:sz w:val="21"/>
          <w:szCs w:val="21"/>
          <w:highlight w:val="none"/>
          <w:lang w:bidi="ar"/>
        </w:rPr>
        <w:t>注：</w:t>
      </w:r>
    </w:p>
    <w:p>
      <w:pPr>
        <w:pStyle w:val="49"/>
        <w:widowControl w:val="0"/>
        <w:tabs>
          <w:tab w:val="left" w:pos="2127"/>
        </w:tabs>
        <w:spacing w:before="0" w:beforeAutospacing="0" w:after="0" w:afterAutospacing="0" w:line="360" w:lineRule="auto"/>
        <w:ind w:firstLine="420" w:firstLineChars="200"/>
        <w:rPr>
          <w:rFonts w:ascii="Times New Roman" w:hAnsi="Times New Roman"/>
          <w:highlight w:val="none"/>
        </w:rPr>
      </w:pPr>
      <w:r>
        <w:rPr>
          <w:rFonts w:hint="eastAsia" w:ascii="Times New Roman" w:hAnsi="Times New Roman"/>
          <w:kern w:val="2"/>
          <w:sz w:val="21"/>
          <w:szCs w:val="21"/>
          <w:highlight w:val="none"/>
          <w:lang w:bidi="ar"/>
        </w:rPr>
        <w:t>（</w:t>
      </w:r>
      <w:r>
        <w:rPr>
          <w:rFonts w:ascii="Times New Roman" w:hAnsi="Times New Roman"/>
          <w:kern w:val="2"/>
          <w:sz w:val="21"/>
          <w:szCs w:val="21"/>
          <w:highlight w:val="none"/>
          <w:lang w:bidi="ar"/>
        </w:rPr>
        <w:t>1</w:t>
      </w:r>
      <w:r>
        <w:rPr>
          <w:rFonts w:hint="eastAsia" w:ascii="Times New Roman" w:hAnsi="Times New Roman"/>
          <w:kern w:val="2"/>
          <w:sz w:val="21"/>
          <w:szCs w:val="21"/>
          <w:highlight w:val="none"/>
          <w:lang w:bidi="ar"/>
        </w:rPr>
        <w:t>）本表应对招标文件第二章《采购需求》中所列</w:t>
      </w:r>
      <w:bookmarkStart w:id="204" w:name="OLE_LINK42"/>
      <w:r>
        <w:rPr>
          <w:rFonts w:hint="eastAsia" w:ascii="Times New Roman" w:hAnsi="Times New Roman"/>
          <w:kern w:val="2"/>
          <w:sz w:val="21"/>
          <w:szCs w:val="21"/>
          <w:highlight w:val="none"/>
          <w:lang w:eastAsia="zh-CN" w:bidi="ar"/>
        </w:rPr>
        <w:t>“</w:t>
      </w:r>
      <w:bookmarkEnd w:id="204"/>
      <w:r>
        <w:rPr>
          <w:rFonts w:hint="eastAsia" w:ascii="Times New Roman" w:hAnsi="Times New Roman"/>
          <w:kern w:val="2"/>
          <w:sz w:val="21"/>
          <w:szCs w:val="21"/>
          <w:highlight w:val="none"/>
          <w:lang w:bidi="ar"/>
        </w:rPr>
        <w:t>技术要求</w:t>
      </w:r>
      <w:r>
        <w:rPr>
          <w:rFonts w:hint="eastAsia" w:ascii="Times New Roman" w:hAnsi="Times New Roman"/>
          <w:kern w:val="2"/>
          <w:sz w:val="21"/>
          <w:szCs w:val="21"/>
          <w:highlight w:val="none"/>
          <w:lang w:eastAsia="zh-CN" w:bidi="ar"/>
        </w:rPr>
        <w:t>”</w:t>
      </w:r>
      <w:r>
        <w:rPr>
          <w:rFonts w:hint="eastAsia" w:ascii="Times New Roman" w:hAnsi="Times New Roman"/>
          <w:kern w:val="2"/>
          <w:sz w:val="21"/>
          <w:szCs w:val="21"/>
          <w:highlight w:val="none"/>
          <w:lang w:bidi="ar"/>
        </w:rPr>
        <w:t>进行响应，并根据响应情况在</w:t>
      </w:r>
      <w:bookmarkStart w:id="205" w:name="OLE_LINK58"/>
      <w:r>
        <w:rPr>
          <w:rFonts w:hint="eastAsia" w:ascii="Times New Roman" w:hAnsi="Times New Roman"/>
          <w:kern w:val="2"/>
          <w:sz w:val="21"/>
          <w:szCs w:val="21"/>
          <w:highlight w:val="none"/>
          <w:lang w:eastAsia="zh-CN" w:bidi="ar"/>
        </w:rPr>
        <w:t>“</w:t>
      </w:r>
      <w:r>
        <w:rPr>
          <w:rFonts w:hint="eastAsia" w:ascii="Times New Roman" w:hAnsi="Times New Roman"/>
          <w:kern w:val="2"/>
          <w:sz w:val="21"/>
          <w:szCs w:val="21"/>
          <w:highlight w:val="none"/>
          <w:lang w:bidi="ar"/>
        </w:rPr>
        <w:t>偏离说明</w:t>
      </w:r>
      <w:r>
        <w:rPr>
          <w:rFonts w:hint="eastAsia" w:ascii="Times New Roman" w:hAnsi="Times New Roman"/>
          <w:kern w:val="2"/>
          <w:sz w:val="21"/>
          <w:szCs w:val="21"/>
          <w:highlight w:val="none"/>
          <w:lang w:eastAsia="zh-CN" w:bidi="ar"/>
        </w:rPr>
        <w:t>”</w:t>
      </w:r>
      <w:bookmarkEnd w:id="205"/>
      <w:r>
        <w:rPr>
          <w:rFonts w:hint="eastAsia" w:ascii="Times New Roman" w:hAnsi="Times New Roman"/>
          <w:kern w:val="2"/>
          <w:sz w:val="21"/>
          <w:szCs w:val="21"/>
          <w:highlight w:val="none"/>
          <w:lang w:bidi="ar"/>
        </w:rPr>
        <w:t>栏填写正偏离或负偏离及原因，完全符合的填写</w:t>
      </w:r>
      <w:r>
        <w:rPr>
          <w:rFonts w:hint="eastAsia" w:ascii="Times New Roman" w:hAnsi="Times New Roman"/>
          <w:kern w:val="2"/>
          <w:sz w:val="21"/>
          <w:szCs w:val="21"/>
          <w:highlight w:val="none"/>
          <w:lang w:eastAsia="zh-CN" w:bidi="ar"/>
        </w:rPr>
        <w:t>“</w:t>
      </w:r>
      <w:r>
        <w:rPr>
          <w:rFonts w:hint="eastAsia" w:ascii="Times New Roman" w:hAnsi="Times New Roman"/>
          <w:kern w:val="2"/>
          <w:sz w:val="21"/>
          <w:szCs w:val="21"/>
          <w:highlight w:val="none"/>
          <w:lang w:bidi="ar"/>
        </w:rPr>
        <w:t>无偏离</w:t>
      </w:r>
      <w:r>
        <w:rPr>
          <w:rFonts w:hint="eastAsia" w:ascii="Times New Roman" w:hAnsi="Times New Roman"/>
          <w:kern w:val="2"/>
          <w:sz w:val="21"/>
          <w:szCs w:val="21"/>
          <w:highlight w:val="none"/>
          <w:lang w:eastAsia="zh-CN" w:bidi="ar"/>
        </w:rPr>
        <w:t>”</w:t>
      </w:r>
      <w:r>
        <w:rPr>
          <w:rFonts w:hint="eastAsia" w:ascii="Times New Roman" w:hAnsi="Times New Roman"/>
          <w:kern w:val="2"/>
          <w:sz w:val="21"/>
          <w:szCs w:val="21"/>
          <w:highlight w:val="none"/>
          <w:lang w:bidi="ar"/>
        </w:rPr>
        <w:t>。</w:t>
      </w:r>
    </w:p>
    <w:p>
      <w:pPr>
        <w:pStyle w:val="49"/>
        <w:widowControl w:val="0"/>
        <w:tabs>
          <w:tab w:val="left" w:pos="2127"/>
        </w:tabs>
        <w:spacing w:before="0" w:beforeAutospacing="0" w:after="0" w:afterAutospacing="0" w:line="360" w:lineRule="auto"/>
        <w:ind w:firstLine="420" w:firstLineChars="200"/>
        <w:rPr>
          <w:rFonts w:ascii="Times New Roman" w:hAnsi="Times New Roman"/>
          <w:highlight w:val="none"/>
        </w:rPr>
      </w:pPr>
      <w:r>
        <w:rPr>
          <w:rFonts w:hint="eastAsia" w:ascii="Times New Roman" w:hAnsi="Times New Roman"/>
          <w:kern w:val="2"/>
          <w:sz w:val="21"/>
          <w:szCs w:val="21"/>
          <w:highlight w:val="none"/>
          <w:lang w:bidi="ar"/>
        </w:rPr>
        <w:t>（</w:t>
      </w:r>
      <w:r>
        <w:rPr>
          <w:rFonts w:ascii="Times New Roman" w:hAnsi="Times New Roman"/>
          <w:kern w:val="2"/>
          <w:sz w:val="21"/>
          <w:szCs w:val="21"/>
          <w:highlight w:val="none"/>
          <w:lang w:bidi="ar"/>
        </w:rPr>
        <w:t>2</w:t>
      </w:r>
      <w:r>
        <w:rPr>
          <w:rFonts w:hint="eastAsia" w:ascii="Times New Roman" w:hAnsi="Times New Roman"/>
          <w:kern w:val="2"/>
          <w:sz w:val="21"/>
          <w:szCs w:val="21"/>
          <w:highlight w:val="none"/>
          <w:lang w:bidi="ar"/>
        </w:rPr>
        <w:t>）供应商应根据自身的承诺，对照</w:t>
      </w:r>
      <w:r>
        <w:rPr>
          <w:rFonts w:hint="eastAsia" w:ascii="Times New Roman" w:hAnsi="Times New Roman"/>
          <w:kern w:val="2"/>
          <w:sz w:val="21"/>
          <w:szCs w:val="21"/>
          <w:highlight w:val="none"/>
          <w:lang w:eastAsia="zh-CN" w:bidi="ar"/>
        </w:rPr>
        <w:t>招标文件</w:t>
      </w:r>
      <w:r>
        <w:rPr>
          <w:rFonts w:hint="eastAsia" w:ascii="Times New Roman" w:hAnsi="Times New Roman"/>
          <w:kern w:val="2"/>
          <w:sz w:val="21"/>
          <w:szCs w:val="21"/>
          <w:highlight w:val="none"/>
          <w:lang w:bidi="ar"/>
        </w:rPr>
        <w:t>要求在“偏离说明”中注明“正偏离”、“负偏离”或者“无偏离”。既不属于“正偏离”也不属于“负偏离”即为“无偏离”。</w:t>
      </w:r>
    </w:p>
    <w:p>
      <w:pPr>
        <w:pStyle w:val="49"/>
        <w:widowControl w:val="0"/>
        <w:tabs>
          <w:tab w:val="left" w:pos="2127"/>
        </w:tabs>
        <w:spacing w:before="0" w:beforeAutospacing="0" w:after="0" w:afterAutospacing="0" w:line="360" w:lineRule="auto"/>
        <w:ind w:firstLine="420" w:firstLineChars="200"/>
        <w:rPr>
          <w:rFonts w:ascii="Times New Roman" w:hAnsi="Times New Roman"/>
          <w:highlight w:val="none"/>
        </w:rPr>
      </w:pPr>
      <w:r>
        <w:rPr>
          <w:rFonts w:hint="eastAsia" w:ascii="Times New Roman" w:hAnsi="Times New Roman"/>
          <w:kern w:val="2"/>
          <w:sz w:val="21"/>
          <w:szCs w:val="21"/>
          <w:highlight w:val="none"/>
          <w:lang w:bidi="ar"/>
        </w:rPr>
        <w:t>（</w:t>
      </w:r>
      <w:r>
        <w:rPr>
          <w:rFonts w:hint="eastAsia" w:ascii="Times New Roman" w:hAnsi="Times New Roman"/>
          <w:kern w:val="2"/>
          <w:sz w:val="21"/>
          <w:szCs w:val="21"/>
          <w:highlight w:val="none"/>
          <w:lang w:val="en-US" w:eastAsia="zh-CN" w:bidi="ar"/>
        </w:rPr>
        <w:t>3</w:t>
      </w:r>
      <w:r>
        <w:rPr>
          <w:rFonts w:hint="eastAsia" w:ascii="Times New Roman" w:hAnsi="Times New Roman"/>
          <w:kern w:val="2"/>
          <w:sz w:val="21"/>
          <w:szCs w:val="21"/>
          <w:highlight w:val="none"/>
          <w:lang w:bidi="ar"/>
        </w:rPr>
        <w:t>）本表可扩展。</w:t>
      </w:r>
    </w:p>
    <w:p>
      <w:pPr>
        <w:rPr>
          <w:szCs w:val="21"/>
          <w:highlight w:val="none"/>
        </w:rPr>
      </w:pPr>
    </w:p>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widowControl/>
        <w:jc w:val="left"/>
        <w:rPr>
          <w:rFonts w:cs="宋体"/>
          <w:spacing w:val="20"/>
          <w:szCs w:val="21"/>
          <w:highlight w:val="none"/>
          <w:lang w:bidi="ar"/>
        </w:rPr>
      </w:pPr>
      <w:r>
        <w:rPr>
          <w:rFonts w:cs="宋体"/>
          <w:spacing w:val="20"/>
          <w:szCs w:val="21"/>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9.货物或产品配置清单格式（必须提供）</w:t>
      </w:r>
    </w:p>
    <w:tbl>
      <w:tblPr>
        <w:tblStyle w:val="54"/>
        <w:tblW w:w="894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r>
              <w:rPr>
                <w:rFonts w:hint="eastAsia" w:cs="宋体"/>
                <w:szCs w:val="21"/>
                <w:highlight w:val="none"/>
                <w:lang w:bidi="ar"/>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r>
              <w:rPr>
                <w:rFonts w:hint="eastAsia" w:cs="宋体"/>
                <w:szCs w:val="21"/>
                <w:highlight w:val="none"/>
                <w:lang w:bidi="ar"/>
              </w:rPr>
              <w:t>货物或产品</w:t>
            </w:r>
          </w:p>
          <w:p>
            <w:pPr>
              <w:snapToGrid w:val="0"/>
              <w:spacing w:before="50" w:after="50" w:line="440" w:lineRule="exact"/>
              <w:jc w:val="center"/>
              <w:rPr>
                <w:szCs w:val="21"/>
                <w:highlight w:val="none"/>
              </w:rPr>
            </w:pPr>
            <w:r>
              <w:rPr>
                <w:rFonts w:hint="eastAsia" w:cs="宋体"/>
                <w:szCs w:val="21"/>
                <w:highlight w:val="none"/>
                <w:lang w:bidi="ar"/>
              </w:rPr>
              <w:t>名称</w:t>
            </w: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r>
              <w:rPr>
                <w:rFonts w:hint="eastAsia" w:cs="宋体"/>
                <w:szCs w:val="21"/>
                <w:highlight w:val="none"/>
                <w:lang w:bidi="ar"/>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r>
              <w:rPr>
                <w:rFonts w:hint="eastAsia" w:cs="宋体"/>
                <w:szCs w:val="21"/>
                <w:highlight w:val="none"/>
                <w:lang w:bidi="ar"/>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r>
              <w:rPr>
                <w:rFonts w:hint="eastAsia" w:cs="宋体"/>
                <w:szCs w:val="21"/>
                <w:highlight w:val="none"/>
                <w:lang w:bidi="ar"/>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r>
              <w:rPr>
                <w:rFonts w:hint="eastAsia" w:cs="宋体"/>
                <w:szCs w:val="21"/>
                <w:highlight w:val="none"/>
                <w:lang w:bidi="ar"/>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r>
              <w:rPr>
                <w:rFonts w:hint="eastAsia" w:cs="宋体"/>
                <w:szCs w:val="21"/>
                <w:highlight w:val="none"/>
                <w:lang w:bidi="ar"/>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rPr>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r>
    </w:tbl>
    <w:p>
      <w:pPr>
        <w:snapToGrid w:val="0"/>
        <w:spacing w:before="50" w:after="165" w:afterLines="50" w:line="440" w:lineRule="exact"/>
        <w:jc w:val="right"/>
        <w:rPr>
          <w:rFonts w:cs="宋体"/>
          <w:szCs w:val="21"/>
          <w:highlight w:val="none"/>
          <w:lang w:bidi="ar"/>
        </w:rPr>
      </w:pPr>
    </w:p>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widowControl/>
        <w:jc w:val="left"/>
        <w:rPr>
          <w:rFonts w:cs="宋体"/>
          <w:spacing w:val="20"/>
          <w:szCs w:val="21"/>
          <w:highlight w:val="none"/>
          <w:lang w:bidi="ar"/>
        </w:rPr>
      </w:pP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10.技术方案（由投标人根据采购需求及招标文件要求编制，注意提供采购需求中要求的书面承诺（如有要求），格式自拟）</w:t>
      </w:r>
    </w:p>
    <w:p>
      <w:pPr>
        <w:snapToGrid w:val="0"/>
        <w:spacing w:before="50" w:after="165" w:afterLines="50" w:line="440" w:lineRule="exact"/>
        <w:jc w:val="left"/>
        <w:rPr>
          <w:rFonts w:cs="宋体"/>
          <w:spacing w:val="20"/>
          <w:szCs w:val="21"/>
          <w:highlight w:val="none"/>
          <w:lang w:bidi="ar"/>
        </w:rPr>
      </w:pPr>
    </w:p>
    <w:p>
      <w:pPr>
        <w:snapToGrid w:val="0"/>
        <w:spacing w:before="50" w:after="165" w:afterLines="50" w:line="440" w:lineRule="exact"/>
        <w:jc w:val="left"/>
        <w:rPr>
          <w:rFonts w:cs="宋体"/>
          <w:spacing w:val="20"/>
          <w:szCs w:val="21"/>
          <w:highlight w:val="none"/>
          <w:lang w:bidi="ar"/>
        </w:rPr>
      </w:pPr>
    </w:p>
    <w:p>
      <w:pPr>
        <w:snapToGrid w:val="0"/>
        <w:spacing w:before="50" w:after="165" w:afterLines="50" w:line="440" w:lineRule="exact"/>
        <w:jc w:val="left"/>
        <w:rPr>
          <w:rFonts w:cs="宋体"/>
          <w:spacing w:val="20"/>
          <w:szCs w:val="21"/>
          <w:highlight w:val="none"/>
          <w:lang w:bidi="ar"/>
        </w:rPr>
      </w:pP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11.项目实施方案（由投标人根据采购需求及招标文件要求编制，格式自拟）</w:t>
      </w:r>
    </w:p>
    <w:p>
      <w:pPr>
        <w:tabs>
          <w:tab w:val="left" w:pos="312"/>
        </w:tabs>
        <w:spacing w:before="331" w:beforeLines="100" w:after="331" w:afterLines="100" w:line="320" w:lineRule="exact"/>
        <w:rPr>
          <w:rFonts w:ascii="宋体" w:hAnsi="宋体"/>
          <w:b/>
          <w:szCs w:val="21"/>
          <w:highlight w:val="none"/>
        </w:rPr>
      </w:pPr>
    </w:p>
    <w:p>
      <w:pPr>
        <w:tabs>
          <w:tab w:val="left" w:pos="312"/>
        </w:tabs>
        <w:spacing w:before="331" w:beforeLines="100" w:after="331" w:afterLines="100" w:line="320" w:lineRule="exact"/>
        <w:rPr>
          <w:rFonts w:ascii="宋体" w:hAnsi="宋体"/>
          <w:b/>
          <w:szCs w:val="21"/>
          <w:highlight w:val="none"/>
        </w:rPr>
      </w:pPr>
    </w:p>
    <w:p>
      <w:pPr>
        <w:tabs>
          <w:tab w:val="left" w:pos="312"/>
        </w:tabs>
        <w:spacing w:before="331" w:beforeLines="100" w:after="331" w:afterLines="100" w:line="320" w:lineRule="exact"/>
        <w:rPr>
          <w:rFonts w:ascii="宋体" w:hAnsi="宋体"/>
          <w:b/>
          <w:szCs w:val="21"/>
          <w:highlight w:val="none"/>
        </w:rPr>
      </w:pP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12.售后服务方案（由投标人根据采购需求及招标文件要求编制，格式自拟）</w:t>
      </w:r>
    </w:p>
    <w:p>
      <w:pPr>
        <w:tabs>
          <w:tab w:val="left" w:pos="312"/>
        </w:tabs>
        <w:spacing w:before="331" w:beforeLines="100" w:after="331" w:afterLines="100" w:line="320" w:lineRule="exact"/>
        <w:rPr>
          <w:rFonts w:ascii="宋体" w:hAnsi="宋体"/>
          <w:b/>
          <w:szCs w:val="21"/>
          <w:highlight w:val="none"/>
        </w:rPr>
      </w:pPr>
    </w:p>
    <w:p>
      <w:pPr>
        <w:tabs>
          <w:tab w:val="left" w:pos="312"/>
        </w:tabs>
        <w:spacing w:before="331" w:beforeLines="100" w:after="331" w:afterLines="100" w:line="320" w:lineRule="exact"/>
        <w:rPr>
          <w:rFonts w:ascii="宋体" w:hAnsi="宋体"/>
          <w:b/>
          <w:szCs w:val="21"/>
          <w:highlight w:val="none"/>
        </w:rPr>
      </w:pPr>
    </w:p>
    <w:p>
      <w:pPr>
        <w:tabs>
          <w:tab w:val="left" w:pos="312"/>
        </w:tabs>
        <w:spacing w:before="331" w:beforeLines="100" w:after="331" w:afterLines="100" w:line="320" w:lineRule="exact"/>
        <w:rPr>
          <w:rFonts w:ascii="宋体" w:hAnsi="宋体"/>
          <w:b/>
          <w:szCs w:val="21"/>
          <w:highlight w:val="none"/>
        </w:rPr>
      </w:pP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13.培训方案（由投标人根据采购需求及招标文件要求编制，格式自拟）</w:t>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14</w:t>
      </w:r>
      <w:r>
        <w:rPr>
          <w:rFonts w:hint="eastAsia" w:ascii="宋体" w:hAnsi="宋体"/>
          <w:b/>
          <w:bCs/>
          <w:szCs w:val="21"/>
          <w:highlight w:val="none"/>
          <w:lang w:val="en-US" w:eastAsia="zh-CN" w:bidi="ar"/>
        </w:rPr>
        <w:t>.</w:t>
      </w:r>
      <w:r>
        <w:rPr>
          <w:rFonts w:hint="eastAsia" w:ascii="宋体" w:hAnsi="宋体"/>
          <w:b/>
          <w:bCs/>
          <w:szCs w:val="21"/>
          <w:highlight w:val="none"/>
          <w:lang w:bidi="ar"/>
        </w:rPr>
        <w:t>供应商需要说明的其他商务技术文件和说明。</w:t>
      </w:r>
    </w:p>
    <w:p>
      <w:pPr>
        <w:widowControl/>
        <w:jc w:val="left"/>
        <w:rPr>
          <w:szCs w:val="21"/>
          <w:highlight w:val="none"/>
          <w:lang w:bidi="ar"/>
        </w:rPr>
      </w:pPr>
      <w:r>
        <w:rPr>
          <w:szCs w:val="21"/>
          <w:highlight w:val="none"/>
          <w:lang w:bidi="ar"/>
        </w:rPr>
        <w:br w:type="page"/>
      </w:r>
    </w:p>
    <w:p>
      <w:pPr>
        <w:rPr>
          <w:szCs w:val="21"/>
          <w:highlight w:val="none"/>
          <w:lang w:bidi="ar"/>
        </w:rPr>
        <w:sectPr>
          <w:footerReference r:id="rId10" w:type="default"/>
          <w:pgSz w:w="11906" w:h="16838"/>
          <w:pgMar w:top="1440" w:right="1800" w:bottom="1440" w:left="1800" w:header="851" w:footer="992" w:gutter="0"/>
          <w:cols w:space="720" w:num="1"/>
          <w:docGrid w:type="lines" w:linePitch="331" w:charSpace="0"/>
        </w:sectPr>
      </w:pPr>
    </w:p>
    <w:p>
      <w:pPr>
        <w:rPr>
          <w:b/>
          <w:bCs/>
          <w:szCs w:val="21"/>
          <w:highlight w:val="none"/>
        </w:rPr>
      </w:pPr>
    </w:p>
    <w:p>
      <w:pPr>
        <w:snapToGrid w:val="0"/>
        <w:spacing w:before="120" w:beforeLines="50" w:after="50" w:line="440" w:lineRule="exact"/>
        <w:jc w:val="left"/>
        <w:outlineLvl w:val="1"/>
        <w:rPr>
          <w:bCs/>
          <w:sz w:val="24"/>
          <w:highlight w:val="none"/>
        </w:rPr>
      </w:pPr>
      <w:r>
        <w:rPr>
          <w:rFonts w:hint="eastAsia" w:cs="宋体"/>
          <w:bCs/>
          <w:sz w:val="24"/>
          <w:highlight w:val="none"/>
          <w:lang w:val="en-US" w:eastAsia="zh-CN" w:bidi="ar"/>
        </w:rPr>
        <w:t>三、</w:t>
      </w:r>
      <w:r>
        <w:rPr>
          <w:rFonts w:hint="eastAsia" w:cs="宋体"/>
          <w:bCs/>
          <w:sz w:val="24"/>
          <w:highlight w:val="none"/>
          <w:lang w:bidi="ar"/>
        </w:rPr>
        <w:t>投标文件封面参考格式（报价文件）</w:t>
      </w:r>
    </w:p>
    <w:p>
      <w:pPr>
        <w:snapToGrid w:val="0"/>
        <w:spacing w:before="50" w:after="120" w:afterLines="50" w:line="400" w:lineRule="exact"/>
        <w:jc w:val="left"/>
        <w:rPr>
          <w:bCs/>
          <w:sz w:val="24"/>
          <w:highlight w:val="none"/>
        </w:rPr>
      </w:pPr>
    </w:p>
    <w:p>
      <w:pPr>
        <w:snapToGrid w:val="0"/>
        <w:spacing w:before="120" w:beforeLines="50" w:after="50" w:line="360" w:lineRule="exact"/>
        <w:rPr>
          <w:sz w:val="24"/>
          <w:highlight w:val="none"/>
        </w:rPr>
      </w:pPr>
    </w:p>
    <w:p>
      <w:pPr>
        <w:snapToGrid w:val="0"/>
        <w:spacing w:before="120" w:beforeLines="50" w:after="50" w:line="360" w:lineRule="exact"/>
        <w:jc w:val="center"/>
        <w:rPr>
          <w:bCs/>
          <w:sz w:val="24"/>
          <w:highlight w:val="none"/>
        </w:rPr>
      </w:pPr>
    </w:p>
    <w:p>
      <w:pPr>
        <w:snapToGrid w:val="0"/>
        <w:spacing w:before="120" w:beforeLines="50" w:after="50" w:line="360" w:lineRule="exact"/>
        <w:jc w:val="center"/>
        <w:rPr>
          <w:b/>
          <w:bCs/>
          <w:sz w:val="44"/>
          <w:szCs w:val="44"/>
          <w:highlight w:val="none"/>
        </w:rPr>
      </w:pPr>
      <w:r>
        <w:rPr>
          <w:rFonts w:hint="eastAsia" w:cs="宋体"/>
          <w:b/>
          <w:bCs/>
          <w:sz w:val="44"/>
          <w:szCs w:val="44"/>
          <w:highlight w:val="none"/>
          <w:lang w:bidi="ar"/>
        </w:rPr>
        <w:t>电子投标文件</w:t>
      </w:r>
    </w:p>
    <w:p>
      <w:pPr>
        <w:snapToGrid w:val="0"/>
        <w:spacing w:before="120" w:beforeLines="50" w:after="50" w:line="360" w:lineRule="exact"/>
        <w:jc w:val="center"/>
        <w:rPr>
          <w:b/>
          <w:bCs/>
          <w:sz w:val="44"/>
          <w:szCs w:val="44"/>
          <w:highlight w:val="none"/>
        </w:rPr>
      </w:pPr>
    </w:p>
    <w:p>
      <w:pPr>
        <w:snapToGrid w:val="0"/>
        <w:spacing w:before="120" w:beforeLines="50" w:after="50" w:line="360" w:lineRule="exact"/>
        <w:jc w:val="center"/>
        <w:rPr>
          <w:b/>
          <w:bCs/>
          <w:sz w:val="44"/>
          <w:szCs w:val="44"/>
          <w:highlight w:val="none"/>
        </w:rPr>
      </w:pPr>
    </w:p>
    <w:p>
      <w:pPr>
        <w:snapToGrid w:val="0"/>
        <w:spacing w:before="120" w:beforeLines="50" w:after="50" w:line="360" w:lineRule="exact"/>
        <w:jc w:val="center"/>
        <w:rPr>
          <w:b/>
          <w:bCs/>
          <w:sz w:val="44"/>
          <w:szCs w:val="44"/>
          <w:highlight w:val="none"/>
        </w:rPr>
      </w:pPr>
      <w:r>
        <w:rPr>
          <w:rFonts w:hint="eastAsia" w:cs="宋体"/>
          <w:b/>
          <w:bCs/>
          <w:sz w:val="44"/>
          <w:szCs w:val="44"/>
          <w:highlight w:val="none"/>
          <w:lang w:bidi="ar"/>
        </w:rPr>
        <w:t>报价文件</w:t>
      </w:r>
    </w:p>
    <w:p>
      <w:pPr>
        <w:snapToGrid w:val="0"/>
        <w:spacing w:before="120" w:beforeLines="50" w:after="50" w:line="360" w:lineRule="exact"/>
        <w:rPr>
          <w:bCs/>
          <w:sz w:val="24"/>
          <w:highlight w:val="none"/>
        </w:rPr>
      </w:pPr>
    </w:p>
    <w:p>
      <w:pPr>
        <w:snapToGrid w:val="0"/>
        <w:spacing w:before="120" w:beforeLines="50" w:after="50" w:line="360" w:lineRule="exact"/>
        <w:rPr>
          <w:bCs/>
          <w:sz w:val="24"/>
          <w:highlight w:val="none"/>
        </w:rPr>
      </w:pPr>
    </w:p>
    <w:p>
      <w:pPr>
        <w:snapToGrid w:val="0"/>
        <w:spacing w:before="120" w:beforeLines="50" w:after="50" w:line="360" w:lineRule="exact"/>
        <w:rPr>
          <w:bCs/>
          <w:sz w:val="24"/>
          <w:highlight w:val="none"/>
        </w:rPr>
      </w:pPr>
    </w:p>
    <w:p>
      <w:pPr>
        <w:snapToGrid w:val="0"/>
        <w:spacing w:before="120" w:beforeLines="50" w:after="50" w:line="360" w:lineRule="exact"/>
        <w:ind w:firstLine="720" w:firstLineChars="300"/>
        <w:rPr>
          <w:bCs/>
          <w:sz w:val="24"/>
          <w:highlight w:val="none"/>
        </w:rPr>
      </w:pPr>
      <w:r>
        <w:rPr>
          <w:rFonts w:hint="eastAsia" w:cs="宋体"/>
          <w:bCs/>
          <w:sz w:val="24"/>
          <w:highlight w:val="none"/>
          <w:lang w:bidi="ar"/>
        </w:rPr>
        <w:t>项目名称：</w:t>
      </w:r>
      <w:r>
        <w:rPr>
          <w:bCs/>
          <w:sz w:val="24"/>
          <w:highlight w:val="none"/>
          <w:lang w:bidi="ar"/>
        </w:rPr>
        <w:t xml:space="preserve"> </w:t>
      </w:r>
    </w:p>
    <w:p>
      <w:pPr>
        <w:snapToGrid w:val="0"/>
        <w:spacing w:before="120" w:beforeLines="50" w:after="50" w:line="360" w:lineRule="exact"/>
        <w:ind w:firstLine="720" w:firstLineChars="300"/>
        <w:rPr>
          <w:bCs/>
          <w:sz w:val="24"/>
          <w:highlight w:val="none"/>
        </w:rPr>
      </w:pPr>
      <w:r>
        <w:rPr>
          <w:rFonts w:hint="eastAsia" w:cs="宋体"/>
          <w:bCs/>
          <w:sz w:val="24"/>
          <w:highlight w:val="none"/>
          <w:lang w:bidi="ar"/>
        </w:rPr>
        <w:t>项目编号：</w:t>
      </w:r>
    </w:p>
    <w:p>
      <w:pPr>
        <w:snapToGrid w:val="0"/>
        <w:spacing w:before="120" w:beforeLines="50" w:after="50" w:line="360" w:lineRule="exact"/>
        <w:ind w:firstLine="720" w:firstLineChars="300"/>
        <w:rPr>
          <w:bCs/>
          <w:sz w:val="24"/>
          <w:highlight w:val="none"/>
        </w:rPr>
      </w:pPr>
      <w:r>
        <w:rPr>
          <w:rFonts w:hint="eastAsia" w:cs="宋体"/>
          <w:bCs/>
          <w:sz w:val="24"/>
          <w:highlight w:val="none"/>
          <w:lang w:eastAsia="zh-CN" w:bidi="ar"/>
        </w:rPr>
        <w:t>分标名称</w:t>
      </w:r>
      <w:r>
        <w:rPr>
          <w:rFonts w:hint="eastAsia" w:cs="宋体"/>
          <w:bCs/>
          <w:sz w:val="24"/>
          <w:highlight w:val="none"/>
          <w:lang w:bidi="ar"/>
        </w:rPr>
        <w:t>：（若无留空或写</w:t>
      </w:r>
      <w:r>
        <w:rPr>
          <w:bCs/>
          <w:sz w:val="24"/>
          <w:highlight w:val="none"/>
          <w:lang w:bidi="ar"/>
        </w:rPr>
        <w:t>“/”</w:t>
      </w:r>
      <w:r>
        <w:rPr>
          <w:rFonts w:hint="eastAsia" w:cs="宋体"/>
          <w:bCs/>
          <w:sz w:val="24"/>
          <w:highlight w:val="none"/>
          <w:lang w:bidi="ar"/>
        </w:rPr>
        <w:t>）</w:t>
      </w:r>
    </w:p>
    <w:p>
      <w:pPr>
        <w:snapToGrid w:val="0"/>
        <w:spacing w:before="120" w:beforeLines="50" w:after="50" w:line="360" w:lineRule="exact"/>
        <w:ind w:firstLine="720" w:firstLineChars="300"/>
        <w:rPr>
          <w:bCs/>
          <w:sz w:val="24"/>
          <w:highlight w:val="none"/>
        </w:rPr>
      </w:pPr>
      <w:r>
        <w:rPr>
          <w:rFonts w:hint="eastAsia" w:cs="宋体"/>
          <w:bCs/>
          <w:sz w:val="24"/>
          <w:highlight w:val="none"/>
          <w:lang w:bidi="ar"/>
        </w:rPr>
        <w:t>供应商名称：</w:t>
      </w:r>
    </w:p>
    <w:p>
      <w:pPr>
        <w:snapToGrid w:val="0"/>
        <w:spacing w:before="120" w:beforeLines="50" w:after="50" w:line="360" w:lineRule="exact"/>
        <w:ind w:firstLine="720" w:firstLineChars="300"/>
        <w:rPr>
          <w:bCs/>
          <w:sz w:val="24"/>
          <w:highlight w:val="none"/>
        </w:rPr>
      </w:pPr>
      <w:r>
        <w:rPr>
          <w:rFonts w:hint="eastAsia" w:cs="宋体"/>
          <w:bCs/>
          <w:sz w:val="24"/>
          <w:highlight w:val="none"/>
          <w:lang w:bidi="ar"/>
        </w:rPr>
        <w:t>供应商地址：</w:t>
      </w:r>
    </w:p>
    <w:p>
      <w:pPr>
        <w:snapToGrid w:val="0"/>
        <w:spacing w:before="120" w:beforeLines="50" w:after="50" w:line="360" w:lineRule="exact"/>
        <w:ind w:firstLine="720" w:firstLineChars="300"/>
        <w:rPr>
          <w:bCs/>
          <w:sz w:val="24"/>
          <w:highlight w:val="none"/>
        </w:rPr>
      </w:pPr>
    </w:p>
    <w:p>
      <w:pPr>
        <w:pStyle w:val="49"/>
        <w:widowControl w:val="0"/>
        <w:snapToGrid w:val="0"/>
        <w:spacing w:before="50" w:beforeAutospacing="0" w:after="50" w:afterAutospacing="0" w:line="360" w:lineRule="exact"/>
        <w:ind w:left="1260" w:firstLine="960" w:firstLineChars="400"/>
        <w:jc w:val="both"/>
        <w:rPr>
          <w:bCs/>
          <w:highlight w:val="none"/>
        </w:rPr>
      </w:pPr>
    </w:p>
    <w:p>
      <w:pPr>
        <w:snapToGrid w:val="0"/>
        <w:spacing w:before="120" w:beforeLines="50" w:after="50" w:line="360" w:lineRule="exact"/>
        <w:jc w:val="center"/>
        <w:rPr>
          <w:sz w:val="24"/>
          <w:highlight w:val="none"/>
        </w:rPr>
      </w:pPr>
      <w:r>
        <w:rPr>
          <w:sz w:val="24"/>
          <w:highlight w:val="none"/>
          <w:lang w:bidi="ar"/>
        </w:rPr>
        <w:t xml:space="preserve">                        </w:t>
      </w:r>
      <w:r>
        <w:rPr>
          <w:rFonts w:hint="eastAsia" w:cs="宋体"/>
          <w:sz w:val="24"/>
          <w:highlight w:val="none"/>
          <w:lang w:bidi="ar"/>
        </w:rPr>
        <w:t>年</w:t>
      </w:r>
      <w:r>
        <w:rPr>
          <w:sz w:val="24"/>
          <w:highlight w:val="none"/>
          <w:lang w:bidi="ar"/>
        </w:rPr>
        <w:t xml:space="preserve">  </w:t>
      </w:r>
      <w:r>
        <w:rPr>
          <w:rFonts w:hint="eastAsia" w:cs="宋体"/>
          <w:sz w:val="24"/>
          <w:highlight w:val="none"/>
          <w:lang w:bidi="ar"/>
        </w:rPr>
        <w:t>月</w:t>
      </w:r>
      <w:r>
        <w:rPr>
          <w:sz w:val="24"/>
          <w:highlight w:val="none"/>
          <w:lang w:bidi="ar"/>
        </w:rPr>
        <w:t xml:space="preserve">  </w:t>
      </w:r>
      <w:r>
        <w:rPr>
          <w:rFonts w:hint="eastAsia" w:cs="宋体"/>
          <w:sz w:val="24"/>
          <w:highlight w:val="none"/>
          <w:lang w:bidi="ar"/>
        </w:rPr>
        <w:t>日</w:t>
      </w:r>
    </w:p>
    <w:p>
      <w:pPr>
        <w:rPr>
          <w:highlight w:val="none"/>
        </w:rPr>
      </w:pPr>
      <w:r>
        <w:rPr>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bookmarkStart w:id="206" w:name="_Hlk19115777"/>
      <w:r>
        <w:rPr>
          <w:rFonts w:hint="eastAsia" w:ascii="宋体" w:hAnsi="宋体"/>
          <w:b/>
          <w:bCs/>
          <w:szCs w:val="21"/>
          <w:highlight w:val="none"/>
          <w:lang w:bidi="ar"/>
        </w:rPr>
        <w:t>1.投标函格式（必须提供）</w:t>
      </w:r>
    </w:p>
    <w:p>
      <w:pPr>
        <w:spacing w:before="240" w:beforeLines="100" w:after="240" w:afterLines="100"/>
        <w:jc w:val="center"/>
        <w:rPr>
          <w:b/>
          <w:szCs w:val="21"/>
          <w:highlight w:val="none"/>
        </w:rPr>
      </w:pPr>
      <w:r>
        <w:rPr>
          <w:rFonts w:hint="eastAsia" w:cs="宋体"/>
          <w:b/>
          <w:szCs w:val="21"/>
          <w:highlight w:val="none"/>
          <w:lang w:bidi="ar"/>
        </w:rPr>
        <w:t>投</w:t>
      </w:r>
      <w:r>
        <w:rPr>
          <w:b/>
          <w:szCs w:val="21"/>
          <w:highlight w:val="none"/>
          <w:lang w:bidi="ar"/>
        </w:rPr>
        <w:t xml:space="preserve"> </w:t>
      </w:r>
      <w:r>
        <w:rPr>
          <w:rFonts w:hint="eastAsia" w:cs="宋体"/>
          <w:b/>
          <w:szCs w:val="21"/>
          <w:highlight w:val="none"/>
          <w:lang w:bidi="ar"/>
        </w:rPr>
        <w:t>标</w:t>
      </w:r>
      <w:r>
        <w:rPr>
          <w:b/>
          <w:szCs w:val="21"/>
          <w:highlight w:val="none"/>
          <w:lang w:bidi="ar"/>
        </w:rPr>
        <w:t xml:space="preserve"> </w:t>
      </w:r>
      <w:r>
        <w:rPr>
          <w:rFonts w:hint="eastAsia" w:cs="宋体"/>
          <w:b/>
          <w:szCs w:val="21"/>
          <w:highlight w:val="none"/>
          <w:lang w:bidi="ar"/>
        </w:rPr>
        <w:t>函</w:t>
      </w:r>
    </w:p>
    <w:p>
      <w:pPr>
        <w:spacing w:line="360" w:lineRule="auto"/>
        <w:rPr>
          <w:szCs w:val="21"/>
          <w:highlight w:val="none"/>
        </w:rPr>
      </w:pPr>
      <w:r>
        <w:rPr>
          <w:rFonts w:hint="eastAsia" w:cs="宋体"/>
          <w:szCs w:val="21"/>
          <w:highlight w:val="none"/>
          <w:lang w:bidi="ar"/>
        </w:rPr>
        <w:t>致：</w:t>
      </w:r>
      <w:bookmarkStart w:id="207" w:name="_Hlk19051378"/>
      <w:r>
        <w:rPr>
          <w:szCs w:val="21"/>
          <w:highlight w:val="none"/>
          <w:lang w:bidi="ar"/>
        </w:rPr>
        <w:t>_</w:t>
      </w:r>
      <w:r>
        <w:rPr>
          <w:rFonts w:hint="eastAsia" w:cs="宋体"/>
          <w:i/>
          <w:iCs/>
          <w:szCs w:val="21"/>
          <w:highlight w:val="none"/>
          <w:u w:val="single"/>
          <w:lang w:bidi="ar"/>
        </w:rPr>
        <w:t>（采购人名称）</w:t>
      </w:r>
      <w:r>
        <w:rPr>
          <w:i/>
          <w:iCs/>
          <w:szCs w:val="21"/>
          <w:highlight w:val="none"/>
          <w:lang w:bidi="ar"/>
        </w:rPr>
        <w:t>_</w:t>
      </w:r>
      <w:bookmarkEnd w:id="207"/>
      <w:r>
        <w:rPr>
          <w:rFonts w:hint="eastAsia" w:cs="宋体"/>
          <w:szCs w:val="21"/>
          <w:highlight w:val="none"/>
          <w:lang w:bidi="ar"/>
        </w:rPr>
        <w:t>：</w:t>
      </w:r>
    </w:p>
    <w:p>
      <w:pPr>
        <w:spacing w:line="360" w:lineRule="auto"/>
        <w:ind w:firstLine="420" w:firstLineChars="200"/>
        <w:rPr>
          <w:szCs w:val="21"/>
          <w:highlight w:val="none"/>
        </w:rPr>
      </w:pPr>
      <w:r>
        <w:rPr>
          <w:rFonts w:hint="eastAsia" w:cs="宋体"/>
          <w:szCs w:val="21"/>
          <w:highlight w:val="none"/>
          <w:lang w:bidi="ar"/>
        </w:rPr>
        <w:t>我方已仔细研究了</w:t>
      </w:r>
      <w:bookmarkStart w:id="208" w:name="_Hlk19051388"/>
      <w:r>
        <w:rPr>
          <w:rFonts w:hint="eastAsia" w:cs="宋体"/>
          <w:i/>
          <w:iCs/>
          <w:szCs w:val="21"/>
          <w:highlight w:val="none"/>
          <w:u w:val="single"/>
          <w:lang w:bidi="ar"/>
        </w:rPr>
        <w:t>（项目名称）</w:t>
      </w:r>
      <w:bookmarkEnd w:id="208"/>
      <w:r>
        <w:rPr>
          <w:rFonts w:hint="eastAsia" w:cs="宋体"/>
          <w:szCs w:val="21"/>
          <w:highlight w:val="none"/>
          <w:lang w:bidi="ar"/>
        </w:rPr>
        <w:t>的招标文件的全部内容。签字代表</w:t>
      </w:r>
      <w:bookmarkStart w:id="209" w:name="_Hlk19051393"/>
      <w:r>
        <w:rPr>
          <w:rFonts w:hint="eastAsia" w:cs="宋体"/>
          <w:i/>
          <w:iCs/>
          <w:szCs w:val="21"/>
          <w:highlight w:val="none"/>
          <w:u w:val="single"/>
          <w:lang w:bidi="ar"/>
        </w:rPr>
        <w:t>（授权代表姓名）</w:t>
      </w:r>
      <w:bookmarkEnd w:id="209"/>
      <w:r>
        <w:rPr>
          <w:rFonts w:hint="eastAsia" w:cs="宋体"/>
          <w:szCs w:val="21"/>
          <w:highlight w:val="none"/>
          <w:lang w:bidi="ar"/>
        </w:rPr>
        <w:t>经正式授权并代表供应商</w:t>
      </w:r>
      <w:r>
        <w:rPr>
          <w:szCs w:val="21"/>
          <w:highlight w:val="none"/>
          <w:lang w:bidi="ar"/>
        </w:rPr>
        <w:t>_</w:t>
      </w:r>
      <w:bookmarkStart w:id="210" w:name="_Hlk19051402"/>
      <w:r>
        <w:rPr>
          <w:rFonts w:hint="eastAsia" w:cs="宋体"/>
          <w:i/>
          <w:iCs/>
          <w:szCs w:val="21"/>
          <w:highlight w:val="none"/>
          <w:u w:val="single"/>
          <w:lang w:bidi="ar"/>
        </w:rPr>
        <w:t>（供应商名称）</w:t>
      </w:r>
      <w:bookmarkEnd w:id="210"/>
      <w:r>
        <w:rPr>
          <w:rFonts w:hint="eastAsia" w:cs="宋体"/>
          <w:szCs w:val="21"/>
          <w:highlight w:val="none"/>
          <w:lang w:bidi="ar"/>
        </w:rPr>
        <w:t>提交投标文件。</w:t>
      </w:r>
    </w:p>
    <w:p>
      <w:pPr>
        <w:spacing w:line="360" w:lineRule="auto"/>
        <w:ind w:firstLine="420" w:firstLineChars="200"/>
        <w:rPr>
          <w:szCs w:val="21"/>
          <w:highlight w:val="none"/>
        </w:rPr>
      </w:pPr>
      <w:r>
        <w:rPr>
          <w:rFonts w:hint="eastAsia" w:cs="宋体"/>
          <w:szCs w:val="21"/>
          <w:highlight w:val="none"/>
          <w:lang w:bidi="ar"/>
        </w:rPr>
        <w:t>据此函，签字代表宣布同意如下：</w:t>
      </w:r>
    </w:p>
    <w:p>
      <w:pPr>
        <w:spacing w:line="360" w:lineRule="auto"/>
        <w:rPr>
          <w:szCs w:val="21"/>
          <w:highlight w:val="none"/>
        </w:rPr>
      </w:pPr>
      <w:r>
        <w:rPr>
          <w:rFonts w:hint="eastAsia" w:cs="宋体"/>
          <w:szCs w:val="21"/>
          <w:highlight w:val="none"/>
          <w:lang w:bidi="ar"/>
        </w:rPr>
        <w:t>（</w:t>
      </w:r>
      <w:r>
        <w:rPr>
          <w:szCs w:val="21"/>
          <w:highlight w:val="none"/>
          <w:lang w:bidi="ar"/>
        </w:rPr>
        <w:t>1</w:t>
      </w:r>
      <w:r>
        <w:rPr>
          <w:rFonts w:hint="eastAsia" w:cs="宋体"/>
          <w:szCs w:val="21"/>
          <w:highlight w:val="none"/>
          <w:lang w:bidi="ar"/>
        </w:rPr>
        <w:t>）我方已详细审查全部</w:t>
      </w:r>
      <w:r>
        <w:rPr>
          <w:szCs w:val="21"/>
          <w:highlight w:val="none"/>
          <w:lang w:bidi="ar"/>
        </w:rPr>
        <w:t>“</w:t>
      </w:r>
      <w:r>
        <w:rPr>
          <w:rFonts w:hint="eastAsia" w:cs="宋体"/>
          <w:szCs w:val="21"/>
          <w:highlight w:val="none"/>
          <w:lang w:bidi="ar"/>
        </w:rPr>
        <w:t>招标文件</w:t>
      </w:r>
      <w:r>
        <w:rPr>
          <w:szCs w:val="21"/>
          <w:highlight w:val="none"/>
          <w:lang w:bidi="ar"/>
        </w:rPr>
        <w:t>”</w:t>
      </w:r>
      <w:r>
        <w:rPr>
          <w:rFonts w:hint="eastAsia" w:cs="宋体"/>
          <w:szCs w:val="21"/>
          <w:highlight w:val="none"/>
          <w:lang w:bidi="ar"/>
        </w:rPr>
        <w:t>，包括修改文件（如有的话）以及全部参考资料和有关附件，已经了解我方对于招标文件、采购过程、采购结果有依法进行询问、质疑、投诉的权利及相关渠道和要求。</w:t>
      </w:r>
    </w:p>
    <w:p>
      <w:pPr>
        <w:spacing w:line="360" w:lineRule="auto"/>
        <w:rPr>
          <w:szCs w:val="21"/>
          <w:highlight w:val="none"/>
        </w:rPr>
      </w:pPr>
      <w:r>
        <w:rPr>
          <w:rFonts w:hint="eastAsia" w:cs="宋体"/>
          <w:szCs w:val="21"/>
          <w:highlight w:val="none"/>
          <w:lang w:bidi="ar"/>
        </w:rPr>
        <w:t>（</w:t>
      </w:r>
      <w:r>
        <w:rPr>
          <w:szCs w:val="21"/>
          <w:highlight w:val="none"/>
          <w:lang w:bidi="ar"/>
        </w:rPr>
        <w:t>2</w:t>
      </w:r>
      <w:r>
        <w:rPr>
          <w:rFonts w:hint="eastAsia" w:cs="宋体"/>
          <w:szCs w:val="21"/>
          <w:highlight w:val="none"/>
          <w:lang w:bidi="ar"/>
        </w:rPr>
        <w:t>）我方在投标之前已经与贵方进行了充分的沟通，完全理解并接受招标文件的各项规定和要求，对招标文件的合理性、合法性不再有异议。</w:t>
      </w:r>
    </w:p>
    <w:p>
      <w:pPr>
        <w:spacing w:line="360" w:lineRule="auto"/>
        <w:rPr>
          <w:szCs w:val="21"/>
          <w:highlight w:val="none"/>
        </w:rPr>
      </w:pPr>
      <w:r>
        <w:rPr>
          <w:rFonts w:hint="eastAsia" w:cs="宋体"/>
          <w:szCs w:val="21"/>
          <w:highlight w:val="none"/>
          <w:lang w:bidi="ar"/>
        </w:rPr>
        <w:t>（</w:t>
      </w:r>
      <w:r>
        <w:rPr>
          <w:szCs w:val="21"/>
          <w:highlight w:val="none"/>
          <w:lang w:bidi="ar"/>
        </w:rPr>
        <w:t>3</w:t>
      </w:r>
      <w:r>
        <w:rPr>
          <w:rFonts w:hint="eastAsia" w:cs="宋体"/>
          <w:szCs w:val="21"/>
          <w:highlight w:val="none"/>
          <w:lang w:bidi="ar"/>
        </w:rPr>
        <w:t>）本投标有效期自投标截止之日起</w:t>
      </w:r>
      <w:r>
        <w:rPr>
          <w:szCs w:val="21"/>
          <w:highlight w:val="none"/>
          <w:u w:val="single"/>
          <w:lang w:bidi="ar"/>
        </w:rPr>
        <w:t xml:space="preserve"> </w:t>
      </w:r>
      <w:r>
        <w:rPr>
          <w:rFonts w:hint="eastAsia"/>
          <w:szCs w:val="21"/>
          <w:highlight w:val="none"/>
          <w:u w:val="single"/>
          <w:lang w:val="en-US" w:eastAsia="zh-CN" w:bidi="ar"/>
        </w:rPr>
        <w:t xml:space="preserve">    </w:t>
      </w:r>
      <w:r>
        <w:rPr>
          <w:rFonts w:hint="eastAsia" w:cs="宋体"/>
          <w:szCs w:val="21"/>
          <w:highlight w:val="none"/>
          <w:lang w:bidi="ar"/>
        </w:rPr>
        <w:t>天。</w:t>
      </w:r>
    </w:p>
    <w:p>
      <w:pPr>
        <w:spacing w:line="360" w:lineRule="auto"/>
        <w:rPr>
          <w:szCs w:val="21"/>
          <w:highlight w:val="none"/>
        </w:rPr>
      </w:pPr>
      <w:r>
        <w:rPr>
          <w:rFonts w:hint="eastAsia" w:cs="宋体"/>
          <w:szCs w:val="21"/>
          <w:highlight w:val="none"/>
          <w:lang w:bidi="ar"/>
        </w:rPr>
        <w:t>（</w:t>
      </w:r>
      <w:r>
        <w:rPr>
          <w:szCs w:val="21"/>
          <w:highlight w:val="none"/>
          <w:lang w:bidi="ar"/>
        </w:rPr>
        <w:t>4</w:t>
      </w:r>
      <w:r>
        <w:rPr>
          <w:rFonts w:hint="eastAsia" w:cs="宋体"/>
          <w:szCs w:val="21"/>
          <w:highlight w:val="none"/>
          <w:lang w:bidi="ar"/>
        </w:rPr>
        <w:t>）如中标，本投标文件至本项目合同履行完毕止均保持有效，我方将按</w:t>
      </w:r>
      <w:r>
        <w:rPr>
          <w:szCs w:val="21"/>
          <w:highlight w:val="none"/>
          <w:lang w:bidi="ar"/>
        </w:rPr>
        <w:t>“</w:t>
      </w:r>
      <w:r>
        <w:rPr>
          <w:rFonts w:hint="eastAsia" w:cs="宋体"/>
          <w:szCs w:val="21"/>
          <w:highlight w:val="none"/>
          <w:lang w:bidi="ar"/>
        </w:rPr>
        <w:t>招标文件</w:t>
      </w:r>
      <w:r>
        <w:rPr>
          <w:szCs w:val="21"/>
          <w:highlight w:val="none"/>
          <w:lang w:bidi="ar"/>
        </w:rPr>
        <w:t>”</w:t>
      </w:r>
      <w:r>
        <w:rPr>
          <w:rFonts w:hint="eastAsia" w:cs="宋体"/>
          <w:szCs w:val="21"/>
          <w:highlight w:val="none"/>
          <w:lang w:bidi="ar"/>
        </w:rPr>
        <w:t>及政府采购法律、法规的规定履行合同责任和义务，并承诺不分包及转包他人。</w:t>
      </w:r>
    </w:p>
    <w:p>
      <w:pPr>
        <w:spacing w:line="360" w:lineRule="auto"/>
        <w:rPr>
          <w:szCs w:val="21"/>
          <w:highlight w:val="none"/>
        </w:rPr>
      </w:pPr>
      <w:r>
        <w:rPr>
          <w:rFonts w:hint="eastAsia" w:cs="宋体"/>
          <w:szCs w:val="21"/>
          <w:highlight w:val="none"/>
          <w:lang w:bidi="ar"/>
        </w:rPr>
        <w:t>（</w:t>
      </w:r>
      <w:r>
        <w:rPr>
          <w:szCs w:val="21"/>
          <w:highlight w:val="none"/>
          <w:lang w:bidi="ar"/>
        </w:rPr>
        <w:t>5</w:t>
      </w:r>
      <w:r>
        <w:rPr>
          <w:rFonts w:hint="eastAsia" w:cs="宋体"/>
          <w:szCs w:val="21"/>
          <w:highlight w:val="none"/>
          <w:lang w:bidi="ar"/>
        </w:rPr>
        <w:t>）我方同意按照贵方要求提供与投标有关的一切数据或资料。</w:t>
      </w:r>
    </w:p>
    <w:p>
      <w:pPr>
        <w:spacing w:line="360" w:lineRule="auto"/>
        <w:rPr>
          <w:szCs w:val="21"/>
          <w:highlight w:val="none"/>
        </w:rPr>
      </w:pPr>
      <w:r>
        <w:rPr>
          <w:rFonts w:hint="eastAsia" w:cs="宋体"/>
          <w:szCs w:val="21"/>
          <w:highlight w:val="none"/>
          <w:lang w:bidi="ar"/>
        </w:rPr>
        <w:t>（</w:t>
      </w:r>
      <w:r>
        <w:rPr>
          <w:szCs w:val="21"/>
          <w:highlight w:val="none"/>
          <w:lang w:bidi="ar"/>
        </w:rPr>
        <w:t>6</w:t>
      </w:r>
      <w:r>
        <w:rPr>
          <w:rFonts w:hint="eastAsia" w:cs="宋体"/>
          <w:szCs w:val="21"/>
          <w:highlight w:val="none"/>
          <w:lang w:bidi="ar"/>
        </w:rPr>
        <w:t xml:space="preserve">）与本项目有关的一切正式往来信函请寄： </w:t>
      </w:r>
    </w:p>
    <w:p>
      <w:pPr>
        <w:spacing w:line="360" w:lineRule="auto"/>
        <w:rPr>
          <w:szCs w:val="21"/>
          <w:highlight w:val="none"/>
        </w:rPr>
      </w:pPr>
      <w:r>
        <w:rPr>
          <w:rFonts w:hint="eastAsia" w:cs="宋体"/>
          <w:szCs w:val="21"/>
          <w:highlight w:val="none"/>
          <w:lang w:bidi="ar"/>
        </w:rPr>
        <w:t>地址：</w:t>
      </w:r>
      <w:r>
        <w:rPr>
          <w:szCs w:val="21"/>
          <w:highlight w:val="none"/>
          <w:u w:val="single"/>
          <w:lang w:bidi="ar"/>
        </w:rPr>
        <w:t xml:space="preserve">                      </w:t>
      </w:r>
      <w:r>
        <w:rPr>
          <w:rFonts w:hint="eastAsia" w:cs="宋体"/>
          <w:szCs w:val="21"/>
          <w:highlight w:val="none"/>
          <w:lang w:bidi="ar"/>
        </w:rPr>
        <w:t>邮编：</w:t>
      </w:r>
      <w:r>
        <w:rPr>
          <w:szCs w:val="21"/>
          <w:highlight w:val="none"/>
          <w:u w:val="single"/>
          <w:lang w:bidi="ar"/>
        </w:rPr>
        <w:t xml:space="preserve">         </w:t>
      </w:r>
      <w:r>
        <w:rPr>
          <w:szCs w:val="21"/>
          <w:highlight w:val="none"/>
          <w:lang w:bidi="ar"/>
        </w:rPr>
        <w:t xml:space="preserve">  </w:t>
      </w:r>
      <w:r>
        <w:rPr>
          <w:rFonts w:hint="eastAsia" w:cs="宋体"/>
          <w:szCs w:val="21"/>
          <w:highlight w:val="none"/>
          <w:lang w:bidi="ar"/>
        </w:rPr>
        <w:t>电话：</w:t>
      </w:r>
      <w:r>
        <w:rPr>
          <w:szCs w:val="21"/>
          <w:highlight w:val="none"/>
          <w:u w:val="single"/>
          <w:lang w:bidi="ar"/>
        </w:rPr>
        <w:t xml:space="preserve">            </w:t>
      </w:r>
    </w:p>
    <w:p>
      <w:pPr>
        <w:spacing w:line="360" w:lineRule="auto"/>
        <w:rPr>
          <w:szCs w:val="21"/>
          <w:highlight w:val="none"/>
        </w:rPr>
      </w:pPr>
      <w:r>
        <w:rPr>
          <w:rFonts w:hint="eastAsia" w:cs="宋体"/>
          <w:szCs w:val="21"/>
          <w:highlight w:val="none"/>
          <w:lang w:bidi="ar"/>
        </w:rPr>
        <w:t>传真：</w:t>
      </w:r>
      <w:r>
        <w:rPr>
          <w:szCs w:val="21"/>
          <w:highlight w:val="none"/>
          <w:u w:val="single"/>
          <w:lang w:bidi="ar"/>
        </w:rPr>
        <w:t xml:space="preserve">           </w:t>
      </w:r>
      <w:r>
        <w:rPr>
          <w:szCs w:val="21"/>
          <w:highlight w:val="none"/>
          <w:lang w:bidi="ar"/>
        </w:rPr>
        <w:t xml:space="preserve">  </w:t>
      </w:r>
    </w:p>
    <w:p>
      <w:pPr>
        <w:spacing w:line="360" w:lineRule="auto"/>
        <w:rPr>
          <w:szCs w:val="21"/>
          <w:highlight w:val="none"/>
        </w:rPr>
      </w:pPr>
      <w:r>
        <w:rPr>
          <w:rFonts w:hint="eastAsia" w:cs="宋体"/>
          <w:szCs w:val="21"/>
          <w:highlight w:val="none"/>
          <w:lang w:bidi="ar"/>
        </w:rPr>
        <w:t>供应商代表姓名</w:t>
      </w:r>
      <w:r>
        <w:rPr>
          <w:szCs w:val="21"/>
          <w:highlight w:val="none"/>
          <w:u w:val="single"/>
          <w:lang w:bidi="ar"/>
        </w:rPr>
        <w:t xml:space="preserve">         </w:t>
      </w:r>
      <w:r>
        <w:rPr>
          <w:szCs w:val="21"/>
          <w:highlight w:val="none"/>
          <w:lang w:bidi="ar"/>
        </w:rPr>
        <w:t xml:space="preserve">  </w:t>
      </w:r>
      <w:r>
        <w:rPr>
          <w:rFonts w:hint="eastAsia" w:cs="宋体"/>
          <w:szCs w:val="21"/>
          <w:highlight w:val="none"/>
          <w:lang w:bidi="ar"/>
        </w:rPr>
        <w:t>职务：</w:t>
      </w:r>
      <w:r>
        <w:rPr>
          <w:szCs w:val="21"/>
          <w:highlight w:val="none"/>
          <w:u w:val="single"/>
          <w:lang w:bidi="ar"/>
        </w:rPr>
        <w:t xml:space="preserve">         </w:t>
      </w:r>
      <w:r>
        <w:rPr>
          <w:szCs w:val="21"/>
          <w:highlight w:val="none"/>
          <w:lang w:bidi="ar"/>
        </w:rPr>
        <w:t xml:space="preserve">    </w:t>
      </w:r>
      <w:r>
        <w:rPr>
          <w:rFonts w:hint="eastAsia" w:cs="宋体"/>
          <w:szCs w:val="21"/>
          <w:highlight w:val="none"/>
          <w:lang w:bidi="ar"/>
        </w:rPr>
        <w:t>邮箱：</w:t>
      </w:r>
      <w:r>
        <w:rPr>
          <w:szCs w:val="21"/>
          <w:highlight w:val="none"/>
          <w:u w:val="single"/>
          <w:lang w:bidi="ar"/>
        </w:rPr>
        <w:t xml:space="preserve">              </w:t>
      </w:r>
      <w:r>
        <w:rPr>
          <w:szCs w:val="21"/>
          <w:highlight w:val="none"/>
          <w:lang w:bidi="ar"/>
        </w:rPr>
        <w:t xml:space="preserve"> </w:t>
      </w:r>
    </w:p>
    <w:bookmarkEnd w:id="206"/>
    <w:p>
      <w:pPr>
        <w:spacing w:line="360" w:lineRule="auto"/>
        <w:rPr>
          <w:szCs w:val="21"/>
          <w:highlight w:val="none"/>
        </w:rPr>
      </w:pPr>
    </w:p>
    <w:p>
      <w:pPr>
        <w:spacing w:line="360" w:lineRule="auto"/>
        <w:rPr>
          <w:szCs w:val="21"/>
          <w:highlight w:val="none"/>
        </w:rPr>
      </w:pPr>
    </w:p>
    <w:p>
      <w:pPr>
        <w:snapToGrid w:val="0"/>
        <w:spacing w:before="50" w:after="120"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20"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tabs>
          <w:tab w:val="left" w:pos="312"/>
        </w:tabs>
        <w:spacing w:before="240" w:beforeLines="100" w:after="240" w:afterLines="100" w:line="320" w:lineRule="exact"/>
        <w:outlineLvl w:val="2"/>
        <w:rPr>
          <w:rFonts w:hint="eastAsia" w:ascii="宋体" w:hAnsi="宋体"/>
          <w:b/>
          <w:bCs/>
          <w:szCs w:val="21"/>
          <w:highlight w:val="none"/>
          <w:lang w:bidi="ar"/>
        </w:rPr>
      </w:pPr>
      <w:r>
        <w:rPr>
          <w:b/>
          <w:szCs w:val="21"/>
          <w:highlight w:val="none"/>
          <w:lang w:bidi="ar"/>
        </w:rPr>
        <w:br w:type="page"/>
      </w:r>
      <w:r>
        <w:rPr>
          <w:rFonts w:hint="eastAsia" w:ascii="宋体" w:hAnsi="宋体"/>
          <w:b/>
          <w:bCs/>
          <w:szCs w:val="21"/>
          <w:highlight w:val="none"/>
          <w:lang w:bidi="ar"/>
        </w:rPr>
        <w:t>2.投标报价明细表格式（必须提供）</w:t>
      </w:r>
    </w:p>
    <w:p>
      <w:pPr>
        <w:jc w:val="center"/>
        <w:rPr>
          <w:b/>
          <w:szCs w:val="21"/>
          <w:highlight w:val="none"/>
        </w:rPr>
      </w:pPr>
      <w:r>
        <w:rPr>
          <w:rFonts w:hint="eastAsia" w:cs="宋体"/>
          <w:b/>
          <w:szCs w:val="21"/>
          <w:highlight w:val="none"/>
          <w:lang w:bidi="ar"/>
        </w:rPr>
        <w:t>投标报价明细表</w:t>
      </w:r>
    </w:p>
    <w:p>
      <w:pPr>
        <w:ind w:firstLine="2415" w:firstLineChars="1150"/>
        <w:rPr>
          <w:szCs w:val="21"/>
          <w:highlight w:val="none"/>
        </w:rPr>
      </w:pPr>
      <w:r>
        <w:rPr>
          <w:szCs w:val="21"/>
          <w:highlight w:val="none"/>
          <w:lang w:bidi="ar"/>
        </w:rPr>
        <w:t xml:space="preserve">                                    </w:t>
      </w:r>
      <w:r>
        <w:rPr>
          <w:rFonts w:hint="eastAsia" w:cs="宋体"/>
          <w:szCs w:val="21"/>
          <w:highlight w:val="none"/>
          <w:lang w:bidi="ar"/>
        </w:rPr>
        <w:t>金额单位：人民币（元）</w:t>
      </w:r>
    </w:p>
    <w:tbl>
      <w:tblPr>
        <w:tblStyle w:val="54"/>
        <w:tblW w:w="4997"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676"/>
        <w:gridCol w:w="1362"/>
        <w:gridCol w:w="1498"/>
        <w:gridCol w:w="1499"/>
        <w:gridCol w:w="865"/>
        <w:gridCol w:w="1307"/>
        <w:gridCol w:w="646"/>
        <w:gridCol w:w="66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1" w:hRule="exact"/>
          <w:jc w:val="center"/>
        </w:trPr>
        <w:tc>
          <w:tcPr>
            <w:tcW w:w="39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bookmarkStart w:id="211" w:name="_Hlk88990717"/>
            <w:r>
              <w:rPr>
                <w:rFonts w:hint="eastAsia" w:cs="宋体"/>
                <w:szCs w:val="21"/>
                <w:highlight w:val="none"/>
                <w:lang w:bidi="ar"/>
              </w:rPr>
              <w:t>序号</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cs="宋体"/>
                <w:szCs w:val="21"/>
                <w:highlight w:val="none"/>
                <w:lang w:bidi="ar"/>
              </w:rPr>
              <w:t>产品或服务名称</w:t>
            </w: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rFonts w:hint="eastAsia" w:cs="宋体"/>
                <w:szCs w:val="21"/>
                <w:highlight w:val="none"/>
                <w:lang w:bidi="ar"/>
              </w:rPr>
            </w:pPr>
            <w:r>
              <w:rPr>
                <w:rFonts w:hint="eastAsia" w:cs="宋体"/>
                <w:szCs w:val="21"/>
                <w:highlight w:val="none"/>
                <w:lang w:bidi="ar"/>
              </w:rPr>
              <w:t>商标品牌</w:t>
            </w: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cs="宋体"/>
                <w:szCs w:val="21"/>
                <w:highlight w:val="none"/>
                <w:lang w:bidi="ar"/>
              </w:rPr>
              <w:t>制造商或服务商</w:t>
            </w: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cs="宋体"/>
                <w:szCs w:val="21"/>
                <w:highlight w:val="none"/>
                <w:lang w:bidi="ar"/>
              </w:rPr>
              <w:t>规格型号</w:t>
            </w: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cs="宋体"/>
                <w:szCs w:val="21"/>
                <w:highlight w:val="none"/>
                <w:lang w:bidi="ar"/>
              </w:rPr>
              <w:t>单位及数量</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cs="宋体"/>
                <w:szCs w:val="21"/>
                <w:highlight w:val="none"/>
                <w:lang w:bidi="ar"/>
              </w:rPr>
              <w:t>单价</w:t>
            </w:r>
          </w:p>
        </w:tc>
        <w:tc>
          <w:tcPr>
            <w:tcW w:w="386" w:type="pct"/>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cs="宋体"/>
                <w:szCs w:val="21"/>
                <w:highlight w:val="none"/>
                <w:lang w:bidi="ar"/>
              </w:rPr>
              <w:t>合计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exact"/>
          <w:jc w:val="center"/>
        </w:trPr>
        <w:tc>
          <w:tcPr>
            <w:tcW w:w="39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r>
              <w:rPr>
                <w:rFonts w:hint="eastAsia"/>
                <w:spacing w:val="20"/>
                <w:szCs w:val="21"/>
                <w:highlight w:val="none"/>
              </w:rPr>
              <w:t>1</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567" w:hRule="exact"/>
          <w:jc w:val="center"/>
        </w:trPr>
        <w:tc>
          <w:tcPr>
            <w:tcW w:w="39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r>
              <w:rPr>
                <w:rFonts w:hint="eastAsia"/>
                <w:spacing w:val="20"/>
                <w:szCs w:val="21"/>
                <w:highlight w:val="none"/>
              </w:rPr>
              <w:t>2</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exact"/>
          <w:jc w:val="center"/>
        </w:trPr>
        <w:tc>
          <w:tcPr>
            <w:tcW w:w="39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r>
              <w:rPr>
                <w:rFonts w:hint="eastAsia"/>
                <w:spacing w:val="20"/>
                <w:szCs w:val="21"/>
                <w:highlight w:val="none"/>
              </w:rPr>
              <w:t>3</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exact"/>
          <w:jc w:val="center"/>
        </w:trPr>
        <w:tc>
          <w:tcPr>
            <w:tcW w:w="39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r>
              <w:rPr>
                <w:spacing w:val="20"/>
                <w:szCs w:val="21"/>
                <w:highlight w:val="none"/>
              </w:rPr>
              <w:t>……</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r>
              <w:rPr>
                <w:spacing w:val="20"/>
                <w:szCs w:val="21"/>
                <w:highlight w:val="none"/>
                <w:lang w:bidi="ar"/>
              </w:rPr>
              <w:t>……</w:t>
            </w: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567" w:hRule="exact"/>
          <w:jc w:val="center"/>
        </w:trPr>
        <w:tc>
          <w:tcPr>
            <w:tcW w:w="39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r>
              <w:rPr>
                <w:rFonts w:hint="eastAsia"/>
                <w:spacing w:val="20"/>
                <w:szCs w:val="21"/>
                <w:highlight w:val="none"/>
              </w:rPr>
              <w:t>N</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lang w:bidi="ar"/>
              </w:rPr>
            </w:pP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8" w:hRule="exac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jc w:val="left"/>
              <w:rPr>
                <w:spacing w:val="20"/>
                <w:szCs w:val="21"/>
                <w:highlight w:val="none"/>
              </w:rPr>
            </w:pPr>
            <w:r>
              <w:rPr>
                <w:rFonts w:hint="eastAsia"/>
                <w:spacing w:val="20"/>
                <w:szCs w:val="21"/>
                <w:highlight w:val="none"/>
              </w:rPr>
              <w:t>报价合计：（大写）人民币</w:t>
            </w:r>
            <w:r>
              <w:rPr>
                <w:rFonts w:hint="eastAsia"/>
                <w:spacing w:val="20"/>
                <w:szCs w:val="21"/>
                <w:highlight w:val="none"/>
                <w:u w:val="single"/>
              </w:rPr>
              <w:t xml:space="preserve">               </w:t>
            </w:r>
            <w:r>
              <w:rPr>
                <w:rFonts w:hint="eastAsia"/>
                <w:spacing w:val="20"/>
                <w:szCs w:val="21"/>
                <w:highlight w:val="none"/>
              </w:rPr>
              <w:t>（￥</w:t>
            </w:r>
            <w:r>
              <w:rPr>
                <w:rFonts w:hint="eastAsia"/>
                <w:spacing w:val="20"/>
                <w:szCs w:val="21"/>
                <w:highlight w:val="none"/>
                <w:u w:val="single"/>
              </w:rPr>
              <w:t xml:space="preserve">            </w:t>
            </w:r>
            <w:r>
              <w:rPr>
                <w:rFonts w:hint="eastAsia"/>
                <w:spacing w:val="20"/>
                <w:szCs w:val="21"/>
                <w:highlight w:val="none"/>
              </w:rPr>
              <w:t>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6" w:hRule="exac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jc w:val="left"/>
              <w:rPr>
                <w:spacing w:val="20"/>
                <w:szCs w:val="21"/>
                <w:highlight w:val="none"/>
              </w:rPr>
            </w:pPr>
            <w:r>
              <w:rPr>
                <w:rFonts w:ascii="宋体" w:hAnsi="宋体"/>
                <w:szCs w:val="21"/>
                <w:highlight w:val="none"/>
              </w:rPr>
              <w:t>投标货物中，属于优先采购节能产品总值为￥</w:t>
            </w:r>
            <w:r>
              <w:rPr>
                <w:rFonts w:ascii="宋体" w:hAnsi="宋体"/>
                <w:szCs w:val="21"/>
                <w:highlight w:val="none"/>
                <w:u w:val="single"/>
              </w:rPr>
              <w:t xml:space="preserve">     </w:t>
            </w:r>
            <w:r>
              <w:rPr>
                <w:rFonts w:ascii="宋体" w:hAnsi="宋体"/>
                <w:szCs w:val="21"/>
                <w:highlight w:val="none"/>
              </w:rPr>
              <w:t>元，其所占本</w:t>
            </w:r>
            <w:r>
              <w:rPr>
                <w:rFonts w:hint="eastAsia" w:ascii="宋体" w:hAnsi="宋体"/>
                <w:szCs w:val="21"/>
                <w:highlight w:val="none"/>
              </w:rPr>
              <w:t>项目预算金额</w:t>
            </w:r>
            <w:r>
              <w:rPr>
                <w:rFonts w:ascii="宋体" w:hAnsi="宋体"/>
                <w:szCs w:val="21"/>
                <w:highlight w:val="none"/>
              </w:rPr>
              <w:t>的比例为</w:t>
            </w:r>
            <w:r>
              <w:rPr>
                <w:rFonts w:ascii="宋体" w:hAnsi="宋体"/>
                <w:szCs w:val="21"/>
                <w:highlight w:val="none"/>
                <w:u w:val="single"/>
              </w:rPr>
              <w:t xml:space="preserve">     </w:t>
            </w:r>
            <w:r>
              <w:rPr>
                <w:rFonts w:ascii="宋体" w:hAnsi="宋体"/>
                <w:szCs w:val="21"/>
                <w:highlight w:val="none"/>
              </w:rPr>
              <w:t>%；属于优先采购环境标志产品总值为￥</w:t>
            </w:r>
            <w:r>
              <w:rPr>
                <w:rFonts w:ascii="宋体" w:hAnsi="宋体"/>
                <w:szCs w:val="21"/>
                <w:highlight w:val="none"/>
                <w:u w:val="single"/>
              </w:rPr>
              <w:t xml:space="preserve">     </w:t>
            </w:r>
            <w:r>
              <w:rPr>
                <w:rFonts w:ascii="宋体" w:hAnsi="宋体"/>
                <w:szCs w:val="21"/>
                <w:highlight w:val="none"/>
              </w:rPr>
              <w:t>元，其所占本</w:t>
            </w:r>
            <w:r>
              <w:rPr>
                <w:rFonts w:hint="eastAsia" w:ascii="宋体" w:hAnsi="宋体"/>
                <w:szCs w:val="21"/>
                <w:highlight w:val="none"/>
              </w:rPr>
              <w:t>项目预算金额</w:t>
            </w:r>
            <w:r>
              <w:rPr>
                <w:rFonts w:ascii="宋体" w:hAnsi="宋体"/>
                <w:szCs w:val="21"/>
                <w:highlight w:val="none"/>
              </w:rPr>
              <w:t>的比例为</w:t>
            </w:r>
            <w:r>
              <w:rPr>
                <w:rFonts w:ascii="宋体" w:hAnsi="宋体"/>
                <w:szCs w:val="21"/>
                <w:highlight w:val="none"/>
                <w:u w:val="single"/>
              </w:rPr>
              <w:t xml:space="preserve">    </w:t>
            </w:r>
            <w:r>
              <w:rPr>
                <w:rFonts w:ascii="宋体" w:hAnsi="宋体"/>
                <w:szCs w:val="21"/>
                <w:highlight w:val="none"/>
              </w:rPr>
              <w:t>%。</w:t>
            </w:r>
          </w:p>
        </w:tc>
      </w:tr>
    </w:tbl>
    <w:p>
      <w:pPr>
        <w:jc w:val="left"/>
        <w:rPr>
          <w:szCs w:val="21"/>
          <w:highlight w:val="none"/>
        </w:rPr>
      </w:pPr>
    </w:p>
    <w:p>
      <w:pPr>
        <w:jc w:val="left"/>
        <w:rPr>
          <w:szCs w:val="21"/>
          <w:highlight w:val="none"/>
        </w:rPr>
      </w:pPr>
      <w:r>
        <w:rPr>
          <w:szCs w:val="21"/>
          <w:highlight w:val="none"/>
        </w:rPr>
        <w:t>注：</w:t>
      </w:r>
      <w:r>
        <w:rPr>
          <w:rFonts w:hint="eastAsia"/>
          <w:szCs w:val="21"/>
          <w:highlight w:val="none"/>
        </w:rPr>
        <w:t>本表可根据实际情况进行调整。</w:t>
      </w:r>
    </w:p>
    <w:p>
      <w:pPr>
        <w:spacing w:line="360" w:lineRule="auto"/>
        <w:rPr>
          <w:spacing w:val="20"/>
          <w:szCs w:val="21"/>
          <w:highlight w:val="none"/>
        </w:rPr>
      </w:pPr>
    </w:p>
    <w:bookmarkEnd w:id="211"/>
    <w:p>
      <w:pPr>
        <w:snapToGrid w:val="0"/>
        <w:spacing w:before="50" w:after="120"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20"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snapToGrid w:val="0"/>
        <w:spacing w:before="50" w:after="120" w:afterLines="50"/>
        <w:jc w:val="left"/>
        <w:rPr>
          <w:szCs w:val="21"/>
          <w:highlight w:val="none"/>
        </w:rPr>
      </w:pPr>
      <w:r>
        <w:rPr>
          <w:szCs w:val="21"/>
          <w:highlight w:val="none"/>
          <w:lang w:bidi="ar"/>
        </w:rPr>
        <w:br w:type="page"/>
      </w:r>
      <w:bookmarkStart w:id="212" w:name="_Hlk19115884"/>
      <w:bookmarkStart w:id="213" w:name="_Hlk65852042"/>
    </w:p>
    <w:bookmarkEnd w:id="212"/>
    <w:bookmarkEnd w:id="213"/>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bookmarkStart w:id="214" w:name="_Hlk88990880"/>
      <w:r>
        <w:rPr>
          <w:rFonts w:hint="eastAsia" w:ascii="宋体" w:hAnsi="宋体"/>
          <w:b/>
          <w:bCs/>
          <w:szCs w:val="21"/>
          <w:highlight w:val="none"/>
          <w:lang w:bidi="ar"/>
        </w:rPr>
        <w:t>3.开标一览表（必须提供）</w:t>
      </w:r>
    </w:p>
    <w:p>
      <w:pPr>
        <w:rPr>
          <w:b/>
          <w:szCs w:val="21"/>
          <w:highlight w:val="none"/>
        </w:rPr>
      </w:pPr>
      <w:r>
        <w:rPr>
          <w:rFonts w:hint="eastAsia" w:cs="宋体"/>
          <w:b/>
          <w:szCs w:val="21"/>
          <w:highlight w:val="none"/>
          <w:lang w:bidi="ar"/>
        </w:rPr>
        <w:t>格式详见广西政府采购云平台，且仅在广西政府采购云平台填写即可。</w:t>
      </w:r>
      <w:bookmarkEnd w:id="214"/>
    </w:p>
    <w:sectPr>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小标宋简体">
    <w:panose1 w:val="02000000000000000000"/>
    <w:charset w:val="86"/>
    <w:family w:val="script"/>
    <w:pitch w:val="default"/>
    <w:sig w:usb0="A00002BF" w:usb1="184F6CFA" w:usb2="00000012"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6896707"/>
    </w:sdtPr>
    <w:sdtContent>
      <w:p>
        <w:pPr>
          <w:pStyle w:val="34"/>
          <w:jc w:val="center"/>
        </w:pPr>
        <w:r>
          <w:fldChar w:fldCharType="begin"/>
        </w:r>
        <w:r>
          <w:instrText xml:space="preserve">PAGE   \* MERGEFORMAT</w:instrText>
        </w:r>
        <w:r>
          <w:fldChar w:fldCharType="separate"/>
        </w:r>
        <w:r>
          <w:rPr>
            <w:lang w:val="zh-CN"/>
          </w:rPr>
          <w:t>43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49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 PAGE   \* MERGEFORMAT </w:instrText>
    </w:r>
    <w:r>
      <w:fldChar w:fldCharType="separate"/>
    </w:r>
    <w:r>
      <w:rPr>
        <w:lang w:val="zh-CN"/>
      </w:rPr>
      <w:t>45</w:t>
    </w:r>
    <w:r>
      <w:fldChar w:fldCharType="end"/>
    </w:r>
  </w:p>
  <w:p>
    <w:pPr>
      <w:pStyle w:val="3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264891"/>
    </w:sdtPr>
    <w:sdtContent>
      <w:p>
        <w:pPr>
          <w:pStyle w:val="34"/>
          <w:jc w:val="center"/>
        </w:pPr>
        <w:r>
          <w:fldChar w:fldCharType="begin"/>
        </w:r>
        <w:r>
          <w:instrText xml:space="preserve">PAGE   \* MERGEFORMAT</w:instrText>
        </w:r>
        <w:r>
          <w:fldChar w:fldCharType="separate"/>
        </w:r>
        <w:r>
          <w:rPr>
            <w:lang w:val="zh-CN"/>
          </w:rPr>
          <w:t>75</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7697911"/>
    </w:sdtPr>
    <w:sdtContent>
      <w:p>
        <w:pPr>
          <w:pStyle w:val="34"/>
          <w:jc w:val="center"/>
        </w:pPr>
        <w:r>
          <w:fldChar w:fldCharType="begin"/>
        </w:r>
        <w:r>
          <w:instrText xml:space="preserve">PAGE   \* MERGEFORMAT</w:instrText>
        </w:r>
        <w:r>
          <w:fldChar w:fldCharType="separate"/>
        </w:r>
        <w:r>
          <w:rPr>
            <w:lang w:val="zh-CN"/>
          </w:rPr>
          <w:t>79</w:t>
        </w:r>
        <w: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0359D"/>
    <w:multiLevelType w:val="multilevel"/>
    <w:tmpl w:val="24A0359D"/>
    <w:lvl w:ilvl="0" w:tentative="0">
      <w:start w:val="1"/>
      <w:numFmt w:val="decimal"/>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
    <w:nsid w:val="2DF84E5F"/>
    <w:multiLevelType w:val="multilevel"/>
    <w:tmpl w:val="2DF84E5F"/>
    <w:lvl w:ilvl="0" w:tentative="0">
      <w:start w:val="1"/>
      <w:numFmt w:val="decimal"/>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2">
    <w:nsid w:val="40D61B49"/>
    <w:multiLevelType w:val="multilevel"/>
    <w:tmpl w:val="40D61B4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490069A6"/>
    <w:multiLevelType w:val="multilevel"/>
    <w:tmpl w:val="490069A6"/>
    <w:lvl w:ilvl="0" w:tentative="0">
      <w:start w:val="1"/>
      <w:numFmt w:val="decimal"/>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D5F681C"/>
    <w:multiLevelType w:val="multilevel"/>
    <w:tmpl w:val="4D5F681C"/>
    <w:lvl w:ilvl="0" w:tentative="0">
      <w:start w:val="1"/>
      <w:numFmt w:val="decimal"/>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5">
    <w:nsid w:val="51950695"/>
    <w:multiLevelType w:val="multilevel"/>
    <w:tmpl w:val="51950695"/>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YTY3MzBlMGYzNGY0YzBkOGE4ZDFjNDc4NzcwYTQ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E6F"/>
    <w:rsid w:val="00002AC8"/>
    <w:rsid w:val="00002DDA"/>
    <w:rsid w:val="00002F41"/>
    <w:rsid w:val="00003255"/>
    <w:rsid w:val="000035E7"/>
    <w:rsid w:val="00003C81"/>
    <w:rsid w:val="00003D02"/>
    <w:rsid w:val="00003DAE"/>
    <w:rsid w:val="0000436E"/>
    <w:rsid w:val="0000525B"/>
    <w:rsid w:val="000058D7"/>
    <w:rsid w:val="00005E55"/>
    <w:rsid w:val="00006E2C"/>
    <w:rsid w:val="000079FF"/>
    <w:rsid w:val="00007B0D"/>
    <w:rsid w:val="00007F38"/>
    <w:rsid w:val="000102A9"/>
    <w:rsid w:val="00010339"/>
    <w:rsid w:val="000105C3"/>
    <w:rsid w:val="00011B70"/>
    <w:rsid w:val="00011D72"/>
    <w:rsid w:val="00012078"/>
    <w:rsid w:val="00012218"/>
    <w:rsid w:val="00012320"/>
    <w:rsid w:val="0001242C"/>
    <w:rsid w:val="000128AC"/>
    <w:rsid w:val="000129EA"/>
    <w:rsid w:val="00012D67"/>
    <w:rsid w:val="00013391"/>
    <w:rsid w:val="00013748"/>
    <w:rsid w:val="00013AE8"/>
    <w:rsid w:val="00013D41"/>
    <w:rsid w:val="00013D8B"/>
    <w:rsid w:val="000143A3"/>
    <w:rsid w:val="000144F2"/>
    <w:rsid w:val="000145E3"/>
    <w:rsid w:val="00014CA6"/>
    <w:rsid w:val="00014DD6"/>
    <w:rsid w:val="0001532B"/>
    <w:rsid w:val="0001598C"/>
    <w:rsid w:val="00016007"/>
    <w:rsid w:val="0001659A"/>
    <w:rsid w:val="000169F3"/>
    <w:rsid w:val="00016C31"/>
    <w:rsid w:val="00016CE3"/>
    <w:rsid w:val="00017504"/>
    <w:rsid w:val="000178D7"/>
    <w:rsid w:val="00017900"/>
    <w:rsid w:val="00017C14"/>
    <w:rsid w:val="00017E50"/>
    <w:rsid w:val="00017F40"/>
    <w:rsid w:val="0002053C"/>
    <w:rsid w:val="00020861"/>
    <w:rsid w:val="00020BB1"/>
    <w:rsid w:val="00020BF0"/>
    <w:rsid w:val="00020C0B"/>
    <w:rsid w:val="00020F60"/>
    <w:rsid w:val="000212C0"/>
    <w:rsid w:val="000215B7"/>
    <w:rsid w:val="000217BF"/>
    <w:rsid w:val="00021C98"/>
    <w:rsid w:val="00021CCD"/>
    <w:rsid w:val="00021EE3"/>
    <w:rsid w:val="000228AB"/>
    <w:rsid w:val="00022C7D"/>
    <w:rsid w:val="00022F2A"/>
    <w:rsid w:val="00022F8B"/>
    <w:rsid w:val="00023187"/>
    <w:rsid w:val="000233CA"/>
    <w:rsid w:val="00023436"/>
    <w:rsid w:val="00023652"/>
    <w:rsid w:val="000236EE"/>
    <w:rsid w:val="00024633"/>
    <w:rsid w:val="0002560A"/>
    <w:rsid w:val="00025DA0"/>
    <w:rsid w:val="000262BC"/>
    <w:rsid w:val="0002696D"/>
    <w:rsid w:val="0002754D"/>
    <w:rsid w:val="00027666"/>
    <w:rsid w:val="000276B2"/>
    <w:rsid w:val="00027A1D"/>
    <w:rsid w:val="00027A46"/>
    <w:rsid w:val="00027AC3"/>
    <w:rsid w:val="00027AF3"/>
    <w:rsid w:val="00030024"/>
    <w:rsid w:val="00030124"/>
    <w:rsid w:val="000302F0"/>
    <w:rsid w:val="000305FD"/>
    <w:rsid w:val="0003084F"/>
    <w:rsid w:val="00030C2F"/>
    <w:rsid w:val="00031169"/>
    <w:rsid w:val="000314EA"/>
    <w:rsid w:val="000316FC"/>
    <w:rsid w:val="00031757"/>
    <w:rsid w:val="00031B37"/>
    <w:rsid w:val="00031DDD"/>
    <w:rsid w:val="00032686"/>
    <w:rsid w:val="0003274B"/>
    <w:rsid w:val="00032AD8"/>
    <w:rsid w:val="00032ADF"/>
    <w:rsid w:val="000331CC"/>
    <w:rsid w:val="0003322E"/>
    <w:rsid w:val="00033927"/>
    <w:rsid w:val="00033DC1"/>
    <w:rsid w:val="00034947"/>
    <w:rsid w:val="00034A89"/>
    <w:rsid w:val="000352BA"/>
    <w:rsid w:val="00035840"/>
    <w:rsid w:val="00035844"/>
    <w:rsid w:val="00035949"/>
    <w:rsid w:val="00035A8D"/>
    <w:rsid w:val="00035C94"/>
    <w:rsid w:val="00036383"/>
    <w:rsid w:val="00036BAA"/>
    <w:rsid w:val="00036E33"/>
    <w:rsid w:val="00037101"/>
    <w:rsid w:val="00037C2D"/>
    <w:rsid w:val="00037C63"/>
    <w:rsid w:val="00037CE4"/>
    <w:rsid w:val="00037DB6"/>
    <w:rsid w:val="00037FD7"/>
    <w:rsid w:val="00040187"/>
    <w:rsid w:val="000401FD"/>
    <w:rsid w:val="00040AC1"/>
    <w:rsid w:val="00040ED3"/>
    <w:rsid w:val="0004139C"/>
    <w:rsid w:val="000415E3"/>
    <w:rsid w:val="000418B1"/>
    <w:rsid w:val="000418C9"/>
    <w:rsid w:val="00041C02"/>
    <w:rsid w:val="00042280"/>
    <w:rsid w:val="0004231D"/>
    <w:rsid w:val="000424AB"/>
    <w:rsid w:val="00042BF9"/>
    <w:rsid w:val="00042ED7"/>
    <w:rsid w:val="000431D3"/>
    <w:rsid w:val="00043295"/>
    <w:rsid w:val="00043FFA"/>
    <w:rsid w:val="00044236"/>
    <w:rsid w:val="00044578"/>
    <w:rsid w:val="00044990"/>
    <w:rsid w:val="00044A8C"/>
    <w:rsid w:val="00045069"/>
    <w:rsid w:val="00045070"/>
    <w:rsid w:val="000458DE"/>
    <w:rsid w:val="00045947"/>
    <w:rsid w:val="000459FB"/>
    <w:rsid w:val="000462A8"/>
    <w:rsid w:val="00046360"/>
    <w:rsid w:val="0004653D"/>
    <w:rsid w:val="000465AB"/>
    <w:rsid w:val="00046E59"/>
    <w:rsid w:val="000472E6"/>
    <w:rsid w:val="00047834"/>
    <w:rsid w:val="000479CD"/>
    <w:rsid w:val="000479FF"/>
    <w:rsid w:val="00047FDF"/>
    <w:rsid w:val="000500E6"/>
    <w:rsid w:val="000504FE"/>
    <w:rsid w:val="000510EB"/>
    <w:rsid w:val="000513E2"/>
    <w:rsid w:val="00051C80"/>
    <w:rsid w:val="000521F3"/>
    <w:rsid w:val="00052326"/>
    <w:rsid w:val="000529E7"/>
    <w:rsid w:val="00052DBE"/>
    <w:rsid w:val="00053175"/>
    <w:rsid w:val="000534EE"/>
    <w:rsid w:val="0005359C"/>
    <w:rsid w:val="0005387F"/>
    <w:rsid w:val="00053BFC"/>
    <w:rsid w:val="0005428F"/>
    <w:rsid w:val="000544F4"/>
    <w:rsid w:val="000545D3"/>
    <w:rsid w:val="00054870"/>
    <w:rsid w:val="00054AB0"/>
    <w:rsid w:val="00054ABD"/>
    <w:rsid w:val="00054CCC"/>
    <w:rsid w:val="00054F7D"/>
    <w:rsid w:val="00055041"/>
    <w:rsid w:val="00055230"/>
    <w:rsid w:val="00055557"/>
    <w:rsid w:val="000555EA"/>
    <w:rsid w:val="00055945"/>
    <w:rsid w:val="00055A8A"/>
    <w:rsid w:val="00055E6D"/>
    <w:rsid w:val="00055FB0"/>
    <w:rsid w:val="0005625F"/>
    <w:rsid w:val="0005649E"/>
    <w:rsid w:val="0005682D"/>
    <w:rsid w:val="00056945"/>
    <w:rsid w:val="00056B0E"/>
    <w:rsid w:val="00056DFD"/>
    <w:rsid w:val="0005700C"/>
    <w:rsid w:val="00057393"/>
    <w:rsid w:val="00057E45"/>
    <w:rsid w:val="0006027F"/>
    <w:rsid w:val="00060523"/>
    <w:rsid w:val="000606B6"/>
    <w:rsid w:val="000609AC"/>
    <w:rsid w:val="0006148A"/>
    <w:rsid w:val="000618AE"/>
    <w:rsid w:val="00062637"/>
    <w:rsid w:val="0006263C"/>
    <w:rsid w:val="00062949"/>
    <w:rsid w:val="000631AC"/>
    <w:rsid w:val="000631B7"/>
    <w:rsid w:val="000633DD"/>
    <w:rsid w:val="00063894"/>
    <w:rsid w:val="000639D4"/>
    <w:rsid w:val="00063B29"/>
    <w:rsid w:val="0006404F"/>
    <w:rsid w:val="0006408F"/>
    <w:rsid w:val="000642D1"/>
    <w:rsid w:val="000646CC"/>
    <w:rsid w:val="00064840"/>
    <w:rsid w:val="000648B7"/>
    <w:rsid w:val="00064A48"/>
    <w:rsid w:val="00064C80"/>
    <w:rsid w:val="00065429"/>
    <w:rsid w:val="00065AB7"/>
    <w:rsid w:val="00065BFE"/>
    <w:rsid w:val="00065C40"/>
    <w:rsid w:val="00065D71"/>
    <w:rsid w:val="000668D7"/>
    <w:rsid w:val="000673D8"/>
    <w:rsid w:val="00067DE7"/>
    <w:rsid w:val="0007014F"/>
    <w:rsid w:val="000706AC"/>
    <w:rsid w:val="00070950"/>
    <w:rsid w:val="000709D3"/>
    <w:rsid w:val="00070A7D"/>
    <w:rsid w:val="00070AAB"/>
    <w:rsid w:val="000712F8"/>
    <w:rsid w:val="00071A68"/>
    <w:rsid w:val="00071A6A"/>
    <w:rsid w:val="00071C95"/>
    <w:rsid w:val="00072A95"/>
    <w:rsid w:val="00072B66"/>
    <w:rsid w:val="00072CEC"/>
    <w:rsid w:val="0007368B"/>
    <w:rsid w:val="00073C3B"/>
    <w:rsid w:val="00074923"/>
    <w:rsid w:val="00074EE8"/>
    <w:rsid w:val="000750EA"/>
    <w:rsid w:val="0007539D"/>
    <w:rsid w:val="00075641"/>
    <w:rsid w:val="00075A8D"/>
    <w:rsid w:val="000765B4"/>
    <w:rsid w:val="000774F1"/>
    <w:rsid w:val="00077698"/>
    <w:rsid w:val="000777B1"/>
    <w:rsid w:val="00077891"/>
    <w:rsid w:val="0007797E"/>
    <w:rsid w:val="00077C1B"/>
    <w:rsid w:val="0008017C"/>
    <w:rsid w:val="00080321"/>
    <w:rsid w:val="00080AA6"/>
    <w:rsid w:val="00080BE2"/>
    <w:rsid w:val="00081679"/>
    <w:rsid w:val="00081C1C"/>
    <w:rsid w:val="0008224F"/>
    <w:rsid w:val="000822F0"/>
    <w:rsid w:val="000824BD"/>
    <w:rsid w:val="00082611"/>
    <w:rsid w:val="0008264F"/>
    <w:rsid w:val="0008304A"/>
    <w:rsid w:val="0008372E"/>
    <w:rsid w:val="00083A64"/>
    <w:rsid w:val="00083B97"/>
    <w:rsid w:val="00083E27"/>
    <w:rsid w:val="000842B5"/>
    <w:rsid w:val="00085560"/>
    <w:rsid w:val="00085E63"/>
    <w:rsid w:val="00086067"/>
    <w:rsid w:val="000866A9"/>
    <w:rsid w:val="00086EC2"/>
    <w:rsid w:val="000870C0"/>
    <w:rsid w:val="00087358"/>
    <w:rsid w:val="000873F5"/>
    <w:rsid w:val="00087B15"/>
    <w:rsid w:val="00087E2E"/>
    <w:rsid w:val="000900DF"/>
    <w:rsid w:val="00090193"/>
    <w:rsid w:val="0009021F"/>
    <w:rsid w:val="00090524"/>
    <w:rsid w:val="0009134B"/>
    <w:rsid w:val="00091D8D"/>
    <w:rsid w:val="000928ED"/>
    <w:rsid w:val="00093869"/>
    <w:rsid w:val="00093BC0"/>
    <w:rsid w:val="00093DF8"/>
    <w:rsid w:val="000941F6"/>
    <w:rsid w:val="0009454A"/>
    <w:rsid w:val="000945C5"/>
    <w:rsid w:val="00094ECF"/>
    <w:rsid w:val="0009592E"/>
    <w:rsid w:val="00095AAF"/>
    <w:rsid w:val="00095B76"/>
    <w:rsid w:val="00095ECB"/>
    <w:rsid w:val="00096D28"/>
    <w:rsid w:val="0009715C"/>
    <w:rsid w:val="00097406"/>
    <w:rsid w:val="000975D5"/>
    <w:rsid w:val="000A10DB"/>
    <w:rsid w:val="000A111D"/>
    <w:rsid w:val="000A117F"/>
    <w:rsid w:val="000A128A"/>
    <w:rsid w:val="000A1582"/>
    <w:rsid w:val="000A165F"/>
    <w:rsid w:val="000A2960"/>
    <w:rsid w:val="000A2968"/>
    <w:rsid w:val="000A299E"/>
    <w:rsid w:val="000A2AE9"/>
    <w:rsid w:val="000A2E97"/>
    <w:rsid w:val="000A3515"/>
    <w:rsid w:val="000A3518"/>
    <w:rsid w:val="000A4852"/>
    <w:rsid w:val="000A4ACE"/>
    <w:rsid w:val="000A509A"/>
    <w:rsid w:val="000A6C4D"/>
    <w:rsid w:val="000A6C54"/>
    <w:rsid w:val="000A6F1D"/>
    <w:rsid w:val="000A70C7"/>
    <w:rsid w:val="000A7238"/>
    <w:rsid w:val="000A745D"/>
    <w:rsid w:val="000A791D"/>
    <w:rsid w:val="000A7931"/>
    <w:rsid w:val="000B034B"/>
    <w:rsid w:val="000B0720"/>
    <w:rsid w:val="000B09FE"/>
    <w:rsid w:val="000B0BB1"/>
    <w:rsid w:val="000B15EF"/>
    <w:rsid w:val="000B26D6"/>
    <w:rsid w:val="000B2D1E"/>
    <w:rsid w:val="000B316D"/>
    <w:rsid w:val="000B3194"/>
    <w:rsid w:val="000B3CFE"/>
    <w:rsid w:val="000B4C74"/>
    <w:rsid w:val="000B4EF3"/>
    <w:rsid w:val="000B554C"/>
    <w:rsid w:val="000B5D87"/>
    <w:rsid w:val="000B60C6"/>
    <w:rsid w:val="000B6115"/>
    <w:rsid w:val="000B68A5"/>
    <w:rsid w:val="000B6A5E"/>
    <w:rsid w:val="000B6F18"/>
    <w:rsid w:val="000B70DB"/>
    <w:rsid w:val="000B76E7"/>
    <w:rsid w:val="000B797D"/>
    <w:rsid w:val="000B7AC2"/>
    <w:rsid w:val="000B7E6D"/>
    <w:rsid w:val="000C1979"/>
    <w:rsid w:val="000C20B5"/>
    <w:rsid w:val="000C270D"/>
    <w:rsid w:val="000C2B1E"/>
    <w:rsid w:val="000C350A"/>
    <w:rsid w:val="000C3518"/>
    <w:rsid w:val="000C3762"/>
    <w:rsid w:val="000C41CD"/>
    <w:rsid w:val="000C4988"/>
    <w:rsid w:val="000C4D4A"/>
    <w:rsid w:val="000C59D1"/>
    <w:rsid w:val="000C5C88"/>
    <w:rsid w:val="000C626F"/>
    <w:rsid w:val="000C64D1"/>
    <w:rsid w:val="000C655F"/>
    <w:rsid w:val="000C66AB"/>
    <w:rsid w:val="000C6872"/>
    <w:rsid w:val="000C7045"/>
    <w:rsid w:val="000C718C"/>
    <w:rsid w:val="000C71D4"/>
    <w:rsid w:val="000C7563"/>
    <w:rsid w:val="000C757A"/>
    <w:rsid w:val="000C7D9F"/>
    <w:rsid w:val="000D074C"/>
    <w:rsid w:val="000D0C28"/>
    <w:rsid w:val="000D0F2E"/>
    <w:rsid w:val="000D1788"/>
    <w:rsid w:val="000D2D0F"/>
    <w:rsid w:val="000D31CB"/>
    <w:rsid w:val="000D3E1B"/>
    <w:rsid w:val="000D4061"/>
    <w:rsid w:val="000D4860"/>
    <w:rsid w:val="000D48FB"/>
    <w:rsid w:val="000D4B4F"/>
    <w:rsid w:val="000D4E0B"/>
    <w:rsid w:val="000D4EC1"/>
    <w:rsid w:val="000D55FD"/>
    <w:rsid w:val="000D562F"/>
    <w:rsid w:val="000D56C7"/>
    <w:rsid w:val="000D672C"/>
    <w:rsid w:val="000D68F4"/>
    <w:rsid w:val="000D6A04"/>
    <w:rsid w:val="000D6A61"/>
    <w:rsid w:val="000D6C78"/>
    <w:rsid w:val="000D74B9"/>
    <w:rsid w:val="000D77A9"/>
    <w:rsid w:val="000E01DF"/>
    <w:rsid w:val="000E1094"/>
    <w:rsid w:val="000E1838"/>
    <w:rsid w:val="000E18A1"/>
    <w:rsid w:val="000E19AF"/>
    <w:rsid w:val="000E19D1"/>
    <w:rsid w:val="000E1AC3"/>
    <w:rsid w:val="000E1C04"/>
    <w:rsid w:val="000E20DA"/>
    <w:rsid w:val="000E29CF"/>
    <w:rsid w:val="000E2AD1"/>
    <w:rsid w:val="000E2F86"/>
    <w:rsid w:val="000E3D2F"/>
    <w:rsid w:val="000E42EF"/>
    <w:rsid w:val="000E4712"/>
    <w:rsid w:val="000E4723"/>
    <w:rsid w:val="000E5568"/>
    <w:rsid w:val="000E612C"/>
    <w:rsid w:val="000E6372"/>
    <w:rsid w:val="000E6D38"/>
    <w:rsid w:val="000E6D94"/>
    <w:rsid w:val="000E72E7"/>
    <w:rsid w:val="000E72F6"/>
    <w:rsid w:val="000E7533"/>
    <w:rsid w:val="000E75B3"/>
    <w:rsid w:val="000E7CC8"/>
    <w:rsid w:val="000F0D10"/>
    <w:rsid w:val="000F0E1D"/>
    <w:rsid w:val="000F1AF3"/>
    <w:rsid w:val="000F1B78"/>
    <w:rsid w:val="000F1F51"/>
    <w:rsid w:val="000F1FB0"/>
    <w:rsid w:val="000F2181"/>
    <w:rsid w:val="000F238F"/>
    <w:rsid w:val="000F24AC"/>
    <w:rsid w:val="000F2592"/>
    <w:rsid w:val="000F28A5"/>
    <w:rsid w:val="000F2943"/>
    <w:rsid w:val="000F2E97"/>
    <w:rsid w:val="000F2F22"/>
    <w:rsid w:val="000F2F60"/>
    <w:rsid w:val="000F313D"/>
    <w:rsid w:val="000F3461"/>
    <w:rsid w:val="000F4050"/>
    <w:rsid w:val="000F4B3A"/>
    <w:rsid w:val="000F4B82"/>
    <w:rsid w:val="000F5331"/>
    <w:rsid w:val="000F55C9"/>
    <w:rsid w:val="000F60C1"/>
    <w:rsid w:val="000F6242"/>
    <w:rsid w:val="000F666F"/>
    <w:rsid w:val="000F6F32"/>
    <w:rsid w:val="000F75A8"/>
    <w:rsid w:val="000F76E0"/>
    <w:rsid w:val="000F77B5"/>
    <w:rsid w:val="000F79FD"/>
    <w:rsid w:val="00100331"/>
    <w:rsid w:val="00101255"/>
    <w:rsid w:val="001014D2"/>
    <w:rsid w:val="001014F7"/>
    <w:rsid w:val="001016BB"/>
    <w:rsid w:val="0010251A"/>
    <w:rsid w:val="00102768"/>
    <w:rsid w:val="00102BC3"/>
    <w:rsid w:val="00102EF2"/>
    <w:rsid w:val="00103458"/>
    <w:rsid w:val="001037BD"/>
    <w:rsid w:val="0010425A"/>
    <w:rsid w:val="001047CB"/>
    <w:rsid w:val="00104AFF"/>
    <w:rsid w:val="00104E14"/>
    <w:rsid w:val="0010520D"/>
    <w:rsid w:val="001053EE"/>
    <w:rsid w:val="00105629"/>
    <w:rsid w:val="0010574F"/>
    <w:rsid w:val="00105996"/>
    <w:rsid w:val="001059FC"/>
    <w:rsid w:val="00105A06"/>
    <w:rsid w:val="00105F3E"/>
    <w:rsid w:val="001066F6"/>
    <w:rsid w:val="001078F4"/>
    <w:rsid w:val="001105FF"/>
    <w:rsid w:val="00110744"/>
    <w:rsid w:val="00110797"/>
    <w:rsid w:val="00110B3D"/>
    <w:rsid w:val="00110E04"/>
    <w:rsid w:val="0011170E"/>
    <w:rsid w:val="00111849"/>
    <w:rsid w:val="00111A34"/>
    <w:rsid w:val="00111ECD"/>
    <w:rsid w:val="001121DD"/>
    <w:rsid w:val="00112D31"/>
    <w:rsid w:val="00112DBF"/>
    <w:rsid w:val="00113646"/>
    <w:rsid w:val="00113CD1"/>
    <w:rsid w:val="00114359"/>
    <w:rsid w:val="0011487E"/>
    <w:rsid w:val="0011492A"/>
    <w:rsid w:val="00115093"/>
    <w:rsid w:val="00115417"/>
    <w:rsid w:val="001161CA"/>
    <w:rsid w:val="00116258"/>
    <w:rsid w:val="00116494"/>
    <w:rsid w:val="001166D3"/>
    <w:rsid w:val="001167AE"/>
    <w:rsid w:val="001202C5"/>
    <w:rsid w:val="0012077F"/>
    <w:rsid w:val="00120813"/>
    <w:rsid w:val="0012099E"/>
    <w:rsid w:val="00120CE3"/>
    <w:rsid w:val="00120E60"/>
    <w:rsid w:val="0012130E"/>
    <w:rsid w:val="001213B0"/>
    <w:rsid w:val="00121741"/>
    <w:rsid w:val="00121832"/>
    <w:rsid w:val="00122050"/>
    <w:rsid w:val="001221D2"/>
    <w:rsid w:val="00122232"/>
    <w:rsid w:val="0012235C"/>
    <w:rsid w:val="00122857"/>
    <w:rsid w:val="00122A75"/>
    <w:rsid w:val="00123529"/>
    <w:rsid w:val="001241D1"/>
    <w:rsid w:val="00124271"/>
    <w:rsid w:val="00124457"/>
    <w:rsid w:val="00124985"/>
    <w:rsid w:val="00125609"/>
    <w:rsid w:val="001257A9"/>
    <w:rsid w:val="00126655"/>
    <w:rsid w:val="00126707"/>
    <w:rsid w:val="0012679D"/>
    <w:rsid w:val="001269E0"/>
    <w:rsid w:val="00126CFC"/>
    <w:rsid w:val="001270F4"/>
    <w:rsid w:val="0012742F"/>
    <w:rsid w:val="001274D7"/>
    <w:rsid w:val="00127514"/>
    <w:rsid w:val="001279A3"/>
    <w:rsid w:val="00130992"/>
    <w:rsid w:val="00130D23"/>
    <w:rsid w:val="001311C9"/>
    <w:rsid w:val="00131335"/>
    <w:rsid w:val="00131627"/>
    <w:rsid w:val="001318CD"/>
    <w:rsid w:val="0013190A"/>
    <w:rsid w:val="00131955"/>
    <w:rsid w:val="00131C94"/>
    <w:rsid w:val="00131DE6"/>
    <w:rsid w:val="001323E6"/>
    <w:rsid w:val="001326D3"/>
    <w:rsid w:val="001326DF"/>
    <w:rsid w:val="001329EC"/>
    <w:rsid w:val="00132A53"/>
    <w:rsid w:val="00132A5F"/>
    <w:rsid w:val="00132AD8"/>
    <w:rsid w:val="00132CCE"/>
    <w:rsid w:val="00133BBE"/>
    <w:rsid w:val="00133D01"/>
    <w:rsid w:val="001342A2"/>
    <w:rsid w:val="00134510"/>
    <w:rsid w:val="00134EE8"/>
    <w:rsid w:val="00134FBC"/>
    <w:rsid w:val="001358D6"/>
    <w:rsid w:val="00136073"/>
    <w:rsid w:val="00136198"/>
    <w:rsid w:val="001361F7"/>
    <w:rsid w:val="00136606"/>
    <w:rsid w:val="0013663C"/>
    <w:rsid w:val="001367BA"/>
    <w:rsid w:val="00136806"/>
    <w:rsid w:val="001369A6"/>
    <w:rsid w:val="00136BD6"/>
    <w:rsid w:val="00136DBC"/>
    <w:rsid w:val="00136F77"/>
    <w:rsid w:val="001370A8"/>
    <w:rsid w:val="0013776A"/>
    <w:rsid w:val="00137856"/>
    <w:rsid w:val="00137B4E"/>
    <w:rsid w:val="00137BD8"/>
    <w:rsid w:val="00140291"/>
    <w:rsid w:val="00140D22"/>
    <w:rsid w:val="0014229D"/>
    <w:rsid w:val="001422D4"/>
    <w:rsid w:val="0014235F"/>
    <w:rsid w:val="0014236F"/>
    <w:rsid w:val="00142653"/>
    <w:rsid w:val="001428FA"/>
    <w:rsid w:val="00142A87"/>
    <w:rsid w:val="001442C2"/>
    <w:rsid w:val="001449E1"/>
    <w:rsid w:val="00144D5F"/>
    <w:rsid w:val="00144DD9"/>
    <w:rsid w:val="001455BA"/>
    <w:rsid w:val="00145DDE"/>
    <w:rsid w:val="0014621F"/>
    <w:rsid w:val="0014647C"/>
    <w:rsid w:val="00146907"/>
    <w:rsid w:val="00146B4E"/>
    <w:rsid w:val="00146E85"/>
    <w:rsid w:val="00147916"/>
    <w:rsid w:val="0014795D"/>
    <w:rsid w:val="001479AA"/>
    <w:rsid w:val="00147F00"/>
    <w:rsid w:val="00150146"/>
    <w:rsid w:val="001502FF"/>
    <w:rsid w:val="00150564"/>
    <w:rsid w:val="001506A7"/>
    <w:rsid w:val="0015087C"/>
    <w:rsid w:val="00150882"/>
    <w:rsid w:val="00150A4A"/>
    <w:rsid w:val="00150FFB"/>
    <w:rsid w:val="001518B5"/>
    <w:rsid w:val="00151B9F"/>
    <w:rsid w:val="00151BBA"/>
    <w:rsid w:val="0015252D"/>
    <w:rsid w:val="00152656"/>
    <w:rsid w:val="00152C00"/>
    <w:rsid w:val="00152C2B"/>
    <w:rsid w:val="00152E98"/>
    <w:rsid w:val="00153084"/>
    <w:rsid w:val="00153A54"/>
    <w:rsid w:val="00154072"/>
    <w:rsid w:val="00154264"/>
    <w:rsid w:val="00154304"/>
    <w:rsid w:val="001546EA"/>
    <w:rsid w:val="0015477A"/>
    <w:rsid w:val="00154902"/>
    <w:rsid w:val="00154951"/>
    <w:rsid w:val="00154AE0"/>
    <w:rsid w:val="00154F0A"/>
    <w:rsid w:val="001551DA"/>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3194"/>
    <w:rsid w:val="001639B6"/>
    <w:rsid w:val="00163DB9"/>
    <w:rsid w:val="00163DD8"/>
    <w:rsid w:val="00164F8F"/>
    <w:rsid w:val="00165130"/>
    <w:rsid w:val="0016529F"/>
    <w:rsid w:val="0016530E"/>
    <w:rsid w:val="001658F5"/>
    <w:rsid w:val="00165F38"/>
    <w:rsid w:val="001661B8"/>
    <w:rsid w:val="00166237"/>
    <w:rsid w:val="00166385"/>
    <w:rsid w:val="0016644D"/>
    <w:rsid w:val="0016655F"/>
    <w:rsid w:val="00166EE6"/>
    <w:rsid w:val="001672AF"/>
    <w:rsid w:val="00167460"/>
    <w:rsid w:val="00170377"/>
    <w:rsid w:val="001706B2"/>
    <w:rsid w:val="00170A14"/>
    <w:rsid w:val="00170B4C"/>
    <w:rsid w:val="0017112B"/>
    <w:rsid w:val="00171185"/>
    <w:rsid w:val="00171C71"/>
    <w:rsid w:val="001726CF"/>
    <w:rsid w:val="00172A27"/>
    <w:rsid w:val="00172A39"/>
    <w:rsid w:val="00172BAF"/>
    <w:rsid w:val="00172D05"/>
    <w:rsid w:val="00172EC0"/>
    <w:rsid w:val="00173191"/>
    <w:rsid w:val="00173686"/>
    <w:rsid w:val="001737FE"/>
    <w:rsid w:val="00173B52"/>
    <w:rsid w:val="00173F0C"/>
    <w:rsid w:val="0017426E"/>
    <w:rsid w:val="00175014"/>
    <w:rsid w:val="001751EE"/>
    <w:rsid w:val="001753D1"/>
    <w:rsid w:val="00175B11"/>
    <w:rsid w:val="00175B5B"/>
    <w:rsid w:val="00176AFA"/>
    <w:rsid w:val="00176C25"/>
    <w:rsid w:val="00176E50"/>
    <w:rsid w:val="0017723E"/>
    <w:rsid w:val="001775DA"/>
    <w:rsid w:val="00177935"/>
    <w:rsid w:val="00177AD0"/>
    <w:rsid w:val="00181019"/>
    <w:rsid w:val="00181135"/>
    <w:rsid w:val="001813A3"/>
    <w:rsid w:val="00181C0B"/>
    <w:rsid w:val="00181EF7"/>
    <w:rsid w:val="001820BF"/>
    <w:rsid w:val="00182308"/>
    <w:rsid w:val="00182382"/>
    <w:rsid w:val="001825F7"/>
    <w:rsid w:val="00182DF8"/>
    <w:rsid w:val="001833B5"/>
    <w:rsid w:val="0018502B"/>
    <w:rsid w:val="00186403"/>
    <w:rsid w:val="00186455"/>
    <w:rsid w:val="00186DC9"/>
    <w:rsid w:val="0018707E"/>
    <w:rsid w:val="001872C9"/>
    <w:rsid w:val="00187892"/>
    <w:rsid w:val="00187DFB"/>
    <w:rsid w:val="00190463"/>
    <w:rsid w:val="00191435"/>
    <w:rsid w:val="00191C8B"/>
    <w:rsid w:val="00192213"/>
    <w:rsid w:val="001927A2"/>
    <w:rsid w:val="0019286A"/>
    <w:rsid w:val="00192FED"/>
    <w:rsid w:val="00192FF5"/>
    <w:rsid w:val="0019335B"/>
    <w:rsid w:val="001938DB"/>
    <w:rsid w:val="00193A77"/>
    <w:rsid w:val="001940F4"/>
    <w:rsid w:val="0019423A"/>
    <w:rsid w:val="00194FA4"/>
    <w:rsid w:val="00195203"/>
    <w:rsid w:val="00195234"/>
    <w:rsid w:val="00195384"/>
    <w:rsid w:val="0019557A"/>
    <w:rsid w:val="00195648"/>
    <w:rsid w:val="001959DC"/>
    <w:rsid w:val="00195A29"/>
    <w:rsid w:val="00195F44"/>
    <w:rsid w:val="00195FC6"/>
    <w:rsid w:val="00196019"/>
    <w:rsid w:val="001963F9"/>
    <w:rsid w:val="00196B1D"/>
    <w:rsid w:val="00196C83"/>
    <w:rsid w:val="00196E92"/>
    <w:rsid w:val="00197C3A"/>
    <w:rsid w:val="001A0896"/>
    <w:rsid w:val="001A0FF1"/>
    <w:rsid w:val="001A103D"/>
    <w:rsid w:val="001A11A2"/>
    <w:rsid w:val="001A2185"/>
    <w:rsid w:val="001A2679"/>
    <w:rsid w:val="001A315B"/>
    <w:rsid w:val="001A334F"/>
    <w:rsid w:val="001A3856"/>
    <w:rsid w:val="001A3954"/>
    <w:rsid w:val="001A3F6D"/>
    <w:rsid w:val="001A4C94"/>
    <w:rsid w:val="001A4F40"/>
    <w:rsid w:val="001A56FD"/>
    <w:rsid w:val="001A5923"/>
    <w:rsid w:val="001A5DA1"/>
    <w:rsid w:val="001A6A4C"/>
    <w:rsid w:val="001A7328"/>
    <w:rsid w:val="001A775C"/>
    <w:rsid w:val="001A7CBA"/>
    <w:rsid w:val="001B0DF5"/>
    <w:rsid w:val="001B16E6"/>
    <w:rsid w:val="001B1736"/>
    <w:rsid w:val="001B1AE6"/>
    <w:rsid w:val="001B1F0B"/>
    <w:rsid w:val="001B2576"/>
    <w:rsid w:val="001B2E4E"/>
    <w:rsid w:val="001B32D3"/>
    <w:rsid w:val="001B32E4"/>
    <w:rsid w:val="001B3778"/>
    <w:rsid w:val="001B37D2"/>
    <w:rsid w:val="001B3CB6"/>
    <w:rsid w:val="001B3E30"/>
    <w:rsid w:val="001B43A2"/>
    <w:rsid w:val="001B4634"/>
    <w:rsid w:val="001B4D03"/>
    <w:rsid w:val="001B4ED3"/>
    <w:rsid w:val="001B5091"/>
    <w:rsid w:val="001B50CC"/>
    <w:rsid w:val="001B5355"/>
    <w:rsid w:val="001B5426"/>
    <w:rsid w:val="001B593D"/>
    <w:rsid w:val="001B5FED"/>
    <w:rsid w:val="001B6049"/>
    <w:rsid w:val="001B60D4"/>
    <w:rsid w:val="001B618E"/>
    <w:rsid w:val="001B6482"/>
    <w:rsid w:val="001B6F4A"/>
    <w:rsid w:val="001B7014"/>
    <w:rsid w:val="001B739D"/>
    <w:rsid w:val="001B7432"/>
    <w:rsid w:val="001B7C13"/>
    <w:rsid w:val="001B7C32"/>
    <w:rsid w:val="001B7CBF"/>
    <w:rsid w:val="001B7FF9"/>
    <w:rsid w:val="001C0476"/>
    <w:rsid w:val="001C0846"/>
    <w:rsid w:val="001C148A"/>
    <w:rsid w:val="001C15DB"/>
    <w:rsid w:val="001C17AC"/>
    <w:rsid w:val="001C1814"/>
    <w:rsid w:val="001C1B36"/>
    <w:rsid w:val="001C1C06"/>
    <w:rsid w:val="001C2831"/>
    <w:rsid w:val="001C3D5E"/>
    <w:rsid w:val="001C3D80"/>
    <w:rsid w:val="001C4222"/>
    <w:rsid w:val="001C4361"/>
    <w:rsid w:val="001C4AA8"/>
    <w:rsid w:val="001C51A3"/>
    <w:rsid w:val="001C5358"/>
    <w:rsid w:val="001C56D1"/>
    <w:rsid w:val="001C5A59"/>
    <w:rsid w:val="001C61E9"/>
    <w:rsid w:val="001C6F0D"/>
    <w:rsid w:val="001C7325"/>
    <w:rsid w:val="001C7A8C"/>
    <w:rsid w:val="001D0B07"/>
    <w:rsid w:val="001D0D82"/>
    <w:rsid w:val="001D0F05"/>
    <w:rsid w:val="001D151F"/>
    <w:rsid w:val="001D15D9"/>
    <w:rsid w:val="001D1912"/>
    <w:rsid w:val="001D1DD7"/>
    <w:rsid w:val="001D23EF"/>
    <w:rsid w:val="001D2608"/>
    <w:rsid w:val="001D273D"/>
    <w:rsid w:val="001D285A"/>
    <w:rsid w:val="001D34D6"/>
    <w:rsid w:val="001D3534"/>
    <w:rsid w:val="001D49FD"/>
    <w:rsid w:val="001D4EB1"/>
    <w:rsid w:val="001D537F"/>
    <w:rsid w:val="001D565B"/>
    <w:rsid w:val="001D6B8D"/>
    <w:rsid w:val="001D6D80"/>
    <w:rsid w:val="001D723E"/>
    <w:rsid w:val="001D7681"/>
    <w:rsid w:val="001D7EEC"/>
    <w:rsid w:val="001E0531"/>
    <w:rsid w:val="001E131D"/>
    <w:rsid w:val="001E1321"/>
    <w:rsid w:val="001E15B4"/>
    <w:rsid w:val="001E1FA3"/>
    <w:rsid w:val="001E21AC"/>
    <w:rsid w:val="001E24A4"/>
    <w:rsid w:val="001E28CC"/>
    <w:rsid w:val="001E28E4"/>
    <w:rsid w:val="001E290A"/>
    <w:rsid w:val="001E2DA9"/>
    <w:rsid w:val="001E321D"/>
    <w:rsid w:val="001E38B1"/>
    <w:rsid w:val="001E3A2B"/>
    <w:rsid w:val="001E478C"/>
    <w:rsid w:val="001E4C00"/>
    <w:rsid w:val="001E4D12"/>
    <w:rsid w:val="001E4D56"/>
    <w:rsid w:val="001E4DB4"/>
    <w:rsid w:val="001E5559"/>
    <w:rsid w:val="001E5BBC"/>
    <w:rsid w:val="001E62C7"/>
    <w:rsid w:val="001E6542"/>
    <w:rsid w:val="001E66CC"/>
    <w:rsid w:val="001E69FA"/>
    <w:rsid w:val="001E72E0"/>
    <w:rsid w:val="001E7739"/>
    <w:rsid w:val="001E7AB5"/>
    <w:rsid w:val="001F0064"/>
    <w:rsid w:val="001F16DF"/>
    <w:rsid w:val="001F193B"/>
    <w:rsid w:val="001F1960"/>
    <w:rsid w:val="001F1FBA"/>
    <w:rsid w:val="001F2022"/>
    <w:rsid w:val="001F2921"/>
    <w:rsid w:val="001F2C58"/>
    <w:rsid w:val="001F3066"/>
    <w:rsid w:val="001F327B"/>
    <w:rsid w:val="001F32DA"/>
    <w:rsid w:val="001F3DAE"/>
    <w:rsid w:val="001F4A98"/>
    <w:rsid w:val="001F4EBD"/>
    <w:rsid w:val="001F4F82"/>
    <w:rsid w:val="001F6159"/>
    <w:rsid w:val="001F6680"/>
    <w:rsid w:val="001F6C51"/>
    <w:rsid w:val="001F6DC6"/>
    <w:rsid w:val="001F6FB6"/>
    <w:rsid w:val="001F740D"/>
    <w:rsid w:val="001F792F"/>
    <w:rsid w:val="001F7AC9"/>
    <w:rsid w:val="001F7B9E"/>
    <w:rsid w:val="001F7BE1"/>
    <w:rsid w:val="001F7C97"/>
    <w:rsid w:val="00200A84"/>
    <w:rsid w:val="00200C40"/>
    <w:rsid w:val="00201229"/>
    <w:rsid w:val="002013AF"/>
    <w:rsid w:val="002014F7"/>
    <w:rsid w:val="002015E7"/>
    <w:rsid w:val="00202359"/>
    <w:rsid w:val="002023BE"/>
    <w:rsid w:val="00202576"/>
    <w:rsid w:val="00202583"/>
    <w:rsid w:val="0020269C"/>
    <w:rsid w:val="00202B50"/>
    <w:rsid w:val="00202EF9"/>
    <w:rsid w:val="00203204"/>
    <w:rsid w:val="00203236"/>
    <w:rsid w:val="00203395"/>
    <w:rsid w:val="002036E8"/>
    <w:rsid w:val="00203939"/>
    <w:rsid w:val="00203B3F"/>
    <w:rsid w:val="002048AD"/>
    <w:rsid w:val="002051F7"/>
    <w:rsid w:val="0020531C"/>
    <w:rsid w:val="002056B0"/>
    <w:rsid w:val="00205AD3"/>
    <w:rsid w:val="00205B53"/>
    <w:rsid w:val="002066C1"/>
    <w:rsid w:val="002067D2"/>
    <w:rsid w:val="00206D59"/>
    <w:rsid w:val="00206EF3"/>
    <w:rsid w:val="0020708A"/>
    <w:rsid w:val="00207402"/>
    <w:rsid w:val="00207435"/>
    <w:rsid w:val="00207642"/>
    <w:rsid w:val="002077F2"/>
    <w:rsid w:val="00207AAC"/>
    <w:rsid w:val="00207F6A"/>
    <w:rsid w:val="00210191"/>
    <w:rsid w:val="00210256"/>
    <w:rsid w:val="00210394"/>
    <w:rsid w:val="0021051F"/>
    <w:rsid w:val="0021076E"/>
    <w:rsid w:val="00211511"/>
    <w:rsid w:val="0021206E"/>
    <w:rsid w:val="002127B9"/>
    <w:rsid w:val="00212B08"/>
    <w:rsid w:val="00212B38"/>
    <w:rsid w:val="00213289"/>
    <w:rsid w:val="00213825"/>
    <w:rsid w:val="00213CEF"/>
    <w:rsid w:val="00214189"/>
    <w:rsid w:val="0021432D"/>
    <w:rsid w:val="00214532"/>
    <w:rsid w:val="00214ADD"/>
    <w:rsid w:val="0021525B"/>
    <w:rsid w:val="00216356"/>
    <w:rsid w:val="002164F1"/>
    <w:rsid w:val="00216A00"/>
    <w:rsid w:val="00216A68"/>
    <w:rsid w:val="00216B19"/>
    <w:rsid w:val="00216CCC"/>
    <w:rsid w:val="00216E16"/>
    <w:rsid w:val="0021738B"/>
    <w:rsid w:val="00220082"/>
    <w:rsid w:val="002203BD"/>
    <w:rsid w:val="00220517"/>
    <w:rsid w:val="00220776"/>
    <w:rsid w:val="0022169D"/>
    <w:rsid w:val="002216CC"/>
    <w:rsid w:val="00221ED0"/>
    <w:rsid w:val="002221C3"/>
    <w:rsid w:val="00222843"/>
    <w:rsid w:val="0022299A"/>
    <w:rsid w:val="00222A0B"/>
    <w:rsid w:val="00222B91"/>
    <w:rsid w:val="00222D7D"/>
    <w:rsid w:val="00222DE4"/>
    <w:rsid w:val="002230FD"/>
    <w:rsid w:val="002232B3"/>
    <w:rsid w:val="00223561"/>
    <w:rsid w:val="00223664"/>
    <w:rsid w:val="0022401E"/>
    <w:rsid w:val="00224343"/>
    <w:rsid w:val="00224756"/>
    <w:rsid w:val="00224878"/>
    <w:rsid w:val="0022514D"/>
    <w:rsid w:val="00225CEE"/>
    <w:rsid w:val="00225E3F"/>
    <w:rsid w:val="00226447"/>
    <w:rsid w:val="002266DB"/>
    <w:rsid w:val="00226894"/>
    <w:rsid w:val="002268B0"/>
    <w:rsid w:val="00226F86"/>
    <w:rsid w:val="002272F5"/>
    <w:rsid w:val="00227577"/>
    <w:rsid w:val="0022776D"/>
    <w:rsid w:val="002277E9"/>
    <w:rsid w:val="00230153"/>
    <w:rsid w:val="002303A6"/>
    <w:rsid w:val="0023080B"/>
    <w:rsid w:val="00230894"/>
    <w:rsid w:val="002308E9"/>
    <w:rsid w:val="00231675"/>
    <w:rsid w:val="00231B36"/>
    <w:rsid w:val="00231F9E"/>
    <w:rsid w:val="00232498"/>
    <w:rsid w:val="0023254E"/>
    <w:rsid w:val="00232918"/>
    <w:rsid w:val="00232955"/>
    <w:rsid w:val="002329D0"/>
    <w:rsid w:val="0023350C"/>
    <w:rsid w:val="00233698"/>
    <w:rsid w:val="00233E70"/>
    <w:rsid w:val="00234281"/>
    <w:rsid w:val="00234DD6"/>
    <w:rsid w:val="00234FD3"/>
    <w:rsid w:val="00236382"/>
    <w:rsid w:val="00236B90"/>
    <w:rsid w:val="00236C21"/>
    <w:rsid w:val="002371BF"/>
    <w:rsid w:val="002371E1"/>
    <w:rsid w:val="0023754A"/>
    <w:rsid w:val="0023756C"/>
    <w:rsid w:val="00237A87"/>
    <w:rsid w:val="00240262"/>
    <w:rsid w:val="002404C3"/>
    <w:rsid w:val="00241129"/>
    <w:rsid w:val="002411AE"/>
    <w:rsid w:val="00241205"/>
    <w:rsid w:val="00241731"/>
    <w:rsid w:val="00241840"/>
    <w:rsid w:val="00241C36"/>
    <w:rsid w:val="002427EB"/>
    <w:rsid w:val="002427F0"/>
    <w:rsid w:val="002428BD"/>
    <w:rsid w:val="00242D15"/>
    <w:rsid w:val="00242E09"/>
    <w:rsid w:val="002432B7"/>
    <w:rsid w:val="002432E9"/>
    <w:rsid w:val="002440B2"/>
    <w:rsid w:val="002445FE"/>
    <w:rsid w:val="00244CCB"/>
    <w:rsid w:val="00244D30"/>
    <w:rsid w:val="002451B3"/>
    <w:rsid w:val="002458CE"/>
    <w:rsid w:val="002459C5"/>
    <w:rsid w:val="00245DE9"/>
    <w:rsid w:val="00245E81"/>
    <w:rsid w:val="00245F09"/>
    <w:rsid w:val="00246513"/>
    <w:rsid w:val="00246851"/>
    <w:rsid w:val="00246B16"/>
    <w:rsid w:val="00246B1D"/>
    <w:rsid w:val="00246E71"/>
    <w:rsid w:val="00246F16"/>
    <w:rsid w:val="0024705A"/>
    <w:rsid w:val="002477AE"/>
    <w:rsid w:val="00247BDE"/>
    <w:rsid w:val="00247D10"/>
    <w:rsid w:val="00247D4D"/>
    <w:rsid w:val="00250317"/>
    <w:rsid w:val="002504FC"/>
    <w:rsid w:val="002506E3"/>
    <w:rsid w:val="00250B11"/>
    <w:rsid w:val="00250D19"/>
    <w:rsid w:val="00250D82"/>
    <w:rsid w:val="00251CC2"/>
    <w:rsid w:val="00251EB3"/>
    <w:rsid w:val="00251EE5"/>
    <w:rsid w:val="00252136"/>
    <w:rsid w:val="0025329B"/>
    <w:rsid w:val="00253582"/>
    <w:rsid w:val="0025362C"/>
    <w:rsid w:val="002538BA"/>
    <w:rsid w:val="00253B9E"/>
    <w:rsid w:val="00253C3E"/>
    <w:rsid w:val="00253EC4"/>
    <w:rsid w:val="0025418A"/>
    <w:rsid w:val="00254240"/>
    <w:rsid w:val="0025425A"/>
    <w:rsid w:val="0025531B"/>
    <w:rsid w:val="00255536"/>
    <w:rsid w:val="002557BB"/>
    <w:rsid w:val="002558AC"/>
    <w:rsid w:val="00255BC2"/>
    <w:rsid w:val="00255EFE"/>
    <w:rsid w:val="002564CF"/>
    <w:rsid w:val="00256539"/>
    <w:rsid w:val="00256DEA"/>
    <w:rsid w:val="00257117"/>
    <w:rsid w:val="00257923"/>
    <w:rsid w:val="00257C49"/>
    <w:rsid w:val="002603B3"/>
    <w:rsid w:val="0026072F"/>
    <w:rsid w:val="00260952"/>
    <w:rsid w:val="00260B2B"/>
    <w:rsid w:val="00260C11"/>
    <w:rsid w:val="002610D7"/>
    <w:rsid w:val="00261192"/>
    <w:rsid w:val="00261A11"/>
    <w:rsid w:val="00261CB5"/>
    <w:rsid w:val="00261D8A"/>
    <w:rsid w:val="002625F2"/>
    <w:rsid w:val="00262CA3"/>
    <w:rsid w:val="00262D43"/>
    <w:rsid w:val="00263413"/>
    <w:rsid w:val="00263633"/>
    <w:rsid w:val="0026363C"/>
    <w:rsid w:val="00263AEC"/>
    <w:rsid w:val="00263E3B"/>
    <w:rsid w:val="0026408F"/>
    <w:rsid w:val="0026431A"/>
    <w:rsid w:val="002644A4"/>
    <w:rsid w:val="00264C8F"/>
    <w:rsid w:val="00265066"/>
    <w:rsid w:val="00265548"/>
    <w:rsid w:val="00265B9D"/>
    <w:rsid w:val="00265BFC"/>
    <w:rsid w:val="00265C93"/>
    <w:rsid w:val="00265F70"/>
    <w:rsid w:val="00266300"/>
    <w:rsid w:val="0026641E"/>
    <w:rsid w:val="00266678"/>
    <w:rsid w:val="002669B2"/>
    <w:rsid w:val="00266EE2"/>
    <w:rsid w:val="00266FD2"/>
    <w:rsid w:val="002678CA"/>
    <w:rsid w:val="00267A83"/>
    <w:rsid w:val="00267BBD"/>
    <w:rsid w:val="00267EC5"/>
    <w:rsid w:val="00267F3E"/>
    <w:rsid w:val="0027038F"/>
    <w:rsid w:val="00271150"/>
    <w:rsid w:val="00272A45"/>
    <w:rsid w:val="00272EB3"/>
    <w:rsid w:val="00273328"/>
    <w:rsid w:val="0027393F"/>
    <w:rsid w:val="0027447A"/>
    <w:rsid w:val="002747CC"/>
    <w:rsid w:val="00274830"/>
    <w:rsid w:val="00274DF9"/>
    <w:rsid w:val="00275170"/>
    <w:rsid w:val="00275D77"/>
    <w:rsid w:val="0027602C"/>
    <w:rsid w:val="002760F9"/>
    <w:rsid w:val="00276A43"/>
    <w:rsid w:val="00276D2F"/>
    <w:rsid w:val="00276D5E"/>
    <w:rsid w:val="00276FBF"/>
    <w:rsid w:val="002775C7"/>
    <w:rsid w:val="002778F2"/>
    <w:rsid w:val="00277F52"/>
    <w:rsid w:val="00277F90"/>
    <w:rsid w:val="002807D2"/>
    <w:rsid w:val="002809A3"/>
    <w:rsid w:val="00280E91"/>
    <w:rsid w:val="00281979"/>
    <w:rsid w:val="00281E85"/>
    <w:rsid w:val="0028200C"/>
    <w:rsid w:val="00282011"/>
    <w:rsid w:val="00282533"/>
    <w:rsid w:val="00282622"/>
    <w:rsid w:val="00283501"/>
    <w:rsid w:val="002837F8"/>
    <w:rsid w:val="00283A81"/>
    <w:rsid w:val="00283ACF"/>
    <w:rsid w:val="00283C99"/>
    <w:rsid w:val="00283D11"/>
    <w:rsid w:val="0028448F"/>
    <w:rsid w:val="0028473D"/>
    <w:rsid w:val="00284850"/>
    <w:rsid w:val="00284CEE"/>
    <w:rsid w:val="00284D22"/>
    <w:rsid w:val="00284F33"/>
    <w:rsid w:val="002851E8"/>
    <w:rsid w:val="0028529C"/>
    <w:rsid w:val="00285326"/>
    <w:rsid w:val="0028572F"/>
    <w:rsid w:val="00285DE8"/>
    <w:rsid w:val="0028689B"/>
    <w:rsid w:val="00286F35"/>
    <w:rsid w:val="00287067"/>
    <w:rsid w:val="00290337"/>
    <w:rsid w:val="002904A9"/>
    <w:rsid w:val="00290891"/>
    <w:rsid w:val="00291DA9"/>
    <w:rsid w:val="00292157"/>
    <w:rsid w:val="00292661"/>
    <w:rsid w:val="00292773"/>
    <w:rsid w:val="002927AC"/>
    <w:rsid w:val="002928D1"/>
    <w:rsid w:val="00292D88"/>
    <w:rsid w:val="00293689"/>
    <w:rsid w:val="00294241"/>
    <w:rsid w:val="002943E7"/>
    <w:rsid w:val="0029469F"/>
    <w:rsid w:val="0029476B"/>
    <w:rsid w:val="00295405"/>
    <w:rsid w:val="002954FB"/>
    <w:rsid w:val="00295635"/>
    <w:rsid w:val="00295E06"/>
    <w:rsid w:val="0029618D"/>
    <w:rsid w:val="002965BA"/>
    <w:rsid w:val="002967F6"/>
    <w:rsid w:val="00296814"/>
    <w:rsid w:val="00296D48"/>
    <w:rsid w:val="00296EB8"/>
    <w:rsid w:val="00296F5F"/>
    <w:rsid w:val="0029716C"/>
    <w:rsid w:val="00297536"/>
    <w:rsid w:val="002976F2"/>
    <w:rsid w:val="00297A95"/>
    <w:rsid w:val="002A02A0"/>
    <w:rsid w:val="002A0471"/>
    <w:rsid w:val="002A07C4"/>
    <w:rsid w:val="002A0DD4"/>
    <w:rsid w:val="002A20D0"/>
    <w:rsid w:val="002A2381"/>
    <w:rsid w:val="002A24CF"/>
    <w:rsid w:val="002A2537"/>
    <w:rsid w:val="002A2AB8"/>
    <w:rsid w:val="002A2B8E"/>
    <w:rsid w:val="002A3789"/>
    <w:rsid w:val="002A4D11"/>
    <w:rsid w:val="002A5126"/>
    <w:rsid w:val="002A5948"/>
    <w:rsid w:val="002A6115"/>
    <w:rsid w:val="002A639F"/>
    <w:rsid w:val="002A64F2"/>
    <w:rsid w:val="002A6590"/>
    <w:rsid w:val="002A7478"/>
    <w:rsid w:val="002A7678"/>
    <w:rsid w:val="002A7B26"/>
    <w:rsid w:val="002B01AD"/>
    <w:rsid w:val="002B037F"/>
    <w:rsid w:val="002B047F"/>
    <w:rsid w:val="002B1824"/>
    <w:rsid w:val="002B182C"/>
    <w:rsid w:val="002B1845"/>
    <w:rsid w:val="002B1A9F"/>
    <w:rsid w:val="002B210C"/>
    <w:rsid w:val="002B2402"/>
    <w:rsid w:val="002B2847"/>
    <w:rsid w:val="002B2C8F"/>
    <w:rsid w:val="002B2D78"/>
    <w:rsid w:val="002B2E66"/>
    <w:rsid w:val="002B32B6"/>
    <w:rsid w:val="002B32C9"/>
    <w:rsid w:val="002B351A"/>
    <w:rsid w:val="002B35D8"/>
    <w:rsid w:val="002B3736"/>
    <w:rsid w:val="002B4054"/>
    <w:rsid w:val="002B41A8"/>
    <w:rsid w:val="002B427C"/>
    <w:rsid w:val="002B46A0"/>
    <w:rsid w:val="002B46FF"/>
    <w:rsid w:val="002B497D"/>
    <w:rsid w:val="002B4A8E"/>
    <w:rsid w:val="002B4BBC"/>
    <w:rsid w:val="002B4D0E"/>
    <w:rsid w:val="002B4D3C"/>
    <w:rsid w:val="002B542A"/>
    <w:rsid w:val="002B5495"/>
    <w:rsid w:val="002B54C5"/>
    <w:rsid w:val="002B55E5"/>
    <w:rsid w:val="002B5CAD"/>
    <w:rsid w:val="002B61C9"/>
    <w:rsid w:val="002B653E"/>
    <w:rsid w:val="002B6703"/>
    <w:rsid w:val="002B6D69"/>
    <w:rsid w:val="002B6E5B"/>
    <w:rsid w:val="002B6F67"/>
    <w:rsid w:val="002B7411"/>
    <w:rsid w:val="002B7F1B"/>
    <w:rsid w:val="002C0083"/>
    <w:rsid w:val="002C0186"/>
    <w:rsid w:val="002C032E"/>
    <w:rsid w:val="002C081A"/>
    <w:rsid w:val="002C087B"/>
    <w:rsid w:val="002C108A"/>
    <w:rsid w:val="002C1553"/>
    <w:rsid w:val="002C2035"/>
    <w:rsid w:val="002C24C4"/>
    <w:rsid w:val="002C25D4"/>
    <w:rsid w:val="002C2CCD"/>
    <w:rsid w:val="002C2F7F"/>
    <w:rsid w:val="002C2FB4"/>
    <w:rsid w:val="002C2FD3"/>
    <w:rsid w:val="002C3683"/>
    <w:rsid w:val="002C4AFD"/>
    <w:rsid w:val="002C5516"/>
    <w:rsid w:val="002C5A3A"/>
    <w:rsid w:val="002C5D7E"/>
    <w:rsid w:val="002C6DC2"/>
    <w:rsid w:val="002C6DDA"/>
    <w:rsid w:val="002C713E"/>
    <w:rsid w:val="002C72FB"/>
    <w:rsid w:val="002C77B0"/>
    <w:rsid w:val="002D0068"/>
    <w:rsid w:val="002D0466"/>
    <w:rsid w:val="002D053D"/>
    <w:rsid w:val="002D0829"/>
    <w:rsid w:val="002D0B99"/>
    <w:rsid w:val="002D1600"/>
    <w:rsid w:val="002D1936"/>
    <w:rsid w:val="002D1CE8"/>
    <w:rsid w:val="002D1F76"/>
    <w:rsid w:val="002D22E4"/>
    <w:rsid w:val="002D2403"/>
    <w:rsid w:val="002D2D0D"/>
    <w:rsid w:val="002D2FB2"/>
    <w:rsid w:val="002D3066"/>
    <w:rsid w:val="002D32C1"/>
    <w:rsid w:val="002D3363"/>
    <w:rsid w:val="002D34FE"/>
    <w:rsid w:val="002D35EA"/>
    <w:rsid w:val="002D3782"/>
    <w:rsid w:val="002D3B24"/>
    <w:rsid w:val="002D3D77"/>
    <w:rsid w:val="002D4837"/>
    <w:rsid w:val="002D48E6"/>
    <w:rsid w:val="002D5331"/>
    <w:rsid w:val="002D55BB"/>
    <w:rsid w:val="002D5B16"/>
    <w:rsid w:val="002D5BC9"/>
    <w:rsid w:val="002D5DDC"/>
    <w:rsid w:val="002D67F7"/>
    <w:rsid w:val="002D6DE0"/>
    <w:rsid w:val="002D7621"/>
    <w:rsid w:val="002D769A"/>
    <w:rsid w:val="002D7789"/>
    <w:rsid w:val="002D77B7"/>
    <w:rsid w:val="002D79D9"/>
    <w:rsid w:val="002D7CC4"/>
    <w:rsid w:val="002D7DBC"/>
    <w:rsid w:val="002E00DB"/>
    <w:rsid w:val="002E0A65"/>
    <w:rsid w:val="002E0C21"/>
    <w:rsid w:val="002E192A"/>
    <w:rsid w:val="002E2048"/>
    <w:rsid w:val="002E2471"/>
    <w:rsid w:val="002E2A52"/>
    <w:rsid w:val="002E2B84"/>
    <w:rsid w:val="002E300A"/>
    <w:rsid w:val="002E32C6"/>
    <w:rsid w:val="002E3543"/>
    <w:rsid w:val="002E3B82"/>
    <w:rsid w:val="002E3C95"/>
    <w:rsid w:val="002E40D7"/>
    <w:rsid w:val="002E4D81"/>
    <w:rsid w:val="002E4E88"/>
    <w:rsid w:val="002E5103"/>
    <w:rsid w:val="002E5BC7"/>
    <w:rsid w:val="002E5F0D"/>
    <w:rsid w:val="002E6EE7"/>
    <w:rsid w:val="002E72BD"/>
    <w:rsid w:val="002E7655"/>
    <w:rsid w:val="002E7750"/>
    <w:rsid w:val="002E7964"/>
    <w:rsid w:val="002E79AB"/>
    <w:rsid w:val="002E7D40"/>
    <w:rsid w:val="002F0A52"/>
    <w:rsid w:val="002F0C6B"/>
    <w:rsid w:val="002F15CF"/>
    <w:rsid w:val="002F1686"/>
    <w:rsid w:val="002F1771"/>
    <w:rsid w:val="002F1CD0"/>
    <w:rsid w:val="002F1D5C"/>
    <w:rsid w:val="002F1D92"/>
    <w:rsid w:val="002F207F"/>
    <w:rsid w:val="002F23FA"/>
    <w:rsid w:val="002F249E"/>
    <w:rsid w:val="002F24AF"/>
    <w:rsid w:val="002F32ED"/>
    <w:rsid w:val="002F3799"/>
    <w:rsid w:val="002F41D5"/>
    <w:rsid w:val="002F43B6"/>
    <w:rsid w:val="002F49F9"/>
    <w:rsid w:val="002F4D5A"/>
    <w:rsid w:val="002F515D"/>
    <w:rsid w:val="002F5F68"/>
    <w:rsid w:val="002F6673"/>
    <w:rsid w:val="002F66DB"/>
    <w:rsid w:val="002F7155"/>
    <w:rsid w:val="002F7700"/>
    <w:rsid w:val="002F778A"/>
    <w:rsid w:val="002F7CCB"/>
    <w:rsid w:val="002F7EB8"/>
    <w:rsid w:val="0030086D"/>
    <w:rsid w:val="00300D86"/>
    <w:rsid w:val="00300E82"/>
    <w:rsid w:val="00301655"/>
    <w:rsid w:val="003017E1"/>
    <w:rsid w:val="003021BB"/>
    <w:rsid w:val="00302F6A"/>
    <w:rsid w:val="00303061"/>
    <w:rsid w:val="00303A66"/>
    <w:rsid w:val="00303D62"/>
    <w:rsid w:val="00304041"/>
    <w:rsid w:val="003040C0"/>
    <w:rsid w:val="003044AD"/>
    <w:rsid w:val="00304501"/>
    <w:rsid w:val="00304917"/>
    <w:rsid w:val="00305040"/>
    <w:rsid w:val="00305BB3"/>
    <w:rsid w:val="00305CC7"/>
    <w:rsid w:val="00305F62"/>
    <w:rsid w:val="0030688B"/>
    <w:rsid w:val="00306AAF"/>
    <w:rsid w:val="00306E35"/>
    <w:rsid w:val="003074FD"/>
    <w:rsid w:val="00307728"/>
    <w:rsid w:val="00307A2D"/>
    <w:rsid w:val="003100AB"/>
    <w:rsid w:val="00310204"/>
    <w:rsid w:val="00310272"/>
    <w:rsid w:val="00310D86"/>
    <w:rsid w:val="00310EC5"/>
    <w:rsid w:val="00310F34"/>
    <w:rsid w:val="0031233D"/>
    <w:rsid w:val="003126B1"/>
    <w:rsid w:val="00312AF6"/>
    <w:rsid w:val="00312CB7"/>
    <w:rsid w:val="00312E68"/>
    <w:rsid w:val="00313103"/>
    <w:rsid w:val="0031351A"/>
    <w:rsid w:val="00313ADF"/>
    <w:rsid w:val="0031460F"/>
    <w:rsid w:val="00314C8A"/>
    <w:rsid w:val="00314E33"/>
    <w:rsid w:val="00315595"/>
    <w:rsid w:val="00315F66"/>
    <w:rsid w:val="003161E5"/>
    <w:rsid w:val="00316884"/>
    <w:rsid w:val="00316C18"/>
    <w:rsid w:val="00317071"/>
    <w:rsid w:val="003170F2"/>
    <w:rsid w:val="003171A9"/>
    <w:rsid w:val="00317767"/>
    <w:rsid w:val="0032043F"/>
    <w:rsid w:val="003204DA"/>
    <w:rsid w:val="00320582"/>
    <w:rsid w:val="00320DC7"/>
    <w:rsid w:val="00321282"/>
    <w:rsid w:val="0032130E"/>
    <w:rsid w:val="0032187E"/>
    <w:rsid w:val="003218EA"/>
    <w:rsid w:val="00321F93"/>
    <w:rsid w:val="0032278A"/>
    <w:rsid w:val="0032279E"/>
    <w:rsid w:val="00322A25"/>
    <w:rsid w:val="00322E8B"/>
    <w:rsid w:val="0032318E"/>
    <w:rsid w:val="00323277"/>
    <w:rsid w:val="00323389"/>
    <w:rsid w:val="0032399E"/>
    <w:rsid w:val="00324067"/>
    <w:rsid w:val="003246F7"/>
    <w:rsid w:val="003248E7"/>
    <w:rsid w:val="00324925"/>
    <w:rsid w:val="00324A14"/>
    <w:rsid w:val="00324F45"/>
    <w:rsid w:val="00325668"/>
    <w:rsid w:val="00325F1E"/>
    <w:rsid w:val="00326084"/>
    <w:rsid w:val="003262AB"/>
    <w:rsid w:val="0032659C"/>
    <w:rsid w:val="00326D28"/>
    <w:rsid w:val="00327292"/>
    <w:rsid w:val="003272FD"/>
    <w:rsid w:val="0032744E"/>
    <w:rsid w:val="00327480"/>
    <w:rsid w:val="003300E1"/>
    <w:rsid w:val="00330380"/>
    <w:rsid w:val="003303B7"/>
    <w:rsid w:val="00330A37"/>
    <w:rsid w:val="00330A59"/>
    <w:rsid w:val="00330B81"/>
    <w:rsid w:val="003311FC"/>
    <w:rsid w:val="00331300"/>
    <w:rsid w:val="00331820"/>
    <w:rsid w:val="00332B7F"/>
    <w:rsid w:val="00333A15"/>
    <w:rsid w:val="00333A6D"/>
    <w:rsid w:val="00333D8E"/>
    <w:rsid w:val="00333F1D"/>
    <w:rsid w:val="003341BB"/>
    <w:rsid w:val="00335387"/>
    <w:rsid w:val="0033572A"/>
    <w:rsid w:val="00335776"/>
    <w:rsid w:val="00336075"/>
    <w:rsid w:val="00336787"/>
    <w:rsid w:val="003371DD"/>
    <w:rsid w:val="003374B9"/>
    <w:rsid w:val="003375AB"/>
    <w:rsid w:val="00337717"/>
    <w:rsid w:val="003378B1"/>
    <w:rsid w:val="003408E2"/>
    <w:rsid w:val="00340A5B"/>
    <w:rsid w:val="00340A83"/>
    <w:rsid w:val="00340D35"/>
    <w:rsid w:val="0034123C"/>
    <w:rsid w:val="003412BF"/>
    <w:rsid w:val="003415A2"/>
    <w:rsid w:val="0034168B"/>
    <w:rsid w:val="00341CF7"/>
    <w:rsid w:val="00342266"/>
    <w:rsid w:val="0034295D"/>
    <w:rsid w:val="0034312D"/>
    <w:rsid w:val="0034330F"/>
    <w:rsid w:val="00343669"/>
    <w:rsid w:val="00343C67"/>
    <w:rsid w:val="003440AE"/>
    <w:rsid w:val="0034413A"/>
    <w:rsid w:val="00344BA3"/>
    <w:rsid w:val="00344BDC"/>
    <w:rsid w:val="00344D5E"/>
    <w:rsid w:val="00344E8E"/>
    <w:rsid w:val="00345475"/>
    <w:rsid w:val="00345E42"/>
    <w:rsid w:val="00346194"/>
    <w:rsid w:val="00346AE5"/>
    <w:rsid w:val="00346C56"/>
    <w:rsid w:val="00347782"/>
    <w:rsid w:val="00347D51"/>
    <w:rsid w:val="00347E11"/>
    <w:rsid w:val="00350268"/>
    <w:rsid w:val="00350594"/>
    <w:rsid w:val="00350B46"/>
    <w:rsid w:val="003518DC"/>
    <w:rsid w:val="00352012"/>
    <w:rsid w:val="003521BD"/>
    <w:rsid w:val="00352542"/>
    <w:rsid w:val="00352668"/>
    <w:rsid w:val="00352677"/>
    <w:rsid w:val="0035326A"/>
    <w:rsid w:val="0035327A"/>
    <w:rsid w:val="003534CB"/>
    <w:rsid w:val="00353803"/>
    <w:rsid w:val="00353C29"/>
    <w:rsid w:val="00353C8B"/>
    <w:rsid w:val="00353D69"/>
    <w:rsid w:val="00353FC5"/>
    <w:rsid w:val="003541B5"/>
    <w:rsid w:val="003542FC"/>
    <w:rsid w:val="00354407"/>
    <w:rsid w:val="00354730"/>
    <w:rsid w:val="00354C88"/>
    <w:rsid w:val="0035537B"/>
    <w:rsid w:val="003555CF"/>
    <w:rsid w:val="00355B59"/>
    <w:rsid w:val="0035620E"/>
    <w:rsid w:val="003562FE"/>
    <w:rsid w:val="003564B6"/>
    <w:rsid w:val="0035669E"/>
    <w:rsid w:val="003574FA"/>
    <w:rsid w:val="00357C05"/>
    <w:rsid w:val="00357DE5"/>
    <w:rsid w:val="00360354"/>
    <w:rsid w:val="0036071E"/>
    <w:rsid w:val="00360720"/>
    <w:rsid w:val="00360FEF"/>
    <w:rsid w:val="00361955"/>
    <w:rsid w:val="00362D66"/>
    <w:rsid w:val="00363B12"/>
    <w:rsid w:val="003640DD"/>
    <w:rsid w:val="0036423C"/>
    <w:rsid w:val="003648BB"/>
    <w:rsid w:val="00364D2C"/>
    <w:rsid w:val="00364D59"/>
    <w:rsid w:val="0036523B"/>
    <w:rsid w:val="003654BE"/>
    <w:rsid w:val="003654DD"/>
    <w:rsid w:val="00365B9B"/>
    <w:rsid w:val="00365D2E"/>
    <w:rsid w:val="00365DBB"/>
    <w:rsid w:val="00365DF5"/>
    <w:rsid w:val="003668A0"/>
    <w:rsid w:val="0036695E"/>
    <w:rsid w:val="003669FB"/>
    <w:rsid w:val="00366EE1"/>
    <w:rsid w:val="003673E6"/>
    <w:rsid w:val="003675F0"/>
    <w:rsid w:val="003678EA"/>
    <w:rsid w:val="00367A90"/>
    <w:rsid w:val="00370372"/>
    <w:rsid w:val="003703EC"/>
    <w:rsid w:val="003706D5"/>
    <w:rsid w:val="00370769"/>
    <w:rsid w:val="00370963"/>
    <w:rsid w:val="00371009"/>
    <w:rsid w:val="00371252"/>
    <w:rsid w:val="0037191D"/>
    <w:rsid w:val="00371AED"/>
    <w:rsid w:val="00371B9A"/>
    <w:rsid w:val="00371BC4"/>
    <w:rsid w:val="00371EEB"/>
    <w:rsid w:val="003722E8"/>
    <w:rsid w:val="00372601"/>
    <w:rsid w:val="00372733"/>
    <w:rsid w:val="0037280D"/>
    <w:rsid w:val="003728E1"/>
    <w:rsid w:val="00372C4C"/>
    <w:rsid w:val="0037300F"/>
    <w:rsid w:val="00373198"/>
    <w:rsid w:val="00373B9D"/>
    <w:rsid w:val="0037445B"/>
    <w:rsid w:val="003745D0"/>
    <w:rsid w:val="0037468A"/>
    <w:rsid w:val="0037492D"/>
    <w:rsid w:val="00375613"/>
    <w:rsid w:val="00375B8A"/>
    <w:rsid w:val="00375D5B"/>
    <w:rsid w:val="00375E04"/>
    <w:rsid w:val="00376339"/>
    <w:rsid w:val="0037642E"/>
    <w:rsid w:val="003765F7"/>
    <w:rsid w:val="00376AF3"/>
    <w:rsid w:val="00376CFA"/>
    <w:rsid w:val="003770CC"/>
    <w:rsid w:val="00377D36"/>
    <w:rsid w:val="00377D45"/>
    <w:rsid w:val="003801DC"/>
    <w:rsid w:val="00380E15"/>
    <w:rsid w:val="00380F51"/>
    <w:rsid w:val="003811BA"/>
    <w:rsid w:val="00381993"/>
    <w:rsid w:val="00381AC4"/>
    <w:rsid w:val="00381B3A"/>
    <w:rsid w:val="00381F75"/>
    <w:rsid w:val="003820D0"/>
    <w:rsid w:val="0038248C"/>
    <w:rsid w:val="00382980"/>
    <w:rsid w:val="00382D1F"/>
    <w:rsid w:val="003832B6"/>
    <w:rsid w:val="00383E24"/>
    <w:rsid w:val="00383F72"/>
    <w:rsid w:val="003840B7"/>
    <w:rsid w:val="003844E0"/>
    <w:rsid w:val="003845BF"/>
    <w:rsid w:val="00384837"/>
    <w:rsid w:val="003851A1"/>
    <w:rsid w:val="0038549F"/>
    <w:rsid w:val="003856C6"/>
    <w:rsid w:val="0038576D"/>
    <w:rsid w:val="00385BDE"/>
    <w:rsid w:val="00385DD1"/>
    <w:rsid w:val="00385E50"/>
    <w:rsid w:val="0038685F"/>
    <w:rsid w:val="003868CB"/>
    <w:rsid w:val="00386B43"/>
    <w:rsid w:val="00386CBA"/>
    <w:rsid w:val="00386FC4"/>
    <w:rsid w:val="0038728C"/>
    <w:rsid w:val="00387677"/>
    <w:rsid w:val="00387F7C"/>
    <w:rsid w:val="00391901"/>
    <w:rsid w:val="00391AC1"/>
    <w:rsid w:val="00391B2B"/>
    <w:rsid w:val="00391B84"/>
    <w:rsid w:val="00391E1C"/>
    <w:rsid w:val="00391E1F"/>
    <w:rsid w:val="003923E6"/>
    <w:rsid w:val="003929A4"/>
    <w:rsid w:val="00393FE9"/>
    <w:rsid w:val="0039476B"/>
    <w:rsid w:val="003949BE"/>
    <w:rsid w:val="00394B29"/>
    <w:rsid w:val="00394E45"/>
    <w:rsid w:val="00395146"/>
    <w:rsid w:val="00395205"/>
    <w:rsid w:val="00396113"/>
    <w:rsid w:val="0039627D"/>
    <w:rsid w:val="00396980"/>
    <w:rsid w:val="003969C2"/>
    <w:rsid w:val="00396C60"/>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719"/>
    <w:rsid w:val="003A19D6"/>
    <w:rsid w:val="003A2CEE"/>
    <w:rsid w:val="003A2D4E"/>
    <w:rsid w:val="003A314E"/>
    <w:rsid w:val="003A3717"/>
    <w:rsid w:val="003A393F"/>
    <w:rsid w:val="003A399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E1D"/>
    <w:rsid w:val="003B0F13"/>
    <w:rsid w:val="003B0F7B"/>
    <w:rsid w:val="003B13E9"/>
    <w:rsid w:val="003B14FD"/>
    <w:rsid w:val="003B1539"/>
    <w:rsid w:val="003B16D4"/>
    <w:rsid w:val="003B1BB7"/>
    <w:rsid w:val="003B1E0D"/>
    <w:rsid w:val="003B2427"/>
    <w:rsid w:val="003B28A8"/>
    <w:rsid w:val="003B2904"/>
    <w:rsid w:val="003B2D7D"/>
    <w:rsid w:val="003B2F6C"/>
    <w:rsid w:val="003B3324"/>
    <w:rsid w:val="003B3E12"/>
    <w:rsid w:val="003B4696"/>
    <w:rsid w:val="003B4859"/>
    <w:rsid w:val="003B4D81"/>
    <w:rsid w:val="003B4E65"/>
    <w:rsid w:val="003B4EB6"/>
    <w:rsid w:val="003B5177"/>
    <w:rsid w:val="003B5200"/>
    <w:rsid w:val="003B53E7"/>
    <w:rsid w:val="003B5482"/>
    <w:rsid w:val="003B5663"/>
    <w:rsid w:val="003B59DC"/>
    <w:rsid w:val="003B6031"/>
    <w:rsid w:val="003B6178"/>
    <w:rsid w:val="003B64BF"/>
    <w:rsid w:val="003B6BF1"/>
    <w:rsid w:val="003B6C19"/>
    <w:rsid w:val="003B6E81"/>
    <w:rsid w:val="003B7661"/>
    <w:rsid w:val="003B76F3"/>
    <w:rsid w:val="003B7E05"/>
    <w:rsid w:val="003C0456"/>
    <w:rsid w:val="003C052A"/>
    <w:rsid w:val="003C05DF"/>
    <w:rsid w:val="003C0AE9"/>
    <w:rsid w:val="003C131E"/>
    <w:rsid w:val="003C166B"/>
    <w:rsid w:val="003C19A5"/>
    <w:rsid w:val="003C1C85"/>
    <w:rsid w:val="003C1F69"/>
    <w:rsid w:val="003C2010"/>
    <w:rsid w:val="003C20A7"/>
    <w:rsid w:val="003C2323"/>
    <w:rsid w:val="003C2BA9"/>
    <w:rsid w:val="003C2C59"/>
    <w:rsid w:val="003C3895"/>
    <w:rsid w:val="003C3A2A"/>
    <w:rsid w:val="003C3CC7"/>
    <w:rsid w:val="003C3E7F"/>
    <w:rsid w:val="003C4482"/>
    <w:rsid w:val="003C504B"/>
    <w:rsid w:val="003C5260"/>
    <w:rsid w:val="003C5936"/>
    <w:rsid w:val="003C607D"/>
    <w:rsid w:val="003C612F"/>
    <w:rsid w:val="003C6468"/>
    <w:rsid w:val="003C676E"/>
    <w:rsid w:val="003C7B28"/>
    <w:rsid w:val="003D0AF6"/>
    <w:rsid w:val="003D0BFD"/>
    <w:rsid w:val="003D115F"/>
    <w:rsid w:val="003D11D9"/>
    <w:rsid w:val="003D1E5A"/>
    <w:rsid w:val="003D2939"/>
    <w:rsid w:val="003D2F40"/>
    <w:rsid w:val="003D33AE"/>
    <w:rsid w:val="003D3429"/>
    <w:rsid w:val="003D3990"/>
    <w:rsid w:val="003D3C6E"/>
    <w:rsid w:val="003D3FA7"/>
    <w:rsid w:val="003D42CB"/>
    <w:rsid w:val="003D43E2"/>
    <w:rsid w:val="003D4572"/>
    <w:rsid w:val="003D4B62"/>
    <w:rsid w:val="003D4E9A"/>
    <w:rsid w:val="003D51F4"/>
    <w:rsid w:val="003D5345"/>
    <w:rsid w:val="003D5811"/>
    <w:rsid w:val="003D58C5"/>
    <w:rsid w:val="003D6316"/>
    <w:rsid w:val="003D6638"/>
    <w:rsid w:val="003D7786"/>
    <w:rsid w:val="003D7FC4"/>
    <w:rsid w:val="003E007A"/>
    <w:rsid w:val="003E0354"/>
    <w:rsid w:val="003E08DC"/>
    <w:rsid w:val="003E10A8"/>
    <w:rsid w:val="003E127A"/>
    <w:rsid w:val="003E15F9"/>
    <w:rsid w:val="003E184A"/>
    <w:rsid w:val="003E1887"/>
    <w:rsid w:val="003E18C9"/>
    <w:rsid w:val="003E19E2"/>
    <w:rsid w:val="003E1EF3"/>
    <w:rsid w:val="003E2538"/>
    <w:rsid w:val="003E2784"/>
    <w:rsid w:val="003E278F"/>
    <w:rsid w:val="003E2E55"/>
    <w:rsid w:val="003E2F58"/>
    <w:rsid w:val="003E311C"/>
    <w:rsid w:val="003E39F9"/>
    <w:rsid w:val="003E3A5D"/>
    <w:rsid w:val="003E3D4A"/>
    <w:rsid w:val="003E4296"/>
    <w:rsid w:val="003E43C8"/>
    <w:rsid w:val="003E4B5F"/>
    <w:rsid w:val="003E530F"/>
    <w:rsid w:val="003E5A33"/>
    <w:rsid w:val="003E65FD"/>
    <w:rsid w:val="003E69CF"/>
    <w:rsid w:val="003E6DA0"/>
    <w:rsid w:val="003E72DA"/>
    <w:rsid w:val="003E7C3C"/>
    <w:rsid w:val="003F031C"/>
    <w:rsid w:val="003F04BB"/>
    <w:rsid w:val="003F0EED"/>
    <w:rsid w:val="003F0FBA"/>
    <w:rsid w:val="003F10AE"/>
    <w:rsid w:val="003F1622"/>
    <w:rsid w:val="003F1AA3"/>
    <w:rsid w:val="003F25EF"/>
    <w:rsid w:val="003F291F"/>
    <w:rsid w:val="003F2A3E"/>
    <w:rsid w:val="003F3277"/>
    <w:rsid w:val="003F33C5"/>
    <w:rsid w:val="003F39AC"/>
    <w:rsid w:val="003F3BE5"/>
    <w:rsid w:val="003F3EC5"/>
    <w:rsid w:val="003F49D2"/>
    <w:rsid w:val="003F4C79"/>
    <w:rsid w:val="003F4E06"/>
    <w:rsid w:val="003F4FD7"/>
    <w:rsid w:val="003F58F4"/>
    <w:rsid w:val="003F5990"/>
    <w:rsid w:val="003F5E3F"/>
    <w:rsid w:val="003F6152"/>
    <w:rsid w:val="003F67CB"/>
    <w:rsid w:val="003F759C"/>
    <w:rsid w:val="00400688"/>
    <w:rsid w:val="004018B0"/>
    <w:rsid w:val="00401CD0"/>
    <w:rsid w:val="00401D91"/>
    <w:rsid w:val="00402434"/>
    <w:rsid w:val="00402608"/>
    <w:rsid w:val="00403542"/>
    <w:rsid w:val="004036AC"/>
    <w:rsid w:val="00403A15"/>
    <w:rsid w:val="00403AD6"/>
    <w:rsid w:val="004042E5"/>
    <w:rsid w:val="00405461"/>
    <w:rsid w:val="00405477"/>
    <w:rsid w:val="0040566B"/>
    <w:rsid w:val="004058B9"/>
    <w:rsid w:val="004067F1"/>
    <w:rsid w:val="0040689D"/>
    <w:rsid w:val="00406A50"/>
    <w:rsid w:val="00406C91"/>
    <w:rsid w:val="00407363"/>
    <w:rsid w:val="0041007A"/>
    <w:rsid w:val="00410179"/>
    <w:rsid w:val="00410441"/>
    <w:rsid w:val="0041074C"/>
    <w:rsid w:val="0041078F"/>
    <w:rsid w:val="00410B78"/>
    <w:rsid w:val="0041102C"/>
    <w:rsid w:val="00411154"/>
    <w:rsid w:val="004114C9"/>
    <w:rsid w:val="00411D31"/>
    <w:rsid w:val="00412BDE"/>
    <w:rsid w:val="0041398B"/>
    <w:rsid w:val="00413E0A"/>
    <w:rsid w:val="00414601"/>
    <w:rsid w:val="004146E5"/>
    <w:rsid w:val="00414828"/>
    <w:rsid w:val="00414C5A"/>
    <w:rsid w:val="00414D14"/>
    <w:rsid w:val="00414DE0"/>
    <w:rsid w:val="004150FE"/>
    <w:rsid w:val="004158A0"/>
    <w:rsid w:val="00415D69"/>
    <w:rsid w:val="00415DEC"/>
    <w:rsid w:val="00415FAD"/>
    <w:rsid w:val="0041600F"/>
    <w:rsid w:val="0041619C"/>
    <w:rsid w:val="00417049"/>
    <w:rsid w:val="00417088"/>
    <w:rsid w:val="0041747C"/>
    <w:rsid w:val="00417701"/>
    <w:rsid w:val="00417C68"/>
    <w:rsid w:val="00417D7A"/>
    <w:rsid w:val="004203AA"/>
    <w:rsid w:val="00420948"/>
    <w:rsid w:val="00420991"/>
    <w:rsid w:val="00420BA6"/>
    <w:rsid w:val="00420E13"/>
    <w:rsid w:val="004210D7"/>
    <w:rsid w:val="0042121D"/>
    <w:rsid w:val="0042181C"/>
    <w:rsid w:val="004219E8"/>
    <w:rsid w:val="00421FAA"/>
    <w:rsid w:val="00422508"/>
    <w:rsid w:val="0042267A"/>
    <w:rsid w:val="00422BE1"/>
    <w:rsid w:val="00422C59"/>
    <w:rsid w:val="00422CFC"/>
    <w:rsid w:val="00423E35"/>
    <w:rsid w:val="0042412E"/>
    <w:rsid w:val="0042472D"/>
    <w:rsid w:val="0042505E"/>
    <w:rsid w:val="00425115"/>
    <w:rsid w:val="00425185"/>
    <w:rsid w:val="004257A7"/>
    <w:rsid w:val="0042580C"/>
    <w:rsid w:val="00425891"/>
    <w:rsid w:val="00425A22"/>
    <w:rsid w:val="00425EF9"/>
    <w:rsid w:val="00426396"/>
    <w:rsid w:val="0042663A"/>
    <w:rsid w:val="004270B5"/>
    <w:rsid w:val="00427843"/>
    <w:rsid w:val="0043009A"/>
    <w:rsid w:val="004303BB"/>
    <w:rsid w:val="004305C5"/>
    <w:rsid w:val="00430C05"/>
    <w:rsid w:val="0043115F"/>
    <w:rsid w:val="004318F9"/>
    <w:rsid w:val="00431BB8"/>
    <w:rsid w:val="004327A9"/>
    <w:rsid w:val="004329E5"/>
    <w:rsid w:val="00432B9E"/>
    <w:rsid w:val="00432F84"/>
    <w:rsid w:val="0043334B"/>
    <w:rsid w:val="0043362A"/>
    <w:rsid w:val="00434129"/>
    <w:rsid w:val="00434374"/>
    <w:rsid w:val="00434476"/>
    <w:rsid w:val="00434A4A"/>
    <w:rsid w:val="00434E37"/>
    <w:rsid w:val="00434E4F"/>
    <w:rsid w:val="00435197"/>
    <w:rsid w:val="0043557B"/>
    <w:rsid w:val="0043561C"/>
    <w:rsid w:val="0043678E"/>
    <w:rsid w:val="0043699B"/>
    <w:rsid w:val="00436DF9"/>
    <w:rsid w:val="00437005"/>
    <w:rsid w:val="00437B57"/>
    <w:rsid w:val="00440068"/>
    <w:rsid w:val="004404AA"/>
    <w:rsid w:val="004410BC"/>
    <w:rsid w:val="00441164"/>
    <w:rsid w:val="004414D3"/>
    <w:rsid w:val="00441A6C"/>
    <w:rsid w:val="004420F9"/>
    <w:rsid w:val="004422EC"/>
    <w:rsid w:val="0044249D"/>
    <w:rsid w:val="004426AD"/>
    <w:rsid w:val="004435D7"/>
    <w:rsid w:val="004436C4"/>
    <w:rsid w:val="0044410A"/>
    <w:rsid w:val="00444188"/>
    <w:rsid w:val="00444473"/>
    <w:rsid w:val="0044482D"/>
    <w:rsid w:val="00444927"/>
    <w:rsid w:val="004449A6"/>
    <w:rsid w:val="00444FEA"/>
    <w:rsid w:val="0044536C"/>
    <w:rsid w:val="004458AB"/>
    <w:rsid w:val="00445C9F"/>
    <w:rsid w:val="00445F4E"/>
    <w:rsid w:val="004463E7"/>
    <w:rsid w:val="00446599"/>
    <w:rsid w:val="0044672C"/>
    <w:rsid w:val="00446D64"/>
    <w:rsid w:val="00446DDF"/>
    <w:rsid w:val="004501E9"/>
    <w:rsid w:val="004503A1"/>
    <w:rsid w:val="00450674"/>
    <w:rsid w:val="00450E10"/>
    <w:rsid w:val="00450F45"/>
    <w:rsid w:val="0045197A"/>
    <w:rsid w:val="0045201A"/>
    <w:rsid w:val="00452687"/>
    <w:rsid w:val="00453DB3"/>
    <w:rsid w:val="00453DC1"/>
    <w:rsid w:val="00453FCD"/>
    <w:rsid w:val="00454A21"/>
    <w:rsid w:val="00454B8F"/>
    <w:rsid w:val="00454C05"/>
    <w:rsid w:val="00454C20"/>
    <w:rsid w:val="0045546F"/>
    <w:rsid w:val="004558FA"/>
    <w:rsid w:val="004559C2"/>
    <w:rsid w:val="00455CAE"/>
    <w:rsid w:val="00455E9B"/>
    <w:rsid w:val="00456D15"/>
    <w:rsid w:val="0045725B"/>
    <w:rsid w:val="004578E3"/>
    <w:rsid w:val="00457CF5"/>
    <w:rsid w:val="004602D4"/>
    <w:rsid w:val="0046031D"/>
    <w:rsid w:val="004608BA"/>
    <w:rsid w:val="00460A4B"/>
    <w:rsid w:val="00460AA8"/>
    <w:rsid w:val="00461252"/>
    <w:rsid w:val="0046159B"/>
    <w:rsid w:val="00461A7C"/>
    <w:rsid w:val="00461A84"/>
    <w:rsid w:val="00461E66"/>
    <w:rsid w:val="00462286"/>
    <w:rsid w:val="00462C80"/>
    <w:rsid w:val="00462D87"/>
    <w:rsid w:val="00462D95"/>
    <w:rsid w:val="00462F25"/>
    <w:rsid w:val="004631A1"/>
    <w:rsid w:val="0046330C"/>
    <w:rsid w:val="00463393"/>
    <w:rsid w:val="00463717"/>
    <w:rsid w:val="00463754"/>
    <w:rsid w:val="004637CD"/>
    <w:rsid w:val="00463EC9"/>
    <w:rsid w:val="004646B4"/>
    <w:rsid w:val="004653AD"/>
    <w:rsid w:val="00465498"/>
    <w:rsid w:val="00465A3C"/>
    <w:rsid w:val="00465A7C"/>
    <w:rsid w:val="00465F55"/>
    <w:rsid w:val="00466093"/>
    <w:rsid w:val="0046615C"/>
    <w:rsid w:val="004661CB"/>
    <w:rsid w:val="0046635D"/>
    <w:rsid w:val="004666B2"/>
    <w:rsid w:val="00466742"/>
    <w:rsid w:val="00466A2E"/>
    <w:rsid w:val="00466AE4"/>
    <w:rsid w:val="00467370"/>
    <w:rsid w:val="0046756D"/>
    <w:rsid w:val="00467B68"/>
    <w:rsid w:val="00467D8B"/>
    <w:rsid w:val="0047122D"/>
    <w:rsid w:val="00471361"/>
    <w:rsid w:val="004716CB"/>
    <w:rsid w:val="00471A12"/>
    <w:rsid w:val="00472834"/>
    <w:rsid w:val="0047291A"/>
    <w:rsid w:val="00472ADA"/>
    <w:rsid w:val="00472AF9"/>
    <w:rsid w:val="00472CA4"/>
    <w:rsid w:val="00472E87"/>
    <w:rsid w:val="004738BC"/>
    <w:rsid w:val="004738E8"/>
    <w:rsid w:val="00473E89"/>
    <w:rsid w:val="00474322"/>
    <w:rsid w:val="0047443D"/>
    <w:rsid w:val="00474620"/>
    <w:rsid w:val="004746A9"/>
    <w:rsid w:val="004746DA"/>
    <w:rsid w:val="00474A03"/>
    <w:rsid w:val="004751FE"/>
    <w:rsid w:val="00475371"/>
    <w:rsid w:val="0047548C"/>
    <w:rsid w:val="004754C9"/>
    <w:rsid w:val="00475FB6"/>
    <w:rsid w:val="00476446"/>
    <w:rsid w:val="00476D81"/>
    <w:rsid w:val="0047762B"/>
    <w:rsid w:val="004779AB"/>
    <w:rsid w:val="00477B96"/>
    <w:rsid w:val="00477C52"/>
    <w:rsid w:val="00477CA1"/>
    <w:rsid w:val="00477FA2"/>
    <w:rsid w:val="004801BA"/>
    <w:rsid w:val="0048028B"/>
    <w:rsid w:val="00480316"/>
    <w:rsid w:val="00481382"/>
    <w:rsid w:val="00481BAB"/>
    <w:rsid w:val="00481C87"/>
    <w:rsid w:val="004828B4"/>
    <w:rsid w:val="00482F94"/>
    <w:rsid w:val="00483314"/>
    <w:rsid w:val="00483495"/>
    <w:rsid w:val="004836CB"/>
    <w:rsid w:val="004840B7"/>
    <w:rsid w:val="00485352"/>
    <w:rsid w:val="004855CA"/>
    <w:rsid w:val="00485B74"/>
    <w:rsid w:val="0048639E"/>
    <w:rsid w:val="004864A9"/>
    <w:rsid w:val="004867DA"/>
    <w:rsid w:val="00486EA4"/>
    <w:rsid w:val="00486FCB"/>
    <w:rsid w:val="004876C2"/>
    <w:rsid w:val="004878B6"/>
    <w:rsid w:val="00487B62"/>
    <w:rsid w:val="00487C76"/>
    <w:rsid w:val="00487F1E"/>
    <w:rsid w:val="004902C0"/>
    <w:rsid w:val="004903DA"/>
    <w:rsid w:val="00490831"/>
    <w:rsid w:val="00491095"/>
    <w:rsid w:val="004918B1"/>
    <w:rsid w:val="00491C5E"/>
    <w:rsid w:val="00492400"/>
    <w:rsid w:val="0049269C"/>
    <w:rsid w:val="00492B8D"/>
    <w:rsid w:val="00492C56"/>
    <w:rsid w:val="00492F1A"/>
    <w:rsid w:val="0049304E"/>
    <w:rsid w:val="00493782"/>
    <w:rsid w:val="004939A6"/>
    <w:rsid w:val="00493CF5"/>
    <w:rsid w:val="00493E2D"/>
    <w:rsid w:val="00494B2E"/>
    <w:rsid w:val="004952A2"/>
    <w:rsid w:val="0049590C"/>
    <w:rsid w:val="00495CBB"/>
    <w:rsid w:val="00495D9A"/>
    <w:rsid w:val="00496145"/>
    <w:rsid w:val="004966E0"/>
    <w:rsid w:val="00496FD6"/>
    <w:rsid w:val="00497550"/>
    <w:rsid w:val="0049793F"/>
    <w:rsid w:val="00497D1D"/>
    <w:rsid w:val="004A05C8"/>
    <w:rsid w:val="004A0ECC"/>
    <w:rsid w:val="004A1163"/>
    <w:rsid w:val="004A1246"/>
    <w:rsid w:val="004A17FA"/>
    <w:rsid w:val="004A1932"/>
    <w:rsid w:val="004A1DAD"/>
    <w:rsid w:val="004A215B"/>
    <w:rsid w:val="004A23E5"/>
    <w:rsid w:val="004A244E"/>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57D"/>
    <w:rsid w:val="004A664D"/>
    <w:rsid w:val="004A6825"/>
    <w:rsid w:val="004A6D5C"/>
    <w:rsid w:val="004A723F"/>
    <w:rsid w:val="004A76F0"/>
    <w:rsid w:val="004A7922"/>
    <w:rsid w:val="004B0033"/>
    <w:rsid w:val="004B0A5F"/>
    <w:rsid w:val="004B11AD"/>
    <w:rsid w:val="004B140D"/>
    <w:rsid w:val="004B15CE"/>
    <w:rsid w:val="004B1687"/>
    <w:rsid w:val="004B20E2"/>
    <w:rsid w:val="004B2630"/>
    <w:rsid w:val="004B2918"/>
    <w:rsid w:val="004B4A60"/>
    <w:rsid w:val="004B50E3"/>
    <w:rsid w:val="004B51A3"/>
    <w:rsid w:val="004B534E"/>
    <w:rsid w:val="004B5551"/>
    <w:rsid w:val="004B59CB"/>
    <w:rsid w:val="004B64D4"/>
    <w:rsid w:val="004B6901"/>
    <w:rsid w:val="004B6F05"/>
    <w:rsid w:val="004B702B"/>
    <w:rsid w:val="004B768B"/>
    <w:rsid w:val="004B7AD9"/>
    <w:rsid w:val="004C0244"/>
    <w:rsid w:val="004C0712"/>
    <w:rsid w:val="004C0EC9"/>
    <w:rsid w:val="004C0F0D"/>
    <w:rsid w:val="004C142D"/>
    <w:rsid w:val="004C175A"/>
    <w:rsid w:val="004C1838"/>
    <w:rsid w:val="004C19D2"/>
    <w:rsid w:val="004C1AA7"/>
    <w:rsid w:val="004C1CE3"/>
    <w:rsid w:val="004C2977"/>
    <w:rsid w:val="004C2C95"/>
    <w:rsid w:val="004C381C"/>
    <w:rsid w:val="004C3FD7"/>
    <w:rsid w:val="004C4648"/>
    <w:rsid w:val="004C48E5"/>
    <w:rsid w:val="004C4971"/>
    <w:rsid w:val="004C57F3"/>
    <w:rsid w:val="004C5AA1"/>
    <w:rsid w:val="004C5BBD"/>
    <w:rsid w:val="004C5D10"/>
    <w:rsid w:val="004C600D"/>
    <w:rsid w:val="004C6374"/>
    <w:rsid w:val="004C64D0"/>
    <w:rsid w:val="004C6641"/>
    <w:rsid w:val="004C683A"/>
    <w:rsid w:val="004C6B4F"/>
    <w:rsid w:val="004C6D63"/>
    <w:rsid w:val="004C6DF5"/>
    <w:rsid w:val="004C79D9"/>
    <w:rsid w:val="004D0705"/>
    <w:rsid w:val="004D0EBA"/>
    <w:rsid w:val="004D14E1"/>
    <w:rsid w:val="004D199D"/>
    <w:rsid w:val="004D1B7D"/>
    <w:rsid w:val="004D1E35"/>
    <w:rsid w:val="004D21E5"/>
    <w:rsid w:val="004D2237"/>
    <w:rsid w:val="004D259F"/>
    <w:rsid w:val="004D25E2"/>
    <w:rsid w:val="004D26A0"/>
    <w:rsid w:val="004D3A17"/>
    <w:rsid w:val="004D3E36"/>
    <w:rsid w:val="004D4588"/>
    <w:rsid w:val="004D4AC2"/>
    <w:rsid w:val="004D5038"/>
    <w:rsid w:val="004D50DC"/>
    <w:rsid w:val="004D51D4"/>
    <w:rsid w:val="004D5241"/>
    <w:rsid w:val="004D5D9E"/>
    <w:rsid w:val="004D5EBD"/>
    <w:rsid w:val="004D6314"/>
    <w:rsid w:val="004D68BE"/>
    <w:rsid w:val="004D68ED"/>
    <w:rsid w:val="004D6A67"/>
    <w:rsid w:val="004D7312"/>
    <w:rsid w:val="004D7420"/>
    <w:rsid w:val="004E054D"/>
    <w:rsid w:val="004E06B0"/>
    <w:rsid w:val="004E07DA"/>
    <w:rsid w:val="004E08E7"/>
    <w:rsid w:val="004E111B"/>
    <w:rsid w:val="004E1454"/>
    <w:rsid w:val="004E2459"/>
    <w:rsid w:val="004E26C8"/>
    <w:rsid w:val="004E2822"/>
    <w:rsid w:val="004E2921"/>
    <w:rsid w:val="004E2BC5"/>
    <w:rsid w:val="004E305F"/>
    <w:rsid w:val="004E3834"/>
    <w:rsid w:val="004E3C85"/>
    <w:rsid w:val="004E3FB6"/>
    <w:rsid w:val="004E41AF"/>
    <w:rsid w:val="004E4277"/>
    <w:rsid w:val="004E46EE"/>
    <w:rsid w:val="004E4F95"/>
    <w:rsid w:val="004E53FC"/>
    <w:rsid w:val="004E578F"/>
    <w:rsid w:val="004E5CB9"/>
    <w:rsid w:val="004E5CF5"/>
    <w:rsid w:val="004E650B"/>
    <w:rsid w:val="004E6BC9"/>
    <w:rsid w:val="004E6CBA"/>
    <w:rsid w:val="004E6E6A"/>
    <w:rsid w:val="004E73E8"/>
    <w:rsid w:val="004E7540"/>
    <w:rsid w:val="004E7FC0"/>
    <w:rsid w:val="004F0148"/>
    <w:rsid w:val="004F04C9"/>
    <w:rsid w:val="004F0564"/>
    <w:rsid w:val="004F056A"/>
    <w:rsid w:val="004F05B8"/>
    <w:rsid w:val="004F083D"/>
    <w:rsid w:val="004F0DF9"/>
    <w:rsid w:val="004F1A7E"/>
    <w:rsid w:val="004F2715"/>
    <w:rsid w:val="004F2A1D"/>
    <w:rsid w:val="004F2F35"/>
    <w:rsid w:val="004F34AC"/>
    <w:rsid w:val="004F3846"/>
    <w:rsid w:val="004F3BE6"/>
    <w:rsid w:val="004F3BF4"/>
    <w:rsid w:val="004F3D20"/>
    <w:rsid w:val="004F40AD"/>
    <w:rsid w:val="004F41C8"/>
    <w:rsid w:val="004F4978"/>
    <w:rsid w:val="004F4F47"/>
    <w:rsid w:val="004F56ED"/>
    <w:rsid w:val="004F588D"/>
    <w:rsid w:val="004F5D56"/>
    <w:rsid w:val="004F5F23"/>
    <w:rsid w:val="004F5FA0"/>
    <w:rsid w:val="004F6045"/>
    <w:rsid w:val="004F6147"/>
    <w:rsid w:val="004F614F"/>
    <w:rsid w:val="004F6782"/>
    <w:rsid w:val="004F69FE"/>
    <w:rsid w:val="004F6ED6"/>
    <w:rsid w:val="004F6EE4"/>
    <w:rsid w:val="004F752A"/>
    <w:rsid w:val="004F781C"/>
    <w:rsid w:val="004F7918"/>
    <w:rsid w:val="004F7F31"/>
    <w:rsid w:val="0050098F"/>
    <w:rsid w:val="00500CC6"/>
    <w:rsid w:val="005017AF"/>
    <w:rsid w:val="00501A5D"/>
    <w:rsid w:val="00502190"/>
    <w:rsid w:val="005022AE"/>
    <w:rsid w:val="005034E2"/>
    <w:rsid w:val="00503797"/>
    <w:rsid w:val="005038CB"/>
    <w:rsid w:val="0050398F"/>
    <w:rsid w:val="005039EE"/>
    <w:rsid w:val="00503F6D"/>
    <w:rsid w:val="00504CF2"/>
    <w:rsid w:val="00505714"/>
    <w:rsid w:val="00505B35"/>
    <w:rsid w:val="0050634D"/>
    <w:rsid w:val="00506441"/>
    <w:rsid w:val="005067EB"/>
    <w:rsid w:val="00506B64"/>
    <w:rsid w:val="00507A0C"/>
    <w:rsid w:val="00507A41"/>
    <w:rsid w:val="00510162"/>
    <w:rsid w:val="005106A0"/>
    <w:rsid w:val="00510A77"/>
    <w:rsid w:val="00510B78"/>
    <w:rsid w:val="005111E1"/>
    <w:rsid w:val="0051126D"/>
    <w:rsid w:val="00511586"/>
    <w:rsid w:val="0051227C"/>
    <w:rsid w:val="0051254F"/>
    <w:rsid w:val="005125B6"/>
    <w:rsid w:val="005129F7"/>
    <w:rsid w:val="005130A1"/>
    <w:rsid w:val="005133C9"/>
    <w:rsid w:val="00513536"/>
    <w:rsid w:val="0051367A"/>
    <w:rsid w:val="00513E25"/>
    <w:rsid w:val="0051430B"/>
    <w:rsid w:val="005144B5"/>
    <w:rsid w:val="00514710"/>
    <w:rsid w:val="0051524A"/>
    <w:rsid w:val="0051601C"/>
    <w:rsid w:val="005162F1"/>
    <w:rsid w:val="00516603"/>
    <w:rsid w:val="0051788F"/>
    <w:rsid w:val="005179CA"/>
    <w:rsid w:val="0052095A"/>
    <w:rsid w:val="00520E0A"/>
    <w:rsid w:val="0052125B"/>
    <w:rsid w:val="00521565"/>
    <w:rsid w:val="005219BF"/>
    <w:rsid w:val="005221B4"/>
    <w:rsid w:val="005224A4"/>
    <w:rsid w:val="00522B66"/>
    <w:rsid w:val="00523055"/>
    <w:rsid w:val="005232C3"/>
    <w:rsid w:val="005234BC"/>
    <w:rsid w:val="00523655"/>
    <w:rsid w:val="00523D53"/>
    <w:rsid w:val="00523D66"/>
    <w:rsid w:val="00523F12"/>
    <w:rsid w:val="00523FCF"/>
    <w:rsid w:val="0052446A"/>
    <w:rsid w:val="00524490"/>
    <w:rsid w:val="00524A48"/>
    <w:rsid w:val="00525285"/>
    <w:rsid w:val="0052553B"/>
    <w:rsid w:val="00525A6A"/>
    <w:rsid w:val="00525BBB"/>
    <w:rsid w:val="00526118"/>
    <w:rsid w:val="00526338"/>
    <w:rsid w:val="005263EB"/>
    <w:rsid w:val="0052640C"/>
    <w:rsid w:val="0052699C"/>
    <w:rsid w:val="00526CF2"/>
    <w:rsid w:val="00526F06"/>
    <w:rsid w:val="0052700A"/>
    <w:rsid w:val="005275E5"/>
    <w:rsid w:val="00527868"/>
    <w:rsid w:val="00527A5E"/>
    <w:rsid w:val="00527BA9"/>
    <w:rsid w:val="00530166"/>
    <w:rsid w:val="00530771"/>
    <w:rsid w:val="00530783"/>
    <w:rsid w:val="00530833"/>
    <w:rsid w:val="00530DE9"/>
    <w:rsid w:val="00530EBF"/>
    <w:rsid w:val="00531469"/>
    <w:rsid w:val="005314FB"/>
    <w:rsid w:val="0053194A"/>
    <w:rsid w:val="005320EA"/>
    <w:rsid w:val="00533561"/>
    <w:rsid w:val="0053578C"/>
    <w:rsid w:val="00535955"/>
    <w:rsid w:val="00535DC9"/>
    <w:rsid w:val="0053625D"/>
    <w:rsid w:val="00536F59"/>
    <w:rsid w:val="00537060"/>
    <w:rsid w:val="005374C1"/>
    <w:rsid w:val="00537507"/>
    <w:rsid w:val="00537A32"/>
    <w:rsid w:val="0054077E"/>
    <w:rsid w:val="00540889"/>
    <w:rsid w:val="00540997"/>
    <w:rsid w:val="005412F3"/>
    <w:rsid w:val="00541413"/>
    <w:rsid w:val="005414EF"/>
    <w:rsid w:val="005420CD"/>
    <w:rsid w:val="00542366"/>
    <w:rsid w:val="005424AA"/>
    <w:rsid w:val="005425AD"/>
    <w:rsid w:val="00542A02"/>
    <w:rsid w:val="005431F0"/>
    <w:rsid w:val="005431FC"/>
    <w:rsid w:val="00544329"/>
    <w:rsid w:val="00544453"/>
    <w:rsid w:val="005446AA"/>
    <w:rsid w:val="005448CD"/>
    <w:rsid w:val="00545158"/>
    <w:rsid w:val="00545440"/>
    <w:rsid w:val="005454E8"/>
    <w:rsid w:val="00546FEB"/>
    <w:rsid w:val="0054766B"/>
    <w:rsid w:val="005501CE"/>
    <w:rsid w:val="00550733"/>
    <w:rsid w:val="00550AA6"/>
    <w:rsid w:val="00550D0E"/>
    <w:rsid w:val="005516BD"/>
    <w:rsid w:val="0055172A"/>
    <w:rsid w:val="005526BE"/>
    <w:rsid w:val="00552833"/>
    <w:rsid w:val="00552F06"/>
    <w:rsid w:val="005530E3"/>
    <w:rsid w:val="00553457"/>
    <w:rsid w:val="0055367A"/>
    <w:rsid w:val="00553797"/>
    <w:rsid w:val="005539EC"/>
    <w:rsid w:val="00553A0B"/>
    <w:rsid w:val="00553FFB"/>
    <w:rsid w:val="00554329"/>
    <w:rsid w:val="00554607"/>
    <w:rsid w:val="00554627"/>
    <w:rsid w:val="0055475C"/>
    <w:rsid w:val="005547FF"/>
    <w:rsid w:val="00554D86"/>
    <w:rsid w:val="00554F04"/>
    <w:rsid w:val="00555E12"/>
    <w:rsid w:val="005563C9"/>
    <w:rsid w:val="00556427"/>
    <w:rsid w:val="005566AA"/>
    <w:rsid w:val="00556B93"/>
    <w:rsid w:val="0055711B"/>
    <w:rsid w:val="0055738E"/>
    <w:rsid w:val="005574F9"/>
    <w:rsid w:val="00560031"/>
    <w:rsid w:val="00560404"/>
    <w:rsid w:val="00560624"/>
    <w:rsid w:val="00560881"/>
    <w:rsid w:val="00560C38"/>
    <w:rsid w:val="00560D2B"/>
    <w:rsid w:val="00560DE2"/>
    <w:rsid w:val="00560FAC"/>
    <w:rsid w:val="005611B9"/>
    <w:rsid w:val="005612D4"/>
    <w:rsid w:val="005613A3"/>
    <w:rsid w:val="005613A7"/>
    <w:rsid w:val="00561975"/>
    <w:rsid w:val="005619B7"/>
    <w:rsid w:val="00561C1C"/>
    <w:rsid w:val="00561CCE"/>
    <w:rsid w:val="00561D3C"/>
    <w:rsid w:val="00562E3D"/>
    <w:rsid w:val="005634BA"/>
    <w:rsid w:val="00563ADB"/>
    <w:rsid w:val="00563F75"/>
    <w:rsid w:val="005640EB"/>
    <w:rsid w:val="00564600"/>
    <w:rsid w:val="0056495D"/>
    <w:rsid w:val="00564DA3"/>
    <w:rsid w:val="00564EB4"/>
    <w:rsid w:val="005651DE"/>
    <w:rsid w:val="00565514"/>
    <w:rsid w:val="0056557A"/>
    <w:rsid w:val="00565FCB"/>
    <w:rsid w:val="00566282"/>
    <w:rsid w:val="00566766"/>
    <w:rsid w:val="00566845"/>
    <w:rsid w:val="00566A6C"/>
    <w:rsid w:val="00566F82"/>
    <w:rsid w:val="00567B69"/>
    <w:rsid w:val="00567D9D"/>
    <w:rsid w:val="0057013D"/>
    <w:rsid w:val="00570584"/>
    <w:rsid w:val="0057094E"/>
    <w:rsid w:val="00570A00"/>
    <w:rsid w:val="00570E16"/>
    <w:rsid w:val="005712D6"/>
    <w:rsid w:val="00571812"/>
    <w:rsid w:val="00571DCD"/>
    <w:rsid w:val="0057218C"/>
    <w:rsid w:val="005723F9"/>
    <w:rsid w:val="00572C81"/>
    <w:rsid w:val="00572E70"/>
    <w:rsid w:val="00572EB6"/>
    <w:rsid w:val="00573348"/>
    <w:rsid w:val="00573369"/>
    <w:rsid w:val="005737C9"/>
    <w:rsid w:val="00573C20"/>
    <w:rsid w:val="00574098"/>
    <w:rsid w:val="0057409B"/>
    <w:rsid w:val="0057418A"/>
    <w:rsid w:val="00574923"/>
    <w:rsid w:val="005749F3"/>
    <w:rsid w:val="00574D59"/>
    <w:rsid w:val="0057535A"/>
    <w:rsid w:val="00575C24"/>
    <w:rsid w:val="00576226"/>
    <w:rsid w:val="005762EA"/>
    <w:rsid w:val="005767AE"/>
    <w:rsid w:val="00576933"/>
    <w:rsid w:val="005773EC"/>
    <w:rsid w:val="00580390"/>
    <w:rsid w:val="00580F52"/>
    <w:rsid w:val="005816EE"/>
    <w:rsid w:val="005817B2"/>
    <w:rsid w:val="005819F7"/>
    <w:rsid w:val="00581C35"/>
    <w:rsid w:val="00581C62"/>
    <w:rsid w:val="0058204A"/>
    <w:rsid w:val="00582171"/>
    <w:rsid w:val="00582265"/>
    <w:rsid w:val="005823A5"/>
    <w:rsid w:val="005824C6"/>
    <w:rsid w:val="00582629"/>
    <w:rsid w:val="00582674"/>
    <w:rsid w:val="005826EE"/>
    <w:rsid w:val="0058271E"/>
    <w:rsid w:val="0058283F"/>
    <w:rsid w:val="005834BC"/>
    <w:rsid w:val="00583930"/>
    <w:rsid w:val="00583BFE"/>
    <w:rsid w:val="00583D8A"/>
    <w:rsid w:val="00583DBE"/>
    <w:rsid w:val="005840EF"/>
    <w:rsid w:val="005843BE"/>
    <w:rsid w:val="005845A3"/>
    <w:rsid w:val="005848F8"/>
    <w:rsid w:val="00584E2F"/>
    <w:rsid w:val="00585151"/>
    <w:rsid w:val="0058523B"/>
    <w:rsid w:val="0058525B"/>
    <w:rsid w:val="00585AAE"/>
    <w:rsid w:val="00585C03"/>
    <w:rsid w:val="00585F1C"/>
    <w:rsid w:val="00586637"/>
    <w:rsid w:val="00587229"/>
    <w:rsid w:val="00587C46"/>
    <w:rsid w:val="00587F56"/>
    <w:rsid w:val="00587FD9"/>
    <w:rsid w:val="005900B9"/>
    <w:rsid w:val="005902C9"/>
    <w:rsid w:val="005908B9"/>
    <w:rsid w:val="00591265"/>
    <w:rsid w:val="00591283"/>
    <w:rsid w:val="00591320"/>
    <w:rsid w:val="005915A4"/>
    <w:rsid w:val="005920AB"/>
    <w:rsid w:val="005924D3"/>
    <w:rsid w:val="005924F1"/>
    <w:rsid w:val="005925E3"/>
    <w:rsid w:val="00592AF8"/>
    <w:rsid w:val="0059304D"/>
    <w:rsid w:val="005933AE"/>
    <w:rsid w:val="005934A8"/>
    <w:rsid w:val="00593CBE"/>
    <w:rsid w:val="00593F5D"/>
    <w:rsid w:val="0059404E"/>
    <w:rsid w:val="005944F1"/>
    <w:rsid w:val="005948E1"/>
    <w:rsid w:val="00594B14"/>
    <w:rsid w:val="00595156"/>
    <w:rsid w:val="005965C9"/>
    <w:rsid w:val="005966C9"/>
    <w:rsid w:val="005967C0"/>
    <w:rsid w:val="00596832"/>
    <w:rsid w:val="00596CCB"/>
    <w:rsid w:val="00596DB6"/>
    <w:rsid w:val="005970CD"/>
    <w:rsid w:val="00597753"/>
    <w:rsid w:val="005979C3"/>
    <w:rsid w:val="00597E6F"/>
    <w:rsid w:val="005A0203"/>
    <w:rsid w:val="005A052F"/>
    <w:rsid w:val="005A05DF"/>
    <w:rsid w:val="005A0689"/>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93"/>
    <w:rsid w:val="005A2FFB"/>
    <w:rsid w:val="005A3196"/>
    <w:rsid w:val="005A339E"/>
    <w:rsid w:val="005A35CE"/>
    <w:rsid w:val="005A3858"/>
    <w:rsid w:val="005A3CF7"/>
    <w:rsid w:val="005A3E4B"/>
    <w:rsid w:val="005A408B"/>
    <w:rsid w:val="005A48B4"/>
    <w:rsid w:val="005A581C"/>
    <w:rsid w:val="005A5848"/>
    <w:rsid w:val="005A6E32"/>
    <w:rsid w:val="005A6F80"/>
    <w:rsid w:val="005A7215"/>
    <w:rsid w:val="005A726F"/>
    <w:rsid w:val="005A7550"/>
    <w:rsid w:val="005A782E"/>
    <w:rsid w:val="005A793B"/>
    <w:rsid w:val="005A79AE"/>
    <w:rsid w:val="005A7EBC"/>
    <w:rsid w:val="005B0168"/>
    <w:rsid w:val="005B01B7"/>
    <w:rsid w:val="005B05E7"/>
    <w:rsid w:val="005B0774"/>
    <w:rsid w:val="005B0E02"/>
    <w:rsid w:val="005B1731"/>
    <w:rsid w:val="005B1878"/>
    <w:rsid w:val="005B1B92"/>
    <w:rsid w:val="005B203F"/>
    <w:rsid w:val="005B2054"/>
    <w:rsid w:val="005B247D"/>
    <w:rsid w:val="005B2561"/>
    <w:rsid w:val="005B25AA"/>
    <w:rsid w:val="005B2607"/>
    <w:rsid w:val="005B26FD"/>
    <w:rsid w:val="005B3EF1"/>
    <w:rsid w:val="005B3F34"/>
    <w:rsid w:val="005B429E"/>
    <w:rsid w:val="005B42A7"/>
    <w:rsid w:val="005B44D0"/>
    <w:rsid w:val="005B468D"/>
    <w:rsid w:val="005B4CD8"/>
    <w:rsid w:val="005B55D6"/>
    <w:rsid w:val="005B5B11"/>
    <w:rsid w:val="005B5C27"/>
    <w:rsid w:val="005B5C4A"/>
    <w:rsid w:val="005B5E24"/>
    <w:rsid w:val="005B5FC3"/>
    <w:rsid w:val="005B60BD"/>
    <w:rsid w:val="005B61BF"/>
    <w:rsid w:val="005B67FE"/>
    <w:rsid w:val="005B6837"/>
    <w:rsid w:val="005B6878"/>
    <w:rsid w:val="005B705F"/>
    <w:rsid w:val="005B7A53"/>
    <w:rsid w:val="005C0607"/>
    <w:rsid w:val="005C0A76"/>
    <w:rsid w:val="005C0F3A"/>
    <w:rsid w:val="005C0F51"/>
    <w:rsid w:val="005C0FA9"/>
    <w:rsid w:val="005C0FE5"/>
    <w:rsid w:val="005C11E6"/>
    <w:rsid w:val="005C1457"/>
    <w:rsid w:val="005C147A"/>
    <w:rsid w:val="005C1F3B"/>
    <w:rsid w:val="005C2068"/>
    <w:rsid w:val="005C208C"/>
    <w:rsid w:val="005C2A7E"/>
    <w:rsid w:val="005C2E67"/>
    <w:rsid w:val="005C35ED"/>
    <w:rsid w:val="005C35FA"/>
    <w:rsid w:val="005C37F2"/>
    <w:rsid w:val="005C42EA"/>
    <w:rsid w:val="005C4616"/>
    <w:rsid w:val="005C4D24"/>
    <w:rsid w:val="005C4DD7"/>
    <w:rsid w:val="005C539A"/>
    <w:rsid w:val="005C5693"/>
    <w:rsid w:val="005C6F04"/>
    <w:rsid w:val="005C74F8"/>
    <w:rsid w:val="005C75B9"/>
    <w:rsid w:val="005C778A"/>
    <w:rsid w:val="005C794A"/>
    <w:rsid w:val="005C7B1F"/>
    <w:rsid w:val="005C7E97"/>
    <w:rsid w:val="005D065D"/>
    <w:rsid w:val="005D070B"/>
    <w:rsid w:val="005D0C8D"/>
    <w:rsid w:val="005D12BF"/>
    <w:rsid w:val="005D14E9"/>
    <w:rsid w:val="005D1B75"/>
    <w:rsid w:val="005D1C71"/>
    <w:rsid w:val="005D21A6"/>
    <w:rsid w:val="005D29D5"/>
    <w:rsid w:val="005D29F6"/>
    <w:rsid w:val="005D2FCB"/>
    <w:rsid w:val="005D383D"/>
    <w:rsid w:val="005D3947"/>
    <w:rsid w:val="005D3D18"/>
    <w:rsid w:val="005D3E4A"/>
    <w:rsid w:val="005D3E97"/>
    <w:rsid w:val="005D3F76"/>
    <w:rsid w:val="005D4095"/>
    <w:rsid w:val="005D4641"/>
    <w:rsid w:val="005D49A2"/>
    <w:rsid w:val="005D49FF"/>
    <w:rsid w:val="005D4ACD"/>
    <w:rsid w:val="005D4C36"/>
    <w:rsid w:val="005D4D0A"/>
    <w:rsid w:val="005D526E"/>
    <w:rsid w:val="005D5695"/>
    <w:rsid w:val="005D6156"/>
    <w:rsid w:val="005D63D6"/>
    <w:rsid w:val="005D64BF"/>
    <w:rsid w:val="005D6CA0"/>
    <w:rsid w:val="005D7ED3"/>
    <w:rsid w:val="005E0862"/>
    <w:rsid w:val="005E08CF"/>
    <w:rsid w:val="005E1375"/>
    <w:rsid w:val="005E147F"/>
    <w:rsid w:val="005E178A"/>
    <w:rsid w:val="005E19FF"/>
    <w:rsid w:val="005E1CEB"/>
    <w:rsid w:val="005E2576"/>
    <w:rsid w:val="005E27F6"/>
    <w:rsid w:val="005E2A30"/>
    <w:rsid w:val="005E2FF1"/>
    <w:rsid w:val="005E3850"/>
    <w:rsid w:val="005E3B4D"/>
    <w:rsid w:val="005E3B5B"/>
    <w:rsid w:val="005E3DEF"/>
    <w:rsid w:val="005E41A6"/>
    <w:rsid w:val="005E4266"/>
    <w:rsid w:val="005E427F"/>
    <w:rsid w:val="005E4E97"/>
    <w:rsid w:val="005E54F0"/>
    <w:rsid w:val="005E57F7"/>
    <w:rsid w:val="005E5C65"/>
    <w:rsid w:val="005E5DFA"/>
    <w:rsid w:val="005E682E"/>
    <w:rsid w:val="005E68F3"/>
    <w:rsid w:val="005E6A57"/>
    <w:rsid w:val="005E6F86"/>
    <w:rsid w:val="005E70D9"/>
    <w:rsid w:val="005E71E1"/>
    <w:rsid w:val="005E7479"/>
    <w:rsid w:val="005E756A"/>
    <w:rsid w:val="005E7892"/>
    <w:rsid w:val="005E7CCA"/>
    <w:rsid w:val="005F0245"/>
    <w:rsid w:val="005F0652"/>
    <w:rsid w:val="005F07BE"/>
    <w:rsid w:val="005F0AE1"/>
    <w:rsid w:val="005F0DE4"/>
    <w:rsid w:val="005F1146"/>
    <w:rsid w:val="005F191F"/>
    <w:rsid w:val="005F1D68"/>
    <w:rsid w:val="005F3C0A"/>
    <w:rsid w:val="005F3CEA"/>
    <w:rsid w:val="005F4587"/>
    <w:rsid w:val="005F4A97"/>
    <w:rsid w:val="005F4E85"/>
    <w:rsid w:val="005F50AF"/>
    <w:rsid w:val="005F546F"/>
    <w:rsid w:val="005F5479"/>
    <w:rsid w:val="005F5B32"/>
    <w:rsid w:val="005F66AA"/>
    <w:rsid w:val="005F66DC"/>
    <w:rsid w:val="005F731B"/>
    <w:rsid w:val="005F786A"/>
    <w:rsid w:val="005F7AC1"/>
    <w:rsid w:val="005F7EA3"/>
    <w:rsid w:val="00600DA1"/>
    <w:rsid w:val="006013FB"/>
    <w:rsid w:val="00601583"/>
    <w:rsid w:val="00601CE8"/>
    <w:rsid w:val="00601F1A"/>
    <w:rsid w:val="00601F8B"/>
    <w:rsid w:val="0060259D"/>
    <w:rsid w:val="00602746"/>
    <w:rsid w:val="0060294C"/>
    <w:rsid w:val="00602FB1"/>
    <w:rsid w:val="00603073"/>
    <w:rsid w:val="00603105"/>
    <w:rsid w:val="00603128"/>
    <w:rsid w:val="006036E2"/>
    <w:rsid w:val="006037C5"/>
    <w:rsid w:val="00603976"/>
    <w:rsid w:val="00603A7A"/>
    <w:rsid w:val="00604319"/>
    <w:rsid w:val="00604D76"/>
    <w:rsid w:val="00604F87"/>
    <w:rsid w:val="0060508A"/>
    <w:rsid w:val="006052B9"/>
    <w:rsid w:val="0060556D"/>
    <w:rsid w:val="00605607"/>
    <w:rsid w:val="00605E4D"/>
    <w:rsid w:val="00606002"/>
    <w:rsid w:val="00606458"/>
    <w:rsid w:val="00606720"/>
    <w:rsid w:val="00606841"/>
    <w:rsid w:val="00606CC5"/>
    <w:rsid w:val="00606E65"/>
    <w:rsid w:val="00607141"/>
    <w:rsid w:val="00607385"/>
    <w:rsid w:val="00607B23"/>
    <w:rsid w:val="00610057"/>
    <w:rsid w:val="00610C20"/>
    <w:rsid w:val="00611189"/>
    <w:rsid w:val="00611765"/>
    <w:rsid w:val="00611F01"/>
    <w:rsid w:val="00612172"/>
    <w:rsid w:val="0061233F"/>
    <w:rsid w:val="006125C5"/>
    <w:rsid w:val="00612766"/>
    <w:rsid w:val="0061278B"/>
    <w:rsid w:val="00612B0D"/>
    <w:rsid w:val="00612EE9"/>
    <w:rsid w:val="0061385B"/>
    <w:rsid w:val="00613AB5"/>
    <w:rsid w:val="006144BB"/>
    <w:rsid w:val="00614667"/>
    <w:rsid w:val="006149AD"/>
    <w:rsid w:val="00614CAC"/>
    <w:rsid w:val="00615189"/>
    <w:rsid w:val="00616089"/>
    <w:rsid w:val="0061645D"/>
    <w:rsid w:val="00616900"/>
    <w:rsid w:val="00616A41"/>
    <w:rsid w:val="00616ACC"/>
    <w:rsid w:val="00616B2A"/>
    <w:rsid w:val="0061744E"/>
    <w:rsid w:val="0061799E"/>
    <w:rsid w:val="00617B9D"/>
    <w:rsid w:val="00617CDA"/>
    <w:rsid w:val="00620102"/>
    <w:rsid w:val="0062032D"/>
    <w:rsid w:val="006204D9"/>
    <w:rsid w:val="0062057F"/>
    <w:rsid w:val="006205AD"/>
    <w:rsid w:val="0062165E"/>
    <w:rsid w:val="00621934"/>
    <w:rsid w:val="00621C89"/>
    <w:rsid w:val="00621FA9"/>
    <w:rsid w:val="00622007"/>
    <w:rsid w:val="00622079"/>
    <w:rsid w:val="00622782"/>
    <w:rsid w:val="00622874"/>
    <w:rsid w:val="006239A3"/>
    <w:rsid w:val="00623D94"/>
    <w:rsid w:val="00623F1D"/>
    <w:rsid w:val="00624211"/>
    <w:rsid w:val="00624D93"/>
    <w:rsid w:val="006254B1"/>
    <w:rsid w:val="006261D9"/>
    <w:rsid w:val="006265BD"/>
    <w:rsid w:val="006265D8"/>
    <w:rsid w:val="006269E0"/>
    <w:rsid w:val="00626AAB"/>
    <w:rsid w:val="00627CBE"/>
    <w:rsid w:val="00630007"/>
    <w:rsid w:val="006305AE"/>
    <w:rsid w:val="00630940"/>
    <w:rsid w:val="00630B6A"/>
    <w:rsid w:val="006312F7"/>
    <w:rsid w:val="00631B50"/>
    <w:rsid w:val="006320CB"/>
    <w:rsid w:val="00632656"/>
    <w:rsid w:val="00632991"/>
    <w:rsid w:val="00632D3A"/>
    <w:rsid w:val="00632F67"/>
    <w:rsid w:val="006331E5"/>
    <w:rsid w:val="006333DD"/>
    <w:rsid w:val="006335DE"/>
    <w:rsid w:val="006339B8"/>
    <w:rsid w:val="00633FD6"/>
    <w:rsid w:val="0063450F"/>
    <w:rsid w:val="006345ED"/>
    <w:rsid w:val="006345EE"/>
    <w:rsid w:val="0063465E"/>
    <w:rsid w:val="00634C72"/>
    <w:rsid w:val="0063515E"/>
    <w:rsid w:val="00635E30"/>
    <w:rsid w:val="006361DC"/>
    <w:rsid w:val="00636330"/>
    <w:rsid w:val="00636D17"/>
    <w:rsid w:val="0063731C"/>
    <w:rsid w:val="00637DAB"/>
    <w:rsid w:val="00640005"/>
    <w:rsid w:val="0064043A"/>
    <w:rsid w:val="0064099A"/>
    <w:rsid w:val="00640EE9"/>
    <w:rsid w:val="00640FBA"/>
    <w:rsid w:val="00641758"/>
    <w:rsid w:val="00641B57"/>
    <w:rsid w:val="00641DF1"/>
    <w:rsid w:val="00641E4F"/>
    <w:rsid w:val="006420AB"/>
    <w:rsid w:val="00642978"/>
    <w:rsid w:val="00642B83"/>
    <w:rsid w:val="0064341D"/>
    <w:rsid w:val="00644462"/>
    <w:rsid w:val="00645164"/>
    <w:rsid w:val="006455FE"/>
    <w:rsid w:val="00645C8C"/>
    <w:rsid w:val="006469A2"/>
    <w:rsid w:val="00646AB8"/>
    <w:rsid w:val="00646D0D"/>
    <w:rsid w:val="006470E5"/>
    <w:rsid w:val="006471F9"/>
    <w:rsid w:val="0064776F"/>
    <w:rsid w:val="0064782E"/>
    <w:rsid w:val="006479EC"/>
    <w:rsid w:val="00647A3C"/>
    <w:rsid w:val="0065045B"/>
    <w:rsid w:val="00650635"/>
    <w:rsid w:val="006507E9"/>
    <w:rsid w:val="00650822"/>
    <w:rsid w:val="00650A98"/>
    <w:rsid w:val="00651DE4"/>
    <w:rsid w:val="006521E6"/>
    <w:rsid w:val="006525F9"/>
    <w:rsid w:val="00652863"/>
    <w:rsid w:val="0065290E"/>
    <w:rsid w:val="00652921"/>
    <w:rsid w:val="00652950"/>
    <w:rsid w:val="00652DE0"/>
    <w:rsid w:val="00652E02"/>
    <w:rsid w:val="006532FB"/>
    <w:rsid w:val="00653C4B"/>
    <w:rsid w:val="00653D6D"/>
    <w:rsid w:val="006548AD"/>
    <w:rsid w:val="00654978"/>
    <w:rsid w:val="0065544C"/>
    <w:rsid w:val="006559C6"/>
    <w:rsid w:val="00655DE5"/>
    <w:rsid w:val="00655E4B"/>
    <w:rsid w:val="006560A2"/>
    <w:rsid w:val="00656401"/>
    <w:rsid w:val="00656989"/>
    <w:rsid w:val="006572C7"/>
    <w:rsid w:val="00657372"/>
    <w:rsid w:val="006578FA"/>
    <w:rsid w:val="006600D3"/>
    <w:rsid w:val="0066025F"/>
    <w:rsid w:val="00660473"/>
    <w:rsid w:val="0066047B"/>
    <w:rsid w:val="00660D04"/>
    <w:rsid w:val="00660E13"/>
    <w:rsid w:val="0066141F"/>
    <w:rsid w:val="006615CE"/>
    <w:rsid w:val="00661B9D"/>
    <w:rsid w:val="006624EE"/>
    <w:rsid w:val="006628C1"/>
    <w:rsid w:val="00662E8A"/>
    <w:rsid w:val="00663136"/>
    <w:rsid w:val="00663BB8"/>
    <w:rsid w:val="00663CD7"/>
    <w:rsid w:val="00663E10"/>
    <w:rsid w:val="00663EBA"/>
    <w:rsid w:val="00663F2E"/>
    <w:rsid w:val="0066419D"/>
    <w:rsid w:val="0066434A"/>
    <w:rsid w:val="00664404"/>
    <w:rsid w:val="00664879"/>
    <w:rsid w:val="006655C3"/>
    <w:rsid w:val="00665E1E"/>
    <w:rsid w:val="006661AE"/>
    <w:rsid w:val="006661E7"/>
    <w:rsid w:val="0066694C"/>
    <w:rsid w:val="00666EAA"/>
    <w:rsid w:val="0066711D"/>
    <w:rsid w:val="006671D6"/>
    <w:rsid w:val="00667451"/>
    <w:rsid w:val="006674AF"/>
    <w:rsid w:val="00667861"/>
    <w:rsid w:val="00667C95"/>
    <w:rsid w:val="00667CE2"/>
    <w:rsid w:val="00667EF3"/>
    <w:rsid w:val="00667FEE"/>
    <w:rsid w:val="00670175"/>
    <w:rsid w:val="006701A1"/>
    <w:rsid w:val="00670203"/>
    <w:rsid w:val="006707CC"/>
    <w:rsid w:val="006708F6"/>
    <w:rsid w:val="00670B02"/>
    <w:rsid w:val="00670DF0"/>
    <w:rsid w:val="00670E7B"/>
    <w:rsid w:val="00670ECD"/>
    <w:rsid w:val="0067129F"/>
    <w:rsid w:val="00671629"/>
    <w:rsid w:val="00671A26"/>
    <w:rsid w:val="00671D8A"/>
    <w:rsid w:val="00671E40"/>
    <w:rsid w:val="0067356B"/>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0E71"/>
    <w:rsid w:val="00681209"/>
    <w:rsid w:val="00681436"/>
    <w:rsid w:val="006815F6"/>
    <w:rsid w:val="00681A6F"/>
    <w:rsid w:val="00681C2D"/>
    <w:rsid w:val="00681D97"/>
    <w:rsid w:val="00681E9C"/>
    <w:rsid w:val="00681F24"/>
    <w:rsid w:val="006820A6"/>
    <w:rsid w:val="006826D6"/>
    <w:rsid w:val="006827E6"/>
    <w:rsid w:val="00682D13"/>
    <w:rsid w:val="00682DEB"/>
    <w:rsid w:val="00682F49"/>
    <w:rsid w:val="006838FF"/>
    <w:rsid w:val="00683A08"/>
    <w:rsid w:val="0068401C"/>
    <w:rsid w:val="006840C7"/>
    <w:rsid w:val="0068441B"/>
    <w:rsid w:val="0068476F"/>
    <w:rsid w:val="00684C89"/>
    <w:rsid w:val="00685196"/>
    <w:rsid w:val="0068553C"/>
    <w:rsid w:val="006856C2"/>
    <w:rsid w:val="00686318"/>
    <w:rsid w:val="00686F72"/>
    <w:rsid w:val="0068744E"/>
    <w:rsid w:val="006875BF"/>
    <w:rsid w:val="00687644"/>
    <w:rsid w:val="00687A58"/>
    <w:rsid w:val="00687CF6"/>
    <w:rsid w:val="00687D00"/>
    <w:rsid w:val="0069098B"/>
    <w:rsid w:val="00691115"/>
    <w:rsid w:val="006914F0"/>
    <w:rsid w:val="006915DB"/>
    <w:rsid w:val="006923EA"/>
    <w:rsid w:val="006926D4"/>
    <w:rsid w:val="00692D1A"/>
    <w:rsid w:val="006930F8"/>
    <w:rsid w:val="00693912"/>
    <w:rsid w:val="00693BDB"/>
    <w:rsid w:val="00693D13"/>
    <w:rsid w:val="006940D3"/>
    <w:rsid w:val="006940F0"/>
    <w:rsid w:val="00694113"/>
    <w:rsid w:val="00694168"/>
    <w:rsid w:val="006947F6"/>
    <w:rsid w:val="006949CD"/>
    <w:rsid w:val="00694D72"/>
    <w:rsid w:val="00694FE0"/>
    <w:rsid w:val="006957DE"/>
    <w:rsid w:val="00695C9D"/>
    <w:rsid w:val="006962AA"/>
    <w:rsid w:val="006966DF"/>
    <w:rsid w:val="00696FF1"/>
    <w:rsid w:val="006972F7"/>
    <w:rsid w:val="00697918"/>
    <w:rsid w:val="00697AC1"/>
    <w:rsid w:val="00697F3F"/>
    <w:rsid w:val="006A0405"/>
    <w:rsid w:val="006A0534"/>
    <w:rsid w:val="006A0747"/>
    <w:rsid w:val="006A0D24"/>
    <w:rsid w:val="006A14AC"/>
    <w:rsid w:val="006A1640"/>
    <w:rsid w:val="006A1679"/>
    <w:rsid w:val="006A16A8"/>
    <w:rsid w:val="006A18E6"/>
    <w:rsid w:val="006A1DBF"/>
    <w:rsid w:val="006A273B"/>
    <w:rsid w:val="006A29F8"/>
    <w:rsid w:val="006A3786"/>
    <w:rsid w:val="006A3E95"/>
    <w:rsid w:val="006A4344"/>
    <w:rsid w:val="006A43FD"/>
    <w:rsid w:val="006A46F8"/>
    <w:rsid w:val="006A4E28"/>
    <w:rsid w:val="006A50E1"/>
    <w:rsid w:val="006A55B0"/>
    <w:rsid w:val="006A5946"/>
    <w:rsid w:val="006A5BE3"/>
    <w:rsid w:val="006A5C43"/>
    <w:rsid w:val="006A683D"/>
    <w:rsid w:val="006A6C1F"/>
    <w:rsid w:val="006A6CA6"/>
    <w:rsid w:val="006A77AB"/>
    <w:rsid w:val="006A7D09"/>
    <w:rsid w:val="006B0723"/>
    <w:rsid w:val="006B0794"/>
    <w:rsid w:val="006B0EF2"/>
    <w:rsid w:val="006B1213"/>
    <w:rsid w:val="006B14B4"/>
    <w:rsid w:val="006B1692"/>
    <w:rsid w:val="006B1A4C"/>
    <w:rsid w:val="006B1DA2"/>
    <w:rsid w:val="006B2197"/>
    <w:rsid w:val="006B2257"/>
    <w:rsid w:val="006B249D"/>
    <w:rsid w:val="006B25B8"/>
    <w:rsid w:val="006B26C9"/>
    <w:rsid w:val="006B3A2A"/>
    <w:rsid w:val="006B3E1A"/>
    <w:rsid w:val="006B3F37"/>
    <w:rsid w:val="006B49F5"/>
    <w:rsid w:val="006B4DB0"/>
    <w:rsid w:val="006B51B9"/>
    <w:rsid w:val="006B6130"/>
    <w:rsid w:val="006B632A"/>
    <w:rsid w:val="006B657B"/>
    <w:rsid w:val="006B7123"/>
    <w:rsid w:val="006B75B6"/>
    <w:rsid w:val="006B7772"/>
    <w:rsid w:val="006B7A80"/>
    <w:rsid w:val="006C0484"/>
    <w:rsid w:val="006C05A9"/>
    <w:rsid w:val="006C0689"/>
    <w:rsid w:val="006C0F83"/>
    <w:rsid w:val="006C179E"/>
    <w:rsid w:val="006C1850"/>
    <w:rsid w:val="006C1A5F"/>
    <w:rsid w:val="006C1D4C"/>
    <w:rsid w:val="006C1F6C"/>
    <w:rsid w:val="006C25DD"/>
    <w:rsid w:val="006C2910"/>
    <w:rsid w:val="006C2CB1"/>
    <w:rsid w:val="006C2D53"/>
    <w:rsid w:val="006C2DAE"/>
    <w:rsid w:val="006C3AB5"/>
    <w:rsid w:val="006C562C"/>
    <w:rsid w:val="006C5775"/>
    <w:rsid w:val="006C580C"/>
    <w:rsid w:val="006C61A8"/>
    <w:rsid w:val="006C65A0"/>
    <w:rsid w:val="006C6E7A"/>
    <w:rsid w:val="006C7394"/>
    <w:rsid w:val="006C76C7"/>
    <w:rsid w:val="006C7EC3"/>
    <w:rsid w:val="006D036D"/>
    <w:rsid w:val="006D0793"/>
    <w:rsid w:val="006D0B8E"/>
    <w:rsid w:val="006D0F97"/>
    <w:rsid w:val="006D101E"/>
    <w:rsid w:val="006D130E"/>
    <w:rsid w:val="006D1A28"/>
    <w:rsid w:val="006D1B1C"/>
    <w:rsid w:val="006D21C1"/>
    <w:rsid w:val="006D21F8"/>
    <w:rsid w:val="006D2BDA"/>
    <w:rsid w:val="006D348B"/>
    <w:rsid w:val="006D3522"/>
    <w:rsid w:val="006D3530"/>
    <w:rsid w:val="006D3625"/>
    <w:rsid w:val="006D3751"/>
    <w:rsid w:val="006D4415"/>
    <w:rsid w:val="006D47F4"/>
    <w:rsid w:val="006D48BD"/>
    <w:rsid w:val="006D4DAD"/>
    <w:rsid w:val="006D5683"/>
    <w:rsid w:val="006D60C9"/>
    <w:rsid w:val="006D6F11"/>
    <w:rsid w:val="006D7EAC"/>
    <w:rsid w:val="006E03A8"/>
    <w:rsid w:val="006E0CFF"/>
    <w:rsid w:val="006E0F5E"/>
    <w:rsid w:val="006E165B"/>
    <w:rsid w:val="006E17E8"/>
    <w:rsid w:val="006E1A47"/>
    <w:rsid w:val="006E255D"/>
    <w:rsid w:val="006E3379"/>
    <w:rsid w:val="006E3648"/>
    <w:rsid w:val="006E38CF"/>
    <w:rsid w:val="006E3B32"/>
    <w:rsid w:val="006E4494"/>
    <w:rsid w:val="006E551D"/>
    <w:rsid w:val="006E566A"/>
    <w:rsid w:val="006E566E"/>
    <w:rsid w:val="006E5CD9"/>
    <w:rsid w:val="006E737E"/>
    <w:rsid w:val="006E783E"/>
    <w:rsid w:val="006E7889"/>
    <w:rsid w:val="006E7CBD"/>
    <w:rsid w:val="006E7FC2"/>
    <w:rsid w:val="006F000F"/>
    <w:rsid w:val="006F003B"/>
    <w:rsid w:val="006F0608"/>
    <w:rsid w:val="006F090F"/>
    <w:rsid w:val="006F1238"/>
    <w:rsid w:val="006F1358"/>
    <w:rsid w:val="006F1F39"/>
    <w:rsid w:val="006F26CE"/>
    <w:rsid w:val="006F27E3"/>
    <w:rsid w:val="006F28FB"/>
    <w:rsid w:val="006F2E0B"/>
    <w:rsid w:val="006F2EE7"/>
    <w:rsid w:val="006F316D"/>
    <w:rsid w:val="006F3298"/>
    <w:rsid w:val="006F337A"/>
    <w:rsid w:val="006F3918"/>
    <w:rsid w:val="006F39CD"/>
    <w:rsid w:val="006F3DAA"/>
    <w:rsid w:val="006F491F"/>
    <w:rsid w:val="006F4F72"/>
    <w:rsid w:val="006F529F"/>
    <w:rsid w:val="006F5FB6"/>
    <w:rsid w:val="006F6611"/>
    <w:rsid w:val="006F6A43"/>
    <w:rsid w:val="006F7DDF"/>
    <w:rsid w:val="00700123"/>
    <w:rsid w:val="007004A0"/>
    <w:rsid w:val="0070109F"/>
    <w:rsid w:val="00701447"/>
    <w:rsid w:val="007016A8"/>
    <w:rsid w:val="007016D3"/>
    <w:rsid w:val="00701979"/>
    <w:rsid w:val="00701F65"/>
    <w:rsid w:val="007021FC"/>
    <w:rsid w:val="007023A5"/>
    <w:rsid w:val="00702672"/>
    <w:rsid w:val="0070281F"/>
    <w:rsid w:val="00702F78"/>
    <w:rsid w:val="00702F7F"/>
    <w:rsid w:val="00703425"/>
    <w:rsid w:val="00703C9A"/>
    <w:rsid w:val="00703CFD"/>
    <w:rsid w:val="00703E2E"/>
    <w:rsid w:val="00703FAC"/>
    <w:rsid w:val="00704A0E"/>
    <w:rsid w:val="00704A76"/>
    <w:rsid w:val="00704B01"/>
    <w:rsid w:val="00704E72"/>
    <w:rsid w:val="0070538E"/>
    <w:rsid w:val="00705495"/>
    <w:rsid w:val="007055DE"/>
    <w:rsid w:val="007056E8"/>
    <w:rsid w:val="0070661B"/>
    <w:rsid w:val="0070698D"/>
    <w:rsid w:val="00706F45"/>
    <w:rsid w:val="00706FCE"/>
    <w:rsid w:val="00707282"/>
    <w:rsid w:val="00707892"/>
    <w:rsid w:val="00707992"/>
    <w:rsid w:val="00707ACC"/>
    <w:rsid w:val="007104DD"/>
    <w:rsid w:val="00710809"/>
    <w:rsid w:val="007108D9"/>
    <w:rsid w:val="00711196"/>
    <w:rsid w:val="00711564"/>
    <w:rsid w:val="00711674"/>
    <w:rsid w:val="00711B3F"/>
    <w:rsid w:val="00712024"/>
    <w:rsid w:val="007121B4"/>
    <w:rsid w:val="00712886"/>
    <w:rsid w:val="00713423"/>
    <w:rsid w:val="00713D1E"/>
    <w:rsid w:val="00713DE8"/>
    <w:rsid w:val="00714306"/>
    <w:rsid w:val="00714870"/>
    <w:rsid w:val="0071490C"/>
    <w:rsid w:val="007150D4"/>
    <w:rsid w:val="00715101"/>
    <w:rsid w:val="0071544C"/>
    <w:rsid w:val="00715664"/>
    <w:rsid w:val="00715A72"/>
    <w:rsid w:val="00715EA4"/>
    <w:rsid w:val="0071693D"/>
    <w:rsid w:val="007177FC"/>
    <w:rsid w:val="00717B75"/>
    <w:rsid w:val="00717ECB"/>
    <w:rsid w:val="00717FE8"/>
    <w:rsid w:val="007203E3"/>
    <w:rsid w:val="0072064C"/>
    <w:rsid w:val="00720710"/>
    <w:rsid w:val="00720C72"/>
    <w:rsid w:val="007213E4"/>
    <w:rsid w:val="0072161F"/>
    <w:rsid w:val="0072163E"/>
    <w:rsid w:val="007219FB"/>
    <w:rsid w:val="00721B66"/>
    <w:rsid w:val="00721D3E"/>
    <w:rsid w:val="00722F64"/>
    <w:rsid w:val="00723F70"/>
    <w:rsid w:val="00723F81"/>
    <w:rsid w:val="007241E9"/>
    <w:rsid w:val="00724A61"/>
    <w:rsid w:val="00724F8A"/>
    <w:rsid w:val="007252CB"/>
    <w:rsid w:val="00725385"/>
    <w:rsid w:val="0072578A"/>
    <w:rsid w:val="00725F9F"/>
    <w:rsid w:val="0072662E"/>
    <w:rsid w:val="00726C8F"/>
    <w:rsid w:val="00726CB3"/>
    <w:rsid w:val="00727C11"/>
    <w:rsid w:val="00730355"/>
    <w:rsid w:val="00730825"/>
    <w:rsid w:val="00730894"/>
    <w:rsid w:val="00730D1A"/>
    <w:rsid w:val="007311D1"/>
    <w:rsid w:val="00731544"/>
    <w:rsid w:val="0073158E"/>
    <w:rsid w:val="007315F4"/>
    <w:rsid w:val="00731679"/>
    <w:rsid w:val="0073172A"/>
    <w:rsid w:val="00732773"/>
    <w:rsid w:val="00732EBC"/>
    <w:rsid w:val="00733672"/>
    <w:rsid w:val="0073379C"/>
    <w:rsid w:val="007339DE"/>
    <w:rsid w:val="00733B01"/>
    <w:rsid w:val="00733FAF"/>
    <w:rsid w:val="00733FFC"/>
    <w:rsid w:val="0073414D"/>
    <w:rsid w:val="00734191"/>
    <w:rsid w:val="00734289"/>
    <w:rsid w:val="007345C7"/>
    <w:rsid w:val="00734DB4"/>
    <w:rsid w:val="00734EF6"/>
    <w:rsid w:val="00734F10"/>
    <w:rsid w:val="00735263"/>
    <w:rsid w:val="00735626"/>
    <w:rsid w:val="007358CC"/>
    <w:rsid w:val="00735B47"/>
    <w:rsid w:val="00735C2D"/>
    <w:rsid w:val="0073630A"/>
    <w:rsid w:val="00736733"/>
    <w:rsid w:val="00736A2F"/>
    <w:rsid w:val="007371A6"/>
    <w:rsid w:val="00737264"/>
    <w:rsid w:val="00737B6E"/>
    <w:rsid w:val="00737BA6"/>
    <w:rsid w:val="007409B2"/>
    <w:rsid w:val="007409C1"/>
    <w:rsid w:val="00740B5D"/>
    <w:rsid w:val="00740BA0"/>
    <w:rsid w:val="00741015"/>
    <w:rsid w:val="00741510"/>
    <w:rsid w:val="0074157A"/>
    <w:rsid w:val="00742506"/>
    <w:rsid w:val="00742577"/>
    <w:rsid w:val="00742DC6"/>
    <w:rsid w:val="007433F0"/>
    <w:rsid w:val="00743AB9"/>
    <w:rsid w:val="00743ADC"/>
    <w:rsid w:val="00743CE3"/>
    <w:rsid w:val="00744416"/>
    <w:rsid w:val="00744493"/>
    <w:rsid w:val="007446F8"/>
    <w:rsid w:val="0074484C"/>
    <w:rsid w:val="00744C97"/>
    <w:rsid w:val="00745C63"/>
    <w:rsid w:val="00745C69"/>
    <w:rsid w:val="007462EC"/>
    <w:rsid w:val="00746589"/>
    <w:rsid w:val="0074663B"/>
    <w:rsid w:val="00747DCF"/>
    <w:rsid w:val="0075090A"/>
    <w:rsid w:val="00750B94"/>
    <w:rsid w:val="00750D6E"/>
    <w:rsid w:val="00751195"/>
    <w:rsid w:val="007514A9"/>
    <w:rsid w:val="00751720"/>
    <w:rsid w:val="0075215B"/>
    <w:rsid w:val="007522AF"/>
    <w:rsid w:val="00752C7D"/>
    <w:rsid w:val="007533C9"/>
    <w:rsid w:val="007539BF"/>
    <w:rsid w:val="007539CB"/>
    <w:rsid w:val="00753DAF"/>
    <w:rsid w:val="00753DE8"/>
    <w:rsid w:val="00753F62"/>
    <w:rsid w:val="007544A9"/>
    <w:rsid w:val="007550EE"/>
    <w:rsid w:val="00755901"/>
    <w:rsid w:val="00755D9A"/>
    <w:rsid w:val="00756B31"/>
    <w:rsid w:val="00757425"/>
    <w:rsid w:val="0075771E"/>
    <w:rsid w:val="00757887"/>
    <w:rsid w:val="0075790F"/>
    <w:rsid w:val="00761795"/>
    <w:rsid w:val="00761AC8"/>
    <w:rsid w:val="00761DB1"/>
    <w:rsid w:val="0076206F"/>
    <w:rsid w:val="00762226"/>
    <w:rsid w:val="00762400"/>
    <w:rsid w:val="00762CF0"/>
    <w:rsid w:val="007632E0"/>
    <w:rsid w:val="007634AC"/>
    <w:rsid w:val="00763566"/>
    <w:rsid w:val="00764453"/>
    <w:rsid w:val="0076449D"/>
    <w:rsid w:val="00764801"/>
    <w:rsid w:val="00764C4A"/>
    <w:rsid w:val="0076515D"/>
    <w:rsid w:val="007655FA"/>
    <w:rsid w:val="007658E5"/>
    <w:rsid w:val="00765AA7"/>
    <w:rsid w:val="00765C16"/>
    <w:rsid w:val="00766003"/>
    <w:rsid w:val="007669D7"/>
    <w:rsid w:val="00766FEB"/>
    <w:rsid w:val="007679EB"/>
    <w:rsid w:val="007704CA"/>
    <w:rsid w:val="007709A2"/>
    <w:rsid w:val="00770C8A"/>
    <w:rsid w:val="00770D94"/>
    <w:rsid w:val="007715F2"/>
    <w:rsid w:val="0077160D"/>
    <w:rsid w:val="00771631"/>
    <w:rsid w:val="00771F9B"/>
    <w:rsid w:val="00772559"/>
    <w:rsid w:val="0077261D"/>
    <w:rsid w:val="00772656"/>
    <w:rsid w:val="0077271B"/>
    <w:rsid w:val="00772880"/>
    <w:rsid w:val="00772ADE"/>
    <w:rsid w:val="00772D6E"/>
    <w:rsid w:val="00772F01"/>
    <w:rsid w:val="007732F1"/>
    <w:rsid w:val="00774114"/>
    <w:rsid w:val="007741FF"/>
    <w:rsid w:val="007746B7"/>
    <w:rsid w:val="0077546B"/>
    <w:rsid w:val="007756C3"/>
    <w:rsid w:val="007757DD"/>
    <w:rsid w:val="00775ACF"/>
    <w:rsid w:val="00776033"/>
    <w:rsid w:val="0077621D"/>
    <w:rsid w:val="007762CD"/>
    <w:rsid w:val="0077643C"/>
    <w:rsid w:val="0077684B"/>
    <w:rsid w:val="00776E36"/>
    <w:rsid w:val="0077726D"/>
    <w:rsid w:val="00777290"/>
    <w:rsid w:val="007772E7"/>
    <w:rsid w:val="007772E8"/>
    <w:rsid w:val="00777335"/>
    <w:rsid w:val="007773AC"/>
    <w:rsid w:val="00780273"/>
    <w:rsid w:val="00780355"/>
    <w:rsid w:val="00780956"/>
    <w:rsid w:val="0078148C"/>
    <w:rsid w:val="00781619"/>
    <w:rsid w:val="00781725"/>
    <w:rsid w:val="007818C2"/>
    <w:rsid w:val="00781C82"/>
    <w:rsid w:val="0078233F"/>
    <w:rsid w:val="007828D5"/>
    <w:rsid w:val="00782990"/>
    <w:rsid w:val="00782A08"/>
    <w:rsid w:val="00782D8F"/>
    <w:rsid w:val="00782F00"/>
    <w:rsid w:val="00782FC5"/>
    <w:rsid w:val="00783263"/>
    <w:rsid w:val="0078357E"/>
    <w:rsid w:val="0078385A"/>
    <w:rsid w:val="007839E7"/>
    <w:rsid w:val="007841FF"/>
    <w:rsid w:val="00785009"/>
    <w:rsid w:val="0078599A"/>
    <w:rsid w:val="00785A63"/>
    <w:rsid w:val="00785E26"/>
    <w:rsid w:val="00785EFF"/>
    <w:rsid w:val="00786824"/>
    <w:rsid w:val="0078724C"/>
    <w:rsid w:val="0078751E"/>
    <w:rsid w:val="00787C9D"/>
    <w:rsid w:val="00787D70"/>
    <w:rsid w:val="007906CA"/>
    <w:rsid w:val="00790E20"/>
    <w:rsid w:val="00791503"/>
    <w:rsid w:val="00791816"/>
    <w:rsid w:val="00791E96"/>
    <w:rsid w:val="007934D4"/>
    <w:rsid w:val="00793896"/>
    <w:rsid w:val="0079394A"/>
    <w:rsid w:val="007939BD"/>
    <w:rsid w:val="00793C16"/>
    <w:rsid w:val="00793DE4"/>
    <w:rsid w:val="00793FBD"/>
    <w:rsid w:val="00794E9D"/>
    <w:rsid w:val="00795610"/>
    <w:rsid w:val="0079574C"/>
    <w:rsid w:val="00795792"/>
    <w:rsid w:val="00795B10"/>
    <w:rsid w:val="00796220"/>
    <w:rsid w:val="0079663A"/>
    <w:rsid w:val="00796AC3"/>
    <w:rsid w:val="00796C5E"/>
    <w:rsid w:val="00796F84"/>
    <w:rsid w:val="00796F8B"/>
    <w:rsid w:val="007970F4"/>
    <w:rsid w:val="0079775B"/>
    <w:rsid w:val="00797C38"/>
    <w:rsid w:val="00797E54"/>
    <w:rsid w:val="007A0692"/>
    <w:rsid w:val="007A0B62"/>
    <w:rsid w:val="007A11B0"/>
    <w:rsid w:val="007A1236"/>
    <w:rsid w:val="007A1760"/>
    <w:rsid w:val="007A1B02"/>
    <w:rsid w:val="007A1B67"/>
    <w:rsid w:val="007A1D32"/>
    <w:rsid w:val="007A21A0"/>
    <w:rsid w:val="007A2818"/>
    <w:rsid w:val="007A28A4"/>
    <w:rsid w:val="007A2A69"/>
    <w:rsid w:val="007A2A6F"/>
    <w:rsid w:val="007A39D3"/>
    <w:rsid w:val="007A3BDD"/>
    <w:rsid w:val="007A3D3F"/>
    <w:rsid w:val="007A3E4D"/>
    <w:rsid w:val="007A4506"/>
    <w:rsid w:val="007A4BE7"/>
    <w:rsid w:val="007A4C59"/>
    <w:rsid w:val="007A518D"/>
    <w:rsid w:val="007A57AE"/>
    <w:rsid w:val="007A6896"/>
    <w:rsid w:val="007A6E20"/>
    <w:rsid w:val="007A6FD8"/>
    <w:rsid w:val="007A7136"/>
    <w:rsid w:val="007A73DA"/>
    <w:rsid w:val="007A7498"/>
    <w:rsid w:val="007A74B2"/>
    <w:rsid w:val="007A771E"/>
    <w:rsid w:val="007A7C64"/>
    <w:rsid w:val="007B0571"/>
    <w:rsid w:val="007B06B8"/>
    <w:rsid w:val="007B07C4"/>
    <w:rsid w:val="007B0A6A"/>
    <w:rsid w:val="007B0B94"/>
    <w:rsid w:val="007B0C12"/>
    <w:rsid w:val="007B109A"/>
    <w:rsid w:val="007B11EC"/>
    <w:rsid w:val="007B139D"/>
    <w:rsid w:val="007B16E5"/>
    <w:rsid w:val="007B1F57"/>
    <w:rsid w:val="007B2135"/>
    <w:rsid w:val="007B216F"/>
    <w:rsid w:val="007B25D1"/>
    <w:rsid w:val="007B2616"/>
    <w:rsid w:val="007B2926"/>
    <w:rsid w:val="007B3057"/>
    <w:rsid w:val="007B4597"/>
    <w:rsid w:val="007B47A0"/>
    <w:rsid w:val="007B5174"/>
    <w:rsid w:val="007B5336"/>
    <w:rsid w:val="007B55C5"/>
    <w:rsid w:val="007B57D2"/>
    <w:rsid w:val="007B5E43"/>
    <w:rsid w:val="007B5F3C"/>
    <w:rsid w:val="007B6CC6"/>
    <w:rsid w:val="007B6F4D"/>
    <w:rsid w:val="007B70FB"/>
    <w:rsid w:val="007B72CD"/>
    <w:rsid w:val="007B74DB"/>
    <w:rsid w:val="007B7566"/>
    <w:rsid w:val="007B7AD7"/>
    <w:rsid w:val="007C0482"/>
    <w:rsid w:val="007C0E18"/>
    <w:rsid w:val="007C123C"/>
    <w:rsid w:val="007C1637"/>
    <w:rsid w:val="007C1DC9"/>
    <w:rsid w:val="007C20FE"/>
    <w:rsid w:val="007C2343"/>
    <w:rsid w:val="007C24BB"/>
    <w:rsid w:val="007C2678"/>
    <w:rsid w:val="007C2714"/>
    <w:rsid w:val="007C3435"/>
    <w:rsid w:val="007C35A9"/>
    <w:rsid w:val="007C360B"/>
    <w:rsid w:val="007C376A"/>
    <w:rsid w:val="007C3888"/>
    <w:rsid w:val="007C4526"/>
    <w:rsid w:val="007C4A77"/>
    <w:rsid w:val="007C4AC1"/>
    <w:rsid w:val="007C4ACA"/>
    <w:rsid w:val="007C55A5"/>
    <w:rsid w:val="007C55BE"/>
    <w:rsid w:val="007C5AB5"/>
    <w:rsid w:val="007C62D0"/>
    <w:rsid w:val="007C7506"/>
    <w:rsid w:val="007C766F"/>
    <w:rsid w:val="007C7AD6"/>
    <w:rsid w:val="007C7C59"/>
    <w:rsid w:val="007C7DC7"/>
    <w:rsid w:val="007D03B3"/>
    <w:rsid w:val="007D0816"/>
    <w:rsid w:val="007D094C"/>
    <w:rsid w:val="007D132F"/>
    <w:rsid w:val="007D15F0"/>
    <w:rsid w:val="007D178B"/>
    <w:rsid w:val="007D1B64"/>
    <w:rsid w:val="007D1F73"/>
    <w:rsid w:val="007D226F"/>
    <w:rsid w:val="007D22CE"/>
    <w:rsid w:val="007D296D"/>
    <w:rsid w:val="007D2C50"/>
    <w:rsid w:val="007D2E49"/>
    <w:rsid w:val="007D33FA"/>
    <w:rsid w:val="007D3A86"/>
    <w:rsid w:val="007D3B12"/>
    <w:rsid w:val="007D3BC5"/>
    <w:rsid w:val="007D40F5"/>
    <w:rsid w:val="007D46D8"/>
    <w:rsid w:val="007D4892"/>
    <w:rsid w:val="007D48E9"/>
    <w:rsid w:val="007D4A1A"/>
    <w:rsid w:val="007D4D44"/>
    <w:rsid w:val="007D4DC5"/>
    <w:rsid w:val="007D53CB"/>
    <w:rsid w:val="007D561F"/>
    <w:rsid w:val="007D5857"/>
    <w:rsid w:val="007D5BB4"/>
    <w:rsid w:val="007D6246"/>
    <w:rsid w:val="007D68DB"/>
    <w:rsid w:val="007D6E43"/>
    <w:rsid w:val="007D6F86"/>
    <w:rsid w:val="007D72CB"/>
    <w:rsid w:val="007D72EB"/>
    <w:rsid w:val="007D7CDD"/>
    <w:rsid w:val="007E016B"/>
    <w:rsid w:val="007E02BC"/>
    <w:rsid w:val="007E08C9"/>
    <w:rsid w:val="007E0A12"/>
    <w:rsid w:val="007E0F8F"/>
    <w:rsid w:val="007E13A8"/>
    <w:rsid w:val="007E2236"/>
    <w:rsid w:val="007E296A"/>
    <w:rsid w:val="007E2A9F"/>
    <w:rsid w:val="007E317C"/>
    <w:rsid w:val="007E3456"/>
    <w:rsid w:val="007E35D0"/>
    <w:rsid w:val="007E3A03"/>
    <w:rsid w:val="007E3E82"/>
    <w:rsid w:val="007E44F9"/>
    <w:rsid w:val="007E47D5"/>
    <w:rsid w:val="007E4C3C"/>
    <w:rsid w:val="007E4DA6"/>
    <w:rsid w:val="007E502A"/>
    <w:rsid w:val="007E5268"/>
    <w:rsid w:val="007E53AF"/>
    <w:rsid w:val="007E5725"/>
    <w:rsid w:val="007E5937"/>
    <w:rsid w:val="007E5ED9"/>
    <w:rsid w:val="007E5EDC"/>
    <w:rsid w:val="007E6646"/>
    <w:rsid w:val="007E67D9"/>
    <w:rsid w:val="007E6C51"/>
    <w:rsid w:val="007E7232"/>
    <w:rsid w:val="007E72AB"/>
    <w:rsid w:val="007E7754"/>
    <w:rsid w:val="007E7E0F"/>
    <w:rsid w:val="007E7EC0"/>
    <w:rsid w:val="007F0378"/>
    <w:rsid w:val="007F0684"/>
    <w:rsid w:val="007F06B6"/>
    <w:rsid w:val="007F06E8"/>
    <w:rsid w:val="007F0AF8"/>
    <w:rsid w:val="007F0E4C"/>
    <w:rsid w:val="007F1933"/>
    <w:rsid w:val="007F1B94"/>
    <w:rsid w:val="007F1F1C"/>
    <w:rsid w:val="007F219A"/>
    <w:rsid w:val="007F3130"/>
    <w:rsid w:val="007F35B8"/>
    <w:rsid w:val="007F3D80"/>
    <w:rsid w:val="007F3F16"/>
    <w:rsid w:val="007F42F0"/>
    <w:rsid w:val="007F4906"/>
    <w:rsid w:val="007F4981"/>
    <w:rsid w:val="007F4C6E"/>
    <w:rsid w:val="007F6340"/>
    <w:rsid w:val="007F65DB"/>
    <w:rsid w:val="007F6761"/>
    <w:rsid w:val="007F6BC4"/>
    <w:rsid w:val="007F70D4"/>
    <w:rsid w:val="007F76B6"/>
    <w:rsid w:val="007F7893"/>
    <w:rsid w:val="007F7ABF"/>
    <w:rsid w:val="0080073F"/>
    <w:rsid w:val="00800917"/>
    <w:rsid w:val="00801607"/>
    <w:rsid w:val="00801713"/>
    <w:rsid w:val="0080176E"/>
    <w:rsid w:val="00801B94"/>
    <w:rsid w:val="00801CB1"/>
    <w:rsid w:val="00802758"/>
    <w:rsid w:val="00802A50"/>
    <w:rsid w:val="00802A7A"/>
    <w:rsid w:val="00802AA7"/>
    <w:rsid w:val="00802B6F"/>
    <w:rsid w:val="008038AE"/>
    <w:rsid w:val="00803AAC"/>
    <w:rsid w:val="00803ACE"/>
    <w:rsid w:val="00804D2A"/>
    <w:rsid w:val="00805834"/>
    <w:rsid w:val="00805B99"/>
    <w:rsid w:val="00805D3E"/>
    <w:rsid w:val="00805EEC"/>
    <w:rsid w:val="008061C2"/>
    <w:rsid w:val="00806E9B"/>
    <w:rsid w:val="00807090"/>
    <w:rsid w:val="00807926"/>
    <w:rsid w:val="0080796B"/>
    <w:rsid w:val="00807A15"/>
    <w:rsid w:val="00807AB5"/>
    <w:rsid w:val="008100A2"/>
    <w:rsid w:val="008107F5"/>
    <w:rsid w:val="00810A75"/>
    <w:rsid w:val="00810D27"/>
    <w:rsid w:val="00810E30"/>
    <w:rsid w:val="00810ED7"/>
    <w:rsid w:val="00811057"/>
    <w:rsid w:val="0081169E"/>
    <w:rsid w:val="0081176F"/>
    <w:rsid w:val="008123D4"/>
    <w:rsid w:val="00812B2D"/>
    <w:rsid w:val="00812C4E"/>
    <w:rsid w:val="00813AEB"/>
    <w:rsid w:val="00814049"/>
    <w:rsid w:val="00814CAD"/>
    <w:rsid w:val="0081580E"/>
    <w:rsid w:val="00815914"/>
    <w:rsid w:val="00815BB1"/>
    <w:rsid w:val="0081623E"/>
    <w:rsid w:val="00816340"/>
    <w:rsid w:val="008172FD"/>
    <w:rsid w:val="008177AE"/>
    <w:rsid w:val="00817D96"/>
    <w:rsid w:val="00817E6F"/>
    <w:rsid w:val="00817F9A"/>
    <w:rsid w:val="00820896"/>
    <w:rsid w:val="008213A6"/>
    <w:rsid w:val="00821956"/>
    <w:rsid w:val="00821A07"/>
    <w:rsid w:val="008227FA"/>
    <w:rsid w:val="008229A2"/>
    <w:rsid w:val="0082443D"/>
    <w:rsid w:val="0082498C"/>
    <w:rsid w:val="00824A9E"/>
    <w:rsid w:val="00824E44"/>
    <w:rsid w:val="00825ED1"/>
    <w:rsid w:val="00825EDB"/>
    <w:rsid w:val="00825F58"/>
    <w:rsid w:val="008264EB"/>
    <w:rsid w:val="008267E6"/>
    <w:rsid w:val="008268CF"/>
    <w:rsid w:val="00826DEF"/>
    <w:rsid w:val="008270EE"/>
    <w:rsid w:val="008273A3"/>
    <w:rsid w:val="0082744A"/>
    <w:rsid w:val="00827497"/>
    <w:rsid w:val="008275A9"/>
    <w:rsid w:val="0083026B"/>
    <w:rsid w:val="008307F9"/>
    <w:rsid w:val="00830845"/>
    <w:rsid w:val="0083098F"/>
    <w:rsid w:val="008309E1"/>
    <w:rsid w:val="00831472"/>
    <w:rsid w:val="008327A9"/>
    <w:rsid w:val="008327F0"/>
    <w:rsid w:val="00832922"/>
    <w:rsid w:val="008329FF"/>
    <w:rsid w:val="00832ECB"/>
    <w:rsid w:val="0083302B"/>
    <w:rsid w:val="00833526"/>
    <w:rsid w:val="008336EE"/>
    <w:rsid w:val="008340EC"/>
    <w:rsid w:val="00834B47"/>
    <w:rsid w:val="00835459"/>
    <w:rsid w:val="0083566C"/>
    <w:rsid w:val="00836259"/>
    <w:rsid w:val="00836AC7"/>
    <w:rsid w:val="00836C77"/>
    <w:rsid w:val="00836E1B"/>
    <w:rsid w:val="008376CD"/>
    <w:rsid w:val="0083793C"/>
    <w:rsid w:val="00837BB6"/>
    <w:rsid w:val="00837C92"/>
    <w:rsid w:val="00837F0F"/>
    <w:rsid w:val="00837FEE"/>
    <w:rsid w:val="008404E0"/>
    <w:rsid w:val="008416E5"/>
    <w:rsid w:val="00841A00"/>
    <w:rsid w:val="0084210C"/>
    <w:rsid w:val="00842BBA"/>
    <w:rsid w:val="00842D41"/>
    <w:rsid w:val="00842E56"/>
    <w:rsid w:val="00843029"/>
    <w:rsid w:val="00843420"/>
    <w:rsid w:val="00843B5D"/>
    <w:rsid w:val="00843F87"/>
    <w:rsid w:val="008447D4"/>
    <w:rsid w:val="0084506C"/>
    <w:rsid w:val="008454BD"/>
    <w:rsid w:val="00845B66"/>
    <w:rsid w:val="008463F3"/>
    <w:rsid w:val="00846509"/>
    <w:rsid w:val="008467CB"/>
    <w:rsid w:val="008467D3"/>
    <w:rsid w:val="00846845"/>
    <w:rsid w:val="00846D76"/>
    <w:rsid w:val="00847650"/>
    <w:rsid w:val="008476DC"/>
    <w:rsid w:val="00847829"/>
    <w:rsid w:val="008479B1"/>
    <w:rsid w:val="0085005F"/>
    <w:rsid w:val="008500F5"/>
    <w:rsid w:val="0085062F"/>
    <w:rsid w:val="00851307"/>
    <w:rsid w:val="008515B1"/>
    <w:rsid w:val="00851C40"/>
    <w:rsid w:val="00852508"/>
    <w:rsid w:val="00852578"/>
    <w:rsid w:val="00852A75"/>
    <w:rsid w:val="00852E5B"/>
    <w:rsid w:val="0085323E"/>
    <w:rsid w:val="008535EB"/>
    <w:rsid w:val="00853677"/>
    <w:rsid w:val="00853A88"/>
    <w:rsid w:val="00853ACD"/>
    <w:rsid w:val="00853ACF"/>
    <w:rsid w:val="00853F1F"/>
    <w:rsid w:val="008544D3"/>
    <w:rsid w:val="00854AD2"/>
    <w:rsid w:val="00855089"/>
    <w:rsid w:val="008558A1"/>
    <w:rsid w:val="00855A1E"/>
    <w:rsid w:val="00855DEB"/>
    <w:rsid w:val="0085642F"/>
    <w:rsid w:val="0085717F"/>
    <w:rsid w:val="008573AF"/>
    <w:rsid w:val="008573F8"/>
    <w:rsid w:val="00857645"/>
    <w:rsid w:val="00857D80"/>
    <w:rsid w:val="008602FC"/>
    <w:rsid w:val="00860989"/>
    <w:rsid w:val="00860CF9"/>
    <w:rsid w:val="008614A8"/>
    <w:rsid w:val="00861DEF"/>
    <w:rsid w:val="008622D3"/>
    <w:rsid w:val="0086268A"/>
    <w:rsid w:val="00862BD4"/>
    <w:rsid w:val="00862BFA"/>
    <w:rsid w:val="00862EE5"/>
    <w:rsid w:val="008639A2"/>
    <w:rsid w:val="00863BBB"/>
    <w:rsid w:val="008640FD"/>
    <w:rsid w:val="0086426C"/>
    <w:rsid w:val="008644D5"/>
    <w:rsid w:val="00864A96"/>
    <w:rsid w:val="00864C8B"/>
    <w:rsid w:val="00864E19"/>
    <w:rsid w:val="00865020"/>
    <w:rsid w:val="0086564F"/>
    <w:rsid w:val="00865681"/>
    <w:rsid w:val="00865C9A"/>
    <w:rsid w:val="00866618"/>
    <w:rsid w:val="00867578"/>
    <w:rsid w:val="00867B6B"/>
    <w:rsid w:val="00867FDD"/>
    <w:rsid w:val="0087000F"/>
    <w:rsid w:val="008706D6"/>
    <w:rsid w:val="00870788"/>
    <w:rsid w:val="00870923"/>
    <w:rsid w:val="00870A8A"/>
    <w:rsid w:val="00870AFC"/>
    <w:rsid w:val="00870F67"/>
    <w:rsid w:val="00870F6E"/>
    <w:rsid w:val="008715CC"/>
    <w:rsid w:val="00872589"/>
    <w:rsid w:val="00872770"/>
    <w:rsid w:val="00873125"/>
    <w:rsid w:val="008731F2"/>
    <w:rsid w:val="00873754"/>
    <w:rsid w:val="0087378A"/>
    <w:rsid w:val="00873CF3"/>
    <w:rsid w:val="008746D7"/>
    <w:rsid w:val="008752FC"/>
    <w:rsid w:val="00875FA4"/>
    <w:rsid w:val="008763C8"/>
    <w:rsid w:val="0087656D"/>
    <w:rsid w:val="0087672D"/>
    <w:rsid w:val="008779E9"/>
    <w:rsid w:val="00877D2C"/>
    <w:rsid w:val="00877D6E"/>
    <w:rsid w:val="00877E35"/>
    <w:rsid w:val="0088014E"/>
    <w:rsid w:val="00880AA4"/>
    <w:rsid w:val="00880BAB"/>
    <w:rsid w:val="008812A7"/>
    <w:rsid w:val="008816B2"/>
    <w:rsid w:val="008817FF"/>
    <w:rsid w:val="0088239C"/>
    <w:rsid w:val="00882745"/>
    <w:rsid w:val="008828F7"/>
    <w:rsid w:val="00882946"/>
    <w:rsid w:val="00882A65"/>
    <w:rsid w:val="00882C4D"/>
    <w:rsid w:val="00882D67"/>
    <w:rsid w:val="00882E58"/>
    <w:rsid w:val="0088318D"/>
    <w:rsid w:val="008835B1"/>
    <w:rsid w:val="00883B3F"/>
    <w:rsid w:val="00883E0A"/>
    <w:rsid w:val="00884A91"/>
    <w:rsid w:val="008851BE"/>
    <w:rsid w:val="00885538"/>
    <w:rsid w:val="00885960"/>
    <w:rsid w:val="00885ADA"/>
    <w:rsid w:val="00886188"/>
    <w:rsid w:val="0088651F"/>
    <w:rsid w:val="00886632"/>
    <w:rsid w:val="00887063"/>
    <w:rsid w:val="00887798"/>
    <w:rsid w:val="0088796B"/>
    <w:rsid w:val="00887D83"/>
    <w:rsid w:val="00887F1B"/>
    <w:rsid w:val="008900CF"/>
    <w:rsid w:val="008903F8"/>
    <w:rsid w:val="00890709"/>
    <w:rsid w:val="00891AE3"/>
    <w:rsid w:val="00891D67"/>
    <w:rsid w:val="00892165"/>
    <w:rsid w:val="008922CF"/>
    <w:rsid w:val="008923D1"/>
    <w:rsid w:val="008925B9"/>
    <w:rsid w:val="00892827"/>
    <w:rsid w:val="00892AEE"/>
    <w:rsid w:val="008937AC"/>
    <w:rsid w:val="008937CB"/>
    <w:rsid w:val="00893EA3"/>
    <w:rsid w:val="00893FF7"/>
    <w:rsid w:val="0089427B"/>
    <w:rsid w:val="008942A5"/>
    <w:rsid w:val="0089483C"/>
    <w:rsid w:val="00894A6B"/>
    <w:rsid w:val="00894A7F"/>
    <w:rsid w:val="00895DCC"/>
    <w:rsid w:val="00895E5A"/>
    <w:rsid w:val="008962BC"/>
    <w:rsid w:val="008973BA"/>
    <w:rsid w:val="00897502"/>
    <w:rsid w:val="00897602"/>
    <w:rsid w:val="00897855"/>
    <w:rsid w:val="008A03C3"/>
    <w:rsid w:val="008A045F"/>
    <w:rsid w:val="008A09CE"/>
    <w:rsid w:val="008A0B6D"/>
    <w:rsid w:val="008A0E02"/>
    <w:rsid w:val="008A0E63"/>
    <w:rsid w:val="008A0F85"/>
    <w:rsid w:val="008A173F"/>
    <w:rsid w:val="008A1EFD"/>
    <w:rsid w:val="008A1F90"/>
    <w:rsid w:val="008A211F"/>
    <w:rsid w:val="008A2385"/>
    <w:rsid w:val="008A2711"/>
    <w:rsid w:val="008A2790"/>
    <w:rsid w:val="008A279B"/>
    <w:rsid w:val="008A2830"/>
    <w:rsid w:val="008A2C5D"/>
    <w:rsid w:val="008A30BD"/>
    <w:rsid w:val="008A336F"/>
    <w:rsid w:val="008A3544"/>
    <w:rsid w:val="008A3C32"/>
    <w:rsid w:val="008A444A"/>
    <w:rsid w:val="008A46CB"/>
    <w:rsid w:val="008A4876"/>
    <w:rsid w:val="008A4B83"/>
    <w:rsid w:val="008A4F57"/>
    <w:rsid w:val="008A52CE"/>
    <w:rsid w:val="008A544C"/>
    <w:rsid w:val="008A574C"/>
    <w:rsid w:val="008A5BC7"/>
    <w:rsid w:val="008A67A1"/>
    <w:rsid w:val="008A6A25"/>
    <w:rsid w:val="008A720F"/>
    <w:rsid w:val="008A72DE"/>
    <w:rsid w:val="008A77BD"/>
    <w:rsid w:val="008A7949"/>
    <w:rsid w:val="008A7A03"/>
    <w:rsid w:val="008A7B45"/>
    <w:rsid w:val="008B0BA7"/>
    <w:rsid w:val="008B0DE8"/>
    <w:rsid w:val="008B0E9B"/>
    <w:rsid w:val="008B103F"/>
    <w:rsid w:val="008B12FC"/>
    <w:rsid w:val="008B1C8C"/>
    <w:rsid w:val="008B1E06"/>
    <w:rsid w:val="008B20A4"/>
    <w:rsid w:val="008B2F1A"/>
    <w:rsid w:val="008B31AD"/>
    <w:rsid w:val="008B329A"/>
    <w:rsid w:val="008B331F"/>
    <w:rsid w:val="008B3960"/>
    <w:rsid w:val="008B3A87"/>
    <w:rsid w:val="008B3C1B"/>
    <w:rsid w:val="008B3C1F"/>
    <w:rsid w:val="008B3D7A"/>
    <w:rsid w:val="008B4243"/>
    <w:rsid w:val="008B47F4"/>
    <w:rsid w:val="008B4953"/>
    <w:rsid w:val="008B4E19"/>
    <w:rsid w:val="008B4F72"/>
    <w:rsid w:val="008B5181"/>
    <w:rsid w:val="008B58E4"/>
    <w:rsid w:val="008B5A61"/>
    <w:rsid w:val="008B5F58"/>
    <w:rsid w:val="008B6190"/>
    <w:rsid w:val="008B6231"/>
    <w:rsid w:val="008B6367"/>
    <w:rsid w:val="008B63AD"/>
    <w:rsid w:val="008B6939"/>
    <w:rsid w:val="008B6A05"/>
    <w:rsid w:val="008B6ADB"/>
    <w:rsid w:val="008B6F26"/>
    <w:rsid w:val="008B7546"/>
    <w:rsid w:val="008B7ECB"/>
    <w:rsid w:val="008C0557"/>
    <w:rsid w:val="008C0771"/>
    <w:rsid w:val="008C0845"/>
    <w:rsid w:val="008C1779"/>
    <w:rsid w:val="008C1DC1"/>
    <w:rsid w:val="008C287C"/>
    <w:rsid w:val="008C28B3"/>
    <w:rsid w:val="008C3591"/>
    <w:rsid w:val="008C3982"/>
    <w:rsid w:val="008C3A88"/>
    <w:rsid w:val="008C3AC1"/>
    <w:rsid w:val="008C3D73"/>
    <w:rsid w:val="008C41CD"/>
    <w:rsid w:val="008C44FA"/>
    <w:rsid w:val="008C482E"/>
    <w:rsid w:val="008C4E96"/>
    <w:rsid w:val="008C4EB8"/>
    <w:rsid w:val="008C4FFE"/>
    <w:rsid w:val="008C51AD"/>
    <w:rsid w:val="008C5A8B"/>
    <w:rsid w:val="008C61B0"/>
    <w:rsid w:val="008C6E3D"/>
    <w:rsid w:val="008C6FD3"/>
    <w:rsid w:val="008C70EB"/>
    <w:rsid w:val="008C71DE"/>
    <w:rsid w:val="008C7C23"/>
    <w:rsid w:val="008C7FA7"/>
    <w:rsid w:val="008D0E8E"/>
    <w:rsid w:val="008D155D"/>
    <w:rsid w:val="008D15E6"/>
    <w:rsid w:val="008D1C2B"/>
    <w:rsid w:val="008D229E"/>
    <w:rsid w:val="008D24C5"/>
    <w:rsid w:val="008D24FA"/>
    <w:rsid w:val="008D2F91"/>
    <w:rsid w:val="008D36D2"/>
    <w:rsid w:val="008D3E05"/>
    <w:rsid w:val="008D3FE4"/>
    <w:rsid w:val="008D415F"/>
    <w:rsid w:val="008D463D"/>
    <w:rsid w:val="008D536E"/>
    <w:rsid w:val="008D5506"/>
    <w:rsid w:val="008D5659"/>
    <w:rsid w:val="008D57A3"/>
    <w:rsid w:val="008D5C9A"/>
    <w:rsid w:val="008D5D6F"/>
    <w:rsid w:val="008D5DAB"/>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B3"/>
    <w:rsid w:val="008E054A"/>
    <w:rsid w:val="008E08F2"/>
    <w:rsid w:val="008E0DE2"/>
    <w:rsid w:val="008E0EA1"/>
    <w:rsid w:val="008E0EF1"/>
    <w:rsid w:val="008E19E9"/>
    <w:rsid w:val="008E1A0B"/>
    <w:rsid w:val="008E1CA4"/>
    <w:rsid w:val="008E22E0"/>
    <w:rsid w:val="008E260B"/>
    <w:rsid w:val="008E2BCC"/>
    <w:rsid w:val="008E52E7"/>
    <w:rsid w:val="008E53DB"/>
    <w:rsid w:val="008E5981"/>
    <w:rsid w:val="008E5A4E"/>
    <w:rsid w:val="008E5C8F"/>
    <w:rsid w:val="008E646A"/>
    <w:rsid w:val="008E68B9"/>
    <w:rsid w:val="008E6D37"/>
    <w:rsid w:val="008E6F52"/>
    <w:rsid w:val="008E6F6B"/>
    <w:rsid w:val="008E712B"/>
    <w:rsid w:val="008E7155"/>
    <w:rsid w:val="008E71FB"/>
    <w:rsid w:val="008E7365"/>
    <w:rsid w:val="008E78ED"/>
    <w:rsid w:val="008F0248"/>
    <w:rsid w:val="008F07B8"/>
    <w:rsid w:val="008F0932"/>
    <w:rsid w:val="008F0945"/>
    <w:rsid w:val="008F0A86"/>
    <w:rsid w:val="008F0AB8"/>
    <w:rsid w:val="008F0EF5"/>
    <w:rsid w:val="008F1238"/>
    <w:rsid w:val="008F14CA"/>
    <w:rsid w:val="008F24BD"/>
    <w:rsid w:val="008F257A"/>
    <w:rsid w:val="008F2A47"/>
    <w:rsid w:val="008F2AFA"/>
    <w:rsid w:val="008F35D9"/>
    <w:rsid w:val="008F3793"/>
    <w:rsid w:val="008F3F41"/>
    <w:rsid w:val="008F438C"/>
    <w:rsid w:val="008F43D6"/>
    <w:rsid w:val="008F45BC"/>
    <w:rsid w:val="008F48C6"/>
    <w:rsid w:val="008F49F3"/>
    <w:rsid w:val="008F525C"/>
    <w:rsid w:val="008F5309"/>
    <w:rsid w:val="008F540C"/>
    <w:rsid w:val="008F58A7"/>
    <w:rsid w:val="008F6060"/>
    <w:rsid w:val="008F6426"/>
    <w:rsid w:val="008F6AB0"/>
    <w:rsid w:val="008F6B8B"/>
    <w:rsid w:val="0090097F"/>
    <w:rsid w:val="00900D92"/>
    <w:rsid w:val="0090146E"/>
    <w:rsid w:val="009015F4"/>
    <w:rsid w:val="00901E4D"/>
    <w:rsid w:val="00901F1D"/>
    <w:rsid w:val="0090296B"/>
    <w:rsid w:val="00902972"/>
    <w:rsid w:val="00903424"/>
    <w:rsid w:val="00904206"/>
    <w:rsid w:val="0090441B"/>
    <w:rsid w:val="00905456"/>
    <w:rsid w:val="00905530"/>
    <w:rsid w:val="00905BE3"/>
    <w:rsid w:val="0090621C"/>
    <w:rsid w:val="00906618"/>
    <w:rsid w:val="00906BB6"/>
    <w:rsid w:val="00906C4A"/>
    <w:rsid w:val="00907986"/>
    <w:rsid w:val="00907D90"/>
    <w:rsid w:val="00910078"/>
    <w:rsid w:val="009104AB"/>
    <w:rsid w:val="00910866"/>
    <w:rsid w:val="0091095D"/>
    <w:rsid w:val="00910D99"/>
    <w:rsid w:val="00910E2C"/>
    <w:rsid w:val="009110AD"/>
    <w:rsid w:val="009111CC"/>
    <w:rsid w:val="009114FF"/>
    <w:rsid w:val="00911A79"/>
    <w:rsid w:val="00911D8B"/>
    <w:rsid w:val="00911DAD"/>
    <w:rsid w:val="00912464"/>
    <w:rsid w:val="009127CC"/>
    <w:rsid w:val="00912D42"/>
    <w:rsid w:val="009133DD"/>
    <w:rsid w:val="00914525"/>
    <w:rsid w:val="00914722"/>
    <w:rsid w:val="009151EB"/>
    <w:rsid w:val="00915465"/>
    <w:rsid w:val="009158B9"/>
    <w:rsid w:val="00915A71"/>
    <w:rsid w:val="009160F5"/>
    <w:rsid w:val="0091620A"/>
    <w:rsid w:val="00916301"/>
    <w:rsid w:val="00916863"/>
    <w:rsid w:val="0091688E"/>
    <w:rsid w:val="00916F1E"/>
    <w:rsid w:val="00917458"/>
    <w:rsid w:val="00917CA8"/>
    <w:rsid w:val="009206CD"/>
    <w:rsid w:val="0092096D"/>
    <w:rsid w:val="00920975"/>
    <w:rsid w:val="009217B9"/>
    <w:rsid w:val="00921C79"/>
    <w:rsid w:val="00921D9C"/>
    <w:rsid w:val="00921E56"/>
    <w:rsid w:val="009221ED"/>
    <w:rsid w:val="0092259C"/>
    <w:rsid w:val="009228A9"/>
    <w:rsid w:val="009234E2"/>
    <w:rsid w:val="00923EDA"/>
    <w:rsid w:val="00926AD0"/>
    <w:rsid w:val="00926F12"/>
    <w:rsid w:val="009278EB"/>
    <w:rsid w:val="00927C90"/>
    <w:rsid w:val="00927DE3"/>
    <w:rsid w:val="00930591"/>
    <w:rsid w:val="00930609"/>
    <w:rsid w:val="00930B72"/>
    <w:rsid w:val="0093110E"/>
    <w:rsid w:val="0093122C"/>
    <w:rsid w:val="009316C7"/>
    <w:rsid w:val="0093196E"/>
    <w:rsid w:val="00931A58"/>
    <w:rsid w:val="00932113"/>
    <w:rsid w:val="00932670"/>
    <w:rsid w:val="00932AD7"/>
    <w:rsid w:val="00932AFD"/>
    <w:rsid w:val="00932DAC"/>
    <w:rsid w:val="00932E71"/>
    <w:rsid w:val="009332E0"/>
    <w:rsid w:val="0093397C"/>
    <w:rsid w:val="00934DE7"/>
    <w:rsid w:val="00935130"/>
    <w:rsid w:val="00935153"/>
    <w:rsid w:val="009352C5"/>
    <w:rsid w:val="00935534"/>
    <w:rsid w:val="0093562F"/>
    <w:rsid w:val="0093573A"/>
    <w:rsid w:val="00935929"/>
    <w:rsid w:val="009359EE"/>
    <w:rsid w:val="00935F61"/>
    <w:rsid w:val="009360BB"/>
    <w:rsid w:val="00936981"/>
    <w:rsid w:val="00936B1F"/>
    <w:rsid w:val="0093775C"/>
    <w:rsid w:val="00937887"/>
    <w:rsid w:val="009379F0"/>
    <w:rsid w:val="00937A67"/>
    <w:rsid w:val="00937BEC"/>
    <w:rsid w:val="0094055F"/>
    <w:rsid w:val="00940757"/>
    <w:rsid w:val="009415F9"/>
    <w:rsid w:val="00941A0C"/>
    <w:rsid w:val="00941A8A"/>
    <w:rsid w:val="00941FF5"/>
    <w:rsid w:val="00942B2E"/>
    <w:rsid w:val="00942DF0"/>
    <w:rsid w:val="00943238"/>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58"/>
    <w:rsid w:val="00946127"/>
    <w:rsid w:val="0094689D"/>
    <w:rsid w:val="00946907"/>
    <w:rsid w:val="0094690A"/>
    <w:rsid w:val="00947607"/>
    <w:rsid w:val="009477F9"/>
    <w:rsid w:val="009505EB"/>
    <w:rsid w:val="00950CAE"/>
    <w:rsid w:val="00951164"/>
    <w:rsid w:val="009512EC"/>
    <w:rsid w:val="00952E7D"/>
    <w:rsid w:val="0095315A"/>
    <w:rsid w:val="009534DD"/>
    <w:rsid w:val="009535C2"/>
    <w:rsid w:val="00953A73"/>
    <w:rsid w:val="00953B1B"/>
    <w:rsid w:val="00953C98"/>
    <w:rsid w:val="0095432C"/>
    <w:rsid w:val="00954BB2"/>
    <w:rsid w:val="00954D5A"/>
    <w:rsid w:val="009551A8"/>
    <w:rsid w:val="00955540"/>
    <w:rsid w:val="00955665"/>
    <w:rsid w:val="00955C1A"/>
    <w:rsid w:val="00956984"/>
    <w:rsid w:val="009569BE"/>
    <w:rsid w:val="009569E3"/>
    <w:rsid w:val="00956B6C"/>
    <w:rsid w:val="00957932"/>
    <w:rsid w:val="00957B5B"/>
    <w:rsid w:val="009601CB"/>
    <w:rsid w:val="0096059A"/>
    <w:rsid w:val="0096081E"/>
    <w:rsid w:val="00960C64"/>
    <w:rsid w:val="00960D39"/>
    <w:rsid w:val="00960F7E"/>
    <w:rsid w:val="009611A5"/>
    <w:rsid w:val="00961279"/>
    <w:rsid w:val="0096193B"/>
    <w:rsid w:val="00961B25"/>
    <w:rsid w:val="00961B7B"/>
    <w:rsid w:val="009622A5"/>
    <w:rsid w:val="0096267A"/>
    <w:rsid w:val="009629FE"/>
    <w:rsid w:val="00963188"/>
    <w:rsid w:val="00963240"/>
    <w:rsid w:val="00963957"/>
    <w:rsid w:val="00963B82"/>
    <w:rsid w:val="00964475"/>
    <w:rsid w:val="00964A6E"/>
    <w:rsid w:val="00964FB4"/>
    <w:rsid w:val="0096582E"/>
    <w:rsid w:val="00965C9A"/>
    <w:rsid w:val="00965DAE"/>
    <w:rsid w:val="00966006"/>
    <w:rsid w:val="009666BD"/>
    <w:rsid w:val="00966B91"/>
    <w:rsid w:val="00966BFB"/>
    <w:rsid w:val="00966FF8"/>
    <w:rsid w:val="0096749A"/>
    <w:rsid w:val="00967CDA"/>
    <w:rsid w:val="00967FBD"/>
    <w:rsid w:val="00970048"/>
    <w:rsid w:val="00971831"/>
    <w:rsid w:val="0097185A"/>
    <w:rsid w:val="00971CAF"/>
    <w:rsid w:val="00971F8D"/>
    <w:rsid w:val="0097216D"/>
    <w:rsid w:val="00972D8F"/>
    <w:rsid w:val="00973C2B"/>
    <w:rsid w:val="00974255"/>
    <w:rsid w:val="0097437B"/>
    <w:rsid w:val="0097441E"/>
    <w:rsid w:val="00975466"/>
    <w:rsid w:val="00975740"/>
    <w:rsid w:val="00975990"/>
    <w:rsid w:val="00975FB0"/>
    <w:rsid w:val="009762C7"/>
    <w:rsid w:val="0097670F"/>
    <w:rsid w:val="00976C61"/>
    <w:rsid w:val="0097710C"/>
    <w:rsid w:val="009803EC"/>
    <w:rsid w:val="00980DC7"/>
    <w:rsid w:val="00981215"/>
    <w:rsid w:val="009812AC"/>
    <w:rsid w:val="009812FC"/>
    <w:rsid w:val="009813BF"/>
    <w:rsid w:val="009816E3"/>
    <w:rsid w:val="009819CD"/>
    <w:rsid w:val="00981AC2"/>
    <w:rsid w:val="00982032"/>
    <w:rsid w:val="009824DD"/>
    <w:rsid w:val="00982C0D"/>
    <w:rsid w:val="009834ED"/>
    <w:rsid w:val="00983D98"/>
    <w:rsid w:val="009844B4"/>
    <w:rsid w:val="0098453B"/>
    <w:rsid w:val="0098461D"/>
    <w:rsid w:val="009849BE"/>
    <w:rsid w:val="00984B0E"/>
    <w:rsid w:val="00984BB9"/>
    <w:rsid w:val="00984D82"/>
    <w:rsid w:val="0098572B"/>
    <w:rsid w:val="00985CDA"/>
    <w:rsid w:val="0098603A"/>
    <w:rsid w:val="00986137"/>
    <w:rsid w:val="00986B96"/>
    <w:rsid w:val="0098740B"/>
    <w:rsid w:val="00987506"/>
    <w:rsid w:val="00987512"/>
    <w:rsid w:val="00987C6F"/>
    <w:rsid w:val="00990117"/>
    <w:rsid w:val="0099018C"/>
    <w:rsid w:val="00990708"/>
    <w:rsid w:val="00990718"/>
    <w:rsid w:val="00990C3D"/>
    <w:rsid w:val="009914A3"/>
    <w:rsid w:val="0099199D"/>
    <w:rsid w:val="00991B9A"/>
    <w:rsid w:val="00992205"/>
    <w:rsid w:val="0099238D"/>
    <w:rsid w:val="0099242C"/>
    <w:rsid w:val="00992837"/>
    <w:rsid w:val="00992A01"/>
    <w:rsid w:val="00993499"/>
    <w:rsid w:val="009934DB"/>
    <w:rsid w:val="009939CB"/>
    <w:rsid w:val="00993D95"/>
    <w:rsid w:val="00994409"/>
    <w:rsid w:val="009945C0"/>
    <w:rsid w:val="009948FE"/>
    <w:rsid w:val="009949AE"/>
    <w:rsid w:val="00994D20"/>
    <w:rsid w:val="00994D3D"/>
    <w:rsid w:val="00995267"/>
    <w:rsid w:val="009952F4"/>
    <w:rsid w:val="00995756"/>
    <w:rsid w:val="00995B58"/>
    <w:rsid w:val="00995B8C"/>
    <w:rsid w:val="00995E08"/>
    <w:rsid w:val="00996468"/>
    <w:rsid w:val="00996554"/>
    <w:rsid w:val="009966AD"/>
    <w:rsid w:val="009967AF"/>
    <w:rsid w:val="00997125"/>
    <w:rsid w:val="00997F39"/>
    <w:rsid w:val="009A0208"/>
    <w:rsid w:val="009A03AC"/>
    <w:rsid w:val="009A0B05"/>
    <w:rsid w:val="009A0BE4"/>
    <w:rsid w:val="009A0C34"/>
    <w:rsid w:val="009A1089"/>
    <w:rsid w:val="009A1B80"/>
    <w:rsid w:val="009A1D3F"/>
    <w:rsid w:val="009A1F44"/>
    <w:rsid w:val="009A21EE"/>
    <w:rsid w:val="009A24A0"/>
    <w:rsid w:val="009A253B"/>
    <w:rsid w:val="009A3205"/>
    <w:rsid w:val="009A346F"/>
    <w:rsid w:val="009A3C6E"/>
    <w:rsid w:val="009A3CC7"/>
    <w:rsid w:val="009A3DA2"/>
    <w:rsid w:val="009A49BD"/>
    <w:rsid w:val="009A4E70"/>
    <w:rsid w:val="009A640C"/>
    <w:rsid w:val="009A671A"/>
    <w:rsid w:val="009A6A04"/>
    <w:rsid w:val="009A6A34"/>
    <w:rsid w:val="009A78A6"/>
    <w:rsid w:val="009A7BB0"/>
    <w:rsid w:val="009B01AE"/>
    <w:rsid w:val="009B04F2"/>
    <w:rsid w:val="009B0A43"/>
    <w:rsid w:val="009B0EAE"/>
    <w:rsid w:val="009B123D"/>
    <w:rsid w:val="009B12D4"/>
    <w:rsid w:val="009B1C1B"/>
    <w:rsid w:val="009B1E55"/>
    <w:rsid w:val="009B1FF8"/>
    <w:rsid w:val="009B22AC"/>
    <w:rsid w:val="009B23BE"/>
    <w:rsid w:val="009B35B9"/>
    <w:rsid w:val="009B35BF"/>
    <w:rsid w:val="009B422A"/>
    <w:rsid w:val="009B4C28"/>
    <w:rsid w:val="009B4C3E"/>
    <w:rsid w:val="009B4D2F"/>
    <w:rsid w:val="009B5038"/>
    <w:rsid w:val="009B56BE"/>
    <w:rsid w:val="009B573C"/>
    <w:rsid w:val="009B582F"/>
    <w:rsid w:val="009B5C8F"/>
    <w:rsid w:val="009B6071"/>
    <w:rsid w:val="009B65D5"/>
    <w:rsid w:val="009B6E0F"/>
    <w:rsid w:val="009B6EF9"/>
    <w:rsid w:val="009B7356"/>
    <w:rsid w:val="009B78A7"/>
    <w:rsid w:val="009B7A8A"/>
    <w:rsid w:val="009C03A2"/>
    <w:rsid w:val="009C099B"/>
    <w:rsid w:val="009C0B86"/>
    <w:rsid w:val="009C113F"/>
    <w:rsid w:val="009C1832"/>
    <w:rsid w:val="009C1978"/>
    <w:rsid w:val="009C1ADB"/>
    <w:rsid w:val="009C353A"/>
    <w:rsid w:val="009C3599"/>
    <w:rsid w:val="009C36D1"/>
    <w:rsid w:val="009C37BF"/>
    <w:rsid w:val="009C398A"/>
    <w:rsid w:val="009C39D9"/>
    <w:rsid w:val="009C407C"/>
    <w:rsid w:val="009C4676"/>
    <w:rsid w:val="009C4684"/>
    <w:rsid w:val="009C4ADF"/>
    <w:rsid w:val="009C5263"/>
    <w:rsid w:val="009C576C"/>
    <w:rsid w:val="009C5BB9"/>
    <w:rsid w:val="009C5FC3"/>
    <w:rsid w:val="009C60E9"/>
    <w:rsid w:val="009C6629"/>
    <w:rsid w:val="009C7896"/>
    <w:rsid w:val="009C79FD"/>
    <w:rsid w:val="009C7E85"/>
    <w:rsid w:val="009D014A"/>
    <w:rsid w:val="009D0530"/>
    <w:rsid w:val="009D0C23"/>
    <w:rsid w:val="009D0CF4"/>
    <w:rsid w:val="009D0D52"/>
    <w:rsid w:val="009D140A"/>
    <w:rsid w:val="009D16C5"/>
    <w:rsid w:val="009D1A74"/>
    <w:rsid w:val="009D1C65"/>
    <w:rsid w:val="009D2B87"/>
    <w:rsid w:val="009D2C76"/>
    <w:rsid w:val="009D2CDC"/>
    <w:rsid w:val="009D3079"/>
    <w:rsid w:val="009D313C"/>
    <w:rsid w:val="009D39E1"/>
    <w:rsid w:val="009D3D90"/>
    <w:rsid w:val="009D4060"/>
    <w:rsid w:val="009D43C4"/>
    <w:rsid w:val="009D4831"/>
    <w:rsid w:val="009D4AF8"/>
    <w:rsid w:val="009D4C5D"/>
    <w:rsid w:val="009D5B6B"/>
    <w:rsid w:val="009D645F"/>
    <w:rsid w:val="009D6D3F"/>
    <w:rsid w:val="009D7410"/>
    <w:rsid w:val="009D7601"/>
    <w:rsid w:val="009D7622"/>
    <w:rsid w:val="009E055D"/>
    <w:rsid w:val="009E09DF"/>
    <w:rsid w:val="009E0BE2"/>
    <w:rsid w:val="009E0D0F"/>
    <w:rsid w:val="009E137C"/>
    <w:rsid w:val="009E188B"/>
    <w:rsid w:val="009E1908"/>
    <w:rsid w:val="009E1A9B"/>
    <w:rsid w:val="009E2463"/>
    <w:rsid w:val="009E262E"/>
    <w:rsid w:val="009E2B4C"/>
    <w:rsid w:val="009E2C55"/>
    <w:rsid w:val="009E2E3F"/>
    <w:rsid w:val="009E2FAC"/>
    <w:rsid w:val="009E44A4"/>
    <w:rsid w:val="009E4A34"/>
    <w:rsid w:val="009E4E3B"/>
    <w:rsid w:val="009E59F4"/>
    <w:rsid w:val="009E5DD3"/>
    <w:rsid w:val="009E5EDA"/>
    <w:rsid w:val="009E61B0"/>
    <w:rsid w:val="009E622E"/>
    <w:rsid w:val="009E6387"/>
    <w:rsid w:val="009E63F0"/>
    <w:rsid w:val="009E7209"/>
    <w:rsid w:val="009E760A"/>
    <w:rsid w:val="009E7BCD"/>
    <w:rsid w:val="009E7BFC"/>
    <w:rsid w:val="009E7CC4"/>
    <w:rsid w:val="009F012F"/>
    <w:rsid w:val="009F0217"/>
    <w:rsid w:val="009F05AC"/>
    <w:rsid w:val="009F0707"/>
    <w:rsid w:val="009F086C"/>
    <w:rsid w:val="009F09BE"/>
    <w:rsid w:val="009F1191"/>
    <w:rsid w:val="009F1443"/>
    <w:rsid w:val="009F1448"/>
    <w:rsid w:val="009F1778"/>
    <w:rsid w:val="009F1949"/>
    <w:rsid w:val="009F1EEE"/>
    <w:rsid w:val="009F1F3F"/>
    <w:rsid w:val="009F2131"/>
    <w:rsid w:val="009F239C"/>
    <w:rsid w:val="009F274F"/>
    <w:rsid w:val="009F2E88"/>
    <w:rsid w:val="009F39A1"/>
    <w:rsid w:val="009F3CF2"/>
    <w:rsid w:val="009F3FE4"/>
    <w:rsid w:val="009F43DD"/>
    <w:rsid w:val="009F4825"/>
    <w:rsid w:val="009F49FF"/>
    <w:rsid w:val="009F583E"/>
    <w:rsid w:val="009F5CE6"/>
    <w:rsid w:val="009F60E0"/>
    <w:rsid w:val="009F68A3"/>
    <w:rsid w:val="009F6B75"/>
    <w:rsid w:val="009F6F3D"/>
    <w:rsid w:val="009F71FD"/>
    <w:rsid w:val="009F74DB"/>
    <w:rsid w:val="009F77DF"/>
    <w:rsid w:val="009F7813"/>
    <w:rsid w:val="009F7930"/>
    <w:rsid w:val="009F7F8E"/>
    <w:rsid w:val="00A00221"/>
    <w:rsid w:val="00A00437"/>
    <w:rsid w:val="00A00792"/>
    <w:rsid w:val="00A00BCB"/>
    <w:rsid w:val="00A00DDA"/>
    <w:rsid w:val="00A01385"/>
    <w:rsid w:val="00A01A18"/>
    <w:rsid w:val="00A01B9D"/>
    <w:rsid w:val="00A0201C"/>
    <w:rsid w:val="00A02C0A"/>
    <w:rsid w:val="00A03068"/>
    <w:rsid w:val="00A03652"/>
    <w:rsid w:val="00A03A2A"/>
    <w:rsid w:val="00A03E4B"/>
    <w:rsid w:val="00A047DA"/>
    <w:rsid w:val="00A0480E"/>
    <w:rsid w:val="00A04844"/>
    <w:rsid w:val="00A04982"/>
    <w:rsid w:val="00A05073"/>
    <w:rsid w:val="00A051EA"/>
    <w:rsid w:val="00A05375"/>
    <w:rsid w:val="00A05CA6"/>
    <w:rsid w:val="00A05CF4"/>
    <w:rsid w:val="00A06990"/>
    <w:rsid w:val="00A06ED8"/>
    <w:rsid w:val="00A06F9D"/>
    <w:rsid w:val="00A0738D"/>
    <w:rsid w:val="00A07570"/>
    <w:rsid w:val="00A100F8"/>
    <w:rsid w:val="00A10103"/>
    <w:rsid w:val="00A1054B"/>
    <w:rsid w:val="00A10BC9"/>
    <w:rsid w:val="00A11137"/>
    <w:rsid w:val="00A111EA"/>
    <w:rsid w:val="00A1135E"/>
    <w:rsid w:val="00A11447"/>
    <w:rsid w:val="00A11555"/>
    <w:rsid w:val="00A11B67"/>
    <w:rsid w:val="00A11D49"/>
    <w:rsid w:val="00A11DEE"/>
    <w:rsid w:val="00A120EE"/>
    <w:rsid w:val="00A12A38"/>
    <w:rsid w:val="00A12A97"/>
    <w:rsid w:val="00A12B28"/>
    <w:rsid w:val="00A1374B"/>
    <w:rsid w:val="00A13EAB"/>
    <w:rsid w:val="00A15545"/>
    <w:rsid w:val="00A1602B"/>
    <w:rsid w:val="00A162DF"/>
    <w:rsid w:val="00A16324"/>
    <w:rsid w:val="00A17013"/>
    <w:rsid w:val="00A1757D"/>
    <w:rsid w:val="00A17AF1"/>
    <w:rsid w:val="00A17B4D"/>
    <w:rsid w:val="00A17B91"/>
    <w:rsid w:val="00A17FCB"/>
    <w:rsid w:val="00A20220"/>
    <w:rsid w:val="00A2055E"/>
    <w:rsid w:val="00A20CAE"/>
    <w:rsid w:val="00A21676"/>
    <w:rsid w:val="00A21C7C"/>
    <w:rsid w:val="00A225DB"/>
    <w:rsid w:val="00A23269"/>
    <w:rsid w:val="00A23DCC"/>
    <w:rsid w:val="00A23F95"/>
    <w:rsid w:val="00A24090"/>
    <w:rsid w:val="00A24C51"/>
    <w:rsid w:val="00A252CA"/>
    <w:rsid w:val="00A252DC"/>
    <w:rsid w:val="00A256A9"/>
    <w:rsid w:val="00A25A23"/>
    <w:rsid w:val="00A25E6E"/>
    <w:rsid w:val="00A26159"/>
    <w:rsid w:val="00A2627C"/>
    <w:rsid w:val="00A26462"/>
    <w:rsid w:val="00A26700"/>
    <w:rsid w:val="00A26B21"/>
    <w:rsid w:val="00A274E2"/>
    <w:rsid w:val="00A27542"/>
    <w:rsid w:val="00A27A34"/>
    <w:rsid w:val="00A27BE4"/>
    <w:rsid w:val="00A30B97"/>
    <w:rsid w:val="00A31193"/>
    <w:rsid w:val="00A312FC"/>
    <w:rsid w:val="00A3170B"/>
    <w:rsid w:val="00A31F9A"/>
    <w:rsid w:val="00A31FF4"/>
    <w:rsid w:val="00A32429"/>
    <w:rsid w:val="00A3288D"/>
    <w:rsid w:val="00A3307A"/>
    <w:rsid w:val="00A33111"/>
    <w:rsid w:val="00A33A21"/>
    <w:rsid w:val="00A34BDA"/>
    <w:rsid w:val="00A358DC"/>
    <w:rsid w:val="00A362FE"/>
    <w:rsid w:val="00A36EC0"/>
    <w:rsid w:val="00A37357"/>
    <w:rsid w:val="00A374BC"/>
    <w:rsid w:val="00A375B5"/>
    <w:rsid w:val="00A37719"/>
    <w:rsid w:val="00A377F2"/>
    <w:rsid w:val="00A40089"/>
    <w:rsid w:val="00A40459"/>
    <w:rsid w:val="00A408A1"/>
    <w:rsid w:val="00A4164A"/>
    <w:rsid w:val="00A41C3D"/>
    <w:rsid w:val="00A41F2E"/>
    <w:rsid w:val="00A432A0"/>
    <w:rsid w:val="00A4354B"/>
    <w:rsid w:val="00A43A5C"/>
    <w:rsid w:val="00A43F0A"/>
    <w:rsid w:val="00A43FF9"/>
    <w:rsid w:val="00A44220"/>
    <w:rsid w:val="00A45207"/>
    <w:rsid w:val="00A457C1"/>
    <w:rsid w:val="00A45944"/>
    <w:rsid w:val="00A46305"/>
    <w:rsid w:val="00A465E9"/>
    <w:rsid w:val="00A468F2"/>
    <w:rsid w:val="00A46A4B"/>
    <w:rsid w:val="00A470C6"/>
    <w:rsid w:val="00A473C7"/>
    <w:rsid w:val="00A47774"/>
    <w:rsid w:val="00A47BC1"/>
    <w:rsid w:val="00A5077D"/>
    <w:rsid w:val="00A50899"/>
    <w:rsid w:val="00A50C78"/>
    <w:rsid w:val="00A50D1E"/>
    <w:rsid w:val="00A51049"/>
    <w:rsid w:val="00A51084"/>
    <w:rsid w:val="00A512A2"/>
    <w:rsid w:val="00A5175F"/>
    <w:rsid w:val="00A51875"/>
    <w:rsid w:val="00A51879"/>
    <w:rsid w:val="00A518F7"/>
    <w:rsid w:val="00A51996"/>
    <w:rsid w:val="00A51A4B"/>
    <w:rsid w:val="00A5216F"/>
    <w:rsid w:val="00A52254"/>
    <w:rsid w:val="00A52401"/>
    <w:rsid w:val="00A5287D"/>
    <w:rsid w:val="00A529D4"/>
    <w:rsid w:val="00A52D7C"/>
    <w:rsid w:val="00A54C42"/>
    <w:rsid w:val="00A550F7"/>
    <w:rsid w:val="00A55BF7"/>
    <w:rsid w:val="00A562BE"/>
    <w:rsid w:val="00A568ED"/>
    <w:rsid w:val="00A56A4F"/>
    <w:rsid w:val="00A56AAE"/>
    <w:rsid w:val="00A56DDE"/>
    <w:rsid w:val="00A5746C"/>
    <w:rsid w:val="00A5773B"/>
    <w:rsid w:val="00A5787F"/>
    <w:rsid w:val="00A57C06"/>
    <w:rsid w:val="00A57E73"/>
    <w:rsid w:val="00A600F7"/>
    <w:rsid w:val="00A601FA"/>
    <w:rsid w:val="00A60436"/>
    <w:rsid w:val="00A6052E"/>
    <w:rsid w:val="00A60601"/>
    <w:rsid w:val="00A607D9"/>
    <w:rsid w:val="00A60C3A"/>
    <w:rsid w:val="00A6104C"/>
    <w:rsid w:val="00A61C35"/>
    <w:rsid w:val="00A621B7"/>
    <w:rsid w:val="00A62DC7"/>
    <w:rsid w:val="00A63037"/>
    <w:rsid w:val="00A6323E"/>
    <w:rsid w:val="00A63277"/>
    <w:rsid w:val="00A638B4"/>
    <w:rsid w:val="00A63AF3"/>
    <w:rsid w:val="00A63C03"/>
    <w:rsid w:val="00A64173"/>
    <w:rsid w:val="00A6419E"/>
    <w:rsid w:val="00A64E32"/>
    <w:rsid w:val="00A64E8C"/>
    <w:rsid w:val="00A64EF8"/>
    <w:rsid w:val="00A65366"/>
    <w:rsid w:val="00A65CE4"/>
    <w:rsid w:val="00A65E01"/>
    <w:rsid w:val="00A6619D"/>
    <w:rsid w:val="00A66203"/>
    <w:rsid w:val="00A664B6"/>
    <w:rsid w:val="00A6677B"/>
    <w:rsid w:val="00A66B3F"/>
    <w:rsid w:val="00A66CE9"/>
    <w:rsid w:val="00A67D1C"/>
    <w:rsid w:val="00A67F0E"/>
    <w:rsid w:val="00A702BB"/>
    <w:rsid w:val="00A70BB5"/>
    <w:rsid w:val="00A70C67"/>
    <w:rsid w:val="00A70F1D"/>
    <w:rsid w:val="00A70FB9"/>
    <w:rsid w:val="00A70FE6"/>
    <w:rsid w:val="00A710AC"/>
    <w:rsid w:val="00A714AD"/>
    <w:rsid w:val="00A7177F"/>
    <w:rsid w:val="00A717AD"/>
    <w:rsid w:val="00A7186E"/>
    <w:rsid w:val="00A71CBF"/>
    <w:rsid w:val="00A71FC9"/>
    <w:rsid w:val="00A725DB"/>
    <w:rsid w:val="00A72980"/>
    <w:rsid w:val="00A729FA"/>
    <w:rsid w:val="00A72C03"/>
    <w:rsid w:val="00A733FB"/>
    <w:rsid w:val="00A73738"/>
    <w:rsid w:val="00A73D7C"/>
    <w:rsid w:val="00A73E8F"/>
    <w:rsid w:val="00A747DC"/>
    <w:rsid w:val="00A74A82"/>
    <w:rsid w:val="00A74D3F"/>
    <w:rsid w:val="00A74D4E"/>
    <w:rsid w:val="00A74DFA"/>
    <w:rsid w:val="00A752A2"/>
    <w:rsid w:val="00A753BD"/>
    <w:rsid w:val="00A761EE"/>
    <w:rsid w:val="00A766DD"/>
    <w:rsid w:val="00A76A99"/>
    <w:rsid w:val="00A76B33"/>
    <w:rsid w:val="00A76FA4"/>
    <w:rsid w:val="00A771A7"/>
    <w:rsid w:val="00A777C4"/>
    <w:rsid w:val="00A77933"/>
    <w:rsid w:val="00A77F98"/>
    <w:rsid w:val="00A77FCB"/>
    <w:rsid w:val="00A80559"/>
    <w:rsid w:val="00A80813"/>
    <w:rsid w:val="00A80EA4"/>
    <w:rsid w:val="00A8115F"/>
    <w:rsid w:val="00A819DD"/>
    <w:rsid w:val="00A81C95"/>
    <w:rsid w:val="00A81DE0"/>
    <w:rsid w:val="00A81F01"/>
    <w:rsid w:val="00A82D4D"/>
    <w:rsid w:val="00A830D3"/>
    <w:rsid w:val="00A83A16"/>
    <w:rsid w:val="00A83CA5"/>
    <w:rsid w:val="00A83DCF"/>
    <w:rsid w:val="00A84336"/>
    <w:rsid w:val="00A84863"/>
    <w:rsid w:val="00A84EAD"/>
    <w:rsid w:val="00A84EBD"/>
    <w:rsid w:val="00A84EDD"/>
    <w:rsid w:val="00A84F34"/>
    <w:rsid w:val="00A8538C"/>
    <w:rsid w:val="00A8620E"/>
    <w:rsid w:val="00A864E9"/>
    <w:rsid w:val="00A86521"/>
    <w:rsid w:val="00A86AC3"/>
    <w:rsid w:val="00A86CC9"/>
    <w:rsid w:val="00A8730E"/>
    <w:rsid w:val="00A8749C"/>
    <w:rsid w:val="00A87673"/>
    <w:rsid w:val="00A87906"/>
    <w:rsid w:val="00A87958"/>
    <w:rsid w:val="00A87E75"/>
    <w:rsid w:val="00A87E9E"/>
    <w:rsid w:val="00A901BE"/>
    <w:rsid w:val="00A904E2"/>
    <w:rsid w:val="00A90D2E"/>
    <w:rsid w:val="00A912E7"/>
    <w:rsid w:val="00A91B6C"/>
    <w:rsid w:val="00A91E97"/>
    <w:rsid w:val="00A92BCF"/>
    <w:rsid w:val="00A92E80"/>
    <w:rsid w:val="00A93095"/>
    <w:rsid w:val="00A93309"/>
    <w:rsid w:val="00A9382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A1C"/>
    <w:rsid w:val="00A97616"/>
    <w:rsid w:val="00A97AC3"/>
    <w:rsid w:val="00AA0125"/>
    <w:rsid w:val="00AA0297"/>
    <w:rsid w:val="00AA170D"/>
    <w:rsid w:val="00AA19A6"/>
    <w:rsid w:val="00AA1AED"/>
    <w:rsid w:val="00AA1EE1"/>
    <w:rsid w:val="00AA20B1"/>
    <w:rsid w:val="00AA25BA"/>
    <w:rsid w:val="00AA262E"/>
    <w:rsid w:val="00AA2BA2"/>
    <w:rsid w:val="00AA2C89"/>
    <w:rsid w:val="00AA3451"/>
    <w:rsid w:val="00AA3902"/>
    <w:rsid w:val="00AA3C1A"/>
    <w:rsid w:val="00AA43BD"/>
    <w:rsid w:val="00AA46E6"/>
    <w:rsid w:val="00AA48B6"/>
    <w:rsid w:val="00AA48C1"/>
    <w:rsid w:val="00AA5EC1"/>
    <w:rsid w:val="00AA60A4"/>
    <w:rsid w:val="00AA6AB5"/>
    <w:rsid w:val="00AA714D"/>
    <w:rsid w:val="00AA73A8"/>
    <w:rsid w:val="00AA7ADF"/>
    <w:rsid w:val="00AA7C13"/>
    <w:rsid w:val="00AA7E0A"/>
    <w:rsid w:val="00AB006F"/>
    <w:rsid w:val="00AB0BEA"/>
    <w:rsid w:val="00AB1A9F"/>
    <w:rsid w:val="00AB200F"/>
    <w:rsid w:val="00AB3037"/>
    <w:rsid w:val="00AB3184"/>
    <w:rsid w:val="00AB33CF"/>
    <w:rsid w:val="00AB33F9"/>
    <w:rsid w:val="00AB35B0"/>
    <w:rsid w:val="00AB3CEC"/>
    <w:rsid w:val="00AB3E8B"/>
    <w:rsid w:val="00AB4AFF"/>
    <w:rsid w:val="00AB537C"/>
    <w:rsid w:val="00AB5887"/>
    <w:rsid w:val="00AB5B81"/>
    <w:rsid w:val="00AB5C13"/>
    <w:rsid w:val="00AB5D24"/>
    <w:rsid w:val="00AB617F"/>
    <w:rsid w:val="00AB6276"/>
    <w:rsid w:val="00AB64E5"/>
    <w:rsid w:val="00AB65F3"/>
    <w:rsid w:val="00AB6C31"/>
    <w:rsid w:val="00AB7213"/>
    <w:rsid w:val="00AB7442"/>
    <w:rsid w:val="00AB74CF"/>
    <w:rsid w:val="00AC0717"/>
    <w:rsid w:val="00AC0F8F"/>
    <w:rsid w:val="00AC1226"/>
    <w:rsid w:val="00AC1481"/>
    <w:rsid w:val="00AC1686"/>
    <w:rsid w:val="00AC179A"/>
    <w:rsid w:val="00AC18EF"/>
    <w:rsid w:val="00AC24F6"/>
    <w:rsid w:val="00AC299E"/>
    <w:rsid w:val="00AC2A54"/>
    <w:rsid w:val="00AC2CAF"/>
    <w:rsid w:val="00AC598F"/>
    <w:rsid w:val="00AC5C6A"/>
    <w:rsid w:val="00AC635D"/>
    <w:rsid w:val="00AC6484"/>
    <w:rsid w:val="00AC65AF"/>
    <w:rsid w:val="00AC679E"/>
    <w:rsid w:val="00AC7052"/>
    <w:rsid w:val="00AC7703"/>
    <w:rsid w:val="00AC7E57"/>
    <w:rsid w:val="00AD00CD"/>
    <w:rsid w:val="00AD0558"/>
    <w:rsid w:val="00AD10E5"/>
    <w:rsid w:val="00AD13A8"/>
    <w:rsid w:val="00AD1A75"/>
    <w:rsid w:val="00AD1FF4"/>
    <w:rsid w:val="00AD21D6"/>
    <w:rsid w:val="00AD23CC"/>
    <w:rsid w:val="00AD2479"/>
    <w:rsid w:val="00AD248F"/>
    <w:rsid w:val="00AD31EC"/>
    <w:rsid w:val="00AD32BE"/>
    <w:rsid w:val="00AD35A4"/>
    <w:rsid w:val="00AD37F0"/>
    <w:rsid w:val="00AD3C2A"/>
    <w:rsid w:val="00AD3E6B"/>
    <w:rsid w:val="00AD4028"/>
    <w:rsid w:val="00AD4379"/>
    <w:rsid w:val="00AD4652"/>
    <w:rsid w:val="00AD4A21"/>
    <w:rsid w:val="00AD4DAE"/>
    <w:rsid w:val="00AD580F"/>
    <w:rsid w:val="00AD59D8"/>
    <w:rsid w:val="00AD5D1F"/>
    <w:rsid w:val="00AD5D9A"/>
    <w:rsid w:val="00AD5E26"/>
    <w:rsid w:val="00AD6676"/>
    <w:rsid w:val="00AD66A7"/>
    <w:rsid w:val="00AD6833"/>
    <w:rsid w:val="00AD6D41"/>
    <w:rsid w:val="00AD715B"/>
    <w:rsid w:val="00AD7356"/>
    <w:rsid w:val="00AD77FA"/>
    <w:rsid w:val="00AE06F7"/>
    <w:rsid w:val="00AE0914"/>
    <w:rsid w:val="00AE0E20"/>
    <w:rsid w:val="00AE1220"/>
    <w:rsid w:val="00AE14B9"/>
    <w:rsid w:val="00AE1923"/>
    <w:rsid w:val="00AE1935"/>
    <w:rsid w:val="00AE1CFC"/>
    <w:rsid w:val="00AE1D4C"/>
    <w:rsid w:val="00AE23AB"/>
    <w:rsid w:val="00AE252A"/>
    <w:rsid w:val="00AE29AA"/>
    <w:rsid w:val="00AE329C"/>
    <w:rsid w:val="00AE3D0F"/>
    <w:rsid w:val="00AE3EC3"/>
    <w:rsid w:val="00AE4513"/>
    <w:rsid w:val="00AE48A4"/>
    <w:rsid w:val="00AE4D24"/>
    <w:rsid w:val="00AE4F38"/>
    <w:rsid w:val="00AE507F"/>
    <w:rsid w:val="00AE521A"/>
    <w:rsid w:val="00AE5749"/>
    <w:rsid w:val="00AE5AEC"/>
    <w:rsid w:val="00AE600B"/>
    <w:rsid w:val="00AE6602"/>
    <w:rsid w:val="00AE6873"/>
    <w:rsid w:val="00AE6D21"/>
    <w:rsid w:val="00AE6D50"/>
    <w:rsid w:val="00AE7F9B"/>
    <w:rsid w:val="00AF0007"/>
    <w:rsid w:val="00AF03AA"/>
    <w:rsid w:val="00AF0D9E"/>
    <w:rsid w:val="00AF106D"/>
    <w:rsid w:val="00AF1099"/>
    <w:rsid w:val="00AF1DE2"/>
    <w:rsid w:val="00AF278C"/>
    <w:rsid w:val="00AF2806"/>
    <w:rsid w:val="00AF34EA"/>
    <w:rsid w:val="00AF362D"/>
    <w:rsid w:val="00AF406C"/>
    <w:rsid w:val="00AF428A"/>
    <w:rsid w:val="00AF498E"/>
    <w:rsid w:val="00AF49D2"/>
    <w:rsid w:val="00AF4AA9"/>
    <w:rsid w:val="00AF4AF0"/>
    <w:rsid w:val="00AF4E90"/>
    <w:rsid w:val="00AF4FDE"/>
    <w:rsid w:val="00AF5391"/>
    <w:rsid w:val="00AF5912"/>
    <w:rsid w:val="00AF5D8B"/>
    <w:rsid w:val="00AF698E"/>
    <w:rsid w:val="00AF6A75"/>
    <w:rsid w:val="00AF6EE6"/>
    <w:rsid w:val="00AF7341"/>
    <w:rsid w:val="00AF7555"/>
    <w:rsid w:val="00AF7CBE"/>
    <w:rsid w:val="00B0063B"/>
    <w:rsid w:val="00B00A76"/>
    <w:rsid w:val="00B00EA1"/>
    <w:rsid w:val="00B00F17"/>
    <w:rsid w:val="00B0133A"/>
    <w:rsid w:val="00B01DB9"/>
    <w:rsid w:val="00B01E36"/>
    <w:rsid w:val="00B025A1"/>
    <w:rsid w:val="00B0264A"/>
    <w:rsid w:val="00B02693"/>
    <w:rsid w:val="00B03DEE"/>
    <w:rsid w:val="00B04053"/>
    <w:rsid w:val="00B04C10"/>
    <w:rsid w:val="00B04D6B"/>
    <w:rsid w:val="00B051DD"/>
    <w:rsid w:val="00B0575B"/>
    <w:rsid w:val="00B0666D"/>
    <w:rsid w:val="00B068E4"/>
    <w:rsid w:val="00B068FF"/>
    <w:rsid w:val="00B069DE"/>
    <w:rsid w:val="00B06A46"/>
    <w:rsid w:val="00B074DD"/>
    <w:rsid w:val="00B078AE"/>
    <w:rsid w:val="00B10279"/>
    <w:rsid w:val="00B1063A"/>
    <w:rsid w:val="00B10802"/>
    <w:rsid w:val="00B10E88"/>
    <w:rsid w:val="00B1147E"/>
    <w:rsid w:val="00B115ED"/>
    <w:rsid w:val="00B117CB"/>
    <w:rsid w:val="00B117D7"/>
    <w:rsid w:val="00B11E1F"/>
    <w:rsid w:val="00B12047"/>
    <w:rsid w:val="00B126DA"/>
    <w:rsid w:val="00B12732"/>
    <w:rsid w:val="00B12859"/>
    <w:rsid w:val="00B12E82"/>
    <w:rsid w:val="00B12FD8"/>
    <w:rsid w:val="00B13785"/>
    <w:rsid w:val="00B13B16"/>
    <w:rsid w:val="00B13B8E"/>
    <w:rsid w:val="00B13BC6"/>
    <w:rsid w:val="00B142E0"/>
    <w:rsid w:val="00B15237"/>
    <w:rsid w:val="00B156A9"/>
    <w:rsid w:val="00B15E04"/>
    <w:rsid w:val="00B16360"/>
    <w:rsid w:val="00B166F6"/>
    <w:rsid w:val="00B2074F"/>
    <w:rsid w:val="00B20D7C"/>
    <w:rsid w:val="00B210CC"/>
    <w:rsid w:val="00B21E4C"/>
    <w:rsid w:val="00B22475"/>
    <w:rsid w:val="00B231BC"/>
    <w:rsid w:val="00B23573"/>
    <w:rsid w:val="00B23ABE"/>
    <w:rsid w:val="00B23B67"/>
    <w:rsid w:val="00B23E6A"/>
    <w:rsid w:val="00B23F6D"/>
    <w:rsid w:val="00B24B78"/>
    <w:rsid w:val="00B26797"/>
    <w:rsid w:val="00B26C98"/>
    <w:rsid w:val="00B26E4F"/>
    <w:rsid w:val="00B27027"/>
    <w:rsid w:val="00B271E8"/>
    <w:rsid w:val="00B275D8"/>
    <w:rsid w:val="00B27981"/>
    <w:rsid w:val="00B27B3E"/>
    <w:rsid w:val="00B3007E"/>
    <w:rsid w:val="00B300C3"/>
    <w:rsid w:val="00B3135E"/>
    <w:rsid w:val="00B313F6"/>
    <w:rsid w:val="00B314BB"/>
    <w:rsid w:val="00B31DC7"/>
    <w:rsid w:val="00B31E63"/>
    <w:rsid w:val="00B32506"/>
    <w:rsid w:val="00B32CCD"/>
    <w:rsid w:val="00B32EA4"/>
    <w:rsid w:val="00B32F66"/>
    <w:rsid w:val="00B33678"/>
    <w:rsid w:val="00B33CE9"/>
    <w:rsid w:val="00B33E58"/>
    <w:rsid w:val="00B33FD6"/>
    <w:rsid w:val="00B3407B"/>
    <w:rsid w:val="00B340B5"/>
    <w:rsid w:val="00B348D2"/>
    <w:rsid w:val="00B34AFD"/>
    <w:rsid w:val="00B34CAA"/>
    <w:rsid w:val="00B3512D"/>
    <w:rsid w:val="00B354E2"/>
    <w:rsid w:val="00B358C1"/>
    <w:rsid w:val="00B35C85"/>
    <w:rsid w:val="00B361AC"/>
    <w:rsid w:val="00B36705"/>
    <w:rsid w:val="00B36B2F"/>
    <w:rsid w:val="00B37073"/>
    <w:rsid w:val="00B371B2"/>
    <w:rsid w:val="00B37391"/>
    <w:rsid w:val="00B37D98"/>
    <w:rsid w:val="00B40037"/>
    <w:rsid w:val="00B4141C"/>
    <w:rsid w:val="00B414E0"/>
    <w:rsid w:val="00B41861"/>
    <w:rsid w:val="00B41A1A"/>
    <w:rsid w:val="00B41D7E"/>
    <w:rsid w:val="00B42107"/>
    <w:rsid w:val="00B427F8"/>
    <w:rsid w:val="00B42B60"/>
    <w:rsid w:val="00B439E2"/>
    <w:rsid w:val="00B43A1C"/>
    <w:rsid w:val="00B43F14"/>
    <w:rsid w:val="00B440D1"/>
    <w:rsid w:val="00B443DF"/>
    <w:rsid w:val="00B443F0"/>
    <w:rsid w:val="00B4492B"/>
    <w:rsid w:val="00B44A28"/>
    <w:rsid w:val="00B453BC"/>
    <w:rsid w:val="00B457F9"/>
    <w:rsid w:val="00B45B91"/>
    <w:rsid w:val="00B45BBA"/>
    <w:rsid w:val="00B462D8"/>
    <w:rsid w:val="00B46347"/>
    <w:rsid w:val="00B46444"/>
    <w:rsid w:val="00B46775"/>
    <w:rsid w:val="00B47117"/>
    <w:rsid w:val="00B475E1"/>
    <w:rsid w:val="00B4762E"/>
    <w:rsid w:val="00B47D1C"/>
    <w:rsid w:val="00B507E3"/>
    <w:rsid w:val="00B5155A"/>
    <w:rsid w:val="00B51800"/>
    <w:rsid w:val="00B51E22"/>
    <w:rsid w:val="00B51E5E"/>
    <w:rsid w:val="00B51F70"/>
    <w:rsid w:val="00B52425"/>
    <w:rsid w:val="00B52EAD"/>
    <w:rsid w:val="00B52F36"/>
    <w:rsid w:val="00B542AE"/>
    <w:rsid w:val="00B546AB"/>
    <w:rsid w:val="00B5474A"/>
    <w:rsid w:val="00B547C5"/>
    <w:rsid w:val="00B54851"/>
    <w:rsid w:val="00B54B97"/>
    <w:rsid w:val="00B54C7E"/>
    <w:rsid w:val="00B554EB"/>
    <w:rsid w:val="00B55772"/>
    <w:rsid w:val="00B55825"/>
    <w:rsid w:val="00B55C56"/>
    <w:rsid w:val="00B55E09"/>
    <w:rsid w:val="00B55E9E"/>
    <w:rsid w:val="00B566ED"/>
    <w:rsid w:val="00B56C16"/>
    <w:rsid w:val="00B57205"/>
    <w:rsid w:val="00B57320"/>
    <w:rsid w:val="00B574FC"/>
    <w:rsid w:val="00B57AE5"/>
    <w:rsid w:val="00B603D4"/>
    <w:rsid w:val="00B604C7"/>
    <w:rsid w:val="00B60CC4"/>
    <w:rsid w:val="00B60E24"/>
    <w:rsid w:val="00B61068"/>
    <w:rsid w:val="00B6118D"/>
    <w:rsid w:val="00B61F6B"/>
    <w:rsid w:val="00B62104"/>
    <w:rsid w:val="00B6233A"/>
    <w:rsid w:val="00B62AFD"/>
    <w:rsid w:val="00B6312A"/>
    <w:rsid w:val="00B63594"/>
    <w:rsid w:val="00B63CE9"/>
    <w:rsid w:val="00B6435F"/>
    <w:rsid w:val="00B64FF2"/>
    <w:rsid w:val="00B650FB"/>
    <w:rsid w:val="00B651B7"/>
    <w:rsid w:val="00B65553"/>
    <w:rsid w:val="00B65643"/>
    <w:rsid w:val="00B658B7"/>
    <w:rsid w:val="00B66D63"/>
    <w:rsid w:val="00B66E77"/>
    <w:rsid w:val="00B674BE"/>
    <w:rsid w:val="00B6799D"/>
    <w:rsid w:val="00B67A5D"/>
    <w:rsid w:val="00B67BF5"/>
    <w:rsid w:val="00B70240"/>
    <w:rsid w:val="00B7038A"/>
    <w:rsid w:val="00B706E0"/>
    <w:rsid w:val="00B70E68"/>
    <w:rsid w:val="00B70F95"/>
    <w:rsid w:val="00B71BEA"/>
    <w:rsid w:val="00B71C5E"/>
    <w:rsid w:val="00B71D0E"/>
    <w:rsid w:val="00B71D57"/>
    <w:rsid w:val="00B7222F"/>
    <w:rsid w:val="00B72616"/>
    <w:rsid w:val="00B72695"/>
    <w:rsid w:val="00B72C21"/>
    <w:rsid w:val="00B7351F"/>
    <w:rsid w:val="00B73814"/>
    <w:rsid w:val="00B73D20"/>
    <w:rsid w:val="00B73F56"/>
    <w:rsid w:val="00B743DF"/>
    <w:rsid w:val="00B74B6F"/>
    <w:rsid w:val="00B752A3"/>
    <w:rsid w:val="00B75640"/>
    <w:rsid w:val="00B75690"/>
    <w:rsid w:val="00B759E3"/>
    <w:rsid w:val="00B75B23"/>
    <w:rsid w:val="00B76B9D"/>
    <w:rsid w:val="00B77355"/>
    <w:rsid w:val="00B776A8"/>
    <w:rsid w:val="00B77A84"/>
    <w:rsid w:val="00B77E94"/>
    <w:rsid w:val="00B80321"/>
    <w:rsid w:val="00B81C69"/>
    <w:rsid w:val="00B821B7"/>
    <w:rsid w:val="00B82451"/>
    <w:rsid w:val="00B8299B"/>
    <w:rsid w:val="00B82F98"/>
    <w:rsid w:val="00B83503"/>
    <w:rsid w:val="00B8471F"/>
    <w:rsid w:val="00B84D02"/>
    <w:rsid w:val="00B84ED5"/>
    <w:rsid w:val="00B85018"/>
    <w:rsid w:val="00B858B4"/>
    <w:rsid w:val="00B8596D"/>
    <w:rsid w:val="00B863E7"/>
    <w:rsid w:val="00B86CD2"/>
    <w:rsid w:val="00B86F0A"/>
    <w:rsid w:val="00B8778B"/>
    <w:rsid w:val="00B9031C"/>
    <w:rsid w:val="00B90653"/>
    <w:rsid w:val="00B925DB"/>
    <w:rsid w:val="00B928E5"/>
    <w:rsid w:val="00B9333B"/>
    <w:rsid w:val="00B938E4"/>
    <w:rsid w:val="00B93D40"/>
    <w:rsid w:val="00B947BF"/>
    <w:rsid w:val="00B94811"/>
    <w:rsid w:val="00B94BC2"/>
    <w:rsid w:val="00B94E55"/>
    <w:rsid w:val="00B94F87"/>
    <w:rsid w:val="00B951C1"/>
    <w:rsid w:val="00B9556E"/>
    <w:rsid w:val="00B95619"/>
    <w:rsid w:val="00B95DC7"/>
    <w:rsid w:val="00B96335"/>
    <w:rsid w:val="00B96C53"/>
    <w:rsid w:val="00B975CF"/>
    <w:rsid w:val="00B97784"/>
    <w:rsid w:val="00B97EBA"/>
    <w:rsid w:val="00BA0103"/>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EA"/>
    <w:rsid w:val="00BA4418"/>
    <w:rsid w:val="00BA4525"/>
    <w:rsid w:val="00BA4AAE"/>
    <w:rsid w:val="00BA4BFB"/>
    <w:rsid w:val="00BA4D60"/>
    <w:rsid w:val="00BA4E2C"/>
    <w:rsid w:val="00BA509D"/>
    <w:rsid w:val="00BA51F6"/>
    <w:rsid w:val="00BA5B47"/>
    <w:rsid w:val="00BA5ED6"/>
    <w:rsid w:val="00BA648B"/>
    <w:rsid w:val="00BA6818"/>
    <w:rsid w:val="00BA6E28"/>
    <w:rsid w:val="00BA74ED"/>
    <w:rsid w:val="00BA771E"/>
    <w:rsid w:val="00BA77DE"/>
    <w:rsid w:val="00BA782E"/>
    <w:rsid w:val="00BA7A25"/>
    <w:rsid w:val="00BA7C2F"/>
    <w:rsid w:val="00BB05F4"/>
    <w:rsid w:val="00BB0630"/>
    <w:rsid w:val="00BB064E"/>
    <w:rsid w:val="00BB12F6"/>
    <w:rsid w:val="00BB13AC"/>
    <w:rsid w:val="00BB1CAB"/>
    <w:rsid w:val="00BB2322"/>
    <w:rsid w:val="00BB2405"/>
    <w:rsid w:val="00BB25E1"/>
    <w:rsid w:val="00BB2DFE"/>
    <w:rsid w:val="00BB3436"/>
    <w:rsid w:val="00BB3828"/>
    <w:rsid w:val="00BB3A7C"/>
    <w:rsid w:val="00BB3D9E"/>
    <w:rsid w:val="00BB4199"/>
    <w:rsid w:val="00BB439E"/>
    <w:rsid w:val="00BB4460"/>
    <w:rsid w:val="00BB48F9"/>
    <w:rsid w:val="00BB4D2D"/>
    <w:rsid w:val="00BB4D97"/>
    <w:rsid w:val="00BB51DC"/>
    <w:rsid w:val="00BB53DF"/>
    <w:rsid w:val="00BB56C4"/>
    <w:rsid w:val="00BB570B"/>
    <w:rsid w:val="00BB5776"/>
    <w:rsid w:val="00BB5B56"/>
    <w:rsid w:val="00BB6030"/>
    <w:rsid w:val="00BB6067"/>
    <w:rsid w:val="00BB6172"/>
    <w:rsid w:val="00BB6853"/>
    <w:rsid w:val="00BB6B0B"/>
    <w:rsid w:val="00BB6C0B"/>
    <w:rsid w:val="00BB6DEB"/>
    <w:rsid w:val="00BB6F1C"/>
    <w:rsid w:val="00BB716B"/>
    <w:rsid w:val="00BB772D"/>
    <w:rsid w:val="00BB78B8"/>
    <w:rsid w:val="00BB7E75"/>
    <w:rsid w:val="00BC04A5"/>
    <w:rsid w:val="00BC0725"/>
    <w:rsid w:val="00BC091B"/>
    <w:rsid w:val="00BC13E1"/>
    <w:rsid w:val="00BC1A7C"/>
    <w:rsid w:val="00BC23C0"/>
    <w:rsid w:val="00BC25A3"/>
    <w:rsid w:val="00BC265E"/>
    <w:rsid w:val="00BC2978"/>
    <w:rsid w:val="00BC3563"/>
    <w:rsid w:val="00BC3677"/>
    <w:rsid w:val="00BC38CC"/>
    <w:rsid w:val="00BC4118"/>
    <w:rsid w:val="00BC466E"/>
    <w:rsid w:val="00BC4D34"/>
    <w:rsid w:val="00BC6794"/>
    <w:rsid w:val="00BC6862"/>
    <w:rsid w:val="00BC730B"/>
    <w:rsid w:val="00BC7530"/>
    <w:rsid w:val="00BC77EA"/>
    <w:rsid w:val="00BC7C23"/>
    <w:rsid w:val="00BD0264"/>
    <w:rsid w:val="00BD070A"/>
    <w:rsid w:val="00BD0750"/>
    <w:rsid w:val="00BD08AA"/>
    <w:rsid w:val="00BD0B7D"/>
    <w:rsid w:val="00BD0E33"/>
    <w:rsid w:val="00BD14A8"/>
    <w:rsid w:val="00BD1D83"/>
    <w:rsid w:val="00BD26A7"/>
    <w:rsid w:val="00BD35F1"/>
    <w:rsid w:val="00BD369A"/>
    <w:rsid w:val="00BD37BA"/>
    <w:rsid w:val="00BD383C"/>
    <w:rsid w:val="00BD3A57"/>
    <w:rsid w:val="00BD4AB7"/>
    <w:rsid w:val="00BD4CCC"/>
    <w:rsid w:val="00BD51DF"/>
    <w:rsid w:val="00BD577E"/>
    <w:rsid w:val="00BD58C0"/>
    <w:rsid w:val="00BD58CD"/>
    <w:rsid w:val="00BD5FD1"/>
    <w:rsid w:val="00BD601C"/>
    <w:rsid w:val="00BD6389"/>
    <w:rsid w:val="00BD6B3A"/>
    <w:rsid w:val="00BD6E31"/>
    <w:rsid w:val="00BD70AE"/>
    <w:rsid w:val="00BD7A78"/>
    <w:rsid w:val="00BE024B"/>
    <w:rsid w:val="00BE0254"/>
    <w:rsid w:val="00BE05AF"/>
    <w:rsid w:val="00BE0C8C"/>
    <w:rsid w:val="00BE0CB7"/>
    <w:rsid w:val="00BE0DCB"/>
    <w:rsid w:val="00BE0EF8"/>
    <w:rsid w:val="00BE14AB"/>
    <w:rsid w:val="00BE172B"/>
    <w:rsid w:val="00BE1859"/>
    <w:rsid w:val="00BE1C87"/>
    <w:rsid w:val="00BE24E9"/>
    <w:rsid w:val="00BE259F"/>
    <w:rsid w:val="00BE2D0C"/>
    <w:rsid w:val="00BE2E40"/>
    <w:rsid w:val="00BE2EA5"/>
    <w:rsid w:val="00BE2EBD"/>
    <w:rsid w:val="00BE2F37"/>
    <w:rsid w:val="00BE30E9"/>
    <w:rsid w:val="00BE32A6"/>
    <w:rsid w:val="00BE3535"/>
    <w:rsid w:val="00BE3753"/>
    <w:rsid w:val="00BE3F30"/>
    <w:rsid w:val="00BE4090"/>
    <w:rsid w:val="00BE40B0"/>
    <w:rsid w:val="00BE428C"/>
    <w:rsid w:val="00BE4398"/>
    <w:rsid w:val="00BE538C"/>
    <w:rsid w:val="00BE55E1"/>
    <w:rsid w:val="00BE6556"/>
    <w:rsid w:val="00BE6738"/>
    <w:rsid w:val="00BE6DD4"/>
    <w:rsid w:val="00BE72B2"/>
    <w:rsid w:val="00BE756C"/>
    <w:rsid w:val="00BE7822"/>
    <w:rsid w:val="00BE7934"/>
    <w:rsid w:val="00BE79B8"/>
    <w:rsid w:val="00BE7AC2"/>
    <w:rsid w:val="00BF00B4"/>
    <w:rsid w:val="00BF01F1"/>
    <w:rsid w:val="00BF04AD"/>
    <w:rsid w:val="00BF05A0"/>
    <w:rsid w:val="00BF07D6"/>
    <w:rsid w:val="00BF0BDC"/>
    <w:rsid w:val="00BF10ED"/>
    <w:rsid w:val="00BF12DD"/>
    <w:rsid w:val="00BF1740"/>
    <w:rsid w:val="00BF19B3"/>
    <w:rsid w:val="00BF2146"/>
    <w:rsid w:val="00BF2184"/>
    <w:rsid w:val="00BF2BBE"/>
    <w:rsid w:val="00BF36F1"/>
    <w:rsid w:val="00BF381C"/>
    <w:rsid w:val="00BF3B7F"/>
    <w:rsid w:val="00BF4606"/>
    <w:rsid w:val="00BF4733"/>
    <w:rsid w:val="00BF498B"/>
    <w:rsid w:val="00BF4E4A"/>
    <w:rsid w:val="00BF4EB8"/>
    <w:rsid w:val="00BF5D42"/>
    <w:rsid w:val="00BF6690"/>
    <w:rsid w:val="00BF6A28"/>
    <w:rsid w:val="00BF7E99"/>
    <w:rsid w:val="00C00469"/>
    <w:rsid w:val="00C0047B"/>
    <w:rsid w:val="00C00DFE"/>
    <w:rsid w:val="00C0102F"/>
    <w:rsid w:val="00C010FA"/>
    <w:rsid w:val="00C015EB"/>
    <w:rsid w:val="00C01A05"/>
    <w:rsid w:val="00C01AF6"/>
    <w:rsid w:val="00C01BB0"/>
    <w:rsid w:val="00C01C75"/>
    <w:rsid w:val="00C02121"/>
    <w:rsid w:val="00C02210"/>
    <w:rsid w:val="00C02714"/>
    <w:rsid w:val="00C02E62"/>
    <w:rsid w:val="00C037FC"/>
    <w:rsid w:val="00C03BCA"/>
    <w:rsid w:val="00C03FC3"/>
    <w:rsid w:val="00C042FB"/>
    <w:rsid w:val="00C0440C"/>
    <w:rsid w:val="00C04568"/>
    <w:rsid w:val="00C04A9A"/>
    <w:rsid w:val="00C04B40"/>
    <w:rsid w:val="00C05057"/>
    <w:rsid w:val="00C05098"/>
    <w:rsid w:val="00C05267"/>
    <w:rsid w:val="00C05422"/>
    <w:rsid w:val="00C0546D"/>
    <w:rsid w:val="00C05541"/>
    <w:rsid w:val="00C05611"/>
    <w:rsid w:val="00C05659"/>
    <w:rsid w:val="00C0591B"/>
    <w:rsid w:val="00C0643E"/>
    <w:rsid w:val="00C06A28"/>
    <w:rsid w:val="00C06FD8"/>
    <w:rsid w:val="00C07889"/>
    <w:rsid w:val="00C07AE4"/>
    <w:rsid w:val="00C07EE8"/>
    <w:rsid w:val="00C10E4A"/>
    <w:rsid w:val="00C10F84"/>
    <w:rsid w:val="00C111C4"/>
    <w:rsid w:val="00C115D3"/>
    <w:rsid w:val="00C11958"/>
    <w:rsid w:val="00C11E2F"/>
    <w:rsid w:val="00C11E76"/>
    <w:rsid w:val="00C1230A"/>
    <w:rsid w:val="00C1238B"/>
    <w:rsid w:val="00C125A7"/>
    <w:rsid w:val="00C129C1"/>
    <w:rsid w:val="00C13E3A"/>
    <w:rsid w:val="00C13EC6"/>
    <w:rsid w:val="00C14145"/>
    <w:rsid w:val="00C14D49"/>
    <w:rsid w:val="00C15346"/>
    <w:rsid w:val="00C15A41"/>
    <w:rsid w:val="00C15E18"/>
    <w:rsid w:val="00C161A7"/>
    <w:rsid w:val="00C163E9"/>
    <w:rsid w:val="00C16DA8"/>
    <w:rsid w:val="00C17D16"/>
    <w:rsid w:val="00C202DC"/>
    <w:rsid w:val="00C20364"/>
    <w:rsid w:val="00C203F0"/>
    <w:rsid w:val="00C20431"/>
    <w:rsid w:val="00C20959"/>
    <w:rsid w:val="00C20C2D"/>
    <w:rsid w:val="00C20D32"/>
    <w:rsid w:val="00C20DA8"/>
    <w:rsid w:val="00C20DF3"/>
    <w:rsid w:val="00C21563"/>
    <w:rsid w:val="00C215CB"/>
    <w:rsid w:val="00C21792"/>
    <w:rsid w:val="00C21910"/>
    <w:rsid w:val="00C2200C"/>
    <w:rsid w:val="00C223D6"/>
    <w:rsid w:val="00C224D0"/>
    <w:rsid w:val="00C22655"/>
    <w:rsid w:val="00C2285B"/>
    <w:rsid w:val="00C22E4B"/>
    <w:rsid w:val="00C22FD7"/>
    <w:rsid w:val="00C23397"/>
    <w:rsid w:val="00C233C0"/>
    <w:rsid w:val="00C23610"/>
    <w:rsid w:val="00C238FD"/>
    <w:rsid w:val="00C23CB8"/>
    <w:rsid w:val="00C23E65"/>
    <w:rsid w:val="00C240D2"/>
    <w:rsid w:val="00C241C5"/>
    <w:rsid w:val="00C24368"/>
    <w:rsid w:val="00C2442D"/>
    <w:rsid w:val="00C24886"/>
    <w:rsid w:val="00C24A19"/>
    <w:rsid w:val="00C24A20"/>
    <w:rsid w:val="00C24D83"/>
    <w:rsid w:val="00C25770"/>
    <w:rsid w:val="00C2636E"/>
    <w:rsid w:val="00C268C6"/>
    <w:rsid w:val="00C270A5"/>
    <w:rsid w:val="00C273F5"/>
    <w:rsid w:val="00C27402"/>
    <w:rsid w:val="00C274F3"/>
    <w:rsid w:val="00C27F83"/>
    <w:rsid w:val="00C3074B"/>
    <w:rsid w:val="00C30904"/>
    <w:rsid w:val="00C30957"/>
    <w:rsid w:val="00C3188D"/>
    <w:rsid w:val="00C318A2"/>
    <w:rsid w:val="00C318AF"/>
    <w:rsid w:val="00C31A94"/>
    <w:rsid w:val="00C321FC"/>
    <w:rsid w:val="00C324F0"/>
    <w:rsid w:val="00C3267E"/>
    <w:rsid w:val="00C327BC"/>
    <w:rsid w:val="00C32D84"/>
    <w:rsid w:val="00C32E23"/>
    <w:rsid w:val="00C3327C"/>
    <w:rsid w:val="00C335D7"/>
    <w:rsid w:val="00C336EC"/>
    <w:rsid w:val="00C3385B"/>
    <w:rsid w:val="00C33BE1"/>
    <w:rsid w:val="00C34193"/>
    <w:rsid w:val="00C34B20"/>
    <w:rsid w:val="00C35323"/>
    <w:rsid w:val="00C354FC"/>
    <w:rsid w:val="00C35747"/>
    <w:rsid w:val="00C35780"/>
    <w:rsid w:val="00C35A2D"/>
    <w:rsid w:val="00C3607D"/>
    <w:rsid w:val="00C3671C"/>
    <w:rsid w:val="00C368B2"/>
    <w:rsid w:val="00C369C5"/>
    <w:rsid w:val="00C36C40"/>
    <w:rsid w:val="00C36E59"/>
    <w:rsid w:val="00C36FB7"/>
    <w:rsid w:val="00C37102"/>
    <w:rsid w:val="00C378BB"/>
    <w:rsid w:val="00C37A49"/>
    <w:rsid w:val="00C37C66"/>
    <w:rsid w:val="00C4004B"/>
    <w:rsid w:val="00C40C65"/>
    <w:rsid w:val="00C40D7A"/>
    <w:rsid w:val="00C411C6"/>
    <w:rsid w:val="00C411E8"/>
    <w:rsid w:val="00C42009"/>
    <w:rsid w:val="00C42089"/>
    <w:rsid w:val="00C42278"/>
    <w:rsid w:val="00C4227F"/>
    <w:rsid w:val="00C4251E"/>
    <w:rsid w:val="00C425B1"/>
    <w:rsid w:val="00C43733"/>
    <w:rsid w:val="00C43770"/>
    <w:rsid w:val="00C43996"/>
    <w:rsid w:val="00C43D1B"/>
    <w:rsid w:val="00C43DB2"/>
    <w:rsid w:val="00C43F3C"/>
    <w:rsid w:val="00C448AE"/>
    <w:rsid w:val="00C44997"/>
    <w:rsid w:val="00C44B2F"/>
    <w:rsid w:val="00C44B92"/>
    <w:rsid w:val="00C44D9B"/>
    <w:rsid w:val="00C44E74"/>
    <w:rsid w:val="00C4508E"/>
    <w:rsid w:val="00C45217"/>
    <w:rsid w:val="00C45F1A"/>
    <w:rsid w:val="00C45FCA"/>
    <w:rsid w:val="00C4632E"/>
    <w:rsid w:val="00C46358"/>
    <w:rsid w:val="00C46905"/>
    <w:rsid w:val="00C46E0F"/>
    <w:rsid w:val="00C46FC4"/>
    <w:rsid w:val="00C4786D"/>
    <w:rsid w:val="00C47A35"/>
    <w:rsid w:val="00C47DE2"/>
    <w:rsid w:val="00C50543"/>
    <w:rsid w:val="00C505BA"/>
    <w:rsid w:val="00C508DA"/>
    <w:rsid w:val="00C50ADB"/>
    <w:rsid w:val="00C50B3A"/>
    <w:rsid w:val="00C50D96"/>
    <w:rsid w:val="00C51470"/>
    <w:rsid w:val="00C5157D"/>
    <w:rsid w:val="00C519DA"/>
    <w:rsid w:val="00C51A3B"/>
    <w:rsid w:val="00C522FC"/>
    <w:rsid w:val="00C52CEE"/>
    <w:rsid w:val="00C530B7"/>
    <w:rsid w:val="00C53C97"/>
    <w:rsid w:val="00C54752"/>
    <w:rsid w:val="00C54D41"/>
    <w:rsid w:val="00C5514C"/>
    <w:rsid w:val="00C55504"/>
    <w:rsid w:val="00C56DA3"/>
    <w:rsid w:val="00C56DA7"/>
    <w:rsid w:val="00C56EA1"/>
    <w:rsid w:val="00C57721"/>
    <w:rsid w:val="00C57A60"/>
    <w:rsid w:val="00C57C31"/>
    <w:rsid w:val="00C57D85"/>
    <w:rsid w:val="00C603F9"/>
    <w:rsid w:val="00C60AE1"/>
    <w:rsid w:val="00C61102"/>
    <w:rsid w:val="00C620C3"/>
    <w:rsid w:val="00C624A9"/>
    <w:rsid w:val="00C62B22"/>
    <w:rsid w:val="00C62C3F"/>
    <w:rsid w:val="00C63304"/>
    <w:rsid w:val="00C63926"/>
    <w:rsid w:val="00C63BC0"/>
    <w:rsid w:val="00C63D7F"/>
    <w:rsid w:val="00C63FCC"/>
    <w:rsid w:val="00C63FEC"/>
    <w:rsid w:val="00C64D09"/>
    <w:rsid w:val="00C65A73"/>
    <w:rsid w:val="00C65AE0"/>
    <w:rsid w:val="00C65E33"/>
    <w:rsid w:val="00C661CD"/>
    <w:rsid w:val="00C66409"/>
    <w:rsid w:val="00C66521"/>
    <w:rsid w:val="00C66925"/>
    <w:rsid w:val="00C66FFA"/>
    <w:rsid w:val="00C6779C"/>
    <w:rsid w:val="00C67BA4"/>
    <w:rsid w:val="00C67C07"/>
    <w:rsid w:val="00C700B4"/>
    <w:rsid w:val="00C703AA"/>
    <w:rsid w:val="00C7112E"/>
    <w:rsid w:val="00C71A7E"/>
    <w:rsid w:val="00C71C06"/>
    <w:rsid w:val="00C7205C"/>
    <w:rsid w:val="00C7254D"/>
    <w:rsid w:val="00C72A44"/>
    <w:rsid w:val="00C72CA9"/>
    <w:rsid w:val="00C72F5F"/>
    <w:rsid w:val="00C73184"/>
    <w:rsid w:val="00C7332A"/>
    <w:rsid w:val="00C733D9"/>
    <w:rsid w:val="00C73401"/>
    <w:rsid w:val="00C7346A"/>
    <w:rsid w:val="00C736A6"/>
    <w:rsid w:val="00C73906"/>
    <w:rsid w:val="00C73BEB"/>
    <w:rsid w:val="00C73F09"/>
    <w:rsid w:val="00C744F3"/>
    <w:rsid w:val="00C74825"/>
    <w:rsid w:val="00C7524C"/>
    <w:rsid w:val="00C76508"/>
    <w:rsid w:val="00C765DF"/>
    <w:rsid w:val="00C766FC"/>
    <w:rsid w:val="00C76BCA"/>
    <w:rsid w:val="00C76D6D"/>
    <w:rsid w:val="00C773AF"/>
    <w:rsid w:val="00C775FD"/>
    <w:rsid w:val="00C776FD"/>
    <w:rsid w:val="00C8020F"/>
    <w:rsid w:val="00C804E2"/>
    <w:rsid w:val="00C80B8B"/>
    <w:rsid w:val="00C81705"/>
    <w:rsid w:val="00C81842"/>
    <w:rsid w:val="00C81CF0"/>
    <w:rsid w:val="00C82240"/>
    <w:rsid w:val="00C8225E"/>
    <w:rsid w:val="00C82B49"/>
    <w:rsid w:val="00C82BD2"/>
    <w:rsid w:val="00C82D8D"/>
    <w:rsid w:val="00C836F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627D"/>
    <w:rsid w:val="00C86A07"/>
    <w:rsid w:val="00C8799A"/>
    <w:rsid w:val="00C900E3"/>
    <w:rsid w:val="00C9029B"/>
    <w:rsid w:val="00C903B9"/>
    <w:rsid w:val="00C907F3"/>
    <w:rsid w:val="00C909E3"/>
    <w:rsid w:val="00C90DD2"/>
    <w:rsid w:val="00C9150F"/>
    <w:rsid w:val="00C91C46"/>
    <w:rsid w:val="00C93087"/>
    <w:rsid w:val="00C93512"/>
    <w:rsid w:val="00C935FF"/>
    <w:rsid w:val="00C93944"/>
    <w:rsid w:val="00C93964"/>
    <w:rsid w:val="00C93BBF"/>
    <w:rsid w:val="00C94149"/>
    <w:rsid w:val="00C9424C"/>
    <w:rsid w:val="00C94660"/>
    <w:rsid w:val="00C94796"/>
    <w:rsid w:val="00C94C8D"/>
    <w:rsid w:val="00C9516A"/>
    <w:rsid w:val="00C95385"/>
    <w:rsid w:val="00C955D7"/>
    <w:rsid w:val="00C95D09"/>
    <w:rsid w:val="00C95F4E"/>
    <w:rsid w:val="00C9622B"/>
    <w:rsid w:val="00C964A6"/>
    <w:rsid w:val="00C96502"/>
    <w:rsid w:val="00C9681F"/>
    <w:rsid w:val="00C96D5B"/>
    <w:rsid w:val="00C971AB"/>
    <w:rsid w:val="00C9755E"/>
    <w:rsid w:val="00C97617"/>
    <w:rsid w:val="00C97DCE"/>
    <w:rsid w:val="00CA043B"/>
    <w:rsid w:val="00CA062B"/>
    <w:rsid w:val="00CA0CFC"/>
    <w:rsid w:val="00CA121B"/>
    <w:rsid w:val="00CA1283"/>
    <w:rsid w:val="00CA19A4"/>
    <w:rsid w:val="00CA1D40"/>
    <w:rsid w:val="00CA1E6F"/>
    <w:rsid w:val="00CA1EDA"/>
    <w:rsid w:val="00CA2076"/>
    <w:rsid w:val="00CA2C8D"/>
    <w:rsid w:val="00CA2E6A"/>
    <w:rsid w:val="00CA301A"/>
    <w:rsid w:val="00CA3771"/>
    <w:rsid w:val="00CA3981"/>
    <w:rsid w:val="00CA461D"/>
    <w:rsid w:val="00CA46A4"/>
    <w:rsid w:val="00CA4B8E"/>
    <w:rsid w:val="00CA4CB1"/>
    <w:rsid w:val="00CA5278"/>
    <w:rsid w:val="00CA5A78"/>
    <w:rsid w:val="00CA5F9E"/>
    <w:rsid w:val="00CA5FEC"/>
    <w:rsid w:val="00CA68D4"/>
    <w:rsid w:val="00CA75EB"/>
    <w:rsid w:val="00CA776F"/>
    <w:rsid w:val="00CA7CF2"/>
    <w:rsid w:val="00CA7D6B"/>
    <w:rsid w:val="00CB0479"/>
    <w:rsid w:val="00CB0A16"/>
    <w:rsid w:val="00CB0F0C"/>
    <w:rsid w:val="00CB10F5"/>
    <w:rsid w:val="00CB1696"/>
    <w:rsid w:val="00CB1B71"/>
    <w:rsid w:val="00CB1DCD"/>
    <w:rsid w:val="00CB2363"/>
    <w:rsid w:val="00CB2434"/>
    <w:rsid w:val="00CB2774"/>
    <w:rsid w:val="00CB2A32"/>
    <w:rsid w:val="00CB2A50"/>
    <w:rsid w:val="00CB2F05"/>
    <w:rsid w:val="00CB30CA"/>
    <w:rsid w:val="00CB3172"/>
    <w:rsid w:val="00CB4022"/>
    <w:rsid w:val="00CB4125"/>
    <w:rsid w:val="00CB4562"/>
    <w:rsid w:val="00CB471F"/>
    <w:rsid w:val="00CB47F9"/>
    <w:rsid w:val="00CB4FA0"/>
    <w:rsid w:val="00CB5679"/>
    <w:rsid w:val="00CB5713"/>
    <w:rsid w:val="00CB5AAB"/>
    <w:rsid w:val="00CB6792"/>
    <w:rsid w:val="00CB68A2"/>
    <w:rsid w:val="00CB7040"/>
    <w:rsid w:val="00CB70E1"/>
    <w:rsid w:val="00CB731B"/>
    <w:rsid w:val="00CB7F3B"/>
    <w:rsid w:val="00CC01EB"/>
    <w:rsid w:val="00CC0A7F"/>
    <w:rsid w:val="00CC10DE"/>
    <w:rsid w:val="00CC150E"/>
    <w:rsid w:val="00CC1768"/>
    <w:rsid w:val="00CC1F89"/>
    <w:rsid w:val="00CC2314"/>
    <w:rsid w:val="00CC2408"/>
    <w:rsid w:val="00CC258C"/>
    <w:rsid w:val="00CC25FD"/>
    <w:rsid w:val="00CC2CA2"/>
    <w:rsid w:val="00CC327F"/>
    <w:rsid w:val="00CC34CB"/>
    <w:rsid w:val="00CC385A"/>
    <w:rsid w:val="00CC46CB"/>
    <w:rsid w:val="00CC474A"/>
    <w:rsid w:val="00CC47D7"/>
    <w:rsid w:val="00CC4C03"/>
    <w:rsid w:val="00CC5AA7"/>
    <w:rsid w:val="00CC60F5"/>
    <w:rsid w:val="00CC6105"/>
    <w:rsid w:val="00CC61AA"/>
    <w:rsid w:val="00CC6E85"/>
    <w:rsid w:val="00CC71A0"/>
    <w:rsid w:val="00CC7238"/>
    <w:rsid w:val="00CC75C2"/>
    <w:rsid w:val="00CC778A"/>
    <w:rsid w:val="00CC7E8F"/>
    <w:rsid w:val="00CC7F04"/>
    <w:rsid w:val="00CC7F41"/>
    <w:rsid w:val="00CD000D"/>
    <w:rsid w:val="00CD016C"/>
    <w:rsid w:val="00CD0246"/>
    <w:rsid w:val="00CD067E"/>
    <w:rsid w:val="00CD0842"/>
    <w:rsid w:val="00CD1074"/>
    <w:rsid w:val="00CD157B"/>
    <w:rsid w:val="00CD173D"/>
    <w:rsid w:val="00CD23D6"/>
    <w:rsid w:val="00CD2656"/>
    <w:rsid w:val="00CD3318"/>
    <w:rsid w:val="00CD365A"/>
    <w:rsid w:val="00CD3A18"/>
    <w:rsid w:val="00CD3B31"/>
    <w:rsid w:val="00CD3F18"/>
    <w:rsid w:val="00CD3FFB"/>
    <w:rsid w:val="00CD45E3"/>
    <w:rsid w:val="00CD483F"/>
    <w:rsid w:val="00CD48E4"/>
    <w:rsid w:val="00CD4AF1"/>
    <w:rsid w:val="00CD4B8D"/>
    <w:rsid w:val="00CD4FBF"/>
    <w:rsid w:val="00CD55A2"/>
    <w:rsid w:val="00CD55AF"/>
    <w:rsid w:val="00CD5857"/>
    <w:rsid w:val="00CD58E5"/>
    <w:rsid w:val="00CD5E1F"/>
    <w:rsid w:val="00CD5FFD"/>
    <w:rsid w:val="00CD6874"/>
    <w:rsid w:val="00CD688F"/>
    <w:rsid w:val="00CD7002"/>
    <w:rsid w:val="00CD7104"/>
    <w:rsid w:val="00CD72EA"/>
    <w:rsid w:val="00CD73A3"/>
    <w:rsid w:val="00CE0055"/>
    <w:rsid w:val="00CE02E6"/>
    <w:rsid w:val="00CE082E"/>
    <w:rsid w:val="00CE083C"/>
    <w:rsid w:val="00CE088E"/>
    <w:rsid w:val="00CE0912"/>
    <w:rsid w:val="00CE0C8D"/>
    <w:rsid w:val="00CE0CFD"/>
    <w:rsid w:val="00CE1043"/>
    <w:rsid w:val="00CE1570"/>
    <w:rsid w:val="00CE1B40"/>
    <w:rsid w:val="00CE1CE6"/>
    <w:rsid w:val="00CE1DEC"/>
    <w:rsid w:val="00CE1F54"/>
    <w:rsid w:val="00CE1FB6"/>
    <w:rsid w:val="00CE22BC"/>
    <w:rsid w:val="00CE25E7"/>
    <w:rsid w:val="00CE29BD"/>
    <w:rsid w:val="00CE2BED"/>
    <w:rsid w:val="00CE2E1B"/>
    <w:rsid w:val="00CE301A"/>
    <w:rsid w:val="00CE31E5"/>
    <w:rsid w:val="00CE3564"/>
    <w:rsid w:val="00CE48FB"/>
    <w:rsid w:val="00CE4E97"/>
    <w:rsid w:val="00CE5039"/>
    <w:rsid w:val="00CE5085"/>
    <w:rsid w:val="00CE5A59"/>
    <w:rsid w:val="00CE60F0"/>
    <w:rsid w:val="00CE629E"/>
    <w:rsid w:val="00CE62B8"/>
    <w:rsid w:val="00CE63A8"/>
    <w:rsid w:val="00CE6528"/>
    <w:rsid w:val="00CE6B16"/>
    <w:rsid w:val="00CE6BB0"/>
    <w:rsid w:val="00CE6F27"/>
    <w:rsid w:val="00CE6F96"/>
    <w:rsid w:val="00CE7672"/>
    <w:rsid w:val="00CE79FE"/>
    <w:rsid w:val="00CE7DD6"/>
    <w:rsid w:val="00CE7E16"/>
    <w:rsid w:val="00CF010F"/>
    <w:rsid w:val="00CF0423"/>
    <w:rsid w:val="00CF072B"/>
    <w:rsid w:val="00CF0ADD"/>
    <w:rsid w:val="00CF0AFE"/>
    <w:rsid w:val="00CF0D20"/>
    <w:rsid w:val="00CF19EB"/>
    <w:rsid w:val="00CF2753"/>
    <w:rsid w:val="00CF28EE"/>
    <w:rsid w:val="00CF2FA8"/>
    <w:rsid w:val="00CF3159"/>
    <w:rsid w:val="00CF33B8"/>
    <w:rsid w:val="00CF3885"/>
    <w:rsid w:val="00CF402D"/>
    <w:rsid w:val="00CF431B"/>
    <w:rsid w:val="00CF5577"/>
    <w:rsid w:val="00CF5BE3"/>
    <w:rsid w:val="00CF620E"/>
    <w:rsid w:val="00CF62A8"/>
    <w:rsid w:val="00CF6DF4"/>
    <w:rsid w:val="00CF6EA7"/>
    <w:rsid w:val="00CF7684"/>
    <w:rsid w:val="00CF79A6"/>
    <w:rsid w:val="00CF7A07"/>
    <w:rsid w:val="00CF7AF7"/>
    <w:rsid w:val="00D00680"/>
    <w:rsid w:val="00D00A23"/>
    <w:rsid w:val="00D011FE"/>
    <w:rsid w:val="00D01CCF"/>
    <w:rsid w:val="00D0212E"/>
    <w:rsid w:val="00D0214A"/>
    <w:rsid w:val="00D026CD"/>
    <w:rsid w:val="00D02A25"/>
    <w:rsid w:val="00D035D5"/>
    <w:rsid w:val="00D0391C"/>
    <w:rsid w:val="00D04C15"/>
    <w:rsid w:val="00D04F7B"/>
    <w:rsid w:val="00D0512C"/>
    <w:rsid w:val="00D053C2"/>
    <w:rsid w:val="00D05FA5"/>
    <w:rsid w:val="00D06211"/>
    <w:rsid w:val="00D06E9F"/>
    <w:rsid w:val="00D06FFF"/>
    <w:rsid w:val="00D07871"/>
    <w:rsid w:val="00D07B7D"/>
    <w:rsid w:val="00D10782"/>
    <w:rsid w:val="00D113E7"/>
    <w:rsid w:val="00D116BB"/>
    <w:rsid w:val="00D116F0"/>
    <w:rsid w:val="00D11724"/>
    <w:rsid w:val="00D119B8"/>
    <w:rsid w:val="00D11A72"/>
    <w:rsid w:val="00D11B26"/>
    <w:rsid w:val="00D11B66"/>
    <w:rsid w:val="00D122BD"/>
    <w:rsid w:val="00D123EA"/>
    <w:rsid w:val="00D124C5"/>
    <w:rsid w:val="00D12A77"/>
    <w:rsid w:val="00D12C8C"/>
    <w:rsid w:val="00D12E24"/>
    <w:rsid w:val="00D134C5"/>
    <w:rsid w:val="00D13890"/>
    <w:rsid w:val="00D13CD4"/>
    <w:rsid w:val="00D14332"/>
    <w:rsid w:val="00D14C3A"/>
    <w:rsid w:val="00D15178"/>
    <w:rsid w:val="00D151AE"/>
    <w:rsid w:val="00D15B0C"/>
    <w:rsid w:val="00D15F88"/>
    <w:rsid w:val="00D167E6"/>
    <w:rsid w:val="00D16C97"/>
    <w:rsid w:val="00D16F9B"/>
    <w:rsid w:val="00D174D0"/>
    <w:rsid w:val="00D17611"/>
    <w:rsid w:val="00D17A0C"/>
    <w:rsid w:val="00D17E0F"/>
    <w:rsid w:val="00D17E1D"/>
    <w:rsid w:val="00D17E36"/>
    <w:rsid w:val="00D211A0"/>
    <w:rsid w:val="00D21366"/>
    <w:rsid w:val="00D21A5A"/>
    <w:rsid w:val="00D21E2C"/>
    <w:rsid w:val="00D22039"/>
    <w:rsid w:val="00D22381"/>
    <w:rsid w:val="00D2244D"/>
    <w:rsid w:val="00D22863"/>
    <w:rsid w:val="00D22A36"/>
    <w:rsid w:val="00D22D74"/>
    <w:rsid w:val="00D231EA"/>
    <w:rsid w:val="00D23502"/>
    <w:rsid w:val="00D239B8"/>
    <w:rsid w:val="00D23D32"/>
    <w:rsid w:val="00D23D51"/>
    <w:rsid w:val="00D24778"/>
    <w:rsid w:val="00D259F3"/>
    <w:rsid w:val="00D25ADF"/>
    <w:rsid w:val="00D25BE6"/>
    <w:rsid w:val="00D25C2E"/>
    <w:rsid w:val="00D25FFA"/>
    <w:rsid w:val="00D264A4"/>
    <w:rsid w:val="00D26E87"/>
    <w:rsid w:val="00D27086"/>
    <w:rsid w:val="00D274E2"/>
    <w:rsid w:val="00D279F9"/>
    <w:rsid w:val="00D27BB8"/>
    <w:rsid w:val="00D27CDB"/>
    <w:rsid w:val="00D27D1C"/>
    <w:rsid w:val="00D27E92"/>
    <w:rsid w:val="00D30112"/>
    <w:rsid w:val="00D3018C"/>
    <w:rsid w:val="00D30458"/>
    <w:rsid w:val="00D30B67"/>
    <w:rsid w:val="00D30D2F"/>
    <w:rsid w:val="00D30E04"/>
    <w:rsid w:val="00D31529"/>
    <w:rsid w:val="00D31901"/>
    <w:rsid w:val="00D3190D"/>
    <w:rsid w:val="00D31C33"/>
    <w:rsid w:val="00D3345B"/>
    <w:rsid w:val="00D33974"/>
    <w:rsid w:val="00D34629"/>
    <w:rsid w:val="00D346EB"/>
    <w:rsid w:val="00D34B45"/>
    <w:rsid w:val="00D35DEF"/>
    <w:rsid w:val="00D360BA"/>
    <w:rsid w:val="00D362D1"/>
    <w:rsid w:val="00D3648B"/>
    <w:rsid w:val="00D36D7D"/>
    <w:rsid w:val="00D36FEC"/>
    <w:rsid w:val="00D3723B"/>
    <w:rsid w:val="00D37435"/>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755"/>
    <w:rsid w:val="00D4477C"/>
    <w:rsid w:val="00D454FE"/>
    <w:rsid w:val="00D45EDA"/>
    <w:rsid w:val="00D46126"/>
    <w:rsid w:val="00D46750"/>
    <w:rsid w:val="00D46B3E"/>
    <w:rsid w:val="00D47F43"/>
    <w:rsid w:val="00D5004E"/>
    <w:rsid w:val="00D506A4"/>
    <w:rsid w:val="00D509C4"/>
    <w:rsid w:val="00D50D8F"/>
    <w:rsid w:val="00D50DFF"/>
    <w:rsid w:val="00D50F88"/>
    <w:rsid w:val="00D512A4"/>
    <w:rsid w:val="00D5138A"/>
    <w:rsid w:val="00D51A7A"/>
    <w:rsid w:val="00D51B6D"/>
    <w:rsid w:val="00D521C2"/>
    <w:rsid w:val="00D52785"/>
    <w:rsid w:val="00D52986"/>
    <w:rsid w:val="00D53395"/>
    <w:rsid w:val="00D53401"/>
    <w:rsid w:val="00D5370C"/>
    <w:rsid w:val="00D537D1"/>
    <w:rsid w:val="00D539EF"/>
    <w:rsid w:val="00D53A72"/>
    <w:rsid w:val="00D54038"/>
    <w:rsid w:val="00D54213"/>
    <w:rsid w:val="00D54F96"/>
    <w:rsid w:val="00D5509A"/>
    <w:rsid w:val="00D550A4"/>
    <w:rsid w:val="00D5556F"/>
    <w:rsid w:val="00D55A61"/>
    <w:rsid w:val="00D55E63"/>
    <w:rsid w:val="00D5610F"/>
    <w:rsid w:val="00D5676F"/>
    <w:rsid w:val="00D567D7"/>
    <w:rsid w:val="00D56AE7"/>
    <w:rsid w:val="00D56B08"/>
    <w:rsid w:val="00D57027"/>
    <w:rsid w:val="00D573B0"/>
    <w:rsid w:val="00D57521"/>
    <w:rsid w:val="00D576B6"/>
    <w:rsid w:val="00D576E3"/>
    <w:rsid w:val="00D578DF"/>
    <w:rsid w:val="00D579E1"/>
    <w:rsid w:val="00D600EC"/>
    <w:rsid w:val="00D60147"/>
    <w:rsid w:val="00D60CB8"/>
    <w:rsid w:val="00D60DEF"/>
    <w:rsid w:val="00D6110E"/>
    <w:rsid w:val="00D61D9D"/>
    <w:rsid w:val="00D6217D"/>
    <w:rsid w:val="00D6231B"/>
    <w:rsid w:val="00D62439"/>
    <w:rsid w:val="00D62801"/>
    <w:rsid w:val="00D62C17"/>
    <w:rsid w:val="00D62DFA"/>
    <w:rsid w:val="00D62E01"/>
    <w:rsid w:val="00D63ACC"/>
    <w:rsid w:val="00D63D29"/>
    <w:rsid w:val="00D63EDB"/>
    <w:rsid w:val="00D65C79"/>
    <w:rsid w:val="00D660C0"/>
    <w:rsid w:val="00D664E2"/>
    <w:rsid w:val="00D66949"/>
    <w:rsid w:val="00D66DF2"/>
    <w:rsid w:val="00D674AD"/>
    <w:rsid w:val="00D67A60"/>
    <w:rsid w:val="00D67A77"/>
    <w:rsid w:val="00D70016"/>
    <w:rsid w:val="00D700E6"/>
    <w:rsid w:val="00D70178"/>
    <w:rsid w:val="00D701CE"/>
    <w:rsid w:val="00D701D4"/>
    <w:rsid w:val="00D701D7"/>
    <w:rsid w:val="00D7069F"/>
    <w:rsid w:val="00D7083D"/>
    <w:rsid w:val="00D7100B"/>
    <w:rsid w:val="00D7121B"/>
    <w:rsid w:val="00D71336"/>
    <w:rsid w:val="00D71461"/>
    <w:rsid w:val="00D71471"/>
    <w:rsid w:val="00D719AD"/>
    <w:rsid w:val="00D71B67"/>
    <w:rsid w:val="00D71C56"/>
    <w:rsid w:val="00D72BE6"/>
    <w:rsid w:val="00D73B2C"/>
    <w:rsid w:val="00D73C72"/>
    <w:rsid w:val="00D73DDB"/>
    <w:rsid w:val="00D7429D"/>
    <w:rsid w:val="00D742AC"/>
    <w:rsid w:val="00D745D7"/>
    <w:rsid w:val="00D746BB"/>
    <w:rsid w:val="00D7519D"/>
    <w:rsid w:val="00D75281"/>
    <w:rsid w:val="00D75A53"/>
    <w:rsid w:val="00D75B25"/>
    <w:rsid w:val="00D760B7"/>
    <w:rsid w:val="00D763AA"/>
    <w:rsid w:val="00D7657C"/>
    <w:rsid w:val="00D765FD"/>
    <w:rsid w:val="00D76BAD"/>
    <w:rsid w:val="00D76C97"/>
    <w:rsid w:val="00D76E8B"/>
    <w:rsid w:val="00D7706C"/>
    <w:rsid w:val="00D77433"/>
    <w:rsid w:val="00D779A5"/>
    <w:rsid w:val="00D80CCC"/>
    <w:rsid w:val="00D80F0E"/>
    <w:rsid w:val="00D810BB"/>
    <w:rsid w:val="00D81524"/>
    <w:rsid w:val="00D81801"/>
    <w:rsid w:val="00D81ADA"/>
    <w:rsid w:val="00D81FBB"/>
    <w:rsid w:val="00D8205D"/>
    <w:rsid w:val="00D82A69"/>
    <w:rsid w:val="00D8352F"/>
    <w:rsid w:val="00D836E9"/>
    <w:rsid w:val="00D83760"/>
    <w:rsid w:val="00D8395B"/>
    <w:rsid w:val="00D83D93"/>
    <w:rsid w:val="00D844C1"/>
    <w:rsid w:val="00D8462F"/>
    <w:rsid w:val="00D846FB"/>
    <w:rsid w:val="00D849D6"/>
    <w:rsid w:val="00D84E58"/>
    <w:rsid w:val="00D85504"/>
    <w:rsid w:val="00D8567A"/>
    <w:rsid w:val="00D85C74"/>
    <w:rsid w:val="00D85D02"/>
    <w:rsid w:val="00D86512"/>
    <w:rsid w:val="00D86695"/>
    <w:rsid w:val="00D867A8"/>
    <w:rsid w:val="00D86A06"/>
    <w:rsid w:val="00D86ABB"/>
    <w:rsid w:val="00D86AD8"/>
    <w:rsid w:val="00D87080"/>
    <w:rsid w:val="00D87115"/>
    <w:rsid w:val="00D8744F"/>
    <w:rsid w:val="00D879C1"/>
    <w:rsid w:val="00D87B29"/>
    <w:rsid w:val="00D87D72"/>
    <w:rsid w:val="00D9035B"/>
    <w:rsid w:val="00D90444"/>
    <w:rsid w:val="00D90A77"/>
    <w:rsid w:val="00D90BA1"/>
    <w:rsid w:val="00D91492"/>
    <w:rsid w:val="00D9177C"/>
    <w:rsid w:val="00D91911"/>
    <w:rsid w:val="00D91A0A"/>
    <w:rsid w:val="00D91A82"/>
    <w:rsid w:val="00D91B5D"/>
    <w:rsid w:val="00D91B8A"/>
    <w:rsid w:val="00D920D1"/>
    <w:rsid w:val="00D92F25"/>
    <w:rsid w:val="00D9376B"/>
    <w:rsid w:val="00D93E53"/>
    <w:rsid w:val="00D9449B"/>
    <w:rsid w:val="00D94A33"/>
    <w:rsid w:val="00D94AD1"/>
    <w:rsid w:val="00D96232"/>
    <w:rsid w:val="00D96787"/>
    <w:rsid w:val="00D967A5"/>
    <w:rsid w:val="00D968DA"/>
    <w:rsid w:val="00D96B99"/>
    <w:rsid w:val="00D96D89"/>
    <w:rsid w:val="00D97CB3"/>
    <w:rsid w:val="00D97F7F"/>
    <w:rsid w:val="00DA00C4"/>
    <w:rsid w:val="00DA00E5"/>
    <w:rsid w:val="00DA037D"/>
    <w:rsid w:val="00DA1306"/>
    <w:rsid w:val="00DA182E"/>
    <w:rsid w:val="00DA1E23"/>
    <w:rsid w:val="00DA31BB"/>
    <w:rsid w:val="00DA32AF"/>
    <w:rsid w:val="00DA33EF"/>
    <w:rsid w:val="00DA35AD"/>
    <w:rsid w:val="00DA3EAD"/>
    <w:rsid w:val="00DA4370"/>
    <w:rsid w:val="00DA4479"/>
    <w:rsid w:val="00DA4694"/>
    <w:rsid w:val="00DA477A"/>
    <w:rsid w:val="00DA4973"/>
    <w:rsid w:val="00DA4F32"/>
    <w:rsid w:val="00DA5172"/>
    <w:rsid w:val="00DA5259"/>
    <w:rsid w:val="00DA545B"/>
    <w:rsid w:val="00DA585B"/>
    <w:rsid w:val="00DA5A3E"/>
    <w:rsid w:val="00DA67B4"/>
    <w:rsid w:val="00DA6B61"/>
    <w:rsid w:val="00DA6CF4"/>
    <w:rsid w:val="00DA70E8"/>
    <w:rsid w:val="00DA73AF"/>
    <w:rsid w:val="00DA7CFE"/>
    <w:rsid w:val="00DB0056"/>
    <w:rsid w:val="00DB016D"/>
    <w:rsid w:val="00DB0947"/>
    <w:rsid w:val="00DB09C0"/>
    <w:rsid w:val="00DB0DD9"/>
    <w:rsid w:val="00DB10A8"/>
    <w:rsid w:val="00DB1191"/>
    <w:rsid w:val="00DB11DF"/>
    <w:rsid w:val="00DB19CC"/>
    <w:rsid w:val="00DB2C19"/>
    <w:rsid w:val="00DB30F4"/>
    <w:rsid w:val="00DB31E4"/>
    <w:rsid w:val="00DB3A12"/>
    <w:rsid w:val="00DB3D95"/>
    <w:rsid w:val="00DB3D9F"/>
    <w:rsid w:val="00DB436C"/>
    <w:rsid w:val="00DB49CD"/>
    <w:rsid w:val="00DB5435"/>
    <w:rsid w:val="00DB5698"/>
    <w:rsid w:val="00DB575F"/>
    <w:rsid w:val="00DB59FC"/>
    <w:rsid w:val="00DB63F0"/>
    <w:rsid w:val="00DB66AC"/>
    <w:rsid w:val="00DB6947"/>
    <w:rsid w:val="00DB6D8A"/>
    <w:rsid w:val="00DB6E07"/>
    <w:rsid w:val="00DB7131"/>
    <w:rsid w:val="00DB7344"/>
    <w:rsid w:val="00DB73D7"/>
    <w:rsid w:val="00DB768C"/>
    <w:rsid w:val="00DB77CD"/>
    <w:rsid w:val="00DB7C6A"/>
    <w:rsid w:val="00DB7E20"/>
    <w:rsid w:val="00DB7E8D"/>
    <w:rsid w:val="00DB7ED2"/>
    <w:rsid w:val="00DB7FA2"/>
    <w:rsid w:val="00DC0050"/>
    <w:rsid w:val="00DC08BF"/>
    <w:rsid w:val="00DC0D2B"/>
    <w:rsid w:val="00DC0EA9"/>
    <w:rsid w:val="00DC1061"/>
    <w:rsid w:val="00DC10F2"/>
    <w:rsid w:val="00DC1326"/>
    <w:rsid w:val="00DC143B"/>
    <w:rsid w:val="00DC1926"/>
    <w:rsid w:val="00DC1C01"/>
    <w:rsid w:val="00DC1E36"/>
    <w:rsid w:val="00DC2244"/>
    <w:rsid w:val="00DC22A2"/>
    <w:rsid w:val="00DC2860"/>
    <w:rsid w:val="00DC2886"/>
    <w:rsid w:val="00DC2B13"/>
    <w:rsid w:val="00DC2C91"/>
    <w:rsid w:val="00DC390F"/>
    <w:rsid w:val="00DC3A85"/>
    <w:rsid w:val="00DC3D25"/>
    <w:rsid w:val="00DC4CD9"/>
    <w:rsid w:val="00DC56E3"/>
    <w:rsid w:val="00DC5DB6"/>
    <w:rsid w:val="00DC6192"/>
    <w:rsid w:val="00DC6EC3"/>
    <w:rsid w:val="00DC72DC"/>
    <w:rsid w:val="00DC77BD"/>
    <w:rsid w:val="00DC7ADB"/>
    <w:rsid w:val="00DC7B45"/>
    <w:rsid w:val="00DC7B88"/>
    <w:rsid w:val="00DC7C54"/>
    <w:rsid w:val="00DC7F16"/>
    <w:rsid w:val="00DC7F49"/>
    <w:rsid w:val="00DD0179"/>
    <w:rsid w:val="00DD09EB"/>
    <w:rsid w:val="00DD0C04"/>
    <w:rsid w:val="00DD0CED"/>
    <w:rsid w:val="00DD15F1"/>
    <w:rsid w:val="00DD1A9E"/>
    <w:rsid w:val="00DD2301"/>
    <w:rsid w:val="00DD240B"/>
    <w:rsid w:val="00DD2520"/>
    <w:rsid w:val="00DD28FB"/>
    <w:rsid w:val="00DD30CB"/>
    <w:rsid w:val="00DD323E"/>
    <w:rsid w:val="00DD357B"/>
    <w:rsid w:val="00DD3791"/>
    <w:rsid w:val="00DD3A1E"/>
    <w:rsid w:val="00DD3AFE"/>
    <w:rsid w:val="00DD3D22"/>
    <w:rsid w:val="00DD417C"/>
    <w:rsid w:val="00DD426D"/>
    <w:rsid w:val="00DD436B"/>
    <w:rsid w:val="00DD4752"/>
    <w:rsid w:val="00DD47E4"/>
    <w:rsid w:val="00DD488F"/>
    <w:rsid w:val="00DD4AFB"/>
    <w:rsid w:val="00DD4D46"/>
    <w:rsid w:val="00DD4DAF"/>
    <w:rsid w:val="00DD50A3"/>
    <w:rsid w:val="00DD5130"/>
    <w:rsid w:val="00DD5595"/>
    <w:rsid w:val="00DD584B"/>
    <w:rsid w:val="00DD5948"/>
    <w:rsid w:val="00DD616C"/>
    <w:rsid w:val="00DD6294"/>
    <w:rsid w:val="00DD67E5"/>
    <w:rsid w:val="00DD6A57"/>
    <w:rsid w:val="00DD6DAA"/>
    <w:rsid w:val="00DD6DE4"/>
    <w:rsid w:val="00DD7848"/>
    <w:rsid w:val="00DD7EAF"/>
    <w:rsid w:val="00DE01F6"/>
    <w:rsid w:val="00DE0520"/>
    <w:rsid w:val="00DE0CD5"/>
    <w:rsid w:val="00DE0FBE"/>
    <w:rsid w:val="00DE1031"/>
    <w:rsid w:val="00DE170D"/>
    <w:rsid w:val="00DE1B18"/>
    <w:rsid w:val="00DE1D5F"/>
    <w:rsid w:val="00DE1E84"/>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CE5"/>
    <w:rsid w:val="00DE4063"/>
    <w:rsid w:val="00DE472C"/>
    <w:rsid w:val="00DE4B1A"/>
    <w:rsid w:val="00DE5159"/>
    <w:rsid w:val="00DE56AD"/>
    <w:rsid w:val="00DE5A62"/>
    <w:rsid w:val="00DE686E"/>
    <w:rsid w:val="00DE6EB9"/>
    <w:rsid w:val="00DE76A7"/>
    <w:rsid w:val="00DE78CE"/>
    <w:rsid w:val="00DE7B6E"/>
    <w:rsid w:val="00DF074F"/>
    <w:rsid w:val="00DF0ED7"/>
    <w:rsid w:val="00DF123F"/>
    <w:rsid w:val="00DF12B3"/>
    <w:rsid w:val="00DF13F9"/>
    <w:rsid w:val="00DF16D3"/>
    <w:rsid w:val="00DF17D8"/>
    <w:rsid w:val="00DF1A16"/>
    <w:rsid w:val="00DF1C08"/>
    <w:rsid w:val="00DF21F4"/>
    <w:rsid w:val="00DF2409"/>
    <w:rsid w:val="00DF2583"/>
    <w:rsid w:val="00DF26B1"/>
    <w:rsid w:val="00DF2865"/>
    <w:rsid w:val="00DF2CE5"/>
    <w:rsid w:val="00DF2E7F"/>
    <w:rsid w:val="00DF3158"/>
    <w:rsid w:val="00DF3219"/>
    <w:rsid w:val="00DF3814"/>
    <w:rsid w:val="00DF3BF6"/>
    <w:rsid w:val="00DF3DA5"/>
    <w:rsid w:val="00DF4400"/>
    <w:rsid w:val="00DF480A"/>
    <w:rsid w:val="00DF4CAF"/>
    <w:rsid w:val="00DF4FB9"/>
    <w:rsid w:val="00DF504C"/>
    <w:rsid w:val="00DF52D1"/>
    <w:rsid w:val="00DF5789"/>
    <w:rsid w:val="00DF5984"/>
    <w:rsid w:val="00DF5A45"/>
    <w:rsid w:val="00DF6037"/>
    <w:rsid w:val="00DF630F"/>
    <w:rsid w:val="00DF663B"/>
    <w:rsid w:val="00DF6BBE"/>
    <w:rsid w:val="00DF6E21"/>
    <w:rsid w:val="00DF71D8"/>
    <w:rsid w:val="00E006FB"/>
    <w:rsid w:val="00E00719"/>
    <w:rsid w:val="00E0085F"/>
    <w:rsid w:val="00E0188B"/>
    <w:rsid w:val="00E01CA7"/>
    <w:rsid w:val="00E020CB"/>
    <w:rsid w:val="00E02D07"/>
    <w:rsid w:val="00E02E95"/>
    <w:rsid w:val="00E033BA"/>
    <w:rsid w:val="00E03692"/>
    <w:rsid w:val="00E037C1"/>
    <w:rsid w:val="00E0382F"/>
    <w:rsid w:val="00E03980"/>
    <w:rsid w:val="00E03DA9"/>
    <w:rsid w:val="00E041EC"/>
    <w:rsid w:val="00E047AD"/>
    <w:rsid w:val="00E0489F"/>
    <w:rsid w:val="00E05450"/>
    <w:rsid w:val="00E05743"/>
    <w:rsid w:val="00E058EE"/>
    <w:rsid w:val="00E05C35"/>
    <w:rsid w:val="00E05E5A"/>
    <w:rsid w:val="00E06676"/>
    <w:rsid w:val="00E066F5"/>
    <w:rsid w:val="00E06A0D"/>
    <w:rsid w:val="00E0716E"/>
    <w:rsid w:val="00E073BA"/>
    <w:rsid w:val="00E075DE"/>
    <w:rsid w:val="00E0775F"/>
    <w:rsid w:val="00E07AA3"/>
    <w:rsid w:val="00E07AB5"/>
    <w:rsid w:val="00E10A5A"/>
    <w:rsid w:val="00E10C82"/>
    <w:rsid w:val="00E10EC8"/>
    <w:rsid w:val="00E11D68"/>
    <w:rsid w:val="00E11DB0"/>
    <w:rsid w:val="00E120FC"/>
    <w:rsid w:val="00E1213E"/>
    <w:rsid w:val="00E1219F"/>
    <w:rsid w:val="00E1220B"/>
    <w:rsid w:val="00E1228B"/>
    <w:rsid w:val="00E12742"/>
    <w:rsid w:val="00E12812"/>
    <w:rsid w:val="00E12CBB"/>
    <w:rsid w:val="00E12D6C"/>
    <w:rsid w:val="00E12EDF"/>
    <w:rsid w:val="00E13408"/>
    <w:rsid w:val="00E14153"/>
    <w:rsid w:val="00E1448C"/>
    <w:rsid w:val="00E14B7B"/>
    <w:rsid w:val="00E14D04"/>
    <w:rsid w:val="00E15B76"/>
    <w:rsid w:val="00E16431"/>
    <w:rsid w:val="00E16805"/>
    <w:rsid w:val="00E1695A"/>
    <w:rsid w:val="00E16B28"/>
    <w:rsid w:val="00E16CA5"/>
    <w:rsid w:val="00E16D2F"/>
    <w:rsid w:val="00E17820"/>
    <w:rsid w:val="00E17B40"/>
    <w:rsid w:val="00E17D6E"/>
    <w:rsid w:val="00E17F71"/>
    <w:rsid w:val="00E17F94"/>
    <w:rsid w:val="00E20DD3"/>
    <w:rsid w:val="00E2102D"/>
    <w:rsid w:val="00E21224"/>
    <w:rsid w:val="00E2148C"/>
    <w:rsid w:val="00E21C86"/>
    <w:rsid w:val="00E21EAD"/>
    <w:rsid w:val="00E21F8A"/>
    <w:rsid w:val="00E223B3"/>
    <w:rsid w:val="00E22541"/>
    <w:rsid w:val="00E22D6F"/>
    <w:rsid w:val="00E22E87"/>
    <w:rsid w:val="00E2360B"/>
    <w:rsid w:val="00E23C52"/>
    <w:rsid w:val="00E23C67"/>
    <w:rsid w:val="00E23CEF"/>
    <w:rsid w:val="00E23D0D"/>
    <w:rsid w:val="00E23FAE"/>
    <w:rsid w:val="00E245C3"/>
    <w:rsid w:val="00E246BA"/>
    <w:rsid w:val="00E247DE"/>
    <w:rsid w:val="00E24BC4"/>
    <w:rsid w:val="00E24F76"/>
    <w:rsid w:val="00E2631F"/>
    <w:rsid w:val="00E2675C"/>
    <w:rsid w:val="00E26A6B"/>
    <w:rsid w:val="00E26D12"/>
    <w:rsid w:val="00E2764E"/>
    <w:rsid w:val="00E27665"/>
    <w:rsid w:val="00E278AC"/>
    <w:rsid w:val="00E27BEE"/>
    <w:rsid w:val="00E27F69"/>
    <w:rsid w:val="00E3052B"/>
    <w:rsid w:val="00E30EEA"/>
    <w:rsid w:val="00E31471"/>
    <w:rsid w:val="00E31710"/>
    <w:rsid w:val="00E32188"/>
    <w:rsid w:val="00E328D8"/>
    <w:rsid w:val="00E32CE2"/>
    <w:rsid w:val="00E32D37"/>
    <w:rsid w:val="00E32F10"/>
    <w:rsid w:val="00E33B59"/>
    <w:rsid w:val="00E33C12"/>
    <w:rsid w:val="00E33F65"/>
    <w:rsid w:val="00E34142"/>
    <w:rsid w:val="00E3460C"/>
    <w:rsid w:val="00E3489A"/>
    <w:rsid w:val="00E3495E"/>
    <w:rsid w:val="00E35CB7"/>
    <w:rsid w:val="00E35F92"/>
    <w:rsid w:val="00E3617F"/>
    <w:rsid w:val="00E3638F"/>
    <w:rsid w:val="00E36453"/>
    <w:rsid w:val="00E37667"/>
    <w:rsid w:val="00E4024F"/>
    <w:rsid w:val="00E406DA"/>
    <w:rsid w:val="00E40707"/>
    <w:rsid w:val="00E40ADA"/>
    <w:rsid w:val="00E40B1E"/>
    <w:rsid w:val="00E415FC"/>
    <w:rsid w:val="00E4170E"/>
    <w:rsid w:val="00E41911"/>
    <w:rsid w:val="00E4246E"/>
    <w:rsid w:val="00E43398"/>
    <w:rsid w:val="00E43AA3"/>
    <w:rsid w:val="00E43EB0"/>
    <w:rsid w:val="00E43FB8"/>
    <w:rsid w:val="00E44214"/>
    <w:rsid w:val="00E44A83"/>
    <w:rsid w:val="00E44BFF"/>
    <w:rsid w:val="00E44C59"/>
    <w:rsid w:val="00E453AF"/>
    <w:rsid w:val="00E4549D"/>
    <w:rsid w:val="00E45BF2"/>
    <w:rsid w:val="00E45DEA"/>
    <w:rsid w:val="00E4677E"/>
    <w:rsid w:val="00E46935"/>
    <w:rsid w:val="00E47684"/>
    <w:rsid w:val="00E47A76"/>
    <w:rsid w:val="00E500ED"/>
    <w:rsid w:val="00E50366"/>
    <w:rsid w:val="00E50C4C"/>
    <w:rsid w:val="00E51829"/>
    <w:rsid w:val="00E52D7D"/>
    <w:rsid w:val="00E52E0B"/>
    <w:rsid w:val="00E53651"/>
    <w:rsid w:val="00E53DCD"/>
    <w:rsid w:val="00E54030"/>
    <w:rsid w:val="00E54066"/>
    <w:rsid w:val="00E54291"/>
    <w:rsid w:val="00E54585"/>
    <w:rsid w:val="00E5459C"/>
    <w:rsid w:val="00E5475E"/>
    <w:rsid w:val="00E549C2"/>
    <w:rsid w:val="00E55537"/>
    <w:rsid w:val="00E557B5"/>
    <w:rsid w:val="00E55CD8"/>
    <w:rsid w:val="00E55E1B"/>
    <w:rsid w:val="00E56BD8"/>
    <w:rsid w:val="00E56F3C"/>
    <w:rsid w:val="00E574B1"/>
    <w:rsid w:val="00E57B6A"/>
    <w:rsid w:val="00E57D28"/>
    <w:rsid w:val="00E60952"/>
    <w:rsid w:val="00E616CC"/>
    <w:rsid w:val="00E61819"/>
    <w:rsid w:val="00E61E23"/>
    <w:rsid w:val="00E620A6"/>
    <w:rsid w:val="00E6210D"/>
    <w:rsid w:val="00E62171"/>
    <w:rsid w:val="00E62656"/>
    <w:rsid w:val="00E62768"/>
    <w:rsid w:val="00E62781"/>
    <w:rsid w:val="00E62E62"/>
    <w:rsid w:val="00E62F0B"/>
    <w:rsid w:val="00E633BF"/>
    <w:rsid w:val="00E6448D"/>
    <w:rsid w:val="00E6462C"/>
    <w:rsid w:val="00E64745"/>
    <w:rsid w:val="00E64A14"/>
    <w:rsid w:val="00E65BCA"/>
    <w:rsid w:val="00E65F73"/>
    <w:rsid w:val="00E65F80"/>
    <w:rsid w:val="00E66365"/>
    <w:rsid w:val="00E664B9"/>
    <w:rsid w:val="00E66FF1"/>
    <w:rsid w:val="00E672DE"/>
    <w:rsid w:val="00E70029"/>
    <w:rsid w:val="00E70AAC"/>
    <w:rsid w:val="00E70C5F"/>
    <w:rsid w:val="00E71702"/>
    <w:rsid w:val="00E718FA"/>
    <w:rsid w:val="00E719D3"/>
    <w:rsid w:val="00E720FE"/>
    <w:rsid w:val="00E7210E"/>
    <w:rsid w:val="00E72A86"/>
    <w:rsid w:val="00E72C29"/>
    <w:rsid w:val="00E72D83"/>
    <w:rsid w:val="00E730C6"/>
    <w:rsid w:val="00E73583"/>
    <w:rsid w:val="00E73A50"/>
    <w:rsid w:val="00E73E05"/>
    <w:rsid w:val="00E7442B"/>
    <w:rsid w:val="00E748F5"/>
    <w:rsid w:val="00E74DB2"/>
    <w:rsid w:val="00E74EE7"/>
    <w:rsid w:val="00E75023"/>
    <w:rsid w:val="00E75236"/>
    <w:rsid w:val="00E75D1A"/>
    <w:rsid w:val="00E75E52"/>
    <w:rsid w:val="00E766C1"/>
    <w:rsid w:val="00E76782"/>
    <w:rsid w:val="00E76956"/>
    <w:rsid w:val="00E76AE4"/>
    <w:rsid w:val="00E76B6E"/>
    <w:rsid w:val="00E76DB9"/>
    <w:rsid w:val="00E77030"/>
    <w:rsid w:val="00E773C5"/>
    <w:rsid w:val="00E77744"/>
    <w:rsid w:val="00E777AD"/>
    <w:rsid w:val="00E779CB"/>
    <w:rsid w:val="00E80B80"/>
    <w:rsid w:val="00E814BC"/>
    <w:rsid w:val="00E81603"/>
    <w:rsid w:val="00E81756"/>
    <w:rsid w:val="00E81A4E"/>
    <w:rsid w:val="00E81A79"/>
    <w:rsid w:val="00E82946"/>
    <w:rsid w:val="00E829A1"/>
    <w:rsid w:val="00E82C70"/>
    <w:rsid w:val="00E82DC8"/>
    <w:rsid w:val="00E83D1B"/>
    <w:rsid w:val="00E84AB4"/>
    <w:rsid w:val="00E84B48"/>
    <w:rsid w:val="00E84CC9"/>
    <w:rsid w:val="00E84EBF"/>
    <w:rsid w:val="00E85188"/>
    <w:rsid w:val="00E8590A"/>
    <w:rsid w:val="00E85C14"/>
    <w:rsid w:val="00E85EFE"/>
    <w:rsid w:val="00E85F38"/>
    <w:rsid w:val="00E861A8"/>
    <w:rsid w:val="00E8664F"/>
    <w:rsid w:val="00E86ED2"/>
    <w:rsid w:val="00E87080"/>
    <w:rsid w:val="00E871DB"/>
    <w:rsid w:val="00E87629"/>
    <w:rsid w:val="00E87846"/>
    <w:rsid w:val="00E87853"/>
    <w:rsid w:val="00E90075"/>
    <w:rsid w:val="00E90423"/>
    <w:rsid w:val="00E9047F"/>
    <w:rsid w:val="00E90630"/>
    <w:rsid w:val="00E90C12"/>
    <w:rsid w:val="00E90F1F"/>
    <w:rsid w:val="00E915DE"/>
    <w:rsid w:val="00E91621"/>
    <w:rsid w:val="00E9187D"/>
    <w:rsid w:val="00E91C47"/>
    <w:rsid w:val="00E91D47"/>
    <w:rsid w:val="00E91FEE"/>
    <w:rsid w:val="00E92935"/>
    <w:rsid w:val="00E9426C"/>
    <w:rsid w:val="00E94784"/>
    <w:rsid w:val="00E949D3"/>
    <w:rsid w:val="00E94A10"/>
    <w:rsid w:val="00E958D6"/>
    <w:rsid w:val="00E95D01"/>
    <w:rsid w:val="00E95F82"/>
    <w:rsid w:val="00E96141"/>
    <w:rsid w:val="00E96473"/>
    <w:rsid w:val="00E96829"/>
    <w:rsid w:val="00E9686D"/>
    <w:rsid w:val="00E9720F"/>
    <w:rsid w:val="00E9757C"/>
    <w:rsid w:val="00E9760E"/>
    <w:rsid w:val="00E9778F"/>
    <w:rsid w:val="00E97928"/>
    <w:rsid w:val="00E97A5E"/>
    <w:rsid w:val="00EA0D57"/>
    <w:rsid w:val="00EA0E45"/>
    <w:rsid w:val="00EA1EAD"/>
    <w:rsid w:val="00EA205B"/>
    <w:rsid w:val="00EA3628"/>
    <w:rsid w:val="00EA36D3"/>
    <w:rsid w:val="00EA3702"/>
    <w:rsid w:val="00EA38FA"/>
    <w:rsid w:val="00EA3AA9"/>
    <w:rsid w:val="00EA446D"/>
    <w:rsid w:val="00EA460C"/>
    <w:rsid w:val="00EA4907"/>
    <w:rsid w:val="00EA4974"/>
    <w:rsid w:val="00EA4A2E"/>
    <w:rsid w:val="00EA4BCD"/>
    <w:rsid w:val="00EA4CE0"/>
    <w:rsid w:val="00EA4EE3"/>
    <w:rsid w:val="00EA5058"/>
    <w:rsid w:val="00EA52B7"/>
    <w:rsid w:val="00EA5618"/>
    <w:rsid w:val="00EA5AC7"/>
    <w:rsid w:val="00EA6303"/>
    <w:rsid w:val="00EA63E7"/>
    <w:rsid w:val="00EA67FD"/>
    <w:rsid w:val="00EA6872"/>
    <w:rsid w:val="00EA69A8"/>
    <w:rsid w:val="00EA6B29"/>
    <w:rsid w:val="00EA6B90"/>
    <w:rsid w:val="00EA6EA1"/>
    <w:rsid w:val="00EA740F"/>
    <w:rsid w:val="00EA7587"/>
    <w:rsid w:val="00EA7A0F"/>
    <w:rsid w:val="00EB0043"/>
    <w:rsid w:val="00EB04B5"/>
    <w:rsid w:val="00EB06AF"/>
    <w:rsid w:val="00EB1023"/>
    <w:rsid w:val="00EB1073"/>
    <w:rsid w:val="00EB199B"/>
    <w:rsid w:val="00EB1BC0"/>
    <w:rsid w:val="00EB210B"/>
    <w:rsid w:val="00EB2248"/>
    <w:rsid w:val="00EB2453"/>
    <w:rsid w:val="00EB269D"/>
    <w:rsid w:val="00EB2979"/>
    <w:rsid w:val="00EB36CB"/>
    <w:rsid w:val="00EB39F9"/>
    <w:rsid w:val="00EB3BCE"/>
    <w:rsid w:val="00EB3FD7"/>
    <w:rsid w:val="00EB407E"/>
    <w:rsid w:val="00EB47E5"/>
    <w:rsid w:val="00EB4CEC"/>
    <w:rsid w:val="00EB5877"/>
    <w:rsid w:val="00EB5A86"/>
    <w:rsid w:val="00EB5CAD"/>
    <w:rsid w:val="00EB61ED"/>
    <w:rsid w:val="00EB621E"/>
    <w:rsid w:val="00EB65A1"/>
    <w:rsid w:val="00EB6633"/>
    <w:rsid w:val="00EB684B"/>
    <w:rsid w:val="00EB6F79"/>
    <w:rsid w:val="00EB730C"/>
    <w:rsid w:val="00EB7561"/>
    <w:rsid w:val="00EB7939"/>
    <w:rsid w:val="00EB7B45"/>
    <w:rsid w:val="00EB7C89"/>
    <w:rsid w:val="00EC0324"/>
    <w:rsid w:val="00EC0DD2"/>
    <w:rsid w:val="00EC0E73"/>
    <w:rsid w:val="00EC13B2"/>
    <w:rsid w:val="00EC1543"/>
    <w:rsid w:val="00EC1ABE"/>
    <w:rsid w:val="00EC23B5"/>
    <w:rsid w:val="00EC2BC2"/>
    <w:rsid w:val="00EC2C2F"/>
    <w:rsid w:val="00EC2CF2"/>
    <w:rsid w:val="00EC2D72"/>
    <w:rsid w:val="00EC2DE4"/>
    <w:rsid w:val="00EC3159"/>
    <w:rsid w:val="00EC323A"/>
    <w:rsid w:val="00EC34E3"/>
    <w:rsid w:val="00EC3700"/>
    <w:rsid w:val="00EC37CE"/>
    <w:rsid w:val="00EC3C14"/>
    <w:rsid w:val="00EC3D4A"/>
    <w:rsid w:val="00EC3FFF"/>
    <w:rsid w:val="00EC4820"/>
    <w:rsid w:val="00EC4901"/>
    <w:rsid w:val="00EC5062"/>
    <w:rsid w:val="00EC53F0"/>
    <w:rsid w:val="00EC581C"/>
    <w:rsid w:val="00EC5DD1"/>
    <w:rsid w:val="00EC686E"/>
    <w:rsid w:val="00EC68D3"/>
    <w:rsid w:val="00EC6B20"/>
    <w:rsid w:val="00EC70F7"/>
    <w:rsid w:val="00EC7B23"/>
    <w:rsid w:val="00EC7EB7"/>
    <w:rsid w:val="00EC7F4A"/>
    <w:rsid w:val="00ED0291"/>
    <w:rsid w:val="00ED0516"/>
    <w:rsid w:val="00ED053F"/>
    <w:rsid w:val="00ED0BC4"/>
    <w:rsid w:val="00ED198F"/>
    <w:rsid w:val="00ED1A2D"/>
    <w:rsid w:val="00ED1BFF"/>
    <w:rsid w:val="00ED241C"/>
    <w:rsid w:val="00ED26AE"/>
    <w:rsid w:val="00ED28D4"/>
    <w:rsid w:val="00ED296D"/>
    <w:rsid w:val="00ED2B38"/>
    <w:rsid w:val="00ED2F2E"/>
    <w:rsid w:val="00ED3A50"/>
    <w:rsid w:val="00ED4090"/>
    <w:rsid w:val="00ED4348"/>
    <w:rsid w:val="00ED43DA"/>
    <w:rsid w:val="00ED46D7"/>
    <w:rsid w:val="00ED4C1B"/>
    <w:rsid w:val="00ED529E"/>
    <w:rsid w:val="00ED542F"/>
    <w:rsid w:val="00ED66C5"/>
    <w:rsid w:val="00ED6A8D"/>
    <w:rsid w:val="00ED6B2E"/>
    <w:rsid w:val="00ED6EBD"/>
    <w:rsid w:val="00ED710B"/>
    <w:rsid w:val="00ED7133"/>
    <w:rsid w:val="00ED796E"/>
    <w:rsid w:val="00EE11F8"/>
    <w:rsid w:val="00EE14A7"/>
    <w:rsid w:val="00EE190E"/>
    <w:rsid w:val="00EE1BEB"/>
    <w:rsid w:val="00EE1E35"/>
    <w:rsid w:val="00EE27E2"/>
    <w:rsid w:val="00EE2819"/>
    <w:rsid w:val="00EE2EC4"/>
    <w:rsid w:val="00EE38B4"/>
    <w:rsid w:val="00EE392A"/>
    <w:rsid w:val="00EE3A60"/>
    <w:rsid w:val="00EE3B06"/>
    <w:rsid w:val="00EE3B46"/>
    <w:rsid w:val="00EE3F23"/>
    <w:rsid w:val="00EE4B2A"/>
    <w:rsid w:val="00EE5009"/>
    <w:rsid w:val="00EE59ED"/>
    <w:rsid w:val="00EE60A1"/>
    <w:rsid w:val="00EE6168"/>
    <w:rsid w:val="00EE6853"/>
    <w:rsid w:val="00EE6C9F"/>
    <w:rsid w:val="00EE7E5F"/>
    <w:rsid w:val="00EF01F1"/>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2F6"/>
    <w:rsid w:val="00EF40E2"/>
    <w:rsid w:val="00EF4580"/>
    <w:rsid w:val="00EF4D4A"/>
    <w:rsid w:val="00EF4EF1"/>
    <w:rsid w:val="00EF4F30"/>
    <w:rsid w:val="00EF539F"/>
    <w:rsid w:val="00EF5925"/>
    <w:rsid w:val="00EF662C"/>
    <w:rsid w:val="00EF6928"/>
    <w:rsid w:val="00EF6DB5"/>
    <w:rsid w:val="00EF6FA9"/>
    <w:rsid w:val="00EF7405"/>
    <w:rsid w:val="00EF78EA"/>
    <w:rsid w:val="00EF7ED5"/>
    <w:rsid w:val="00F016E4"/>
    <w:rsid w:val="00F017DC"/>
    <w:rsid w:val="00F01CB5"/>
    <w:rsid w:val="00F01E6C"/>
    <w:rsid w:val="00F02075"/>
    <w:rsid w:val="00F03219"/>
    <w:rsid w:val="00F03702"/>
    <w:rsid w:val="00F03C06"/>
    <w:rsid w:val="00F04097"/>
    <w:rsid w:val="00F045E2"/>
    <w:rsid w:val="00F04CAD"/>
    <w:rsid w:val="00F04EA7"/>
    <w:rsid w:val="00F051B0"/>
    <w:rsid w:val="00F05409"/>
    <w:rsid w:val="00F06034"/>
    <w:rsid w:val="00F06448"/>
    <w:rsid w:val="00F065D0"/>
    <w:rsid w:val="00F0689B"/>
    <w:rsid w:val="00F06E30"/>
    <w:rsid w:val="00F06E52"/>
    <w:rsid w:val="00F06F62"/>
    <w:rsid w:val="00F077E9"/>
    <w:rsid w:val="00F078AE"/>
    <w:rsid w:val="00F07EC3"/>
    <w:rsid w:val="00F07FE8"/>
    <w:rsid w:val="00F100E0"/>
    <w:rsid w:val="00F10625"/>
    <w:rsid w:val="00F1079D"/>
    <w:rsid w:val="00F11081"/>
    <w:rsid w:val="00F11209"/>
    <w:rsid w:val="00F11547"/>
    <w:rsid w:val="00F11A95"/>
    <w:rsid w:val="00F11C39"/>
    <w:rsid w:val="00F11CEB"/>
    <w:rsid w:val="00F1248F"/>
    <w:rsid w:val="00F1264C"/>
    <w:rsid w:val="00F126D2"/>
    <w:rsid w:val="00F12C6A"/>
    <w:rsid w:val="00F130A4"/>
    <w:rsid w:val="00F13573"/>
    <w:rsid w:val="00F139E1"/>
    <w:rsid w:val="00F13A22"/>
    <w:rsid w:val="00F13EA0"/>
    <w:rsid w:val="00F140E4"/>
    <w:rsid w:val="00F14107"/>
    <w:rsid w:val="00F1457D"/>
    <w:rsid w:val="00F14673"/>
    <w:rsid w:val="00F1469A"/>
    <w:rsid w:val="00F1480E"/>
    <w:rsid w:val="00F149A3"/>
    <w:rsid w:val="00F1501B"/>
    <w:rsid w:val="00F15443"/>
    <w:rsid w:val="00F15BD1"/>
    <w:rsid w:val="00F16440"/>
    <w:rsid w:val="00F16554"/>
    <w:rsid w:val="00F1677E"/>
    <w:rsid w:val="00F174DB"/>
    <w:rsid w:val="00F1767B"/>
    <w:rsid w:val="00F17B2F"/>
    <w:rsid w:val="00F20583"/>
    <w:rsid w:val="00F20797"/>
    <w:rsid w:val="00F20E6E"/>
    <w:rsid w:val="00F21185"/>
    <w:rsid w:val="00F211C1"/>
    <w:rsid w:val="00F217CB"/>
    <w:rsid w:val="00F21874"/>
    <w:rsid w:val="00F2199E"/>
    <w:rsid w:val="00F21B43"/>
    <w:rsid w:val="00F21E65"/>
    <w:rsid w:val="00F21EEB"/>
    <w:rsid w:val="00F22268"/>
    <w:rsid w:val="00F2231E"/>
    <w:rsid w:val="00F22877"/>
    <w:rsid w:val="00F23077"/>
    <w:rsid w:val="00F234F2"/>
    <w:rsid w:val="00F236E1"/>
    <w:rsid w:val="00F23763"/>
    <w:rsid w:val="00F240F6"/>
    <w:rsid w:val="00F24486"/>
    <w:rsid w:val="00F24755"/>
    <w:rsid w:val="00F25875"/>
    <w:rsid w:val="00F25E7A"/>
    <w:rsid w:val="00F25F15"/>
    <w:rsid w:val="00F25FDD"/>
    <w:rsid w:val="00F26877"/>
    <w:rsid w:val="00F268BA"/>
    <w:rsid w:val="00F26D15"/>
    <w:rsid w:val="00F26E93"/>
    <w:rsid w:val="00F26F42"/>
    <w:rsid w:val="00F272E0"/>
    <w:rsid w:val="00F273BB"/>
    <w:rsid w:val="00F275D4"/>
    <w:rsid w:val="00F30562"/>
    <w:rsid w:val="00F30952"/>
    <w:rsid w:val="00F30CB3"/>
    <w:rsid w:val="00F3163A"/>
    <w:rsid w:val="00F31A97"/>
    <w:rsid w:val="00F31DDB"/>
    <w:rsid w:val="00F3200C"/>
    <w:rsid w:val="00F320EB"/>
    <w:rsid w:val="00F321E3"/>
    <w:rsid w:val="00F323D2"/>
    <w:rsid w:val="00F32665"/>
    <w:rsid w:val="00F32E30"/>
    <w:rsid w:val="00F32EE7"/>
    <w:rsid w:val="00F330A5"/>
    <w:rsid w:val="00F3344A"/>
    <w:rsid w:val="00F3372C"/>
    <w:rsid w:val="00F33FEC"/>
    <w:rsid w:val="00F3411B"/>
    <w:rsid w:val="00F3498B"/>
    <w:rsid w:val="00F35842"/>
    <w:rsid w:val="00F359EB"/>
    <w:rsid w:val="00F36501"/>
    <w:rsid w:val="00F36694"/>
    <w:rsid w:val="00F36CD4"/>
    <w:rsid w:val="00F3703F"/>
    <w:rsid w:val="00F3767D"/>
    <w:rsid w:val="00F37743"/>
    <w:rsid w:val="00F4012C"/>
    <w:rsid w:val="00F40607"/>
    <w:rsid w:val="00F4063A"/>
    <w:rsid w:val="00F4093E"/>
    <w:rsid w:val="00F40A93"/>
    <w:rsid w:val="00F4170C"/>
    <w:rsid w:val="00F41879"/>
    <w:rsid w:val="00F41CFF"/>
    <w:rsid w:val="00F42280"/>
    <w:rsid w:val="00F4243B"/>
    <w:rsid w:val="00F42646"/>
    <w:rsid w:val="00F42AC1"/>
    <w:rsid w:val="00F42EA6"/>
    <w:rsid w:val="00F42FD1"/>
    <w:rsid w:val="00F43598"/>
    <w:rsid w:val="00F436D2"/>
    <w:rsid w:val="00F43A0D"/>
    <w:rsid w:val="00F43BF4"/>
    <w:rsid w:val="00F44001"/>
    <w:rsid w:val="00F45032"/>
    <w:rsid w:val="00F4606E"/>
    <w:rsid w:val="00F461EB"/>
    <w:rsid w:val="00F4667C"/>
    <w:rsid w:val="00F46963"/>
    <w:rsid w:val="00F46E81"/>
    <w:rsid w:val="00F47047"/>
    <w:rsid w:val="00F4761B"/>
    <w:rsid w:val="00F4786F"/>
    <w:rsid w:val="00F4792C"/>
    <w:rsid w:val="00F47C30"/>
    <w:rsid w:val="00F50392"/>
    <w:rsid w:val="00F50828"/>
    <w:rsid w:val="00F50906"/>
    <w:rsid w:val="00F50AA7"/>
    <w:rsid w:val="00F50C49"/>
    <w:rsid w:val="00F515AB"/>
    <w:rsid w:val="00F517D6"/>
    <w:rsid w:val="00F51F1A"/>
    <w:rsid w:val="00F5211D"/>
    <w:rsid w:val="00F52C19"/>
    <w:rsid w:val="00F52CC2"/>
    <w:rsid w:val="00F53002"/>
    <w:rsid w:val="00F5365A"/>
    <w:rsid w:val="00F53743"/>
    <w:rsid w:val="00F53A09"/>
    <w:rsid w:val="00F53B8B"/>
    <w:rsid w:val="00F53C98"/>
    <w:rsid w:val="00F54714"/>
    <w:rsid w:val="00F54BA2"/>
    <w:rsid w:val="00F54C9C"/>
    <w:rsid w:val="00F554CF"/>
    <w:rsid w:val="00F558D4"/>
    <w:rsid w:val="00F55C3E"/>
    <w:rsid w:val="00F55FFC"/>
    <w:rsid w:val="00F56BF3"/>
    <w:rsid w:val="00F56F60"/>
    <w:rsid w:val="00F576B5"/>
    <w:rsid w:val="00F577C6"/>
    <w:rsid w:val="00F57800"/>
    <w:rsid w:val="00F57936"/>
    <w:rsid w:val="00F57F76"/>
    <w:rsid w:val="00F603F5"/>
    <w:rsid w:val="00F6081D"/>
    <w:rsid w:val="00F6083E"/>
    <w:rsid w:val="00F60B70"/>
    <w:rsid w:val="00F61372"/>
    <w:rsid w:val="00F6185D"/>
    <w:rsid w:val="00F61FC9"/>
    <w:rsid w:val="00F62238"/>
    <w:rsid w:val="00F6223E"/>
    <w:rsid w:val="00F622FD"/>
    <w:rsid w:val="00F62391"/>
    <w:rsid w:val="00F62A2D"/>
    <w:rsid w:val="00F62AC7"/>
    <w:rsid w:val="00F63A0E"/>
    <w:rsid w:val="00F63B07"/>
    <w:rsid w:val="00F63CED"/>
    <w:rsid w:val="00F6416D"/>
    <w:rsid w:val="00F642E8"/>
    <w:rsid w:val="00F64B72"/>
    <w:rsid w:val="00F64FC3"/>
    <w:rsid w:val="00F64FE7"/>
    <w:rsid w:val="00F655DB"/>
    <w:rsid w:val="00F658DA"/>
    <w:rsid w:val="00F65A96"/>
    <w:rsid w:val="00F65B4B"/>
    <w:rsid w:val="00F65B8A"/>
    <w:rsid w:val="00F65E8C"/>
    <w:rsid w:val="00F663A0"/>
    <w:rsid w:val="00F66F43"/>
    <w:rsid w:val="00F678E8"/>
    <w:rsid w:val="00F70D4F"/>
    <w:rsid w:val="00F70FD0"/>
    <w:rsid w:val="00F7113A"/>
    <w:rsid w:val="00F71278"/>
    <w:rsid w:val="00F712F4"/>
    <w:rsid w:val="00F7132A"/>
    <w:rsid w:val="00F721EA"/>
    <w:rsid w:val="00F723C0"/>
    <w:rsid w:val="00F7257B"/>
    <w:rsid w:val="00F72B0E"/>
    <w:rsid w:val="00F72BF8"/>
    <w:rsid w:val="00F72D40"/>
    <w:rsid w:val="00F72D4F"/>
    <w:rsid w:val="00F72F42"/>
    <w:rsid w:val="00F731D2"/>
    <w:rsid w:val="00F73A5D"/>
    <w:rsid w:val="00F73AC5"/>
    <w:rsid w:val="00F73C9D"/>
    <w:rsid w:val="00F73E94"/>
    <w:rsid w:val="00F73F5D"/>
    <w:rsid w:val="00F74FA0"/>
    <w:rsid w:val="00F75181"/>
    <w:rsid w:val="00F75320"/>
    <w:rsid w:val="00F75913"/>
    <w:rsid w:val="00F75E1F"/>
    <w:rsid w:val="00F76222"/>
    <w:rsid w:val="00F767F2"/>
    <w:rsid w:val="00F76AE7"/>
    <w:rsid w:val="00F76D63"/>
    <w:rsid w:val="00F76EF1"/>
    <w:rsid w:val="00F77075"/>
    <w:rsid w:val="00F77748"/>
    <w:rsid w:val="00F77E2A"/>
    <w:rsid w:val="00F804B2"/>
    <w:rsid w:val="00F8050A"/>
    <w:rsid w:val="00F80C8A"/>
    <w:rsid w:val="00F81169"/>
    <w:rsid w:val="00F8119C"/>
    <w:rsid w:val="00F813AF"/>
    <w:rsid w:val="00F82251"/>
    <w:rsid w:val="00F82403"/>
    <w:rsid w:val="00F82B0C"/>
    <w:rsid w:val="00F83339"/>
    <w:rsid w:val="00F83651"/>
    <w:rsid w:val="00F839FE"/>
    <w:rsid w:val="00F83D4F"/>
    <w:rsid w:val="00F8427A"/>
    <w:rsid w:val="00F84C70"/>
    <w:rsid w:val="00F84CA9"/>
    <w:rsid w:val="00F84E5D"/>
    <w:rsid w:val="00F85338"/>
    <w:rsid w:val="00F855E0"/>
    <w:rsid w:val="00F85A8A"/>
    <w:rsid w:val="00F85B92"/>
    <w:rsid w:val="00F85E5F"/>
    <w:rsid w:val="00F85FD0"/>
    <w:rsid w:val="00F866D0"/>
    <w:rsid w:val="00F8681C"/>
    <w:rsid w:val="00F86C07"/>
    <w:rsid w:val="00F87A7C"/>
    <w:rsid w:val="00F87D2B"/>
    <w:rsid w:val="00F9069B"/>
    <w:rsid w:val="00F90ACA"/>
    <w:rsid w:val="00F912FF"/>
    <w:rsid w:val="00F91578"/>
    <w:rsid w:val="00F919A5"/>
    <w:rsid w:val="00F91C99"/>
    <w:rsid w:val="00F92166"/>
    <w:rsid w:val="00F9266C"/>
    <w:rsid w:val="00F94078"/>
    <w:rsid w:val="00F9431A"/>
    <w:rsid w:val="00F94493"/>
    <w:rsid w:val="00F94CF3"/>
    <w:rsid w:val="00F9509D"/>
    <w:rsid w:val="00F957C9"/>
    <w:rsid w:val="00F95A85"/>
    <w:rsid w:val="00F95F8D"/>
    <w:rsid w:val="00F96182"/>
    <w:rsid w:val="00F963DA"/>
    <w:rsid w:val="00F96403"/>
    <w:rsid w:val="00F9643D"/>
    <w:rsid w:val="00F967F7"/>
    <w:rsid w:val="00F96ACB"/>
    <w:rsid w:val="00F972F3"/>
    <w:rsid w:val="00F9735E"/>
    <w:rsid w:val="00F97919"/>
    <w:rsid w:val="00F97C27"/>
    <w:rsid w:val="00FA084D"/>
    <w:rsid w:val="00FA106A"/>
    <w:rsid w:val="00FA2240"/>
    <w:rsid w:val="00FA27B3"/>
    <w:rsid w:val="00FA2FF6"/>
    <w:rsid w:val="00FA350E"/>
    <w:rsid w:val="00FA4023"/>
    <w:rsid w:val="00FA43A7"/>
    <w:rsid w:val="00FA44D9"/>
    <w:rsid w:val="00FA46C1"/>
    <w:rsid w:val="00FA49C3"/>
    <w:rsid w:val="00FA5B44"/>
    <w:rsid w:val="00FA5BA8"/>
    <w:rsid w:val="00FA68B5"/>
    <w:rsid w:val="00FA6CF1"/>
    <w:rsid w:val="00FA7753"/>
    <w:rsid w:val="00FA77BD"/>
    <w:rsid w:val="00FA7FCA"/>
    <w:rsid w:val="00FB01EC"/>
    <w:rsid w:val="00FB0AE6"/>
    <w:rsid w:val="00FB0CC7"/>
    <w:rsid w:val="00FB188E"/>
    <w:rsid w:val="00FB192B"/>
    <w:rsid w:val="00FB1935"/>
    <w:rsid w:val="00FB1A6B"/>
    <w:rsid w:val="00FB1D70"/>
    <w:rsid w:val="00FB20FB"/>
    <w:rsid w:val="00FB21C9"/>
    <w:rsid w:val="00FB240E"/>
    <w:rsid w:val="00FB280F"/>
    <w:rsid w:val="00FB2A0D"/>
    <w:rsid w:val="00FB2BE6"/>
    <w:rsid w:val="00FB2CA5"/>
    <w:rsid w:val="00FB3318"/>
    <w:rsid w:val="00FB3415"/>
    <w:rsid w:val="00FB35FD"/>
    <w:rsid w:val="00FB3A0C"/>
    <w:rsid w:val="00FB44B4"/>
    <w:rsid w:val="00FB463B"/>
    <w:rsid w:val="00FB4EAA"/>
    <w:rsid w:val="00FB5A06"/>
    <w:rsid w:val="00FB707F"/>
    <w:rsid w:val="00FB791F"/>
    <w:rsid w:val="00FB7943"/>
    <w:rsid w:val="00FB7C6D"/>
    <w:rsid w:val="00FB7F47"/>
    <w:rsid w:val="00FC04E5"/>
    <w:rsid w:val="00FC0734"/>
    <w:rsid w:val="00FC0957"/>
    <w:rsid w:val="00FC0FE0"/>
    <w:rsid w:val="00FC1B2C"/>
    <w:rsid w:val="00FC2034"/>
    <w:rsid w:val="00FC247E"/>
    <w:rsid w:val="00FC26AD"/>
    <w:rsid w:val="00FC2DF9"/>
    <w:rsid w:val="00FC317E"/>
    <w:rsid w:val="00FC328B"/>
    <w:rsid w:val="00FC32AD"/>
    <w:rsid w:val="00FC3BF1"/>
    <w:rsid w:val="00FC3FA0"/>
    <w:rsid w:val="00FC49E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613"/>
    <w:rsid w:val="00FD1638"/>
    <w:rsid w:val="00FD16BC"/>
    <w:rsid w:val="00FD1ECC"/>
    <w:rsid w:val="00FD1F92"/>
    <w:rsid w:val="00FD2722"/>
    <w:rsid w:val="00FD272A"/>
    <w:rsid w:val="00FD2B56"/>
    <w:rsid w:val="00FD2B89"/>
    <w:rsid w:val="00FD36F8"/>
    <w:rsid w:val="00FD4326"/>
    <w:rsid w:val="00FD4BC6"/>
    <w:rsid w:val="00FD5988"/>
    <w:rsid w:val="00FD59E3"/>
    <w:rsid w:val="00FD5C7D"/>
    <w:rsid w:val="00FD61CF"/>
    <w:rsid w:val="00FD63C4"/>
    <w:rsid w:val="00FD6A99"/>
    <w:rsid w:val="00FD6AEA"/>
    <w:rsid w:val="00FD6FB2"/>
    <w:rsid w:val="00FD7C2E"/>
    <w:rsid w:val="00FD7DB4"/>
    <w:rsid w:val="00FD7EB6"/>
    <w:rsid w:val="00FE098C"/>
    <w:rsid w:val="00FE0AF5"/>
    <w:rsid w:val="00FE0D21"/>
    <w:rsid w:val="00FE10A9"/>
    <w:rsid w:val="00FE1199"/>
    <w:rsid w:val="00FE1425"/>
    <w:rsid w:val="00FE14ED"/>
    <w:rsid w:val="00FE162B"/>
    <w:rsid w:val="00FE21E9"/>
    <w:rsid w:val="00FE2D16"/>
    <w:rsid w:val="00FE31B2"/>
    <w:rsid w:val="00FE3716"/>
    <w:rsid w:val="00FE3D19"/>
    <w:rsid w:val="00FE3DAA"/>
    <w:rsid w:val="00FE3E0F"/>
    <w:rsid w:val="00FE40EE"/>
    <w:rsid w:val="00FE4192"/>
    <w:rsid w:val="00FE4D74"/>
    <w:rsid w:val="00FE4EBE"/>
    <w:rsid w:val="00FE5456"/>
    <w:rsid w:val="00FE559F"/>
    <w:rsid w:val="00FE5DDE"/>
    <w:rsid w:val="00FE6281"/>
    <w:rsid w:val="00FE6865"/>
    <w:rsid w:val="00FE6BDE"/>
    <w:rsid w:val="00FE7473"/>
    <w:rsid w:val="00FE74AB"/>
    <w:rsid w:val="00FE766E"/>
    <w:rsid w:val="00FE7783"/>
    <w:rsid w:val="00FE790B"/>
    <w:rsid w:val="00FF0007"/>
    <w:rsid w:val="00FF03A2"/>
    <w:rsid w:val="00FF0A01"/>
    <w:rsid w:val="00FF0CD1"/>
    <w:rsid w:val="00FF1653"/>
    <w:rsid w:val="00FF231D"/>
    <w:rsid w:val="00FF28FE"/>
    <w:rsid w:val="00FF2BC0"/>
    <w:rsid w:val="00FF32A9"/>
    <w:rsid w:val="00FF33A9"/>
    <w:rsid w:val="00FF3582"/>
    <w:rsid w:val="00FF3907"/>
    <w:rsid w:val="00FF3BC9"/>
    <w:rsid w:val="00FF3FAC"/>
    <w:rsid w:val="00FF4016"/>
    <w:rsid w:val="00FF421B"/>
    <w:rsid w:val="00FF423A"/>
    <w:rsid w:val="00FF4F68"/>
    <w:rsid w:val="00FF5044"/>
    <w:rsid w:val="00FF52DE"/>
    <w:rsid w:val="00FF55D8"/>
    <w:rsid w:val="00FF565C"/>
    <w:rsid w:val="00FF5A1D"/>
    <w:rsid w:val="00FF5F0C"/>
    <w:rsid w:val="00FF6002"/>
    <w:rsid w:val="00FF601C"/>
    <w:rsid w:val="00FF6341"/>
    <w:rsid w:val="00FF64BE"/>
    <w:rsid w:val="00FF66D1"/>
    <w:rsid w:val="00FF70B5"/>
    <w:rsid w:val="00FF7189"/>
    <w:rsid w:val="00FF7721"/>
    <w:rsid w:val="00FF7E98"/>
    <w:rsid w:val="00FF7F30"/>
    <w:rsid w:val="010D427B"/>
    <w:rsid w:val="011A11A4"/>
    <w:rsid w:val="013D1966"/>
    <w:rsid w:val="01405559"/>
    <w:rsid w:val="014B5B44"/>
    <w:rsid w:val="01762172"/>
    <w:rsid w:val="0182219D"/>
    <w:rsid w:val="018C5F7F"/>
    <w:rsid w:val="01BE4069"/>
    <w:rsid w:val="01BE5800"/>
    <w:rsid w:val="01D70F12"/>
    <w:rsid w:val="01E46F65"/>
    <w:rsid w:val="02063FE0"/>
    <w:rsid w:val="02661A7B"/>
    <w:rsid w:val="028E2C3F"/>
    <w:rsid w:val="02E536DD"/>
    <w:rsid w:val="034675D0"/>
    <w:rsid w:val="035E737B"/>
    <w:rsid w:val="037D3DF5"/>
    <w:rsid w:val="03F06C42"/>
    <w:rsid w:val="041B3357"/>
    <w:rsid w:val="04B05649"/>
    <w:rsid w:val="04C34346"/>
    <w:rsid w:val="04E30437"/>
    <w:rsid w:val="050C2C6B"/>
    <w:rsid w:val="05284B01"/>
    <w:rsid w:val="052C6D8B"/>
    <w:rsid w:val="05465FD3"/>
    <w:rsid w:val="057B238D"/>
    <w:rsid w:val="05A45750"/>
    <w:rsid w:val="05AA6786"/>
    <w:rsid w:val="05C8248C"/>
    <w:rsid w:val="05F41FAA"/>
    <w:rsid w:val="05F45E3B"/>
    <w:rsid w:val="063B78DC"/>
    <w:rsid w:val="06971FEE"/>
    <w:rsid w:val="06C123D8"/>
    <w:rsid w:val="07357699"/>
    <w:rsid w:val="0759191E"/>
    <w:rsid w:val="076E0F6D"/>
    <w:rsid w:val="07B73EB6"/>
    <w:rsid w:val="07E84F31"/>
    <w:rsid w:val="0839529D"/>
    <w:rsid w:val="08984829"/>
    <w:rsid w:val="08CA13FE"/>
    <w:rsid w:val="09806D25"/>
    <w:rsid w:val="09974C33"/>
    <w:rsid w:val="09B82947"/>
    <w:rsid w:val="0A304297"/>
    <w:rsid w:val="0A8C5FC6"/>
    <w:rsid w:val="0B2A7612"/>
    <w:rsid w:val="0B904506"/>
    <w:rsid w:val="0BF958C7"/>
    <w:rsid w:val="0C2561A2"/>
    <w:rsid w:val="0C3F3332"/>
    <w:rsid w:val="0C5A09A9"/>
    <w:rsid w:val="0C5E5E59"/>
    <w:rsid w:val="0C9F38DD"/>
    <w:rsid w:val="0CDB719E"/>
    <w:rsid w:val="0D56019D"/>
    <w:rsid w:val="0E0812B7"/>
    <w:rsid w:val="0E407559"/>
    <w:rsid w:val="0E4902FE"/>
    <w:rsid w:val="0EAB6A73"/>
    <w:rsid w:val="0EC86388"/>
    <w:rsid w:val="0F0260AC"/>
    <w:rsid w:val="0F4D0707"/>
    <w:rsid w:val="0FB726D8"/>
    <w:rsid w:val="0FBA2A45"/>
    <w:rsid w:val="0FC41654"/>
    <w:rsid w:val="0FDE7285"/>
    <w:rsid w:val="1042721E"/>
    <w:rsid w:val="104C05B8"/>
    <w:rsid w:val="10A92F65"/>
    <w:rsid w:val="10AA5642"/>
    <w:rsid w:val="1147532F"/>
    <w:rsid w:val="118C2ED5"/>
    <w:rsid w:val="119A02EF"/>
    <w:rsid w:val="11B83D31"/>
    <w:rsid w:val="126F5DEF"/>
    <w:rsid w:val="12795B29"/>
    <w:rsid w:val="12B92258"/>
    <w:rsid w:val="12CC3ADE"/>
    <w:rsid w:val="12F62B63"/>
    <w:rsid w:val="131033BB"/>
    <w:rsid w:val="13696837"/>
    <w:rsid w:val="13B31AEC"/>
    <w:rsid w:val="13CD3114"/>
    <w:rsid w:val="13FE3FBA"/>
    <w:rsid w:val="140E1568"/>
    <w:rsid w:val="14353651"/>
    <w:rsid w:val="14404369"/>
    <w:rsid w:val="151F30B3"/>
    <w:rsid w:val="15BF51BB"/>
    <w:rsid w:val="16A04184"/>
    <w:rsid w:val="16E00B16"/>
    <w:rsid w:val="16FC4BC3"/>
    <w:rsid w:val="174048A5"/>
    <w:rsid w:val="175D674F"/>
    <w:rsid w:val="179055A0"/>
    <w:rsid w:val="17B53534"/>
    <w:rsid w:val="17BD7EC8"/>
    <w:rsid w:val="17CD2550"/>
    <w:rsid w:val="17E76D66"/>
    <w:rsid w:val="18114189"/>
    <w:rsid w:val="184C556E"/>
    <w:rsid w:val="1863496E"/>
    <w:rsid w:val="18F06F2D"/>
    <w:rsid w:val="18FC27B3"/>
    <w:rsid w:val="19090643"/>
    <w:rsid w:val="19117739"/>
    <w:rsid w:val="19403824"/>
    <w:rsid w:val="19AD7F51"/>
    <w:rsid w:val="19DB3F03"/>
    <w:rsid w:val="1A9E3747"/>
    <w:rsid w:val="1B1D2572"/>
    <w:rsid w:val="1B5F7814"/>
    <w:rsid w:val="1B857F5D"/>
    <w:rsid w:val="1BA50D14"/>
    <w:rsid w:val="1BA677E7"/>
    <w:rsid w:val="1BCF0CAE"/>
    <w:rsid w:val="1BE240CC"/>
    <w:rsid w:val="1C157D87"/>
    <w:rsid w:val="1C1B6D13"/>
    <w:rsid w:val="1C341497"/>
    <w:rsid w:val="1C625D30"/>
    <w:rsid w:val="1C7671E3"/>
    <w:rsid w:val="1C777601"/>
    <w:rsid w:val="1C7B6556"/>
    <w:rsid w:val="1C8A493E"/>
    <w:rsid w:val="1CCB6998"/>
    <w:rsid w:val="1CD6623F"/>
    <w:rsid w:val="1CF90898"/>
    <w:rsid w:val="1CFA0FE7"/>
    <w:rsid w:val="1D4824C2"/>
    <w:rsid w:val="1D8C69C4"/>
    <w:rsid w:val="1E1024E2"/>
    <w:rsid w:val="1E1C7C6C"/>
    <w:rsid w:val="1E786F00"/>
    <w:rsid w:val="1EE26B01"/>
    <w:rsid w:val="1F147CCD"/>
    <w:rsid w:val="1F1F65F5"/>
    <w:rsid w:val="1F227F17"/>
    <w:rsid w:val="1F343C02"/>
    <w:rsid w:val="1F674C92"/>
    <w:rsid w:val="1FAC7E53"/>
    <w:rsid w:val="1FC7052F"/>
    <w:rsid w:val="200008B3"/>
    <w:rsid w:val="20517FE3"/>
    <w:rsid w:val="20597707"/>
    <w:rsid w:val="209C3810"/>
    <w:rsid w:val="20CE2C18"/>
    <w:rsid w:val="21577705"/>
    <w:rsid w:val="217C1DAF"/>
    <w:rsid w:val="218220DE"/>
    <w:rsid w:val="21BF60EB"/>
    <w:rsid w:val="21FE096D"/>
    <w:rsid w:val="222C76C6"/>
    <w:rsid w:val="22466CF3"/>
    <w:rsid w:val="2253067F"/>
    <w:rsid w:val="22A344E7"/>
    <w:rsid w:val="22C9107A"/>
    <w:rsid w:val="22DE3197"/>
    <w:rsid w:val="230E0741"/>
    <w:rsid w:val="232E68DC"/>
    <w:rsid w:val="23493948"/>
    <w:rsid w:val="23715AB1"/>
    <w:rsid w:val="23B459CF"/>
    <w:rsid w:val="23CE1578"/>
    <w:rsid w:val="23F63E16"/>
    <w:rsid w:val="243A32C2"/>
    <w:rsid w:val="243F71F1"/>
    <w:rsid w:val="246221B3"/>
    <w:rsid w:val="24F25B18"/>
    <w:rsid w:val="25093A3B"/>
    <w:rsid w:val="25236D0D"/>
    <w:rsid w:val="252F645D"/>
    <w:rsid w:val="255E2F6B"/>
    <w:rsid w:val="25783C88"/>
    <w:rsid w:val="258858A9"/>
    <w:rsid w:val="25E21C3F"/>
    <w:rsid w:val="25F64D5E"/>
    <w:rsid w:val="265A67F9"/>
    <w:rsid w:val="26757E2C"/>
    <w:rsid w:val="26790701"/>
    <w:rsid w:val="26D6070D"/>
    <w:rsid w:val="273508EE"/>
    <w:rsid w:val="27483692"/>
    <w:rsid w:val="2761060E"/>
    <w:rsid w:val="276F6E45"/>
    <w:rsid w:val="278066D7"/>
    <w:rsid w:val="27827B0F"/>
    <w:rsid w:val="27886287"/>
    <w:rsid w:val="27F53526"/>
    <w:rsid w:val="27FA5E76"/>
    <w:rsid w:val="282910EA"/>
    <w:rsid w:val="28510862"/>
    <w:rsid w:val="28690FE5"/>
    <w:rsid w:val="288E2BD2"/>
    <w:rsid w:val="28BE4194"/>
    <w:rsid w:val="28DC50AB"/>
    <w:rsid w:val="28E54FC2"/>
    <w:rsid w:val="28E55271"/>
    <w:rsid w:val="28E7739E"/>
    <w:rsid w:val="2923374B"/>
    <w:rsid w:val="29B07BC3"/>
    <w:rsid w:val="29BD796F"/>
    <w:rsid w:val="2AAC3644"/>
    <w:rsid w:val="2B0122B4"/>
    <w:rsid w:val="2B3F0281"/>
    <w:rsid w:val="2B8946FF"/>
    <w:rsid w:val="2C0A4741"/>
    <w:rsid w:val="2C1C4AB5"/>
    <w:rsid w:val="2C773801"/>
    <w:rsid w:val="2C8A4A20"/>
    <w:rsid w:val="2CF86E08"/>
    <w:rsid w:val="2D975CC4"/>
    <w:rsid w:val="2D9B15EF"/>
    <w:rsid w:val="2E304308"/>
    <w:rsid w:val="2E336D9D"/>
    <w:rsid w:val="2E7F3BD6"/>
    <w:rsid w:val="2E940041"/>
    <w:rsid w:val="2EB26D79"/>
    <w:rsid w:val="2F16026E"/>
    <w:rsid w:val="2F7145F4"/>
    <w:rsid w:val="2F7545D9"/>
    <w:rsid w:val="2FAE20C9"/>
    <w:rsid w:val="301C1F55"/>
    <w:rsid w:val="30580298"/>
    <w:rsid w:val="30646F90"/>
    <w:rsid w:val="306F4706"/>
    <w:rsid w:val="30CB0402"/>
    <w:rsid w:val="310955F2"/>
    <w:rsid w:val="31197E88"/>
    <w:rsid w:val="312F34BF"/>
    <w:rsid w:val="31300F41"/>
    <w:rsid w:val="321E42BD"/>
    <w:rsid w:val="324D2681"/>
    <w:rsid w:val="328005C7"/>
    <w:rsid w:val="32A27B1D"/>
    <w:rsid w:val="33196BDD"/>
    <w:rsid w:val="33A81F62"/>
    <w:rsid w:val="342F3A6A"/>
    <w:rsid w:val="34457450"/>
    <w:rsid w:val="34A727F1"/>
    <w:rsid w:val="34BC749F"/>
    <w:rsid w:val="350874F1"/>
    <w:rsid w:val="350E185E"/>
    <w:rsid w:val="35373F98"/>
    <w:rsid w:val="35871ED9"/>
    <w:rsid w:val="35D471FD"/>
    <w:rsid w:val="36246068"/>
    <w:rsid w:val="36381C83"/>
    <w:rsid w:val="363B7932"/>
    <w:rsid w:val="3663634A"/>
    <w:rsid w:val="36AD7126"/>
    <w:rsid w:val="36D15C2A"/>
    <w:rsid w:val="36FA4BBC"/>
    <w:rsid w:val="371D61FE"/>
    <w:rsid w:val="374B5AC3"/>
    <w:rsid w:val="375F3C64"/>
    <w:rsid w:val="38187E4F"/>
    <w:rsid w:val="3820445B"/>
    <w:rsid w:val="38210467"/>
    <w:rsid w:val="38355A24"/>
    <w:rsid w:val="38401B73"/>
    <w:rsid w:val="384B1D2A"/>
    <w:rsid w:val="385D3B87"/>
    <w:rsid w:val="38C914AA"/>
    <w:rsid w:val="38F24247"/>
    <w:rsid w:val="39780BBB"/>
    <w:rsid w:val="39C26CD1"/>
    <w:rsid w:val="39D617F2"/>
    <w:rsid w:val="3A1D1852"/>
    <w:rsid w:val="3A2A1B78"/>
    <w:rsid w:val="3A767A79"/>
    <w:rsid w:val="3A9974DB"/>
    <w:rsid w:val="3ABD23EC"/>
    <w:rsid w:val="3AF41294"/>
    <w:rsid w:val="3AFA2251"/>
    <w:rsid w:val="3AFD268F"/>
    <w:rsid w:val="3B32642D"/>
    <w:rsid w:val="3B4E6F37"/>
    <w:rsid w:val="3B5C31EF"/>
    <w:rsid w:val="3B731AB5"/>
    <w:rsid w:val="3B833738"/>
    <w:rsid w:val="3B874762"/>
    <w:rsid w:val="3C0E7402"/>
    <w:rsid w:val="3C2527C5"/>
    <w:rsid w:val="3C2C0044"/>
    <w:rsid w:val="3C84642E"/>
    <w:rsid w:val="3C8D6DE4"/>
    <w:rsid w:val="3C912621"/>
    <w:rsid w:val="3D076745"/>
    <w:rsid w:val="3D6F75C9"/>
    <w:rsid w:val="3DE90F01"/>
    <w:rsid w:val="3E096DB3"/>
    <w:rsid w:val="3E160B00"/>
    <w:rsid w:val="3E266E35"/>
    <w:rsid w:val="3F4829A1"/>
    <w:rsid w:val="3F7F04D5"/>
    <w:rsid w:val="3FEB7AEB"/>
    <w:rsid w:val="3FF71B72"/>
    <w:rsid w:val="40A005F0"/>
    <w:rsid w:val="40DE3BB7"/>
    <w:rsid w:val="40E20083"/>
    <w:rsid w:val="416730DD"/>
    <w:rsid w:val="417D76A0"/>
    <w:rsid w:val="417E1386"/>
    <w:rsid w:val="41B230D5"/>
    <w:rsid w:val="421B75EB"/>
    <w:rsid w:val="422B6BF4"/>
    <w:rsid w:val="42347713"/>
    <w:rsid w:val="435636B8"/>
    <w:rsid w:val="43AD080E"/>
    <w:rsid w:val="43B00A8F"/>
    <w:rsid w:val="43FB7243"/>
    <w:rsid w:val="44CC7E6A"/>
    <w:rsid w:val="452545FE"/>
    <w:rsid w:val="454B391C"/>
    <w:rsid w:val="45511B47"/>
    <w:rsid w:val="45662D6A"/>
    <w:rsid w:val="459557D9"/>
    <w:rsid w:val="45A15DDB"/>
    <w:rsid w:val="45A3513D"/>
    <w:rsid w:val="45B22926"/>
    <w:rsid w:val="4681712C"/>
    <w:rsid w:val="4685793F"/>
    <w:rsid w:val="468B6718"/>
    <w:rsid w:val="473B23EB"/>
    <w:rsid w:val="47461F7B"/>
    <w:rsid w:val="476250CF"/>
    <w:rsid w:val="47B32EAB"/>
    <w:rsid w:val="47C40E8C"/>
    <w:rsid w:val="488E5795"/>
    <w:rsid w:val="48B1218F"/>
    <w:rsid w:val="48B14AB0"/>
    <w:rsid w:val="48BB286C"/>
    <w:rsid w:val="48D6123C"/>
    <w:rsid w:val="49150F51"/>
    <w:rsid w:val="49480BD4"/>
    <w:rsid w:val="496E11C3"/>
    <w:rsid w:val="498B5A38"/>
    <w:rsid w:val="499F04DF"/>
    <w:rsid w:val="49CB3BFF"/>
    <w:rsid w:val="4A695AAE"/>
    <w:rsid w:val="4A7966D6"/>
    <w:rsid w:val="4AA4619B"/>
    <w:rsid w:val="4AAE7A16"/>
    <w:rsid w:val="4ABD70AF"/>
    <w:rsid w:val="4AC62161"/>
    <w:rsid w:val="4B284D77"/>
    <w:rsid w:val="4BBD33CE"/>
    <w:rsid w:val="4BC07BD6"/>
    <w:rsid w:val="4BC24A77"/>
    <w:rsid w:val="4BEC1507"/>
    <w:rsid w:val="4C0E1F3B"/>
    <w:rsid w:val="4CB94CC1"/>
    <w:rsid w:val="4CBD0D73"/>
    <w:rsid w:val="4CD363C9"/>
    <w:rsid w:val="4D6A1607"/>
    <w:rsid w:val="4D7F6702"/>
    <w:rsid w:val="4DD27ACF"/>
    <w:rsid w:val="4E1A7ECD"/>
    <w:rsid w:val="4F123950"/>
    <w:rsid w:val="4F134C73"/>
    <w:rsid w:val="4F1D2E5C"/>
    <w:rsid w:val="507519D9"/>
    <w:rsid w:val="507A757C"/>
    <w:rsid w:val="5087462C"/>
    <w:rsid w:val="50EC442B"/>
    <w:rsid w:val="50EC654F"/>
    <w:rsid w:val="51047479"/>
    <w:rsid w:val="51193B9B"/>
    <w:rsid w:val="51632D16"/>
    <w:rsid w:val="517C422B"/>
    <w:rsid w:val="51824CF6"/>
    <w:rsid w:val="519F50F9"/>
    <w:rsid w:val="52080463"/>
    <w:rsid w:val="52127D7D"/>
    <w:rsid w:val="52412A63"/>
    <w:rsid w:val="52416E80"/>
    <w:rsid w:val="525672F6"/>
    <w:rsid w:val="52A41123"/>
    <w:rsid w:val="52E21751"/>
    <w:rsid w:val="530513FC"/>
    <w:rsid w:val="534179D1"/>
    <w:rsid w:val="53763D4D"/>
    <w:rsid w:val="54135280"/>
    <w:rsid w:val="5474391D"/>
    <w:rsid w:val="54DC2048"/>
    <w:rsid w:val="55135F6C"/>
    <w:rsid w:val="55252248"/>
    <w:rsid w:val="5526139C"/>
    <w:rsid w:val="552B2D26"/>
    <w:rsid w:val="554E1470"/>
    <w:rsid w:val="556F7038"/>
    <w:rsid w:val="55986D51"/>
    <w:rsid w:val="55C32DF1"/>
    <w:rsid w:val="55D42624"/>
    <w:rsid w:val="56133CA0"/>
    <w:rsid w:val="56160EC1"/>
    <w:rsid w:val="562055A1"/>
    <w:rsid w:val="56DD4ABD"/>
    <w:rsid w:val="56FC7AC4"/>
    <w:rsid w:val="5703231E"/>
    <w:rsid w:val="57116442"/>
    <w:rsid w:val="572850BA"/>
    <w:rsid w:val="5729188C"/>
    <w:rsid w:val="573C3783"/>
    <w:rsid w:val="578D3493"/>
    <w:rsid w:val="57A624DB"/>
    <w:rsid w:val="57FE75E2"/>
    <w:rsid w:val="58203FB3"/>
    <w:rsid w:val="586A7A45"/>
    <w:rsid w:val="58914C8B"/>
    <w:rsid w:val="58920462"/>
    <w:rsid w:val="58D227C5"/>
    <w:rsid w:val="58D76CAF"/>
    <w:rsid w:val="58E3423E"/>
    <w:rsid w:val="58F23ED5"/>
    <w:rsid w:val="5956205C"/>
    <w:rsid w:val="599E6CB8"/>
    <w:rsid w:val="59E031E2"/>
    <w:rsid w:val="5A5B5FB9"/>
    <w:rsid w:val="5AA974E8"/>
    <w:rsid w:val="5AD0387F"/>
    <w:rsid w:val="5B214990"/>
    <w:rsid w:val="5B8340E7"/>
    <w:rsid w:val="5B8D0599"/>
    <w:rsid w:val="5B937814"/>
    <w:rsid w:val="5BA627EA"/>
    <w:rsid w:val="5BAA125C"/>
    <w:rsid w:val="5BCF26A2"/>
    <w:rsid w:val="5C254E10"/>
    <w:rsid w:val="5C6E79F1"/>
    <w:rsid w:val="5C7F7E08"/>
    <w:rsid w:val="5C8657B1"/>
    <w:rsid w:val="5CA73484"/>
    <w:rsid w:val="5CB66DDB"/>
    <w:rsid w:val="5CDE5F6B"/>
    <w:rsid w:val="5CE5499C"/>
    <w:rsid w:val="5CE964FA"/>
    <w:rsid w:val="5D77243C"/>
    <w:rsid w:val="5DD60CDA"/>
    <w:rsid w:val="5E253D03"/>
    <w:rsid w:val="5E2F13E4"/>
    <w:rsid w:val="5E723AD5"/>
    <w:rsid w:val="5E9B17CF"/>
    <w:rsid w:val="5EC546B7"/>
    <w:rsid w:val="5EE01513"/>
    <w:rsid w:val="5F515511"/>
    <w:rsid w:val="5FA9036D"/>
    <w:rsid w:val="5FB20CF3"/>
    <w:rsid w:val="5FE20A6A"/>
    <w:rsid w:val="5FE80DF1"/>
    <w:rsid w:val="5FED079B"/>
    <w:rsid w:val="60394F33"/>
    <w:rsid w:val="60562A07"/>
    <w:rsid w:val="607A028C"/>
    <w:rsid w:val="60A11E99"/>
    <w:rsid w:val="60F63B21"/>
    <w:rsid w:val="61862DE9"/>
    <w:rsid w:val="61904268"/>
    <w:rsid w:val="61922827"/>
    <w:rsid w:val="61985AAE"/>
    <w:rsid w:val="619B21A0"/>
    <w:rsid w:val="61A24375"/>
    <w:rsid w:val="61B009D1"/>
    <w:rsid w:val="61C95215"/>
    <w:rsid w:val="61CF4043"/>
    <w:rsid w:val="61D563A6"/>
    <w:rsid w:val="620863D2"/>
    <w:rsid w:val="62197E84"/>
    <w:rsid w:val="626058BD"/>
    <w:rsid w:val="62AD0EA8"/>
    <w:rsid w:val="62BB6944"/>
    <w:rsid w:val="62D70238"/>
    <w:rsid w:val="62EF16DE"/>
    <w:rsid w:val="630014F2"/>
    <w:rsid w:val="63392A57"/>
    <w:rsid w:val="634E5810"/>
    <w:rsid w:val="636310DD"/>
    <w:rsid w:val="63834122"/>
    <w:rsid w:val="63A745AB"/>
    <w:rsid w:val="63A81226"/>
    <w:rsid w:val="63D02C15"/>
    <w:rsid w:val="63D66158"/>
    <w:rsid w:val="645657AD"/>
    <w:rsid w:val="645A0930"/>
    <w:rsid w:val="650A079C"/>
    <w:rsid w:val="651932EC"/>
    <w:rsid w:val="659F31C5"/>
    <w:rsid w:val="65A73E55"/>
    <w:rsid w:val="65E5355A"/>
    <w:rsid w:val="66063E6E"/>
    <w:rsid w:val="662B59CD"/>
    <w:rsid w:val="66DF783D"/>
    <w:rsid w:val="670A61AA"/>
    <w:rsid w:val="673C65F0"/>
    <w:rsid w:val="674A3D4F"/>
    <w:rsid w:val="679006E0"/>
    <w:rsid w:val="68196CFA"/>
    <w:rsid w:val="6864772D"/>
    <w:rsid w:val="68767A6C"/>
    <w:rsid w:val="68BC6A3B"/>
    <w:rsid w:val="68D2350A"/>
    <w:rsid w:val="6A121AD7"/>
    <w:rsid w:val="6A3C248C"/>
    <w:rsid w:val="6A8F6861"/>
    <w:rsid w:val="6ABA024E"/>
    <w:rsid w:val="6AD23B35"/>
    <w:rsid w:val="6B2B66DF"/>
    <w:rsid w:val="6B47600F"/>
    <w:rsid w:val="6B75585A"/>
    <w:rsid w:val="6C3226C6"/>
    <w:rsid w:val="6C545FF5"/>
    <w:rsid w:val="6C591BE2"/>
    <w:rsid w:val="6C97063E"/>
    <w:rsid w:val="6D554232"/>
    <w:rsid w:val="6D8220B7"/>
    <w:rsid w:val="6E0A4A26"/>
    <w:rsid w:val="6E5A4385"/>
    <w:rsid w:val="6E5E1B6C"/>
    <w:rsid w:val="6EE46A49"/>
    <w:rsid w:val="6EEF71D1"/>
    <w:rsid w:val="6EF04F82"/>
    <w:rsid w:val="6F021A16"/>
    <w:rsid w:val="6F1D40CE"/>
    <w:rsid w:val="70411FBB"/>
    <w:rsid w:val="7051517A"/>
    <w:rsid w:val="707A5A95"/>
    <w:rsid w:val="70A647A4"/>
    <w:rsid w:val="70AB0365"/>
    <w:rsid w:val="70C45C29"/>
    <w:rsid w:val="70D85BD1"/>
    <w:rsid w:val="715B338A"/>
    <w:rsid w:val="71695F18"/>
    <w:rsid w:val="716A7ADC"/>
    <w:rsid w:val="71DD525F"/>
    <w:rsid w:val="71DE2E53"/>
    <w:rsid w:val="721F39FF"/>
    <w:rsid w:val="723850D9"/>
    <w:rsid w:val="729E121E"/>
    <w:rsid w:val="72E23A7A"/>
    <w:rsid w:val="72F6179B"/>
    <w:rsid w:val="73023D3C"/>
    <w:rsid w:val="73384E20"/>
    <w:rsid w:val="735B2E64"/>
    <w:rsid w:val="738003CA"/>
    <w:rsid w:val="73C56EED"/>
    <w:rsid w:val="74180D50"/>
    <w:rsid w:val="741E3A74"/>
    <w:rsid w:val="745323E5"/>
    <w:rsid w:val="74CC56DC"/>
    <w:rsid w:val="75272888"/>
    <w:rsid w:val="758D4AB4"/>
    <w:rsid w:val="75D12961"/>
    <w:rsid w:val="765941C5"/>
    <w:rsid w:val="769A3BB8"/>
    <w:rsid w:val="769F582D"/>
    <w:rsid w:val="77086156"/>
    <w:rsid w:val="773B6CD4"/>
    <w:rsid w:val="777B6495"/>
    <w:rsid w:val="77E30949"/>
    <w:rsid w:val="77F16A53"/>
    <w:rsid w:val="783525A0"/>
    <w:rsid w:val="786F12BD"/>
    <w:rsid w:val="786F1AA9"/>
    <w:rsid w:val="7872551D"/>
    <w:rsid w:val="78734ED4"/>
    <w:rsid w:val="78B86EE8"/>
    <w:rsid w:val="78BD7865"/>
    <w:rsid w:val="7920071D"/>
    <w:rsid w:val="79B56BC5"/>
    <w:rsid w:val="79B64941"/>
    <w:rsid w:val="79C52BC7"/>
    <w:rsid w:val="79C747F6"/>
    <w:rsid w:val="79CC19FD"/>
    <w:rsid w:val="7A2861E8"/>
    <w:rsid w:val="7A36659D"/>
    <w:rsid w:val="7A6027C1"/>
    <w:rsid w:val="7A854A12"/>
    <w:rsid w:val="7B237820"/>
    <w:rsid w:val="7B8D4340"/>
    <w:rsid w:val="7B974622"/>
    <w:rsid w:val="7BD13B30"/>
    <w:rsid w:val="7BD961D6"/>
    <w:rsid w:val="7C3C1587"/>
    <w:rsid w:val="7C6B3F7A"/>
    <w:rsid w:val="7CA52AE4"/>
    <w:rsid w:val="7D482418"/>
    <w:rsid w:val="7D4E72F0"/>
    <w:rsid w:val="7D860B69"/>
    <w:rsid w:val="7D896705"/>
    <w:rsid w:val="7DD15417"/>
    <w:rsid w:val="7DED1691"/>
    <w:rsid w:val="7E2D67F4"/>
    <w:rsid w:val="7E2D71DB"/>
    <w:rsid w:val="7E662EAD"/>
    <w:rsid w:val="7E9219F9"/>
    <w:rsid w:val="7EC14C30"/>
    <w:rsid w:val="7EE87F61"/>
    <w:rsid w:val="7EF87B3E"/>
    <w:rsid w:val="7F474277"/>
    <w:rsid w:val="7F52348C"/>
    <w:rsid w:val="7F924DA0"/>
    <w:rsid w:val="7FD3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9"/>
    <w:pPr>
      <w:keepNext/>
      <w:keepLines/>
      <w:spacing w:before="340" w:after="330" w:line="576" w:lineRule="auto"/>
      <w:outlineLvl w:val="0"/>
    </w:pPr>
    <w:rPr>
      <w:b/>
      <w:bCs/>
      <w:kern w:val="44"/>
      <w:sz w:val="44"/>
      <w:szCs w:val="44"/>
    </w:rPr>
  </w:style>
  <w:style w:type="paragraph" w:styleId="3">
    <w:name w:val="heading 2"/>
    <w:basedOn w:val="4"/>
    <w:next w:val="1"/>
    <w:link w:val="64"/>
    <w:qFormat/>
    <w:uiPriority w:val="9"/>
    <w:pPr>
      <w:keepNext/>
      <w:keepLines/>
      <w:tabs>
        <w:tab w:val="left" w:pos="1152"/>
      </w:tabs>
      <w:spacing w:before="260" w:after="260" w:line="413" w:lineRule="auto"/>
      <w:outlineLvl w:val="1"/>
    </w:pPr>
    <w:rPr>
      <w:rFonts w:ascii="Arial" w:hAnsi="Arial" w:eastAsia="黑体"/>
      <w:bCs/>
      <w:sz w:val="32"/>
      <w:szCs w:val="32"/>
    </w:rPr>
  </w:style>
  <w:style w:type="paragraph" w:styleId="6">
    <w:name w:val="heading 3"/>
    <w:basedOn w:val="1"/>
    <w:next w:val="7"/>
    <w:link w:val="65"/>
    <w:qFormat/>
    <w:uiPriority w:val="9"/>
    <w:pPr>
      <w:keepNext/>
      <w:keepLines/>
      <w:spacing w:before="260" w:after="260" w:line="413" w:lineRule="auto"/>
      <w:outlineLvl w:val="2"/>
    </w:pPr>
    <w:rPr>
      <w:b/>
      <w:bCs/>
      <w:sz w:val="32"/>
      <w:szCs w:val="32"/>
    </w:rPr>
  </w:style>
  <w:style w:type="paragraph" w:styleId="8">
    <w:name w:val="heading 4"/>
    <w:basedOn w:val="1"/>
    <w:next w:val="1"/>
    <w:link w:val="66"/>
    <w:qFormat/>
    <w:uiPriority w:val="9"/>
    <w:pPr>
      <w:keepNext/>
      <w:keepLines/>
      <w:widowControl/>
      <w:spacing w:before="120" w:after="120" w:line="360" w:lineRule="auto"/>
      <w:jc w:val="center"/>
      <w:outlineLvl w:val="3"/>
    </w:pPr>
    <w:rPr>
      <w:rFonts w:ascii="Arial" w:hAnsi="Arial" w:eastAsia="黑体"/>
      <w:kern w:val="0"/>
      <w:sz w:val="28"/>
      <w:szCs w:val="20"/>
    </w:rPr>
  </w:style>
  <w:style w:type="paragraph" w:styleId="5">
    <w:name w:val="heading 5"/>
    <w:basedOn w:val="1"/>
    <w:next w:val="1"/>
    <w:link w:val="67"/>
    <w:qFormat/>
    <w:uiPriority w:val="9"/>
    <w:pPr>
      <w:keepNext/>
      <w:keepLines/>
      <w:spacing w:before="280" w:after="290" w:line="372" w:lineRule="auto"/>
      <w:outlineLvl w:val="4"/>
    </w:pPr>
    <w:rPr>
      <w:b/>
      <w:sz w:val="28"/>
    </w:rPr>
  </w:style>
  <w:style w:type="paragraph" w:styleId="9">
    <w:name w:val="heading 6"/>
    <w:basedOn w:val="1"/>
    <w:next w:val="10"/>
    <w:link w:val="68"/>
    <w:qFormat/>
    <w:uiPriority w:val="9"/>
    <w:pPr>
      <w:keepNext/>
      <w:keepLines/>
      <w:spacing w:before="240" w:after="64" w:line="317" w:lineRule="auto"/>
      <w:outlineLvl w:val="5"/>
    </w:pPr>
    <w:rPr>
      <w:rFonts w:ascii="Arial" w:hAnsi="Arial" w:eastAsia="黑体"/>
      <w:b/>
      <w:sz w:val="24"/>
    </w:rPr>
  </w:style>
  <w:style w:type="paragraph" w:styleId="11">
    <w:name w:val="heading 7"/>
    <w:basedOn w:val="1"/>
    <w:next w:val="10"/>
    <w:link w:val="69"/>
    <w:qFormat/>
    <w:uiPriority w:val="9"/>
    <w:pPr>
      <w:keepNext/>
      <w:keepLines/>
      <w:spacing w:before="240" w:after="64" w:line="317" w:lineRule="auto"/>
      <w:outlineLvl w:val="6"/>
    </w:pPr>
    <w:rPr>
      <w:b/>
      <w:sz w:val="24"/>
    </w:rPr>
  </w:style>
  <w:style w:type="paragraph" w:styleId="12">
    <w:name w:val="heading 8"/>
    <w:basedOn w:val="1"/>
    <w:next w:val="10"/>
    <w:link w:val="70"/>
    <w:qFormat/>
    <w:uiPriority w:val="9"/>
    <w:pPr>
      <w:keepNext/>
      <w:keepLines/>
      <w:spacing w:before="240" w:after="64" w:line="317" w:lineRule="auto"/>
      <w:outlineLvl w:val="7"/>
    </w:pPr>
    <w:rPr>
      <w:rFonts w:ascii="Arial" w:hAnsi="Arial" w:eastAsia="黑体"/>
      <w:sz w:val="24"/>
    </w:rPr>
  </w:style>
  <w:style w:type="paragraph" w:styleId="13">
    <w:name w:val="heading 9"/>
    <w:basedOn w:val="1"/>
    <w:next w:val="10"/>
    <w:link w:val="71"/>
    <w:qFormat/>
    <w:uiPriority w:val="9"/>
    <w:pPr>
      <w:keepNext/>
      <w:keepLines/>
      <w:spacing w:before="240" w:after="64" w:line="317" w:lineRule="auto"/>
      <w:outlineLvl w:val="8"/>
    </w:pPr>
    <w:rPr>
      <w:rFonts w:ascii="Arial" w:hAnsi="Arial" w:eastAsia="黑体"/>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customStyle="1" w:styleId="4">
    <w:name w:val="标题 55"/>
    <w:basedOn w:val="5"/>
    <w:qFormat/>
    <w:uiPriority w:val="0"/>
    <w:pPr>
      <w:tabs>
        <w:tab w:val="left" w:pos="1152"/>
      </w:tabs>
      <w:spacing w:line="376" w:lineRule="auto"/>
    </w:pPr>
    <w:rPr>
      <w:rFonts w:ascii="方正黑体简体" w:eastAsia="方正黑体简体"/>
    </w:rPr>
  </w:style>
  <w:style w:type="paragraph" w:customStyle="1" w:styleId="7">
    <w:name w:val="正文首行缩进1"/>
    <w:basedOn w:val="1"/>
    <w:qFormat/>
    <w:uiPriority w:val="0"/>
    <w:pPr>
      <w:autoSpaceDE w:val="0"/>
      <w:autoSpaceDN w:val="0"/>
      <w:adjustRightInd w:val="0"/>
      <w:spacing w:before="30" w:beforeLines="30"/>
      <w:ind w:firstLine="200" w:firstLineChars="200"/>
    </w:pPr>
    <w:rPr>
      <w:kern w:val="0"/>
      <w:sz w:val="28"/>
      <w:szCs w:val="20"/>
      <w:lang w:val="zh-CN"/>
    </w:rPr>
  </w:style>
  <w:style w:type="paragraph" w:styleId="10">
    <w:name w:val="Normal Indent"/>
    <w:basedOn w:val="1"/>
    <w:qFormat/>
    <w:uiPriority w:val="0"/>
    <w:pPr>
      <w:ind w:firstLine="420"/>
    </w:pPr>
    <w:rPr>
      <w:szCs w:val="20"/>
    </w:rPr>
  </w:style>
  <w:style w:type="paragraph" w:styleId="14">
    <w:name w:val="List 3"/>
    <w:basedOn w:val="1"/>
    <w:qFormat/>
    <w:uiPriority w:val="0"/>
    <w:pPr>
      <w:ind w:left="100" w:leftChars="400" w:hanging="200" w:hangingChars="200"/>
    </w:pPr>
  </w:style>
  <w:style w:type="paragraph" w:styleId="15">
    <w:name w:val="toc 7"/>
    <w:basedOn w:val="1"/>
    <w:next w:val="1"/>
    <w:qFormat/>
    <w:uiPriority w:val="39"/>
    <w:pPr>
      <w:tabs>
        <w:tab w:val="right" w:leader="dot" w:pos="9185"/>
      </w:tabs>
      <w:adjustRightInd w:val="0"/>
      <w:spacing w:line="312" w:lineRule="atLeast"/>
      <w:ind w:left="2520"/>
      <w:textAlignment w:val="baseline"/>
    </w:pPr>
    <w:rPr>
      <w:kern w:val="0"/>
      <w:szCs w:val="20"/>
    </w:rPr>
  </w:style>
  <w:style w:type="paragraph" w:styleId="16">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7">
    <w:name w:val="caption"/>
    <w:basedOn w:val="1"/>
    <w:next w:val="1"/>
    <w:qFormat/>
    <w:uiPriority w:val="35"/>
    <w:pPr>
      <w:spacing w:before="152" w:after="160"/>
    </w:pPr>
    <w:rPr>
      <w:rFonts w:ascii="Arial" w:hAnsi="Arial" w:eastAsia="黑体" w:cs="Arial"/>
      <w:sz w:val="20"/>
      <w:szCs w:val="20"/>
    </w:rPr>
  </w:style>
  <w:style w:type="paragraph" w:styleId="18">
    <w:name w:val="Document Map"/>
    <w:basedOn w:val="1"/>
    <w:link w:val="76"/>
    <w:qFormat/>
    <w:uiPriority w:val="0"/>
    <w:pPr>
      <w:shd w:val="clear" w:color="auto" w:fill="000080"/>
      <w:adjustRightInd w:val="0"/>
      <w:spacing w:line="312" w:lineRule="atLeast"/>
      <w:textAlignment w:val="baseline"/>
    </w:pPr>
    <w:rPr>
      <w:kern w:val="0"/>
      <w:szCs w:val="20"/>
    </w:rPr>
  </w:style>
  <w:style w:type="paragraph" w:styleId="19">
    <w:name w:val="annotation text"/>
    <w:basedOn w:val="1"/>
    <w:link w:val="72"/>
    <w:qFormat/>
    <w:uiPriority w:val="99"/>
    <w:pPr>
      <w:jc w:val="left"/>
    </w:pPr>
  </w:style>
  <w:style w:type="paragraph" w:styleId="20">
    <w:name w:val="Body Text 3"/>
    <w:basedOn w:val="1"/>
    <w:link w:val="77"/>
    <w:qFormat/>
    <w:uiPriority w:val="0"/>
    <w:pPr>
      <w:spacing w:line="500" w:lineRule="exact"/>
    </w:pPr>
    <w:rPr>
      <w:b/>
      <w:bCs/>
      <w:sz w:val="24"/>
    </w:rPr>
  </w:style>
  <w:style w:type="paragraph" w:styleId="21">
    <w:name w:val="Body Text"/>
    <w:basedOn w:val="1"/>
    <w:next w:val="22"/>
    <w:link w:val="74"/>
    <w:qFormat/>
    <w:uiPriority w:val="99"/>
    <w:pPr>
      <w:spacing w:line="380" w:lineRule="exact"/>
    </w:pPr>
    <w:rPr>
      <w:sz w:val="24"/>
    </w:rPr>
  </w:style>
  <w:style w:type="paragraph" w:styleId="22">
    <w:name w:val="Body Text First Indent 2"/>
    <w:basedOn w:val="23"/>
    <w:link w:val="84"/>
    <w:qFormat/>
    <w:uiPriority w:val="0"/>
    <w:pPr>
      <w:spacing w:after="120"/>
      <w:ind w:left="420" w:leftChars="200" w:firstLine="420" w:firstLineChars="200"/>
    </w:pPr>
    <w:rPr>
      <w:rFonts w:ascii="Times New Roman" w:eastAsia="宋体"/>
      <w:sz w:val="21"/>
      <w:szCs w:val="24"/>
    </w:rPr>
  </w:style>
  <w:style w:type="paragraph" w:styleId="23">
    <w:name w:val="Body Text Indent"/>
    <w:basedOn w:val="1"/>
    <w:next w:val="22"/>
    <w:link w:val="78"/>
    <w:qFormat/>
    <w:uiPriority w:val="99"/>
    <w:pPr>
      <w:ind w:firstLine="830" w:firstLineChars="352"/>
    </w:pPr>
    <w:rPr>
      <w:rFonts w:ascii="仿宋_GB2312" w:eastAsia="仿宋_GB2312"/>
      <w:sz w:val="32"/>
      <w:szCs w:val="20"/>
    </w:rPr>
  </w:style>
  <w:style w:type="paragraph" w:styleId="24">
    <w:name w:val="List Number 3"/>
    <w:basedOn w:val="1"/>
    <w:qFormat/>
    <w:uiPriority w:val="0"/>
    <w:pPr>
      <w:tabs>
        <w:tab w:val="left" w:pos="1200"/>
      </w:tabs>
      <w:ind w:left="1200" w:leftChars="400" w:hanging="360" w:hangingChars="200"/>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toc 5"/>
    <w:basedOn w:val="1"/>
    <w:next w:val="1"/>
    <w:qFormat/>
    <w:uiPriority w:val="39"/>
    <w:pPr>
      <w:tabs>
        <w:tab w:val="right" w:leader="dot" w:pos="9185"/>
      </w:tabs>
      <w:adjustRightInd w:val="0"/>
      <w:spacing w:line="312" w:lineRule="atLeast"/>
      <w:ind w:left="1680"/>
      <w:textAlignment w:val="baseline"/>
    </w:pPr>
    <w:rPr>
      <w:kern w:val="0"/>
      <w:szCs w:val="20"/>
    </w:rPr>
  </w:style>
  <w:style w:type="paragraph" w:styleId="28">
    <w:name w:val="toc 3"/>
    <w:basedOn w:val="1"/>
    <w:next w:val="1"/>
    <w:qFormat/>
    <w:uiPriority w:val="39"/>
    <w:pPr>
      <w:ind w:left="840" w:leftChars="400"/>
    </w:pPr>
  </w:style>
  <w:style w:type="paragraph" w:styleId="29">
    <w:name w:val="Plain Text"/>
    <w:basedOn w:val="1"/>
    <w:link w:val="79"/>
    <w:qFormat/>
    <w:uiPriority w:val="0"/>
    <w:rPr>
      <w:rFonts w:ascii="宋体" w:hAnsi="Courier New" w:cs="Courier New"/>
      <w:szCs w:val="21"/>
    </w:rPr>
  </w:style>
  <w:style w:type="paragraph" w:styleId="30">
    <w:name w:val="toc 8"/>
    <w:basedOn w:val="1"/>
    <w:next w:val="1"/>
    <w:qFormat/>
    <w:uiPriority w:val="39"/>
    <w:pPr>
      <w:tabs>
        <w:tab w:val="right" w:leader="dot" w:pos="9185"/>
      </w:tabs>
      <w:adjustRightInd w:val="0"/>
      <w:spacing w:line="312" w:lineRule="atLeast"/>
      <w:ind w:left="2940"/>
      <w:textAlignment w:val="baseline"/>
    </w:pPr>
    <w:rPr>
      <w:kern w:val="0"/>
      <w:szCs w:val="20"/>
    </w:rPr>
  </w:style>
  <w:style w:type="paragraph" w:styleId="31">
    <w:name w:val="Date"/>
    <w:basedOn w:val="1"/>
    <w:next w:val="1"/>
    <w:link w:val="80"/>
    <w:qFormat/>
    <w:uiPriority w:val="0"/>
    <w:pPr>
      <w:ind w:left="100" w:leftChars="2500"/>
    </w:pPr>
    <w:rPr>
      <w:rFonts w:ascii="宋体" w:hAnsi="Courier New"/>
      <w:szCs w:val="21"/>
    </w:rPr>
  </w:style>
  <w:style w:type="paragraph" w:styleId="32">
    <w:name w:val="Body Text Indent 2"/>
    <w:basedOn w:val="1"/>
    <w:link w:val="81"/>
    <w:qFormat/>
    <w:uiPriority w:val="0"/>
    <w:pPr>
      <w:ind w:firstLine="630"/>
    </w:pPr>
    <w:rPr>
      <w:sz w:val="32"/>
      <w:szCs w:val="20"/>
    </w:rPr>
  </w:style>
  <w:style w:type="paragraph" w:styleId="33">
    <w:name w:val="Balloon Text"/>
    <w:basedOn w:val="1"/>
    <w:link w:val="82"/>
    <w:qFormat/>
    <w:uiPriority w:val="0"/>
    <w:rPr>
      <w:sz w:val="18"/>
      <w:szCs w:val="18"/>
    </w:rPr>
  </w:style>
  <w:style w:type="paragraph" w:styleId="34">
    <w:name w:val="footer"/>
    <w:basedOn w:val="1"/>
    <w:link w:val="83"/>
    <w:qFormat/>
    <w:uiPriority w:val="99"/>
    <w:pPr>
      <w:tabs>
        <w:tab w:val="center" w:pos="4153"/>
        <w:tab w:val="right" w:pos="8306"/>
      </w:tabs>
      <w:snapToGrid w:val="0"/>
      <w:jc w:val="left"/>
    </w:pPr>
    <w:rPr>
      <w:sz w:val="18"/>
      <w:szCs w:val="18"/>
    </w:rPr>
  </w:style>
  <w:style w:type="paragraph" w:styleId="35">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7">
    <w:name w:val="toc 4"/>
    <w:basedOn w:val="1"/>
    <w:next w:val="1"/>
    <w:qFormat/>
    <w:uiPriority w:val="39"/>
    <w:pPr>
      <w:tabs>
        <w:tab w:val="right" w:leader="dot" w:pos="9185"/>
      </w:tabs>
      <w:adjustRightInd w:val="0"/>
      <w:spacing w:line="312" w:lineRule="atLeast"/>
      <w:ind w:left="1260"/>
      <w:textAlignment w:val="baseline"/>
    </w:pPr>
    <w:rPr>
      <w:kern w:val="0"/>
      <w:szCs w:val="20"/>
    </w:rPr>
  </w:style>
  <w:style w:type="paragraph" w:styleId="38">
    <w:name w:val="Subtitle"/>
    <w:basedOn w:val="1"/>
    <w:next w:val="1"/>
    <w:link w:val="229"/>
    <w:qFormat/>
    <w:uiPriority w:val="11"/>
    <w:pPr>
      <w:widowControl/>
      <w:spacing w:after="60"/>
      <w:jc w:val="center"/>
      <w:outlineLvl w:val="1"/>
    </w:pPr>
    <w:rPr>
      <w:rFonts w:ascii="等线 Light" w:hAnsi="等线 Light" w:eastAsia="等线 Light"/>
      <w:kern w:val="0"/>
      <w:sz w:val="24"/>
    </w:rPr>
  </w:style>
  <w:style w:type="paragraph" w:styleId="39">
    <w:name w:val="List"/>
    <w:basedOn w:val="1"/>
    <w:qFormat/>
    <w:uiPriority w:val="0"/>
    <w:pPr>
      <w:ind w:left="200" w:hanging="200" w:hangingChars="200"/>
    </w:pPr>
    <w:rPr>
      <w:sz w:val="28"/>
    </w:rPr>
  </w:style>
  <w:style w:type="paragraph" w:styleId="40">
    <w:name w:val="toc 6"/>
    <w:basedOn w:val="1"/>
    <w:next w:val="1"/>
    <w:qFormat/>
    <w:uiPriority w:val="39"/>
    <w:pPr>
      <w:tabs>
        <w:tab w:val="right" w:leader="dot" w:pos="9185"/>
      </w:tabs>
      <w:adjustRightInd w:val="0"/>
      <w:spacing w:line="312" w:lineRule="atLeast"/>
      <w:ind w:left="2100"/>
      <w:textAlignment w:val="baseline"/>
    </w:pPr>
    <w:rPr>
      <w:kern w:val="0"/>
      <w:szCs w:val="20"/>
    </w:rPr>
  </w:style>
  <w:style w:type="paragraph" w:styleId="41">
    <w:name w:val="List 5"/>
    <w:basedOn w:val="1"/>
    <w:qFormat/>
    <w:uiPriority w:val="0"/>
    <w:pPr>
      <w:ind w:left="2100" w:hanging="420"/>
    </w:pPr>
    <w:rPr>
      <w:szCs w:val="20"/>
    </w:rPr>
  </w:style>
  <w:style w:type="paragraph" w:styleId="42">
    <w:name w:val="Body Text Indent 3"/>
    <w:basedOn w:val="1"/>
    <w:link w:val="86"/>
    <w:qFormat/>
    <w:uiPriority w:val="0"/>
    <w:pPr>
      <w:spacing w:after="120"/>
      <w:ind w:left="420" w:leftChars="200"/>
    </w:pPr>
    <w:rPr>
      <w:sz w:val="16"/>
      <w:szCs w:val="16"/>
    </w:rPr>
  </w:style>
  <w:style w:type="paragraph" w:styleId="43">
    <w:name w:val="toc 2"/>
    <w:basedOn w:val="1"/>
    <w:next w:val="1"/>
    <w:qFormat/>
    <w:uiPriority w:val="39"/>
    <w:pPr>
      <w:ind w:left="420" w:leftChars="200"/>
    </w:pPr>
  </w:style>
  <w:style w:type="paragraph" w:styleId="44">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45">
    <w:name w:val="Body Text 2"/>
    <w:basedOn w:val="1"/>
    <w:link w:val="87"/>
    <w:qFormat/>
    <w:uiPriority w:val="0"/>
    <w:pPr>
      <w:spacing w:after="120" w:line="480" w:lineRule="auto"/>
    </w:pPr>
  </w:style>
  <w:style w:type="paragraph" w:styleId="46">
    <w:name w:val="List 4"/>
    <w:basedOn w:val="1"/>
    <w:qFormat/>
    <w:uiPriority w:val="0"/>
    <w:pPr>
      <w:ind w:left="100" w:leftChars="600" w:hanging="200" w:hangingChars="200"/>
    </w:pPr>
  </w:style>
  <w:style w:type="paragraph" w:styleId="47">
    <w:name w:val="List Continue 2"/>
    <w:basedOn w:val="1"/>
    <w:qFormat/>
    <w:uiPriority w:val="0"/>
    <w:pPr>
      <w:spacing w:after="120"/>
      <w:ind w:left="840" w:leftChars="400"/>
    </w:pPr>
  </w:style>
  <w:style w:type="paragraph" w:styleId="48">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9">
    <w:name w:val="Normal (Web)"/>
    <w:basedOn w:val="1"/>
    <w:qFormat/>
    <w:uiPriority w:val="99"/>
    <w:pPr>
      <w:widowControl/>
      <w:spacing w:before="100" w:beforeAutospacing="1" w:after="100" w:afterAutospacing="1"/>
      <w:jc w:val="left"/>
    </w:pPr>
    <w:rPr>
      <w:rFonts w:ascii="宋体" w:hAnsi="宋体"/>
      <w:kern w:val="0"/>
      <w:sz w:val="24"/>
    </w:rPr>
  </w:style>
  <w:style w:type="paragraph" w:styleId="50">
    <w:name w:val="index 1"/>
    <w:basedOn w:val="1"/>
    <w:next w:val="1"/>
    <w:qFormat/>
    <w:uiPriority w:val="0"/>
    <w:pPr>
      <w:spacing w:line="400" w:lineRule="exact"/>
      <w:ind w:firstLine="420" w:firstLineChars="200"/>
    </w:pPr>
    <w:rPr>
      <w:rFonts w:ascii="宋体" w:hAnsi="Courier New"/>
      <w:b/>
      <w:szCs w:val="20"/>
    </w:rPr>
  </w:style>
  <w:style w:type="paragraph" w:styleId="51">
    <w:name w:val="Title"/>
    <w:basedOn w:val="1"/>
    <w:link w:val="89"/>
    <w:qFormat/>
    <w:uiPriority w:val="10"/>
    <w:pPr>
      <w:jc w:val="center"/>
    </w:pPr>
    <w:rPr>
      <w:sz w:val="30"/>
    </w:rPr>
  </w:style>
  <w:style w:type="paragraph" w:styleId="52">
    <w:name w:val="annotation subject"/>
    <w:basedOn w:val="19"/>
    <w:next w:val="19"/>
    <w:link w:val="73"/>
    <w:qFormat/>
    <w:uiPriority w:val="0"/>
    <w:rPr>
      <w:b/>
      <w:bCs/>
    </w:rPr>
  </w:style>
  <w:style w:type="paragraph" w:styleId="53">
    <w:name w:val="Body Text First Indent"/>
    <w:basedOn w:val="21"/>
    <w:link w:val="75"/>
    <w:qFormat/>
    <w:uiPriority w:val="0"/>
    <w:pPr>
      <w:spacing w:after="120" w:line="240" w:lineRule="auto"/>
      <w:ind w:firstLine="420" w:firstLineChars="100"/>
    </w:pPr>
    <w:rPr>
      <w:sz w:val="21"/>
    </w:rPr>
  </w:style>
  <w:style w:type="table" w:styleId="55">
    <w:name w:val="Table Grid"/>
    <w:basedOn w:val="5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22"/>
    <w:rPr>
      <w:b/>
      <w:bCs/>
    </w:rPr>
  </w:style>
  <w:style w:type="character" w:styleId="58">
    <w:name w:val="page number"/>
    <w:basedOn w:val="56"/>
    <w:qFormat/>
    <w:uiPriority w:val="0"/>
  </w:style>
  <w:style w:type="character" w:styleId="59">
    <w:name w:val="FollowedHyperlink"/>
    <w:qFormat/>
    <w:uiPriority w:val="99"/>
    <w:rPr>
      <w:color w:val="800080"/>
      <w:u w:val="single"/>
    </w:rPr>
  </w:style>
  <w:style w:type="character" w:styleId="60">
    <w:name w:val="Emphasis"/>
    <w:qFormat/>
    <w:uiPriority w:val="20"/>
    <w:rPr>
      <w:rFonts w:ascii="等线" w:hAnsi="等线" w:eastAsia="宋体" w:cs="Times New Roman"/>
      <w:b/>
      <w:i/>
      <w:iCs/>
    </w:rPr>
  </w:style>
  <w:style w:type="character" w:styleId="61">
    <w:name w:val="Hyperlink"/>
    <w:qFormat/>
    <w:uiPriority w:val="99"/>
    <w:rPr>
      <w:color w:val="0000FF"/>
      <w:u w:val="single"/>
    </w:rPr>
  </w:style>
  <w:style w:type="character" w:styleId="62">
    <w:name w:val="annotation reference"/>
    <w:qFormat/>
    <w:uiPriority w:val="0"/>
    <w:rPr>
      <w:sz w:val="21"/>
      <w:szCs w:val="21"/>
    </w:rPr>
  </w:style>
  <w:style w:type="character" w:customStyle="1" w:styleId="63">
    <w:name w:val="标题 1 字符2"/>
    <w:link w:val="2"/>
    <w:qFormat/>
    <w:uiPriority w:val="9"/>
    <w:rPr>
      <w:rFonts w:eastAsia="宋体"/>
      <w:b/>
      <w:bCs/>
      <w:kern w:val="44"/>
      <w:sz w:val="44"/>
      <w:szCs w:val="44"/>
      <w:lang w:val="en-US" w:eastAsia="zh-CN" w:bidi="ar-SA"/>
    </w:rPr>
  </w:style>
  <w:style w:type="character" w:customStyle="1" w:styleId="64">
    <w:name w:val="标题 2 字符2"/>
    <w:link w:val="3"/>
    <w:qFormat/>
    <w:uiPriority w:val="9"/>
    <w:rPr>
      <w:rFonts w:ascii="Arial" w:hAnsi="Arial" w:eastAsia="黑体"/>
      <w:b/>
      <w:bCs/>
      <w:kern w:val="2"/>
      <w:sz w:val="32"/>
      <w:szCs w:val="32"/>
    </w:rPr>
  </w:style>
  <w:style w:type="character" w:customStyle="1" w:styleId="65">
    <w:name w:val="标题 3 字符2"/>
    <w:link w:val="6"/>
    <w:qFormat/>
    <w:uiPriority w:val="0"/>
    <w:rPr>
      <w:b/>
      <w:bCs/>
      <w:kern w:val="2"/>
      <w:sz w:val="32"/>
      <w:szCs w:val="32"/>
    </w:rPr>
  </w:style>
  <w:style w:type="character" w:customStyle="1" w:styleId="66">
    <w:name w:val="标题 4 字符2"/>
    <w:link w:val="8"/>
    <w:qFormat/>
    <w:uiPriority w:val="0"/>
    <w:rPr>
      <w:rFonts w:ascii="Arial" w:hAnsi="Arial" w:eastAsia="黑体"/>
      <w:sz w:val="28"/>
    </w:rPr>
  </w:style>
  <w:style w:type="character" w:customStyle="1" w:styleId="67">
    <w:name w:val="标题 5 字符2"/>
    <w:link w:val="5"/>
    <w:qFormat/>
    <w:uiPriority w:val="0"/>
    <w:rPr>
      <w:b/>
      <w:kern w:val="2"/>
      <w:sz w:val="28"/>
      <w:szCs w:val="24"/>
    </w:rPr>
  </w:style>
  <w:style w:type="character" w:customStyle="1" w:styleId="68">
    <w:name w:val="标题 6 字符2"/>
    <w:link w:val="9"/>
    <w:qFormat/>
    <w:uiPriority w:val="0"/>
    <w:rPr>
      <w:rFonts w:ascii="Arial" w:hAnsi="Arial" w:eastAsia="黑体"/>
      <w:b/>
      <w:kern w:val="2"/>
      <w:sz w:val="24"/>
      <w:szCs w:val="24"/>
    </w:rPr>
  </w:style>
  <w:style w:type="character" w:customStyle="1" w:styleId="69">
    <w:name w:val="标题 7 字符2"/>
    <w:link w:val="11"/>
    <w:qFormat/>
    <w:uiPriority w:val="0"/>
    <w:rPr>
      <w:b/>
      <w:kern w:val="2"/>
      <w:sz w:val="24"/>
      <w:szCs w:val="24"/>
    </w:rPr>
  </w:style>
  <w:style w:type="character" w:customStyle="1" w:styleId="70">
    <w:name w:val="标题 8 字符2"/>
    <w:link w:val="12"/>
    <w:qFormat/>
    <w:uiPriority w:val="0"/>
    <w:rPr>
      <w:rFonts w:ascii="Arial" w:hAnsi="Arial" w:eastAsia="黑体"/>
      <w:kern w:val="2"/>
      <w:sz w:val="24"/>
      <w:szCs w:val="24"/>
    </w:rPr>
  </w:style>
  <w:style w:type="character" w:customStyle="1" w:styleId="71">
    <w:name w:val="标题 9 字符2"/>
    <w:link w:val="13"/>
    <w:qFormat/>
    <w:uiPriority w:val="0"/>
    <w:rPr>
      <w:rFonts w:ascii="Arial" w:hAnsi="Arial" w:eastAsia="黑体"/>
      <w:kern w:val="2"/>
      <w:sz w:val="21"/>
      <w:szCs w:val="24"/>
    </w:rPr>
  </w:style>
  <w:style w:type="character" w:customStyle="1" w:styleId="72">
    <w:name w:val="批注文字 字符2"/>
    <w:link w:val="19"/>
    <w:qFormat/>
    <w:uiPriority w:val="0"/>
    <w:rPr>
      <w:kern w:val="2"/>
      <w:sz w:val="21"/>
      <w:szCs w:val="24"/>
    </w:rPr>
  </w:style>
  <w:style w:type="character" w:customStyle="1" w:styleId="73">
    <w:name w:val="批注主题 字符1"/>
    <w:link w:val="52"/>
    <w:qFormat/>
    <w:uiPriority w:val="0"/>
    <w:rPr>
      <w:b/>
      <w:bCs/>
      <w:kern w:val="2"/>
      <w:sz w:val="21"/>
      <w:szCs w:val="24"/>
    </w:rPr>
  </w:style>
  <w:style w:type="character" w:customStyle="1" w:styleId="74">
    <w:name w:val="正文文本 字符1"/>
    <w:link w:val="21"/>
    <w:qFormat/>
    <w:uiPriority w:val="99"/>
    <w:rPr>
      <w:kern w:val="2"/>
      <w:sz w:val="24"/>
      <w:szCs w:val="24"/>
    </w:rPr>
  </w:style>
  <w:style w:type="character" w:customStyle="1" w:styleId="75">
    <w:name w:val="正文文本首行缩进 字符2"/>
    <w:link w:val="53"/>
    <w:qFormat/>
    <w:uiPriority w:val="0"/>
    <w:rPr>
      <w:kern w:val="2"/>
      <w:sz w:val="21"/>
      <w:szCs w:val="24"/>
    </w:rPr>
  </w:style>
  <w:style w:type="character" w:customStyle="1" w:styleId="76">
    <w:name w:val="文档结构图 字符1"/>
    <w:link w:val="18"/>
    <w:qFormat/>
    <w:uiPriority w:val="0"/>
    <w:rPr>
      <w:sz w:val="21"/>
      <w:shd w:val="clear" w:color="auto" w:fill="000080"/>
    </w:rPr>
  </w:style>
  <w:style w:type="character" w:customStyle="1" w:styleId="77">
    <w:name w:val="正文文本 3 字符1"/>
    <w:link w:val="20"/>
    <w:qFormat/>
    <w:uiPriority w:val="0"/>
    <w:rPr>
      <w:b/>
      <w:bCs/>
      <w:kern w:val="2"/>
      <w:sz w:val="24"/>
      <w:szCs w:val="24"/>
    </w:rPr>
  </w:style>
  <w:style w:type="character" w:customStyle="1" w:styleId="78">
    <w:name w:val="正文文本缩进 字符1"/>
    <w:link w:val="23"/>
    <w:qFormat/>
    <w:uiPriority w:val="99"/>
    <w:rPr>
      <w:rFonts w:ascii="仿宋_GB2312" w:eastAsia="仿宋_GB2312"/>
      <w:kern w:val="2"/>
      <w:sz w:val="32"/>
    </w:rPr>
  </w:style>
  <w:style w:type="character" w:customStyle="1" w:styleId="79">
    <w:name w:val="纯文本 字符3"/>
    <w:link w:val="29"/>
    <w:qFormat/>
    <w:uiPriority w:val="99"/>
    <w:rPr>
      <w:rFonts w:ascii="宋体" w:hAnsi="Courier New" w:eastAsia="宋体" w:cs="Courier New"/>
      <w:kern w:val="2"/>
      <w:sz w:val="21"/>
      <w:szCs w:val="21"/>
      <w:lang w:val="en-US" w:eastAsia="zh-CN" w:bidi="ar-SA"/>
    </w:rPr>
  </w:style>
  <w:style w:type="character" w:customStyle="1" w:styleId="80">
    <w:name w:val="日期 字符1"/>
    <w:link w:val="31"/>
    <w:qFormat/>
    <w:uiPriority w:val="0"/>
    <w:rPr>
      <w:rFonts w:ascii="宋体" w:hAnsi="Courier New" w:cs="Courier New"/>
      <w:kern w:val="2"/>
      <w:sz w:val="21"/>
      <w:szCs w:val="21"/>
    </w:rPr>
  </w:style>
  <w:style w:type="character" w:customStyle="1" w:styleId="81">
    <w:name w:val="正文文本缩进 2 字符1"/>
    <w:link w:val="32"/>
    <w:qFormat/>
    <w:uiPriority w:val="0"/>
    <w:rPr>
      <w:kern w:val="2"/>
      <w:sz w:val="32"/>
    </w:rPr>
  </w:style>
  <w:style w:type="character" w:customStyle="1" w:styleId="82">
    <w:name w:val="批注框文本 字符1"/>
    <w:link w:val="33"/>
    <w:qFormat/>
    <w:uiPriority w:val="0"/>
    <w:rPr>
      <w:kern w:val="2"/>
      <w:sz w:val="18"/>
      <w:szCs w:val="18"/>
    </w:rPr>
  </w:style>
  <w:style w:type="character" w:customStyle="1" w:styleId="83">
    <w:name w:val="页脚 字符2"/>
    <w:link w:val="34"/>
    <w:qFormat/>
    <w:uiPriority w:val="99"/>
    <w:rPr>
      <w:kern w:val="2"/>
      <w:sz w:val="18"/>
      <w:szCs w:val="18"/>
    </w:rPr>
  </w:style>
  <w:style w:type="character" w:customStyle="1" w:styleId="84">
    <w:name w:val="正文文本首行缩进 2 字符2"/>
    <w:link w:val="22"/>
    <w:qFormat/>
    <w:uiPriority w:val="0"/>
    <w:rPr>
      <w:kern w:val="2"/>
      <w:sz w:val="21"/>
      <w:szCs w:val="24"/>
    </w:rPr>
  </w:style>
  <w:style w:type="character" w:customStyle="1" w:styleId="85">
    <w:name w:val="页眉 字符2"/>
    <w:link w:val="35"/>
    <w:qFormat/>
    <w:uiPriority w:val="99"/>
    <w:rPr>
      <w:kern w:val="2"/>
      <w:sz w:val="18"/>
      <w:szCs w:val="18"/>
    </w:rPr>
  </w:style>
  <w:style w:type="character" w:customStyle="1" w:styleId="86">
    <w:name w:val="正文文本缩进 3 字符2"/>
    <w:link w:val="42"/>
    <w:qFormat/>
    <w:uiPriority w:val="0"/>
    <w:rPr>
      <w:kern w:val="2"/>
      <w:sz w:val="16"/>
      <w:szCs w:val="16"/>
    </w:rPr>
  </w:style>
  <w:style w:type="character" w:customStyle="1" w:styleId="87">
    <w:name w:val="正文文本 2 字符2"/>
    <w:link w:val="45"/>
    <w:qFormat/>
    <w:uiPriority w:val="0"/>
    <w:rPr>
      <w:kern w:val="2"/>
      <w:sz w:val="21"/>
      <w:szCs w:val="24"/>
    </w:rPr>
  </w:style>
  <w:style w:type="character" w:customStyle="1" w:styleId="88">
    <w:name w:val="HTML 预设格式 字符2"/>
    <w:link w:val="48"/>
    <w:qFormat/>
    <w:uiPriority w:val="0"/>
    <w:rPr>
      <w:rFonts w:ascii="黑体" w:hAnsi="Courier New" w:eastAsia="黑体" w:cs="Courier New"/>
    </w:rPr>
  </w:style>
  <w:style w:type="character" w:customStyle="1" w:styleId="89">
    <w:name w:val="标题 字符3"/>
    <w:link w:val="51"/>
    <w:qFormat/>
    <w:uiPriority w:val="0"/>
    <w:rPr>
      <w:kern w:val="2"/>
      <w:sz w:val="30"/>
      <w:szCs w:val="24"/>
    </w:rPr>
  </w:style>
  <w:style w:type="character" w:customStyle="1" w:styleId="90">
    <w:name w:val="标题 4 字符"/>
    <w:qFormat/>
    <w:uiPriority w:val="0"/>
    <w:rPr>
      <w:rFonts w:ascii="等线 Light" w:hAnsi="等线 Light" w:eastAsia="等线 Light" w:cs="Times New Roman"/>
      <w:b/>
      <w:bCs/>
      <w:kern w:val="2"/>
      <w:sz w:val="28"/>
      <w:szCs w:val="28"/>
    </w:rPr>
  </w:style>
  <w:style w:type="character" w:customStyle="1" w:styleId="91">
    <w:name w:val="HTML 预设格式 字符"/>
    <w:semiHidden/>
    <w:qFormat/>
    <w:uiPriority w:val="99"/>
    <w:rPr>
      <w:rFonts w:ascii="Courier New" w:hAnsi="Courier New" w:cs="Courier New"/>
      <w:kern w:val="2"/>
    </w:rPr>
  </w:style>
  <w:style w:type="character" w:customStyle="1" w:styleId="92">
    <w:name w:val="graytext1"/>
    <w:qFormat/>
    <w:uiPriority w:val="0"/>
    <w:rPr>
      <w:color w:val="666666"/>
    </w:rPr>
  </w:style>
  <w:style w:type="character" w:customStyle="1" w:styleId="93">
    <w:name w:val="标题 6 字符"/>
    <w:semiHidden/>
    <w:qFormat/>
    <w:uiPriority w:val="9"/>
    <w:rPr>
      <w:rFonts w:ascii="等线 Light" w:hAnsi="等线 Light" w:eastAsia="等线 Light" w:cs="Times New Roman"/>
      <w:b/>
      <w:bCs/>
      <w:kern w:val="2"/>
      <w:sz w:val="24"/>
      <w:szCs w:val="24"/>
    </w:rPr>
  </w:style>
  <w:style w:type="character" w:customStyle="1" w:styleId="94">
    <w:name w:val="white"/>
    <w:basedOn w:val="56"/>
    <w:qFormat/>
    <w:uiPriority w:val="0"/>
  </w:style>
  <w:style w:type="character" w:customStyle="1" w:styleId="95">
    <w:name w:val="text11"/>
    <w:qFormat/>
    <w:uiPriority w:val="0"/>
    <w:rPr>
      <w:rFonts w:hint="default" w:ascii="Verdana" w:hAnsi="Verdana"/>
      <w:color w:val="4E4E4E"/>
      <w:sz w:val="18"/>
      <w:szCs w:val="18"/>
    </w:rPr>
  </w:style>
  <w:style w:type="character" w:customStyle="1" w:styleId="96">
    <w:name w:val="gray12"/>
    <w:basedOn w:val="56"/>
    <w:qFormat/>
    <w:uiPriority w:val="0"/>
  </w:style>
  <w:style w:type="character" w:customStyle="1" w:styleId="97">
    <w:name w:val="font01"/>
    <w:qFormat/>
    <w:uiPriority w:val="0"/>
    <w:rPr>
      <w:rFonts w:hint="eastAsia" w:ascii="宋体" w:hAnsi="宋体" w:eastAsia="宋体"/>
      <w:color w:val="000000"/>
      <w:sz w:val="22"/>
      <w:szCs w:val="22"/>
      <w:u w:val="none"/>
    </w:rPr>
  </w:style>
  <w:style w:type="character" w:customStyle="1" w:styleId="98">
    <w:name w:val="mark8"/>
    <w:qFormat/>
    <w:uiPriority w:val="0"/>
    <w:rPr>
      <w:b/>
      <w:bCs/>
      <w:sz w:val="21"/>
      <w:szCs w:val="21"/>
    </w:rPr>
  </w:style>
  <w:style w:type="character" w:customStyle="1" w:styleId="99">
    <w:name w:val="纯文本 Char1"/>
    <w:link w:val="100"/>
    <w:qFormat/>
    <w:uiPriority w:val="0"/>
    <w:rPr>
      <w:rFonts w:ascii="宋体" w:hAnsi="Courier New" w:eastAsia="宋体" w:cs="Courier New"/>
      <w:kern w:val="2"/>
      <w:sz w:val="21"/>
      <w:szCs w:val="21"/>
      <w:lang w:val="en-US" w:eastAsia="zh-CN" w:bidi="ar-SA"/>
    </w:rPr>
  </w:style>
  <w:style w:type="paragraph" w:customStyle="1" w:styleId="100">
    <w:name w:val="纯文本1"/>
    <w:basedOn w:val="1"/>
    <w:link w:val="99"/>
    <w:qFormat/>
    <w:uiPriority w:val="0"/>
    <w:rPr>
      <w:rFonts w:ascii="宋体" w:hAnsi="Courier New" w:cs="Courier New"/>
      <w:szCs w:val="21"/>
    </w:rPr>
  </w:style>
  <w:style w:type="character" w:customStyle="1" w:styleId="101">
    <w:name w:val="short_text1"/>
    <w:qFormat/>
    <w:uiPriority w:val="0"/>
    <w:rPr>
      <w:sz w:val="26"/>
    </w:rPr>
  </w:style>
  <w:style w:type="character" w:customStyle="1" w:styleId="102">
    <w:name w:val="1ji Char"/>
    <w:link w:val="103"/>
    <w:qFormat/>
    <w:uiPriority w:val="0"/>
    <w:rPr>
      <w:rFonts w:ascii="宋体" w:hAnsi="宋体" w:eastAsia="宋体"/>
      <w:b/>
      <w:bCs/>
      <w:kern w:val="44"/>
      <w:sz w:val="36"/>
      <w:szCs w:val="44"/>
      <w:lang w:val="en-US" w:eastAsia="zh-CN" w:bidi="ar-SA"/>
    </w:rPr>
  </w:style>
  <w:style w:type="paragraph" w:customStyle="1" w:styleId="103">
    <w:name w:val="1ji"/>
    <w:basedOn w:val="2"/>
    <w:link w:val="102"/>
    <w:qFormat/>
    <w:uiPriority w:val="0"/>
    <w:pPr>
      <w:keepLines w:val="0"/>
      <w:widowControl/>
      <w:spacing w:before="0" w:after="0" w:line="240" w:lineRule="auto"/>
      <w:jc w:val="center"/>
    </w:pPr>
    <w:rPr>
      <w:rFonts w:ascii="宋体" w:hAnsi="宋体"/>
      <w:sz w:val="36"/>
    </w:rPr>
  </w:style>
  <w:style w:type="character" w:customStyle="1" w:styleId="104">
    <w:name w:val="标题 7 字符"/>
    <w:semiHidden/>
    <w:qFormat/>
    <w:uiPriority w:val="9"/>
    <w:rPr>
      <w:b/>
      <w:bCs/>
      <w:kern w:val="2"/>
      <w:sz w:val="24"/>
      <w:szCs w:val="24"/>
    </w:rPr>
  </w:style>
  <w:style w:type="character" w:customStyle="1" w:styleId="105">
    <w:name w:val="批注主题 字符"/>
    <w:qFormat/>
    <w:uiPriority w:val="99"/>
    <w:rPr>
      <w:b/>
      <w:bCs/>
      <w:kern w:val="2"/>
      <w:sz w:val="21"/>
      <w:szCs w:val="24"/>
    </w:rPr>
  </w:style>
  <w:style w:type="character" w:customStyle="1" w:styleId="106">
    <w:name w:val="正文文本首行缩进 字符"/>
    <w:semiHidden/>
    <w:qFormat/>
    <w:uiPriority w:val="99"/>
  </w:style>
  <w:style w:type="character" w:customStyle="1" w:styleId="107">
    <w:name w:val="f151"/>
    <w:qFormat/>
    <w:uiPriority w:val="0"/>
    <w:rPr>
      <w:sz w:val="23"/>
      <w:szCs w:val="23"/>
    </w:rPr>
  </w:style>
  <w:style w:type="character" w:customStyle="1" w:styleId="108">
    <w:name w:val="标题 5 字符"/>
    <w:qFormat/>
    <w:uiPriority w:val="9"/>
    <w:rPr>
      <w:b/>
      <w:bCs/>
      <w:kern w:val="2"/>
      <w:sz w:val="28"/>
      <w:szCs w:val="28"/>
    </w:rPr>
  </w:style>
  <w:style w:type="character" w:customStyle="1" w:styleId="109">
    <w:name w:val="content2"/>
    <w:basedOn w:val="56"/>
    <w:qFormat/>
    <w:uiPriority w:val="0"/>
  </w:style>
  <w:style w:type="character" w:customStyle="1" w:styleId="110">
    <w:name w:val="062"/>
    <w:qFormat/>
    <w:uiPriority w:val="0"/>
    <w:rPr>
      <w:rFonts w:ascii="宋体" w:hAnsi="宋体"/>
      <w:b/>
      <w:bCs/>
      <w:sz w:val="32"/>
    </w:rPr>
  </w:style>
  <w:style w:type="character" w:customStyle="1" w:styleId="111">
    <w:name w:val="正文文本缩进 字符"/>
    <w:qFormat/>
    <w:uiPriority w:val="0"/>
    <w:rPr>
      <w:kern w:val="2"/>
      <w:sz w:val="21"/>
      <w:szCs w:val="24"/>
    </w:rPr>
  </w:style>
  <w:style w:type="character" w:customStyle="1" w:styleId="112">
    <w:name w:val="small"/>
    <w:basedOn w:val="56"/>
    <w:qFormat/>
    <w:uiPriority w:val="0"/>
  </w:style>
  <w:style w:type="character" w:customStyle="1" w:styleId="113">
    <w:name w:val="页眉 字符"/>
    <w:qFormat/>
    <w:uiPriority w:val="99"/>
    <w:rPr>
      <w:kern w:val="2"/>
      <w:sz w:val="18"/>
      <w:szCs w:val="18"/>
    </w:rPr>
  </w:style>
  <w:style w:type="character" w:customStyle="1" w:styleId="114">
    <w:name w:val="标题 字符"/>
    <w:qFormat/>
    <w:uiPriority w:val="10"/>
    <w:rPr>
      <w:rFonts w:ascii="等线 Light" w:hAnsi="等线 Light" w:eastAsia="等线 Light" w:cs="Times New Roman"/>
      <w:b/>
      <w:bCs/>
      <w:kern w:val="2"/>
      <w:sz w:val="32"/>
      <w:szCs w:val="32"/>
    </w:rPr>
  </w:style>
  <w:style w:type="character" w:customStyle="1" w:styleId="115">
    <w:name w:val="批注文字 字符"/>
    <w:qFormat/>
    <w:uiPriority w:val="0"/>
    <w:rPr>
      <w:kern w:val="2"/>
      <w:sz w:val="21"/>
      <w:szCs w:val="24"/>
    </w:rPr>
  </w:style>
  <w:style w:type="character" w:customStyle="1" w:styleId="116">
    <w:name w:val="标题 2 字符"/>
    <w:qFormat/>
    <w:uiPriority w:val="0"/>
    <w:rPr>
      <w:rFonts w:ascii="等线 Light" w:hAnsi="等线 Light" w:eastAsia="等线 Light" w:cs="Times New Roman"/>
      <w:b/>
      <w:bCs/>
      <w:kern w:val="2"/>
      <w:sz w:val="32"/>
      <w:szCs w:val="32"/>
    </w:rPr>
  </w:style>
  <w:style w:type="character" w:customStyle="1" w:styleId="117">
    <w:name w:val="文档结构图 字符"/>
    <w:qFormat/>
    <w:uiPriority w:val="0"/>
    <w:rPr>
      <w:rFonts w:ascii="Microsoft YaHei UI" w:eastAsia="Microsoft YaHei UI"/>
      <w:kern w:val="2"/>
      <w:sz w:val="18"/>
      <w:szCs w:val="18"/>
    </w:rPr>
  </w:style>
  <w:style w:type="character" w:customStyle="1" w:styleId="118">
    <w:name w:val="z-窗体顶端 字符1"/>
    <w:link w:val="119"/>
    <w:qFormat/>
    <w:uiPriority w:val="99"/>
    <w:rPr>
      <w:rFonts w:ascii="Arial"/>
      <w:vanish/>
      <w:kern w:val="2"/>
      <w:sz w:val="16"/>
      <w:szCs w:val="24"/>
    </w:rPr>
  </w:style>
  <w:style w:type="paragraph" w:customStyle="1" w:styleId="119">
    <w:name w:val="z-窗体顶端1"/>
    <w:basedOn w:val="1"/>
    <w:next w:val="1"/>
    <w:link w:val="118"/>
    <w:qFormat/>
    <w:uiPriority w:val="0"/>
    <w:pPr>
      <w:pBdr>
        <w:bottom w:val="single" w:color="auto" w:sz="6" w:space="1"/>
      </w:pBdr>
      <w:jc w:val="center"/>
    </w:pPr>
    <w:rPr>
      <w:rFonts w:ascii="Arial"/>
      <w:vanish/>
      <w:sz w:val="16"/>
    </w:rPr>
  </w:style>
  <w:style w:type="character" w:customStyle="1" w:styleId="120">
    <w:name w:val="highlight"/>
    <w:qFormat/>
    <w:uiPriority w:val="0"/>
  </w:style>
  <w:style w:type="character" w:customStyle="1" w:styleId="121">
    <w:name w:val="1051"/>
    <w:qFormat/>
    <w:uiPriority w:val="0"/>
    <w:rPr>
      <w:sz w:val="21"/>
      <w:szCs w:val="21"/>
    </w:rPr>
  </w:style>
  <w:style w:type="character" w:customStyle="1" w:styleId="122">
    <w:name w:val="批注框文本 字符"/>
    <w:qFormat/>
    <w:uiPriority w:val="0"/>
    <w:rPr>
      <w:kern w:val="2"/>
      <w:sz w:val="18"/>
      <w:szCs w:val="18"/>
    </w:rPr>
  </w:style>
  <w:style w:type="character" w:customStyle="1" w:styleId="123">
    <w:name w:val="style21"/>
    <w:qFormat/>
    <w:uiPriority w:val="0"/>
    <w:rPr>
      <w:sz w:val="17"/>
      <w:szCs w:val="17"/>
    </w:rPr>
  </w:style>
  <w:style w:type="character" w:customStyle="1" w:styleId="124">
    <w:name w:val="正文文本 3 字符"/>
    <w:qFormat/>
    <w:uiPriority w:val="99"/>
    <w:rPr>
      <w:kern w:val="2"/>
      <w:sz w:val="16"/>
      <w:szCs w:val="16"/>
    </w:rPr>
  </w:style>
  <w:style w:type="character" w:customStyle="1" w:styleId="125">
    <w:name w:val="unnamed3"/>
    <w:basedOn w:val="56"/>
    <w:qFormat/>
    <w:uiPriority w:val="0"/>
  </w:style>
  <w:style w:type="character" w:customStyle="1" w:styleId="126">
    <w:name w:val="fd"/>
    <w:qFormat/>
    <w:uiPriority w:val="0"/>
  </w:style>
  <w:style w:type="character" w:customStyle="1" w:styleId="127">
    <w:name w:val="标题 9 字符"/>
    <w:semiHidden/>
    <w:qFormat/>
    <w:uiPriority w:val="9"/>
    <w:rPr>
      <w:rFonts w:ascii="等线 Light" w:hAnsi="等线 Light" w:eastAsia="等线 Light" w:cs="Times New Roman"/>
      <w:kern w:val="2"/>
      <w:sz w:val="21"/>
      <w:szCs w:val="21"/>
    </w:rPr>
  </w:style>
  <w:style w:type="character" w:customStyle="1" w:styleId="128">
    <w:name w:val="正文文本缩进 2 字符"/>
    <w:qFormat/>
    <w:uiPriority w:val="0"/>
    <w:rPr>
      <w:kern w:val="2"/>
      <w:sz w:val="21"/>
      <w:szCs w:val="24"/>
    </w:rPr>
  </w:style>
  <w:style w:type="character" w:customStyle="1" w:styleId="129">
    <w:name w:val="z-窗体顶端 字符"/>
    <w:semiHidden/>
    <w:qFormat/>
    <w:uiPriority w:val="99"/>
    <w:rPr>
      <w:rFonts w:ascii="Arial" w:hAnsi="Arial" w:cs="Arial"/>
      <w:vanish/>
      <w:kern w:val="2"/>
      <w:sz w:val="16"/>
      <w:szCs w:val="16"/>
    </w:rPr>
  </w:style>
  <w:style w:type="character" w:customStyle="1" w:styleId="130">
    <w:name w:val="case31"/>
    <w:qFormat/>
    <w:uiPriority w:val="0"/>
    <w:rPr>
      <w:rFonts w:hint="default"/>
      <w:sz w:val="21"/>
      <w:szCs w:val="21"/>
    </w:rPr>
  </w:style>
  <w:style w:type="character" w:customStyle="1" w:styleId="131">
    <w:name w:val="标题3 Char"/>
    <w:link w:val="132"/>
    <w:qFormat/>
    <w:uiPriority w:val="0"/>
    <w:rPr>
      <w:rFonts w:ascii="宋体" w:hAnsi="宋体"/>
      <w:b/>
      <w:bCs/>
      <w:kern w:val="44"/>
      <w:sz w:val="24"/>
      <w:szCs w:val="24"/>
    </w:rPr>
  </w:style>
  <w:style w:type="paragraph" w:customStyle="1" w:styleId="132">
    <w:name w:val="标题3"/>
    <w:basedOn w:val="2"/>
    <w:link w:val="131"/>
    <w:qFormat/>
    <w:uiPriority w:val="0"/>
    <w:pPr>
      <w:spacing w:before="0" w:beforeLines="50" w:after="0" w:afterLines="50" w:line="400" w:lineRule="exact"/>
    </w:pPr>
    <w:rPr>
      <w:rFonts w:ascii="宋体" w:hAnsi="宋体"/>
      <w:sz w:val="24"/>
      <w:szCs w:val="24"/>
    </w:rPr>
  </w:style>
  <w:style w:type="character" w:customStyle="1" w:styleId="133">
    <w:name w:val="标题 3 字符"/>
    <w:qFormat/>
    <w:uiPriority w:val="0"/>
    <w:rPr>
      <w:b/>
      <w:bCs/>
      <w:kern w:val="2"/>
      <w:sz w:val="32"/>
      <w:szCs w:val="32"/>
    </w:rPr>
  </w:style>
  <w:style w:type="character" w:customStyle="1" w:styleId="134">
    <w:name w:val="正文文本 2 字符"/>
    <w:semiHidden/>
    <w:qFormat/>
    <w:uiPriority w:val="99"/>
    <w:rPr>
      <w:kern w:val="2"/>
      <w:sz w:val="21"/>
      <w:szCs w:val="24"/>
    </w:rPr>
  </w:style>
  <w:style w:type="character" w:customStyle="1" w:styleId="135">
    <w:name w:val="标题 1 字符"/>
    <w:qFormat/>
    <w:uiPriority w:val="0"/>
    <w:rPr>
      <w:b/>
      <w:bCs/>
      <w:kern w:val="44"/>
      <w:sz w:val="44"/>
      <w:szCs w:val="44"/>
    </w:rPr>
  </w:style>
  <w:style w:type="character" w:customStyle="1" w:styleId="136">
    <w:name w:val="页脚 字符"/>
    <w:qFormat/>
    <w:uiPriority w:val="99"/>
    <w:rPr>
      <w:kern w:val="2"/>
      <w:sz w:val="18"/>
      <w:szCs w:val="18"/>
    </w:rPr>
  </w:style>
  <w:style w:type="character" w:customStyle="1" w:styleId="137">
    <w:name w:val="正文文本首行缩进 2 字符"/>
    <w:semiHidden/>
    <w:qFormat/>
    <w:uiPriority w:val="99"/>
  </w:style>
  <w:style w:type="character" w:customStyle="1" w:styleId="138">
    <w:name w:val="apple-converted-space"/>
    <w:qFormat/>
    <w:uiPriority w:val="0"/>
  </w:style>
  <w:style w:type="character" w:customStyle="1" w:styleId="139">
    <w:name w:val="日期 字符"/>
    <w:qFormat/>
    <w:uiPriority w:val="0"/>
    <w:rPr>
      <w:kern w:val="2"/>
      <w:sz w:val="21"/>
      <w:szCs w:val="24"/>
    </w:rPr>
  </w:style>
  <w:style w:type="character" w:customStyle="1" w:styleId="140">
    <w:name w:val="纯文本 字符"/>
    <w:qFormat/>
    <w:uiPriority w:val="99"/>
    <w:rPr>
      <w:rFonts w:ascii="等线" w:hAnsi="Courier New" w:eastAsia="等线" w:cs="Courier New"/>
      <w:kern w:val="2"/>
      <w:sz w:val="21"/>
      <w:szCs w:val="24"/>
    </w:rPr>
  </w:style>
  <w:style w:type="character" w:customStyle="1" w:styleId="141">
    <w:name w:val="style11"/>
    <w:qFormat/>
    <w:uiPriority w:val="0"/>
    <w:rPr>
      <w:rFonts w:hint="default" w:ascii="Arial" w:hAnsi="Arial" w:cs="Arial"/>
    </w:rPr>
  </w:style>
  <w:style w:type="character" w:customStyle="1" w:styleId="142">
    <w:name w:val="标题 8 字符"/>
    <w:semiHidden/>
    <w:qFormat/>
    <w:uiPriority w:val="9"/>
    <w:rPr>
      <w:rFonts w:ascii="等线 Light" w:hAnsi="等线 Light" w:eastAsia="等线 Light" w:cs="Times New Roman"/>
      <w:kern w:val="2"/>
      <w:sz w:val="24"/>
      <w:szCs w:val="24"/>
    </w:rPr>
  </w:style>
  <w:style w:type="character" w:customStyle="1" w:styleId="143">
    <w:name w:val="正文文本缩进 3 字符"/>
    <w:semiHidden/>
    <w:qFormat/>
    <w:uiPriority w:val="99"/>
    <w:rPr>
      <w:kern w:val="2"/>
      <w:sz w:val="16"/>
      <w:szCs w:val="16"/>
    </w:rPr>
  </w:style>
  <w:style w:type="character" w:customStyle="1" w:styleId="144">
    <w:name w:val="正文文本 字符"/>
    <w:qFormat/>
    <w:uiPriority w:val="99"/>
    <w:rPr>
      <w:kern w:val="2"/>
      <w:sz w:val="21"/>
      <w:szCs w:val="24"/>
    </w:rPr>
  </w:style>
  <w:style w:type="paragraph" w:customStyle="1" w:styleId="145">
    <w:name w:val="Char Char Char Char Char Char Char"/>
    <w:basedOn w:val="1"/>
    <w:qFormat/>
    <w:uiPriority w:val="0"/>
  </w:style>
  <w:style w:type="paragraph" w:customStyle="1" w:styleId="146">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8">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50">
    <w:name w:val="Char Char Char"/>
    <w:basedOn w:val="18"/>
    <w:qFormat/>
    <w:uiPriority w:val="0"/>
    <w:pPr>
      <w:adjustRightInd/>
      <w:spacing w:line="240" w:lineRule="auto"/>
      <w:textAlignment w:val="auto"/>
    </w:pPr>
    <w:rPr>
      <w:rFonts w:ascii="Tahoma" w:hAnsi="Tahoma"/>
      <w:kern w:val="2"/>
      <w:sz w:val="24"/>
      <w:szCs w:val="24"/>
    </w:rPr>
  </w:style>
  <w:style w:type="paragraph" w:customStyle="1" w:styleId="15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52">
    <w:name w:val="_Style 109"/>
    <w:basedOn w:val="1"/>
    <w:next w:val="153"/>
    <w:qFormat/>
    <w:uiPriority w:val="34"/>
    <w:pPr>
      <w:ind w:firstLine="420" w:firstLineChars="200"/>
    </w:pPr>
    <w:rPr>
      <w:rFonts w:ascii="Calibri" w:hAnsi="Calibri"/>
      <w:szCs w:val="22"/>
    </w:rPr>
  </w:style>
  <w:style w:type="paragraph" w:styleId="153">
    <w:name w:val="List Paragraph"/>
    <w:basedOn w:val="1"/>
    <w:qFormat/>
    <w:uiPriority w:val="34"/>
    <w:pPr>
      <w:ind w:firstLine="420" w:firstLineChars="200"/>
    </w:pPr>
    <w:rPr>
      <w:rFonts w:ascii="Calibri" w:hAnsi="Calibri"/>
      <w:szCs w:val="22"/>
    </w:rPr>
  </w:style>
  <w:style w:type="paragraph" w:customStyle="1" w:styleId="15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6">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7">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8">
    <w:name w:val="Char Char Char Char Char Char Char1"/>
    <w:basedOn w:val="1"/>
    <w:qFormat/>
    <w:uiPriority w:val="0"/>
  </w:style>
  <w:style w:type="paragraph" w:customStyle="1" w:styleId="159">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60">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1">
    <w:name w:val="tgt1"/>
    <w:basedOn w:val="1"/>
    <w:qFormat/>
    <w:uiPriority w:val="0"/>
    <w:pPr>
      <w:widowControl/>
      <w:spacing w:after="150"/>
      <w:jc w:val="left"/>
    </w:pPr>
    <w:rPr>
      <w:rFonts w:ascii="宋体" w:hAnsi="宋体" w:cs="宋体"/>
      <w:kern w:val="0"/>
      <w:sz w:val="24"/>
    </w:rPr>
  </w:style>
  <w:style w:type="paragraph" w:customStyle="1" w:styleId="162">
    <w:name w:val="444"/>
    <w:basedOn w:val="1"/>
    <w:qFormat/>
    <w:uiPriority w:val="0"/>
    <w:pPr>
      <w:adjustRightInd w:val="0"/>
      <w:spacing w:line="312" w:lineRule="atLeast"/>
      <w:jc w:val="center"/>
      <w:textAlignment w:val="baseline"/>
    </w:pPr>
    <w:rPr>
      <w:b/>
      <w:kern w:val="0"/>
      <w:sz w:val="36"/>
      <w:szCs w:val="36"/>
    </w:rPr>
  </w:style>
  <w:style w:type="paragraph" w:customStyle="1" w:styleId="163">
    <w:name w:val="表格"/>
    <w:basedOn w:val="1"/>
    <w:qFormat/>
    <w:uiPriority w:val="0"/>
    <w:pPr>
      <w:spacing w:line="400" w:lineRule="exact"/>
    </w:pPr>
    <w:rPr>
      <w:sz w:val="24"/>
    </w:rPr>
  </w:style>
  <w:style w:type="paragraph" w:customStyle="1" w:styleId="164">
    <w:name w:val="F2"/>
    <w:basedOn w:val="1"/>
    <w:qFormat/>
    <w:uiPriority w:val="0"/>
    <w:pPr>
      <w:autoSpaceDE w:val="0"/>
      <w:autoSpaceDN w:val="0"/>
      <w:adjustRightInd w:val="0"/>
      <w:ind w:firstLine="601"/>
      <w:textAlignment w:val="baseline"/>
    </w:pPr>
    <w:rPr>
      <w:kern w:val="0"/>
      <w:sz w:val="24"/>
      <w:szCs w:val="20"/>
    </w:rPr>
  </w:style>
  <w:style w:type="paragraph" w:customStyle="1" w:styleId="165">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6">
    <w:name w:val="Char Char Char1"/>
    <w:basedOn w:val="18"/>
    <w:qFormat/>
    <w:uiPriority w:val="0"/>
    <w:pPr>
      <w:adjustRightInd/>
      <w:spacing w:line="240" w:lineRule="auto"/>
      <w:textAlignment w:val="auto"/>
    </w:pPr>
    <w:rPr>
      <w:rFonts w:ascii="Tahoma" w:hAnsi="Tahoma"/>
      <w:kern w:val="2"/>
      <w:sz w:val="24"/>
      <w:szCs w:val="24"/>
    </w:rPr>
  </w:style>
  <w:style w:type="paragraph" w:customStyle="1" w:styleId="16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68">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9">
    <w:name w:val="次小点说明 Char"/>
    <w:basedOn w:val="10"/>
    <w:qFormat/>
    <w:uiPriority w:val="0"/>
    <w:pPr>
      <w:ind w:firstLine="0"/>
    </w:pPr>
    <w:rPr>
      <w:sz w:val="24"/>
      <w:szCs w:val="24"/>
    </w:rPr>
  </w:style>
  <w:style w:type="paragraph" w:customStyle="1" w:styleId="170">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7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72">
    <w:name w:val="Char Char Char Char Char Char Char Char Char Char Char Char Char"/>
    <w:basedOn w:val="18"/>
    <w:qFormat/>
    <w:uiPriority w:val="0"/>
    <w:pPr>
      <w:adjustRightInd/>
      <w:spacing w:line="240" w:lineRule="auto"/>
      <w:textAlignment w:val="auto"/>
    </w:pPr>
    <w:rPr>
      <w:rFonts w:ascii="Tahoma" w:hAnsi="Tahoma"/>
      <w:kern w:val="2"/>
      <w:sz w:val="24"/>
      <w:szCs w:val="24"/>
    </w:rPr>
  </w:style>
  <w:style w:type="paragraph" w:customStyle="1" w:styleId="173">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7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5">
    <w:name w:val="样式1"/>
    <w:basedOn w:val="1"/>
    <w:qFormat/>
    <w:uiPriority w:val="0"/>
    <w:pPr>
      <w:spacing w:before="120" w:after="120" w:line="300" w:lineRule="auto"/>
    </w:pPr>
    <w:rPr>
      <w:rFonts w:ascii="宋体" w:hAnsi="宋体"/>
      <w:b/>
      <w:sz w:val="24"/>
      <w:szCs w:val="20"/>
    </w:rPr>
  </w:style>
  <w:style w:type="paragraph" w:customStyle="1" w:styleId="176">
    <w:name w:val="Char Char Char Char Char Char Char Char Char Char Char Char Char1"/>
    <w:basedOn w:val="18"/>
    <w:qFormat/>
    <w:uiPriority w:val="0"/>
    <w:pPr>
      <w:adjustRightInd/>
      <w:spacing w:line="240" w:lineRule="auto"/>
      <w:textAlignment w:val="auto"/>
    </w:pPr>
    <w:rPr>
      <w:rFonts w:ascii="Tahoma" w:hAnsi="Tahoma"/>
      <w:kern w:val="2"/>
      <w:sz w:val="24"/>
      <w:szCs w:val="24"/>
    </w:rPr>
  </w:style>
  <w:style w:type="paragraph" w:customStyle="1" w:styleId="177">
    <w:name w:val="默认段落字体 Para Char"/>
    <w:basedOn w:val="1"/>
    <w:qFormat/>
    <w:uiPriority w:val="0"/>
    <w:pPr>
      <w:adjustRightInd w:val="0"/>
      <w:spacing w:line="360" w:lineRule="auto"/>
    </w:pPr>
    <w:rPr>
      <w:kern w:val="0"/>
      <w:sz w:val="24"/>
      <w:szCs w:val="20"/>
    </w:rPr>
  </w:style>
  <w:style w:type="paragraph" w:customStyle="1" w:styleId="178">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1">
    <w:name w:val="Char4"/>
    <w:basedOn w:val="1"/>
    <w:qFormat/>
    <w:uiPriority w:val="0"/>
    <w:pPr>
      <w:tabs>
        <w:tab w:val="left" w:pos="360"/>
      </w:tabs>
      <w:ind w:left="252" w:hanging="252" w:hangingChars="140"/>
    </w:pPr>
    <w:rPr>
      <w:rFonts w:ascii="宋体"/>
      <w:sz w:val="18"/>
      <w:szCs w:val="18"/>
    </w:rPr>
  </w:style>
  <w:style w:type="paragraph" w:customStyle="1" w:styleId="18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8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6">
    <w:name w:val="正文首行缩进两字符"/>
    <w:basedOn w:val="1"/>
    <w:qFormat/>
    <w:uiPriority w:val="0"/>
    <w:pPr>
      <w:spacing w:line="360" w:lineRule="auto"/>
      <w:ind w:firstLine="200" w:firstLineChars="200"/>
    </w:pPr>
  </w:style>
  <w:style w:type="paragraph" w:customStyle="1" w:styleId="187">
    <w:name w:val="正文段"/>
    <w:basedOn w:val="1"/>
    <w:qFormat/>
    <w:uiPriority w:val="0"/>
    <w:pPr>
      <w:widowControl/>
      <w:snapToGrid w:val="0"/>
      <w:spacing w:after="156" w:afterLines="50"/>
      <w:ind w:firstLine="200" w:firstLineChars="200"/>
    </w:pPr>
    <w:rPr>
      <w:kern w:val="0"/>
      <w:sz w:val="24"/>
      <w:szCs w:val="20"/>
    </w:rPr>
  </w:style>
  <w:style w:type="paragraph" w:customStyle="1" w:styleId="188">
    <w:name w:val="默认段落字体 Para Char Char Char Char Char Char Char Char Char1 Char Char Char Char"/>
    <w:basedOn w:val="1"/>
    <w:qFormat/>
    <w:uiPriority w:val="0"/>
    <w:rPr>
      <w:rFonts w:ascii="Tahoma" w:hAnsi="Tahoma"/>
      <w:sz w:val="24"/>
      <w:szCs w:val="20"/>
    </w:rPr>
  </w:style>
  <w:style w:type="paragraph" w:customStyle="1" w:styleId="1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90">
    <w:name w:val="1"/>
    <w:basedOn w:val="1"/>
    <w:next w:val="29"/>
    <w:qFormat/>
    <w:uiPriority w:val="0"/>
    <w:rPr>
      <w:rFonts w:ascii="宋体" w:hAnsi="Courier New"/>
      <w:szCs w:val="20"/>
    </w:rPr>
  </w:style>
  <w:style w:type="paragraph" w:customStyle="1" w:styleId="191">
    <w:name w:val="Char1"/>
    <w:basedOn w:val="1"/>
    <w:qFormat/>
    <w:uiPriority w:val="0"/>
    <w:rPr>
      <w:szCs w:val="21"/>
    </w:rPr>
  </w:style>
  <w:style w:type="paragraph" w:customStyle="1" w:styleId="192">
    <w:name w:val="五号正文（标准）"/>
    <w:basedOn w:val="1"/>
    <w:qFormat/>
    <w:uiPriority w:val="0"/>
    <w:pPr>
      <w:spacing w:line="360" w:lineRule="auto"/>
      <w:ind w:right="55" w:firstLine="560" w:firstLineChars="200"/>
    </w:pPr>
    <w:rPr>
      <w:rFonts w:eastAsia="仿宋_GB2312"/>
      <w:sz w:val="28"/>
      <w:szCs w:val="20"/>
    </w:rPr>
  </w:style>
  <w:style w:type="paragraph" w:customStyle="1" w:styleId="19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4">
    <w:name w:val="Char Char Char2"/>
    <w:basedOn w:val="1"/>
    <w:qFormat/>
    <w:uiPriority w:val="0"/>
    <w:rPr>
      <w:rFonts w:ascii="Tahoma" w:hAnsi="Tahoma"/>
      <w:sz w:val="24"/>
      <w:szCs w:val="20"/>
    </w:rPr>
  </w:style>
  <w:style w:type="paragraph" w:customStyle="1" w:styleId="19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6">
    <w:name w:val="List Paragraph1"/>
    <w:basedOn w:val="1"/>
    <w:qFormat/>
    <w:uiPriority w:val="0"/>
    <w:pPr>
      <w:ind w:firstLine="420" w:firstLineChars="200"/>
    </w:pPr>
    <w:rPr>
      <w:rFonts w:ascii="Calibri" w:hAnsi="Calibri"/>
      <w:szCs w:val="22"/>
    </w:rPr>
  </w:style>
  <w:style w:type="paragraph" w:customStyle="1" w:styleId="197">
    <w:name w:val="样式 首行缩进:  2 字符"/>
    <w:basedOn w:val="1"/>
    <w:qFormat/>
    <w:uiPriority w:val="0"/>
    <w:pPr>
      <w:spacing w:line="400" w:lineRule="exact"/>
      <w:ind w:firstLine="200" w:firstLineChars="200"/>
    </w:pPr>
    <w:rPr>
      <w:rFonts w:cs="宋体"/>
      <w:sz w:val="24"/>
    </w:rPr>
  </w:style>
  <w:style w:type="paragraph" w:customStyle="1" w:styleId="19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0">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01">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202">
    <w:name w:val="未处理的提及1"/>
    <w:unhideWhenUsed/>
    <w:qFormat/>
    <w:uiPriority w:val="99"/>
    <w:rPr>
      <w:color w:val="605E5C"/>
      <w:shd w:val="clear" w:color="auto" w:fill="E1DFDD"/>
    </w:rPr>
  </w:style>
  <w:style w:type="character" w:customStyle="1" w:styleId="203">
    <w:name w:val="批注文字 Char"/>
    <w:qFormat/>
    <w:uiPriority w:val="0"/>
    <w:rPr>
      <w:kern w:val="2"/>
      <w:sz w:val="21"/>
      <w:szCs w:val="24"/>
    </w:rPr>
  </w:style>
  <w:style w:type="character" w:styleId="204">
    <w:name w:val="Placeholder Text"/>
    <w:basedOn w:val="56"/>
    <w:unhideWhenUsed/>
    <w:qFormat/>
    <w:uiPriority w:val="99"/>
    <w:rPr>
      <w:color w:val="808080"/>
    </w:rPr>
  </w:style>
  <w:style w:type="paragraph" w:customStyle="1" w:styleId="205">
    <w:name w:val="_Style 200"/>
    <w:basedOn w:val="1"/>
    <w:next w:val="153"/>
    <w:qFormat/>
    <w:uiPriority w:val="34"/>
    <w:pPr>
      <w:ind w:firstLine="420" w:firstLineChars="200"/>
    </w:pPr>
  </w:style>
  <w:style w:type="character" w:customStyle="1" w:styleId="206">
    <w:name w:val="bookmark-item"/>
    <w:basedOn w:val="56"/>
    <w:qFormat/>
    <w:uiPriority w:val="0"/>
  </w:style>
  <w:style w:type="paragraph" w:customStyle="1" w:styleId="207">
    <w:name w:val="_Style 3"/>
    <w:basedOn w:val="1"/>
    <w:qFormat/>
    <w:uiPriority w:val="0"/>
    <w:pPr>
      <w:spacing w:line="360" w:lineRule="auto"/>
      <w:ind w:firstLine="420" w:firstLineChars="200"/>
    </w:pPr>
    <w:rPr>
      <w:rFonts w:ascii="Calibri" w:hAnsi="Calibri" w:eastAsia="新宋体"/>
      <w:sz w:val="20"/>
    </w:rPr>
  </w:style>
  <w:style w:type="paragraph" w:customStyle="1" w:styleId="208">
    <w:name w:val="L正文"/>
    <w:basedOn w:val="1"/>
    <w:qFormat/>
    <w:uiPriority w:val="0"/>
    <w:pPr>
      <w:spacing w:line="360" w:lineRule="auto"/>
      <w:ind w:firstLine="482"/>
    </w:pPr>
    <w:rPr>
      <w:rFonts w:cs="宋体" w:asciiTheme="minorHAnsi" w:hAnsiTheme="minorHAnsi"/>
      <w:b/>
      <w:bCs/>
      <w:sz w:val="24"/>
      <w:szCs w:val="20"/>
    </w:rPr>
  </w:style>
  <w:style w:type="character" w:customStyle="1" w:styleId="209">
    <w:name w:val="标题 1 Char1"/>
    <w:qFormat/>
    <w:uiPriority w:val="0"/>
    <w:rPr>
      <w:b/>
      <w:bCs/>
      <w:kern w:val="44"/>
      <w:sz w:val="44"/>
      <w:szCs w:val="44"/>
    </w:rPr>
  </w:style>
  <w:style w:type="character" w:customStyle="1" w:styleId="210">
    <w:name w:val="标题 2 Char1"/>
    <w:qFormat/>
    <w:uiPriority w:val="0"/>
    <w:rPr>
      <w:rFonts w:ascii="Arial" w:hAnsi="Arial" w:eastAsia="黑体"/>
      <w:b/>
      <w:bCs/>
      <w:kern w:val="2"/>
      <w:sz w:val="32"/>
      <w:szCs w:val="32"/>
    </w:rPr>
  </w:style>
  <w:style w:type="character" w:customStyle="1" w:styleId="211">
    <w:name w:val="标题 3 Char1"/>
    <w:qFormat/>
    <w:uiPriority w:val="0"/>
    <w:rPr>
      <w:b/>
      <w:bCs/>
      <w:kern w:val="2"/>
      <w:sz w:val="32"/>
      <w:szCs w:val="32"/>
    </w:rPr>
  </w:style>
  <w:style w:type="character" w:customStyle="1" w:styleId="212">
    <w:name w:val="标题 4 Char1"/>
    <w:qFormat/>
    <w:uiPriority w:val="0"/>
    <w:rPr>
      <w:rFonts w:ascii="Arial" w:eastAsia="黑体"/>
      <w:sz w:val="28"/>
    </w:rPr>
  </w:style>
  <w:style w:type="character" w:customStyle="1" w:styleId="213">
    <w:name w:val="标题 5 Char1"/>
    <w:qFormat/>
    <w:uiPriority w:val="9"/>
    <w:rPr>
      <w:b/>
      <w:bCs/>
      <w:kern w:val="2"/>
      <w:sz w:val="28"/>
      <w:szCs w:val="28"/>
    </w:rPr>
  </w:style>
  <w:style w:type="character" w:customStyle="1" w:styleId="214">
    <w:name w:val="标题 6 Char1"/>
    <w:qFormat/>
    <w:uiPriority w:val="9"/>
    <w:rPr>
      <w:rFonts w:ascii="Times New Roman" w:hAnsi="Times New Roman" w:eastAsia="宋体" w:cs="Times New Roman"/>
      <w:b/>
      <w:bCs/>
      <w:sz w:val="22"/>
      <w:szCs w:val="22"/>
    </w:rPr>
  </w:style>
  <w:style w:type="character" w:customStyle="1" w:styleId="215">
    <w:name w:val="标题 7 Char1"/>
    <w:qFormat/>
    <w:uiPriority w:val="9"/>
    <w:rPr>
      <w:rFonts w:ascii="Times New Roman" w:hAnsi="Times New Roman" w:eastAsia="宋体" w:cs="Times New Roman"/>
    </w:rPr>
  </w:style>
  <w:style w:type="character" w:customStyle="1" w:styleId="216">
    <w:name w:val="标题 8 Char1"/>
    <w:qFormat/>
    <w:uiPriority w:val="9"/>
    <w:rPr>
      <w:rFonts w:ascii="Times New Roman" w:hAnsi="Times New Roman" w:eastAsia="宋体" w:cs="Times New Roman"/>
      <w:i/>
      <w:iCs/>
    </w:rPr>
  </w:style>
  <w:style w:type="character" w:customStyle="1" w:styleId="217">
    <w:name w:val="标题 9 Char1"/>
    <w:qFormat/>
    <w:uiPriority w:val="9"/>
    <w:rPr>
      <w:rFonts w:ascii="等线 Light" w:hAnsi="等线 Light" w:eastAsia="等线 Light" w:cs="Times New Roman"/>
      <w:sz w:val="22"/>
      <w:szCs w:val="22"/>
    </w:rPr>
  </w:style>
  <w:style w:type="character" w:customStyle="1" w:styleId="218">
    <w:name w:val="文档结构图 Char1"/>
    <w:qFormat/>
    <w:uiPriority w:val="0"/>
    <w:rPr>
      <w:rFonts w:ascii="宋体"/>
      <w:kern w:val="2"/>
      <w:sz w:val="18"/>
      <w:szCs w:val="18"/>
    </w:rPr>
  </w:style>
  <w:style w:type="character" w:customStyle="1" w:styleId="219">
    <w:name w:val="批注文字 Char3"/>
    <w:qFormat/>
    <w:uiPriority w:val="0"/>
    <w:rPr>
      <w:kern w:val="2"/>
      <w:sz w:val="21"/>
      <w:szCs w:val="24"/>
    </w:rPr>
  </w:style>
  <w:style w:type="character" w:customStyle="1" w:styleId="220">
    <w:name w:val="正文文本 3 Char1"/>
    <w:qFormat/>
    <w:uiPriority w:val="99"/>
    <w:rPr>
      <w:kern w:val="2"/>
      <w:sz w:val="16"/>
      <w:szCs w:val="16"/>
    </w:rPr>
  </w:style>
  <w:style w:type="character" w:customStyle="1" w:styleId="221">
    <w:name w:val="正文文本 Char1"/>
    <w:qFormat/>
    <w:uiPriority w:val="99"/>
    <w:rPr>
      <w:kern w:val="2"/>
      <w:sz w:val="21"/>
      <w:szCs w:val="24"/>
    </w:rPr>
  </w:style>
  <w:style w:type="character" w:customStyle="1" w:styleId="222">
    <w:name w:val="正文文本缩进 Char1"/>
    <w:qFormat/>
    <w:uiPriority w:val="0"/>
    <w:rPr>
      <w:rFonts w:ascii="宋体" w:hAnsi="Courier New" w:eastAsia="宋体"/>
      <w:spacing w:val="-4"/>
      <w:kern w:val="2"/>
      <w:sz w:val="18"/>
      <w:lang w:val="en-US" w:eastAsia="zh-CN" w:bidi="ar-SA"/>
    </w:rPr>
  </w:style>
  <w:style w:type="character" w:customStyle="1" w:styleId="223">
    <w:name w:val="纯文本 Char2"/>
    <w:qFormat/>
    <w:uiPriority w:val="0"/>
    <w:rPr>
      <w:rFonts w:ascii="宋体" w:hAnsi="Courier New" w:eastAsia="宋体"/>
      <w:kern w:val="2"/>
      <w:sz w:val="21"/>
      <w:lang w:val="en-US" w:eastAsia="zh-CN" w:bidi="ar-SA"/>
    </w:rPr>
  </w:style>
  <w:style w:type="character" w:customStyle="1" w:styleId="224">
    <w:name w:val="日期 Char1"/>
    <w:qFormat/>
    <w:uiPriority w:val="0"/>
    <w:rPr>
      <w:kern w:val="2"/>
      <w:sz w:val="21"/>
      <w:szCs w:val="24"/>
    </w:rPr>
  </w:style>
  <w:style w:type="character" w:customStyle="1" w:styleId="225">
    <w:name w:val="正文文本缩进 2 Char1"/>
    <w:qFormat/>
    <w:uiPriority w:val="0"/>
    <w:rPr>
      <w:kern w:val="2"/>
      <w:sz w:val="21"/>
      <w:szCs w:val="24"/>
    </w:rPr>
  </w:style>
  <w:style w:type="character" w:customStyle="1" w:styleId="226">
    <w:name w:val="批注框文本 Char1"/>
    <w:qFormat/>
    <w:uiPriority w:val="0"/>
    <w:rPr>
      <w:kern w:val="2"/>
      <w:sz w:val="18"/>
      <w:szCs w:val="18"/>
    </w:rPr>
  </w:style>
  <w:style w:type="character" w:customStyle="1" w:styleId="227">
    <w:name w:val="页脚 Char2"/>
    <w:qFormat/>
    <w:uiPriority w:val="99"/>
    <w:rPr>
      <w:kern w:val="2"/>
      <w:sz w:val="18"/>
      <w:szCs w:val="18"/>
    </w:rPr>
  </w:style>
  <w:style w:type="character" w:customStyle="1" w:styleId="228">
    <w:name w:val="页眉 Char1"/>
    <w:qFormat/>
    <w:uiPriority w:val="99"/>
    <w:rPr>
      <w:kern w:val="2"/>
      <w:sz w:val="18"/>
      <w:szCs w:val="18"/>
    </w:rPr>
  </w:style>
  <w:style w:type="character" w:customStyle="1" w:styleId="229">
    <w:name w:val="副标题 字符"/>
    <w:basedOn w:val="56"/>
    <w:link w:val="38"/>
    <w:qFormat/>
    <w:uiPriority w:val="11"/>
    <w:rPr>
      <w:rFonts w:ascii="等线 Light" w:hAnsi="等线 Light" w:eastAsia="等线 Light"/>
      <w:sz w:val="24"/>
      <w:szCs w:val="24"/>
    </w:rPr>
  </w:style>
  <w:style w:type="character" w:customStyle="1" w:styleId="230">
    <w:name w:val="正文文本缩进 3 Char1"/>
    <w:qFormat/>
    <w:uiPriority w:val="0"/>
    <w:rPr>
      <w:rFonts w:ascii="Times New Roman" w:hAnsi="Times New Roman" w:eastAsia="宋体" w:cs="Times New Roman"/>
      <w:sz w:val="16"/>
      <w:szCs w:val="16"/>
    </w:rPr>
  </w:style>
  <w:style w:type="character" w:customStyle="1" w:styleId="231">
    <w:name w:val="正文文本 2 Char1"/>
    <w:qFormat/>
    <w:uiPriority w:val="0"/>
    <w:rPr>
      <w:rFonts w:ascii="Times New Roman" w:hAnsi="Times New Roman" w:eastAsia="宋体" w:cs="Times New Roman"/>
    </w:rPr>
  </w:style>
  <w:style w:type="character" w:customStyle="1" w:styleId="232">
    <w:name w:val="HTML 预设格式 Char1"/>
    <w:qFormat/>
    <w:uiPriority w:val="0"/>
    <w:rPr>
      <w:rFonts w:ascii="黑体" w:hAnsi="Courier New" w:eastAsia="黑体" w:cs="Courier New"/>
    </w:rPr>
  </w:style>
  <w:style w:type="character" w:customStyle="1" w:styleId="233">
    <w:name w:val="标题 Char1"/>
    <w:qFormat/>
    <w:uiPriority w:val="10"/>
    <w:rPr>
      <w:rFonts w:ascii="等线 Light" w:hAnsi="等线 Light" w:eastAsia="等线 Light" w:cs="Times New Roman"/>
      <w:b/>
      <w:bCs/>
      <w:kern w:val="28"/>
      <w:sz w:val="32"/>
      <w:szCs w:val="32"/>
    </w:rPr>
  </w:style>
  <w:style w:type="character" w:customStyle="1" w:styleId="234">
    <w:name w:val="批注主题 Char1"/>
    <w:qFormat/>
    <w:uiPriority w:val="99"/>
    <w:rPr>
      <w:b/>
      <w:bCs/>
      <w:kern w:val="2"/>
      <w:sz w:val="21"/>
      <w:szCs w:val="24"/>
    </w:rPr>
  </w:style>
  <w:style w:type="character" w:customStyle="1" w:styleId="235">
    <w:name w:val="文档结构图 字符2"/>
    <w:qFormat/>
    <w:uiPriority w:val="0"/>
    <w:rPr>
      <w:rFonts w:ascii="Times New Roman" w:hAnsi="Times New Roman" w:eastAsia="宋体" w:cs="Times New Roman"/>
      <w:kern w:val="0"/>
      <w:sz w:val="24"/>
      <w:szCs w:val="24"/>
      <w:shd w:val="clear" w:color="auto" w:fill="000080"/>
    </w:rPr>
  </w:style>
  <w:style w:type="character" w:customStyle="1" w:styleId="236">
    <w:name w:val="正文文本 3 字符2"/>
    <w:qFormat/>
    <w:uiPriority w:val="0"/>
    <w:rPr>
      <w:rFonts w:ascii="Times New Roman" w:hAnsi="Times New Roman" w:eastAsia="宋体" w:cs="Times New Roman"/>
      <w:b/>
      <w:bCs/>
      <w:kern w:val="0"/>
      <w:sz w:val="24"/>
      <w:szCs w:val="24"/>
    </w:rPr>
  </w:style>
  <w:style w:type="character" w:customStyle="1" w:styleId="237">
    <w:name w:val="正文文本 字符2"/>
    <w:qFormat/>
    <w:uiPriority w:val="99"/>
    <w:rPr>
      <w:rFonts w:ascii="Times New Roman" w:hAnsi="Times New Roman" w:eastAsia="宋体" w:cs="Times New Roman"/>
      <w:kern w:val="0"/>
      <w:sz w:val="24"/>
      <w:szCs w:val="24"/>
    </w:rPr>
  </w:style>
  <w:style w:type="character" w:customStyle="1" w:styleId="238">
    <w:name w:val="正文文本缩进 字符2"/>
    <w:qFormat/>
    <w:uiPriority w:val="99"/>
    <w:rPr>
      <w:rFonts w:ascii="仿宋_GB2312" w:hAnsi="Times New Roman" w:eastAsia="仿宋_GB2312" w:cs="Times New Roman"/>
      <w:kern w:val="0"/>
      <w:sz w:val="32"/>
      <w:szCs w:val="24"/>
    </w:rPr>
  </w:style>
  <w:style w:type="character" w:customStyle="1" w:styleId="239">
    <w:name w:val="纯文本 字符2"/>
    <w:qFormat/>
    <w:uiPriority w:val="0"/>
    <w:rPr>
      <w:rFonts w:ascii="宋体" w:hAnsi="Courier New" w:eastAsia="宋体" w:cs="Courier New"/>
      <w:szCs w:val="21"/>
    </w:rPr>
  </w:style>
  <w:style w:type="character" w:customStyle="1" w:styleId="240">
    <w:name w:val="正文文本缩进 2 字符2"/>
    <w:qFormat/>
    <w:uiPriority w:val="0"/>
    <w:rPr>
      <w:rFonts w:ascii="Times New Roman" w:hAnsi="Times New Roman" w:eastAsia="宋体" w:cs="Times New Roman"/>
      <w:kern w:val="0"/>
      <w:sz w:val="32"/>
      <w:szCs w:val="24"/>
    </w:rPr>
  </w:style>
  <w:style w:type="character" w:customStyle="1" w:styleId="241">
    <w:name w:val="正文文本_"/>
    <w:link w:val="242"/>
    <w:qFormat/>
    <w:uiPriority w:val="0"/>
    <w:rPr>
      <w:rFonts w:ascii="MingLiU" w:hAnsi="MingLiU" w:eastAsia="MingLiU" w:cs="MingLiU"/>
      <w:spacing w:val="9"/>
      <w:sz w:val="19"/>
      <w:szCs w:val="19"/>
      <w:shd w:val="clear" w:color="auto" w:fill="FFFFFF"/>
    </w:rPr>
  </w:style>
  <w:style w:type="paragraph" w:customStyle="1" w:styleId="242">
    <w:name w:val="正文文本1"/>
    <w:basedOn w:val="1"/>
    <w:link w:val="241"/>
    <w:qFormat/>
    <w:uiPriority w:val="0"/>
    <w:pPr>
      <w:shd w:val="clear" w:color="auto" w:fill="FFFFFF"/>
      <w:spacing w:line="302" w:lineRule="exact"/>
      <w:ind w:firstLine="460"/>
      <w:jc w:val="left"/>
    </w:pPr>
    <w:rPr>
      <w:rFonts w:ascii="MingLiU" w:hAnsi="MingLiU" w:eastAsia="MingLiU" w:cs="MingLiU"/>
      <w:spacing w:val="9"/>
      <w:kern w:val="0"/>
      <w:sz w:val="19"/>
      <w:szCs w:val="19"/>
    </w:rPr>
  </w:style>
  <w:style w:type="character" w:customStyle="1" w:styleId="243">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244">
    <w:name w:val="Char Char1"/>
    <w:qFormat/>
    <w:uiPriority w:val="0"/>
    <w:rPr>
      <w:rFonts w:ascii="宋体" w:hAnsi="Courier New" w:eastAsia="宋体"/>
      <w:kern w:val="2"/>
      <w:sz w:val="21"/>
      <w:lang w:val="en-US" w:eastAsia="zh-CN" w:bidi="ar-SA"/>
    </w:rPr>
  </w:style>
  <w:style w:type="character" w:customStyle="1" w:styleId="24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246">
    <w:name w:val="批注文字 字符1"/>
    <w:qFormat/>
    <w:uiPriority w:val="0"/>
    <w:rPr>
      <w:rFonts w:ascii="Times New Roman" w:hAnsi="Times New Roman"/>
      <w:kern w:val="2"/>
      <w:sz w:val="21"/>
      <w:szCs w:val="24"/>
    </w:rPr>
  </w:style>
  <w:style w:type="paragraph" w:customStyle="1" w:styleId="247">
    <w:name w:val="Char51"/>
    <w:basedOn w:val="1"/>
    <w:qFormat/>
    <w:uiPriority w:val="0"/>
    <w:rPr>
      <w:szCs w:val="21"/>
    </w:rPr>
  </w:style>
  <w:style w:type="paragraph" w:customStyle="1" w:styleId="248">
    <w:name w:val="Char Char Char Char Char Char Char21"/>
    <w:basedOn w:val="1"/>
    <w:qFormat/>
    <w:uiPriority w:val="0"/>
  </w:style>
  <w:style w:type="paragraph" w:customStyle="1" w:styleId="249">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250">
    <w:name w:val="Char Char Char Char Char Char Char Char Char Char Char Char"/>
    <w:basedOn w:val="1"/>
    <w:qFormat/>
    <w:uiPriority w:val="0"/>
    <w:pPr>
      <w:widowControl/>
      <w:spacing w:after="160" w:line="240" w:lineRule="exact"/>
      <w:jc w:val="left"/>
    </w:pPr>
  </w:style>
  <w:style w:type="paragraph" w:customStyle="1" w:styleId="251">
    <w:name w:val="Char Char Char Char Char Char Char Char Char Char Char Char1"/>
    <w:basedOn w:val="1"/>
    <w:qFormat/>
    <w:uiPriority w:val="0"/>
    <w:pPr>
      <w:widowControl/>
      <w:spacing w:after="160" w:line="240" w:lineRule="exact"/>
      <w:jc w:val="left"/>
    </w:pPr>
  </w:style>
  <w:style w:type="paragraph" w:customStyle="1" w:styleId="252">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253">
    <w:name w:val="Table Paragraph"/>
    <w:basedOn w:val="1"/>
    <w:qFormat/>
    <w:uiPriority w:val="1"/>
    <w:pPr>
      <w:jc w:val="left"/>
    </w:pPr>
    <w:rPr>
      <w:rFonts w:ascii="Calibri" w:hAnsi="Calibri"/>
      <w:kern w:val="0"/>
      <w:sz w:val="22"/>
      <w:szCs w:val="22"/>
      <w:lang w:eastAsia="en-US"/>
    </w:rPr>
  </w:style>
  <w:style w:type="paragraph" w:customStyle="1" w:styleId="254">
    <w:name w:val="p0"/>
    <w:basedOn w:val="1"/>
    <w:qFormat/>
    <w:uiPriority w:val="0"/>
    <w:pPr>
      <w:widowControl/>
    </w:pPr>
    <w:rPr>
      <w:kern w:val="0"/>
      <w:szCs w:val="21"/>
    </w:rPr>
  </w:style>
  <w:style w:type="paragraph" w:customStyle="1" w:styleId="255">
    <w:name w:val="TOC 标题2"/>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56">
    <w:name w:val="样式 标题 2 + 非加粗 首行缩进:  2 字符"/>
    <w:basedOn w:val="3"/>
    <w:qFormat/>
    <w:uiPriority w:val="0"/>
    <w:pPr>
      <w:spacing w:before="0" w:after="0" w:line="600" w:lineRule="exact"/>
      <w:ind w:firstLine="640" w:firstLineChars="200"/>
      <w:jc w:val="left"/>
    </w:pPr>
    <w:rPr>
      <w:rFonts w:cs="宋体"/>
      <w:b w:val="0"/>
      <w:bCs w:val="0"/>
      <w:szCs w:val="20"/>
    </w:rPr>
  </w:style>
  <w:style w:type="paragraph" w:customStyle="1" w:styleId="257">
    <w:name w:val="Char Char Char1 Char Char Char Char Char Char Char"/>
    <w:basedOn w:val="1"/>
    <w:qFormat/>
    <w:uiPriority w:val="0"/>
  </w:style>
  <w:style w:type="paragraph" w:customStyle="1" w:styleId="258">
    <w:name w:val="Char Char Char Char21"/>
    <w:basedOn w:val="1"/>
    <w:qFormat/>
    <w:uiPriority w:val="0"/>
    <w:pPr>
      <w:widowControl/>
      <w:spacing w:after="160" w:line="240" w:lineRule="exact"/>
      <w:jc w:val="left"/>
    </w:pPr>
  </w:style>
  <w:style w:type="paragraph" w:customStyle="1" w:styleId="259">
    <w:name w:val="列出段落1"/>
    <w:basedOn w:val="1"/>
    <w:qFormat/>
    <w:uiPriority w:val="34"/>
    <w:pPr>
      <w:spacing w:before="100" w:beforeAutospacing="1" w:after="100" w:afterAutospacing="1" w:line="360" w:lineRule="auto"/>
      <w:ind w:firstLine="420" w:firstLineChars="200"/>
    </w:pPr>
  </w:style>
  <w:style w:type="character" w:customStyle="1" w:styleId="260">
    <w:name w:val="正文2 Char Char"/>
    <w:link w:val="261"/>
    <w:qFormat/>
    <w:uiPriority w:val="0"/>
    <w:rPr>
      <w:kern w:val="2"/>
      <w:sz w:val="24"/>
    </w:rPr>
  </w:style>
  <w:style w:type="paragraph" w:customStyle="1" w:styleId="261">
    <w:name w:val="正文2"/>
    <w:basedOn w:val="1"/>
    <w:link w:val="260"/>
    <w:qFormat/>
    <w:uiPriority w:val="0"/>
    <w:pPr>
      <w:adjustRightInd w:val="0"/>
      <w:spacing w:before="156" w:line="360" w:lineRule="auto"/>
      <w:ind w:firstLine="510" w:firstLineChars="200"/>
    </w:pPr>
    <w:rPr>
      <w:sz w:val="24"/>
      <w:szCs w:val="20"/>
    </w:rPr>
  </w:style>
  <w:style w:type="paragraph" w:customStyle="1" w:styleId="262">
    <w:name w:val="表格文字"/>
    <w:basedOn w:val="1"/>
    <w:next w:val="21"/>
    <w:qFormat/>
    <w:uiPriority w:val="0"/>
    <w:pPr>
      <w:adjustRightInd w:val="0"/>
      <w:spacing w:line="420" w:lineRule="atLeast"/>
      <w:jc w:val="left"/>
      <w:textAlignment w:val="baseline"/>
    </w:pPr>
    <w:rPr>
      <w:kern w:val="0"/>
    </w:rPr>
  </w:style>
  <w:style w:type="character" w:customStyle="1" w:styleId="263">
    <w:name w:val="纯文本 Char_0"/>
    <w:link w:val="264"/>
    <w:qFormat/>
    <w:uiPriority w:val="0"/>
    <w:rPr>
      <w:rFonts w:ascii="宋体" w:hAnsi="Courier New"/>
      <w:kern w:val="2"/>
      <w:sz w:val="21"/>
      <w:szCs w:val="21"/>
      <w:lang w:val="en-US" w:eastAsia="zh-CN"/>
    </w:rPr>
  </w:style>
  <w:style w:type="paragraph" w:customStyle="1" w:styleId="264">
    <w:name w:val="纯文本_0_0"/>
    <w:basedOn w:val="1"/>
    <w:link w:val="263"/>
    <w:qFormat/>
    <w:uiPriority w:val="0"/>
    <w:rPr>
      <w:rFonts w:ascii="宋体" w:hAnsi="Courier New"/>
      <w:szCs w:val="21"/>
    </w:rPr>
  </w:style>
  <w:style w:type="paragraph" w:customStyle="1" w:styleId="26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266">
    <w:name w:val="正文缩进1"/>
    <w:basedOn w:val="1"/>
    <w:next w:val="23"/>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267">
    <w:name w:val="页脚 字符1"/>
    <w:qFormat/>
    <w:uiPriority w:val="99"/>
    <w:rPr>
      <w:kern w:val="2"/>
      <w:sz w:val="18"/>
      <w:szCs w:val="18"/>
    </w:rPr>
  </w:style>
  <w:style w:type="character" w:customStyle="1" w:styleId="268">
    <w:name w:val="页眉 字符1"/>
    <w:qFormat/>
    <w:uiPriority w:val="99"/>
    <w:rPr>
      <w:kern w:val="2"/>
      <w:sz w:val="18"/>
      <w:szCs w:val="18"/>
    </w:rPr>
  </w:style>
  <w:style w:type="paragraph" w:customStyle="1" w:styleId="269">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271">
    <w:name w:val="纯文本 字符1"/>
    <w:qFormat/>
    <w:locked/>
    <w:uiPriority w:val="0"/>
    <w:rPr>
      <w:rFonts w:ascii="宋体" w:hAnsi="Courier New"/>
      <w:kern w:val="2"/>
      <w:sz w:val="21"/>
    </w:rPr>
  </w:style>
  <w:style w:type="character" w:customStyle="1" w:styleId="272">
    <w:name w:val="标题 1 字符1"/>
    <w:qFormat/>
    <w:locked/>
    <w:uiPriority w:val="0"/>
    <w:rPr>
      <w:b/>
      <w:bCs/>
      <w:kern w:val="44"/>
      <w:sz w:val="44"/>
      <w:szCs w:val="44"/>
    </w:rPr>
  </w:style>
  <w:style w:type="character" w:customStyle="1" w:styleId="273">
    <w:name w:val="页脚 Char1"/>
    <w:qFormat/>
    <w:uiPriority w:val="0"/>
    <w:rPr>
      <w:rFonts w:ascii="Times New Roman" w:hAnsi="Times New Roman" w:eastAsia="宋体" w:cs="Times New Roman"/>
      <w:kern w:val="2"/>
      <w:sz w:val="18"/>
      <w:szCs w:val="18"/>
    </w:rPr>
  </w:style>
  <w:style w:type="character" w:customStyle="1" w:styleId="274">
    <w:name w:val="z-窗体顶端 字符2"/>
    <w:qFormat/>
    <w:uiPriority w:val="0"/>
    <w:rPr>
      <w:rFonts w:ascii="Arial" w:hAnsi="Times New Roman" w:eastAsia="宋体" w:cs="Times New Roman"/>
      <w:vanish/>
      <w:kern w:val="2"/>
      <w:sz w:val="16"/>
    </w:rPr>
  </w:style>
  <w:style w:type="character" w:customStyle="1" w:styleId="275">
    <w:name w:val="标题 字符1"/>
    <w:qFormat/>
    <w:uiPriority w:val="10"/>
    <w:rPr>
      <w:rFonts w:ascii="等线 Light" w:hAnsi="等线 Light" w:eastAsia="等线 Light" w:cs="Times New Roman"/>
      <w:b/>
      <w:bCs/>
      <w:sz w:val="32"/>
      <w:szCs w:val="32"/>
    </w:rPr>
  </w:style>
  <w:style w:type="character" w:customStyle="1" w:styleId="276">
    <w:name w:val="标题 7 字符1"/>
    <w:qFormat/>
    <w:uiPriority w:val="0"/>
    <w:rPr>
      <w:rFonts w:ascii="Times New Roman" w:hAnsi="Times New Roman" w:eastAsia="宋体" w:cs="Times New Roman"/>
      <w:b/>
      <w:sz w:val="24"/>
      <w:szCs w:val="24"/>
      <w:lang w:val="zh-CN" w:eastAsia="zh-CN"/>
    </w:rPr>
  </w:style>
  <w:style w:type="character" w:customStyle="1" w:styleId="277">
    <w:name w:val="标题 9 字符1"/>
    <w:qFormat/>
    <w:uiPriority w:val="0"/>
    <w:rPr>
      <w:rFonts w:ascii="Arial" w:hAnsi="Arial" w:eastAsia="黑体" w:cs="Times New Roman"/>
      <w:szCs w:val="24"/>
      <w:lang w:val="zh-CN" w:eastAsia="zh-CN"/>
    </w:rPr>
  </w:style>
  <w:style w:type="character" w:customStyle="1" w:styleId="278">
    <w:name w:val="标题 8 字符1"/>
    <w:qFormat/>
    <w:uiPriority w:val="0"/>
    <w:rPr>
      <w:rFonts w:ascii="Arial" w:hAnsi="Arial" w:eastAsia="黑体" w:cs="Times New Roman"/>
      <w:sz w:val="24"/>
      <w:szCs w:val="24"/>
      <w:lang w:val="zh-CN" w:eastAsia="zh-CN"/>
    </w:rPr>
  </w:style>
  <w:style w:type="character" w:customStyle="1" w:styleId="279">
    <w:name w:val="标题 6 字符1"/>
    <w:qFormat/>
    <w:uiPriority w:val="0"/>
    <w:rPr>
      <w:rFonts w:ascii="Arial" w:hAnsi="Arial" w:eastAsia="黑体" w:cs="Times New Roman"/>
      <w:b/>
      <w:sz w:val="24"/>
      <w:szCs w:val="24"/>
      <w:lang w:val="zh-CN" w:eastAsia="zh-CN"/>
    </w:rPr>
  </w:style>
  <w:style w:type="character" w:customStyle="1" w:styleId="280">
    <w:name w:val="标题 字符2"/>
    <w:qFormat/>
    <w:uiPriority w:val="0"/>
    <w:rPr>
      <w:rFonts w:ascii="Times New Roman" w:hAnsi="Times New Roman" w:eastAsia="宋体" w:cs="Times New Roman"/>
      <w:sz w:val="30"/>
      <w:szCs w:val="24"/>
    </w:rPr>
  </w:style>
  <w:style w:type="character" w:customStyle="1" w:styleId="281">
    <w:name w:val="ZK标题4 Char"/>
    <w:link w:val="282"/>
    <w:qFormat/>
    <w:uiPriority w:val="0"/>
    <w:rPr>
      <w:rFonts w:eastAsia="黑体"/>
    </w:rPr>
  </w:style>
  <w:style w:type="paragraph" w:customStyle="1" w:styleId="282">
    <w:name w:val="ZK标题4"/>
    <w:basedOn w:val="1"/>
    <w:next w:val="1"/>
    <w:link w:val="281"/>
    <w:qFormat/>
    <w:uiPriority w:val="0"/>
    <w:pPr>
      <w:widowControl/>
      <w:spacing w:line="360" w:lineRule="auto"/>
      <w:ind w:firstLine="200" w:firstLineChars="200"/>
      <w:jc w:val="left"/>
      <w:outlineLvl w:val="2"/>
    </w:pPr>
    <w:rPr>
      <w:rFonts w:eastAsia="黑体"/>
      <w:kern w:val="0"/>
      <w:sz w:val="20"/>
      <w:szCs w:val="20"/>
    </w:rPr>
  </w:style>
  <w:style w:type="character" w:customStyle="1" w:styleId="283">
    <w:name w:val="z-窗体顶端 字符4"/>
    <w:link w:val="284"/>
    <w:qFormat/>
    <w:uiPriority w:val="0"/>
    <w:rPr>
      <w:rFonts w:ascii="Arial"/>
      <w:vanish/>
      <w:kern w:val="2"/>
      <w:sz w:val="16"/>
    </w:rPr>
  </w:style>
  <w:style w:type="paragraph" w:customStyle="1" w:styleId="284">
    <w:name w:val="z-窗体顶端2"/>
    <w:basedOn w:val="1"/>
    <w:next w:val="1"/>
    <w:link w:val="283"/>
    <w:qFormat/>
    <w:uiPriority w:val="0"/>
    <w:pPr>
      <w:widowControl/>
      <w:pBdr>
        <w:bottom w:val="single" w:color="auto" w:sz="6" w:space="1"/>
      </w:pBdr>
      <w:jc w:val="center"/>
    </w:pPr>
    <w:rPr>
      <w:rFonts w:ascii="Arial"/>
      <w:vanish/>
      <w:sz w:val="16"/>
      <w:szCs w:val="20"/>
    </w:rPr>
  </w:style>
  <w:style w:type="paragraph" w:customStyle="1" w:styleId="285">
    <w:name w:val="_Style 225"/>
    <w:basedOn w:val="1"/>
    <w:next w:val="153"/>
    <w:qFormat/>
    <w:uiPriority w:val="0"/>
    <w:pPr>
      <w:widowControl/>
      <w:ind w:firstLine="420" w:firstLineChars="200"/>
      <w:jc w:val="left"/>
    </w:pPr>
  </w:style>
  <w:style w:type="character" w:customStyle="1" w:styleId="286">
    <w:name w:val="未处理的提及2"/>
    <w:unhideWhenUsed/>
    <w:qFormat/>
    <w:uiPriority w:val="99"/>
    <w:rPr>
      <w:rFonts w:ascii="Times New Roman" w:hAnsi="Times New Roman" w:eastAsia="宋体" w:cs="Times New Roman"/>
      <w:color w:val="605E5C"/>
      <w:shd w:val="clear" w:color="auto" w:fill="E1DFDD"/>
    </w:rPr>
  </w:style>
  <w:style w:type="character" w:customStyle="1" w:styleId="287">
    <w:name w:val="abstract_item-style-span"/>
    <w:qFormat/>
    <w:uiPriority w:val="0"/>
    <w:rPr>
      <w:rFonts w:ascii="Times New Roman" w:hAnsi="Times New Roman" w:eastAsia="宋体" w:cs="Times New Roman"/>
    </w:rPr>
  </w:style>
  <w:style w:type="character" w:customStyle="1" w:styleId="288">
    <w:name w:val="10"/>
    <w:qFormat/>
    <w:uiPriority w:val="0"/>
    <w:rPr>
      <w:rFonts w:hint="default" w:ascii="Times New Roman" w:hAnsi="Times New Roman" w:eastAsia="宋体" w:cs="Times New Roman"/>
    </w:rPr>
  </w:style>
  <w:style w:type="character" w:customStyle="1" w:styleId="289">
    <w:name w:val="15"/>
    <w:qFormat/>
    <w:uiPriority w:val="0"/>
    <w:rPr>
      <w:rFonts w:hint="default" w:ascii="Times New Roman" w:hAnsi="Times New Roman" w:eastAsia="宋体" w:cs="Times New Roman"/>
    </w:rPr>
  </w:style>
  <w:style w:type="character" w:customStyle="1" w:styleId="290">
    <w:name w:val="未处理的提及3"/>
    <w:unhideWhenUsed/>
    <w:qFormat/>
    <w:uiPriority w:val="99"/>
    <w:rPr>
      <w:rFonts w:ascii="Times New Roman" w:hAnsi="Times New Roman" w:eastAsia="宋体" w:cs="Times New Roman"/>
      <w:color w:val="605E5C"/>
      <w:shd w:val="clear" w:color="auto" w:fill="E1DFDD"/>
    </w:rPr>
  </w:style>
  <w:style w:type="character" w:customStyle="1" w:styleId="291">
    <w:name w:val="引用 字符"/>
    <w:link w:val="292"/>
    <w:qFormat/>
    <w:uiPriority w:val="29"/>
    <w:rPr>
      <w:i/>
    </w:rPr>
  </w:style>
  <w:style w:type="paragraph" w:styleId="292">
    <w:name w:val="Quote"/>
    <w:basedOn w:val="1"/>
    <w:next w:val="1"/>
    <w:link w:val="291"/>
    <w:qFormat/>
    <w:uiPriority w:val="29"/>
    <w:pPr>
      <w:widowControl/>
      <w:jc w:val="left"/>
    </w:pPr>
    <w:rPr>
      <w:i/>
      <w:kern w:val="0"/>
      <w:sz w:val="20"/>
      <w:szCs w:val="20"/>
    </w:rPr>
  </w:style>
  <w:style w:type="character" w:customStyle="1" w:styleId="293">
    <w:name w:val="引用 Char1"/>
    <w:basedOn w:val="56"/>
    <w:qFormat/>
    <w:uiPriority w:val="99"/>
    <w:rPr>
      <w:i/>
      <w:iCs/>
      <w:color w:val="000000" w:themeColor="text1"/>
      <w:kern w:val="2"/>
      <w:sz w:val="21"/>
      <w:szCs w:val="24"/>
      <w14:textFill>
        <w14:solidFill>
          <w14:schemeClr w14:val="tx1"/>
        </w14:solidFill>
      </w14:textFill>
    </w:rPr>
  </w:style>
  <w:style w:type="character" w:customStyle="1" w:styleId="294">
    <w:name w:val="明显引用 字符"/>
    <w:link w:val="295"/>
    <w:qFormat/>
    <w:uiPriority w:val="30"/>
    <w:rPr>
      <w:b/>
      <w:i/>
      <w:szCs w:val="22"/>
    </w:rPr>
  </w:style>
  <w:style w:type="paragraph" w:styleId="295">
    <w:name w:val="Intense Quote"/>
    <w:basedOn w:val="1"/>
    <w:next w:val="1"/>
    <w:link w:val="294"/>
    <w:qFormat/>
    <w:uiPriority w:val="30"/>
    <w:pPr>
      <w:widowControl/>
      <w:ind w:left="720" w:right="720"/>
      <w:jc w:val="left"/>
    </w:pPr>
    <w:rPr>
      <w:b/>
      <w:i/>
      <w:kern w:val="0"/>
      <w:sz w:val="20"/>
      <w:szCs w:val="22"/>
    </w:rPr>
  </w:style>
  <w:style w:type="character" w:customStyle="1" w:styleId="296">
    <w:name w:val="明显引用 Char1"/>
    <w:basedOn w:val="56"/>
    <w:qFormat/>
    <w:uiPriority w:val="99"/>
    <w:rPr>
      <w:b/>
      <w:bCs/>
      <w:i/>
      <w:iCs/>
      <w:color w:val="4472C4" w:themeColor="accent1"/>
      <w:kern w:val="2"/>
      <w:sz w:val="21"/>
      <w:szCs w:val="24"/>
      <w14:textFill>
        <w14:solidFill>
          <w14:schemeClr w14:val="accent1"/>
        </w14:solidFill>
      </w14:textFill>
    </w:rPr>
  </w:style>
  <w:style w:type="character" w:customStyle="1" w:styleId="297">
    <w:name w:val="不明显强调1"/>
    <w:qFormat/>
    <w:uiPriority w:val="19"/>
    <w:rPr>
      <w:rFonts w:ascii="Times New Roman" w:hAnsi="Times New Roman" w:eastAsia="宋体" w:cs="Times New Roman"/>
      <w:i/>
      <w:color w:val="5A5A5A"/>
    </w:rPr>
  </w:style>
  <w:style w:type="character" w:customStyle="1" w:styleId="298">
    <w:name w:val="明显强调1"/>
    <w:qFormat/>
    <w:uiPriority w:val="21"/>
    <w:rPr>
      <w:rFonts w:ascii="Times New Roman" w:hAnsi="Times New Roman" w:eastAsia="宋体" w:cs="Times New Roman"/>
      <w:b/>
      <w:i/>
      <w:sz w:val="24"/>
      <w:szCs w:val="24"/>
      <w:u w:val="single"/>
    </w:rPr>
  </w:style>
  <w:style w:type="character" w:customStyle="1" w:styleId="299">
    <w:name w:val="不明显参考1"/>
    <w:qFormat/>
    <w:uiPriority w:val="31"/>
    <w:rPr>
      <w:rFonts w:ascii="Times New Roman" w:hAnsi="Times New Roman" w:eastAsia="宋体" w:cs="Times New Roman"/>
      <w:sz w:val="24"/>
      <w:szCs w:val="24"/>
      <w:u w:val="single"/>
    </w:rPr>
  </w:style>
  <w:style w:type="character" w:customStyle="1" w:styleId="300">
    <w:name w:val="明显参考1"/>
    <w:qFormat/>
    <w:uiPriority w:val="32"/>
    <w:rPr>
      <w:rFonts w:ascii="Times New Roman" w:hAnsi="Times New Roman" w:eastAsia="宋体" w:cs="Times New Roman"/>
      <w:b/>
      <w:sz w:val="24"/>
      <w:u w:val="single"/>
    </w:rPr>
  </w:style>
  <w:style w:type="character" w:customStyle="1" w:styleId="301">
    <w:name w:val="书籍标题1"/>
    <w:qFormat/>
    <w:uiPriority w:val="33"/>
    <w:rPr>
      <w:rFonts w:ascii="等线 Light" w:hAnsi="等线 Light" w:eastAsia="等线 Light" w:cs="Times New Roman"/>
      <w:b/>
      <w:i/>
      <w:sz w:val="24"/>
      <w:szCs w:val="24"/>
    </w:rPr>
  </w:style>
  <w:style w:type="character" w:customStyle="1" w:styleId="302">
    <w:name w:val="未处理的提及4"/>
    <w:unhideWhenUsed/>
    <w:qFormat/>
    <w:uiPriority w:val="99"/>
    <w:rPr>
      <w:rFonts w:ascii="Times New Roman" w:hAnsi="Times New Roman" w:eastAsia="宋体" w:cs="Times New Roman"/>
      <w:color w:val="605E5C"/>
      <w:shd w:val="clear" w:color="auto" w:fill="E1DFDD"/>
    </w:rPr>
  </w:style>
  <w:style w:type="paragraph" w:styleId="303">
    <w:name w:val="No Spacing"/>
    <w:basedOn w:val="1"/>
    <w:qFormat/>
    <w:uiPriority w:val="1"/>
    <w:pPr>
      <w:widowControl/>
      <w:jc w:val="left"/>
    </w:pPr>
    <w:rPr>
      <w:kern w:val="0"/>
      <w:sz w:val="24"/>
      <w:szCs w:val="32"/>
    </w:rPr>
  </w:style>
  <w:style w:type="paragraph" w:customStyle="1" w:styleId="304">
    <w:name w:val="目录 11"/>
    <w:basedOn w:val="1"/>
    <w:next w:val="1"/>
    <w:qFormat/>
    <w:uiPriority w:val="0"/>
    <w:pPr>
      <w:spacing w:before="120" w:after="120"/>
      <w:jc w:val="left"/>
    </w:pPr>
    <w:rPr>
      <w:rFonts w:ascii="Calibri" w:hAnsi="Calibri"/>
      <w:b/>
      <w:bCs/>
      <w:caps/>
      <w:sz w:val="20"/>
      <w:szCs w:val="20"/>
    </w:rPr>
  </w:style>
  <w:style w:type="paragraph" w:customStyle="1" w:styleId="305">
    <w:name w:val="3"/>
    <w:basedOn w:val="1"/>
    <w:next w:val="153"/>
    <w:qFormat/>
    <w:uiPriority w:val="34"/>
    <w:pPr>
      <w:widowControl/>
      <w:ind w:firstLine="420" w:firstLineChars="200"/>
      <w:jc w:val="left"/>
    </w:pPr>
    <w:rPr>
      <w:rFonts w:ascii="Calibri" w:hAnsi="Calibri"/>
      <w:kern w:val="0"/>
      <w:sz w:val="24"/>
    </w:rPr>
  </w:style>
  <w:style w:type="paragraph" w:customStyle="1" w:styleId="306">
    <w:name w:val="Char22"/>
    <w:basedOn w:val="1"/>
    <w:qFormat/>
    <w:uiPriority w:val="0"/>
    <w:pPr>
      <w:widowControl/>
      <w:spacing w:after="160" w:line="240" w:lineRule="exact"/>
      <w:jc w:val="left"/>
    </w:pPr>
    <w:rPr>
      <w:rFonts w:ascii="Verdana" w:hAnsi="Verdana"/>
      <w:kern w:val="0"/>
      <w:sz w:val="24"/>
      <w:szCs w:val="20"/>
      <w:lang w:eastAsia="en-US"/>
    </w:rPr>
  </w:style>
  <w:style w:type="paragraph" w:customStyle="1" w:styleId="307">
    <w:name w:val="Char5"/>
    <w:basedOn w:val="1"/>
    <w:qFormat/>
    <w:uiPriority w:val="0"/>
    <w:pPr>
      <w:widowControl/>
      <w:tabs>
        <w:tab w:val="left" w:pos="360"/>
      </w:tabs>
      <w:ind w:left="252" w:hanging="252" w:hangingChars="140"/>
      <w:jc w:val="left"/>
    </w:pPr>
    <w:rPr>
      <w:rFonts w:ascii="宋体"/>
      <w:kern w:val="0"/>
      <w:sz w:val="18"/>
      <w:szCs w:val="18"/>
    </w:rPr>
  </w:style>
  <w:style w:type="paragraph" w:customStyle="1" w:styleId="30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修订21"/>
    <w:unhideWhenUsed/>
    <w:qFormat/>
    <w:uiPriority w:val="99"/>
    <w:rPr>
      <w:rFonts w:ascii="Times New Roman" w:hAnsi="Times New Roman" w:eastAsia="宋体" w:cs="Times New Roman"/>
      <w:kern w:val="2"/>
      <w:sz w:val="21"/>
      <w:szCs w:val="24"/>
      <w:lang w:val="en-US" w:eastAsia="zh-CN" w:bidi="ar-SA"/>
    </w:rPr>
  </w:style>
  <w:style w:type="paragraph" w:customStyle="1" w:styleId="310">
    <w:name w:val="TOC 标题21"/>
    <w:basedOn w:val="2"/>
    <w:next w:val="1"/>
    <w:qFormat/>
    <w:uiPriority w:val="39"/>
    <w:pPr>
      <w:keepLines w:val="0"/>
      <w:widowControl/>
      <w:spacing w:before="480" w:after="0" w:line="276" w:lineRule="auto"/>
      <w:jc w:val="left"/>
      <w:outlineLvl w:val="9"/>
    </w:pPr>
    <w:rPr>
      <w:rFonts w:ascii="Cambria" w:hAnsi="Cambria"/>
      <w:color w:val="365F91"/>
      <w:kern w:val="0"/>
      <w:sz w:val="28"/>
      <w:szCs w:val="28"/>
    </w:rPr>
  </w:style>
  <w:style w:type="paragraph" w:customStyle="1" w:styleId="311">
    <w:name w:val="Char Char Char Char Char Char Char Char Char Char Char Char Char Char Char Char2"/>
    <w:basedOn w:val="1"/>
    <w:qFormat/>
    <w:uiPriority w:val="0"/>
    <w:pPr>
      <w:widowControl/>
      <w:tabs>
        <w:tab w:val="left" w:pos="360"/>
      </w:tabs>
      <w:spacing w:line="360" w:lineRule="auto"/>
      <w:ind w:left="482" w:firstLine="200" w:firstLineChars="200"/>
      <w:jc w:val="left"/>
    </w:pPr>
    <w:rPr>
      <w:rFonts w:ascii="宋体"/>
      <w:kern w:val="0"/>
      <w:sz w:val="24"/>
    </w:rPr>
  </w:style>
  <w:style w:type="paragraph" w:customStyle="1" w:styleId="312">
    <w:name w:val="Char Char Char Char Char Char Char2"/>
    <w:basedOn w:val="1"/>
    <w:qFormat/>
    <w:uiPriority w:val="0"/>
    <w:pPr>
      <w:widowControl/>
      <w:jc w:val="left"/>
    </w:pPr>
    <w:rPr>
      <w:kern w:val="0"/>
      <w:sz w:val="24"/>
    </w:rPr>
  </w:style>
  <w:style w:type="paragraph" w:customStyle="1" w:styleId="313">
    <w:name w:val="Char Char Char3"/>
    <w:basedOn w:val="18"/>
    <w:qFormat/>
    <w:uiPriority w:val="0"/>
    <w:pPr>
      <w:widowControl/>
      <w:adjustRightInd/>
      <w:spacing w:line="240" w:lineRule="auto"/>
      <w:jc w:val="left"/>
      <w:textAlignment w:val="auto"/>
    </w:pPr>
    <w:rPr>
      <w:rFonts w:ascii="Tahoma" w:hAnsi="Tahoma"/>
      <w:sz w:val="24"/>
      <w:szCs w:val="24"/>
    </w:rPr>
  </w:style>
  <w:style w:type="paragraph" w:customStyle="1" w:styleId="314">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15">
    <w:name w:val="Char Char Char Char Char Char Char Char Char Char Char Char Char2"/>
    <w:basedOn w:val="18"/>
    <w:qFormat/>
    <w:uiPriority w:val="0"/>
    <w:pPr>
      <w:widowControl/>
      <w:adjustRightInd/>
      <w:spacing w:line="240" w:lineRule="auto"/>
      <w:jc w:val="left"/>
      <w:textAlignment w:val="auto"/>
    </w:pPr>
    <w:rPr>
      <w:rFonts w:ascii="Tahoma" w:hAnsi="Tahoma"/>
      <w:sz w:val="24"/>
      <w:szCs w:val="24"/>
    </w:rPr>
  </w:style>
  <w:style w:type="paragraph" w:customStyle="1" w:styleId="316">
    <w:name w:val="Char Char Char Char Char Char1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7">
    <w:name w:val="正文-2字符首行缩进"/>
    <w:basedOn w:val="1"/>
    <w:qFormat/>
    <w:uiPriority w:val="0"/>
    <w:pPr>
      <w:widowControl/>
      <w:spacing w:line="360" w:lineRule="auto"/>
      <w:ind w:firstLine="200" w:firstLineChars="200"/>
      <w:jc w:val="left"/>
    </w:pPr>
    <w:rPr>
      <w:rFonts w:ascii="仿宋_GB2312" w:hAnsi="Calibri" w:eastAsia="仿宋_GB2312"/>
      <w:kern w:val="0"/>
      <w:sz w:val="28"/>
    </w:rPr>
  </w:style>
  <w:style w:type="paragraph" w:customStyle="1" w:styleId="318">
    <w:name w:val="正文1"/>
    <w:qFormat/>
    <w:uiPriority w:val="0"/>
    <w:pPr>
      <w:jc w:val="both"/>
    </w:pPr>
    <w:rPr>
      <w:rFonts w:ascii="Times New Roman" w:hAnsi="Times New Roman" w:eastAsia="宋体" w:cs="宋体"/>
      <w:kern w:val="2"/>
      <w:sz w:val="21"/>
      <w:szCs w:val="21"/>
      <w:lang w:val="en-US" w:eastAsia="zh-CN" w:bidi="ar-SA"/>
    </w:rPr>
  </w:style>
  <w:style w:type="character" w:customStyle="1" w:styleId="319">
    <w:name w:val="font21"/>
    <w:qFormat/>
    <w:uiPriority w:val="0"/>
    <w:rPr>
      <w:rFonts w:hint="eastAsia" w:ascii="宋体" w:hAnsi="宋体" w:eastAsia="宋体" w:cs="宋体"/>
      <w:color w:val="000000"/>
      <w:sz w:val="21"/>
      <w:szCs w:val="21"/>
      <w:u w:val="none"/>
    </w:rPr>
  </w:style>
  <w:style w:type="paragraph" w:customStyle="1" w:styleId="320">
    <w:name w:val="WPSOffice手动目录 1"/>
    <w:qFormat/>
    <w:uiPriority w:val="0"/>
    <w:rPr>
      <w:rFonts w:ascii="Times New Roman" w:hAnsi="Times New Roman" w:eastAsia="宋体" w:cs="Times New Roman"/>
      <w:lang w:val="en-US" w:eastAsia="zh-CN" w:bidi="ar-SA"/>
    </w:rPr>
  </w:style>
  <w:style w:type="paragraph" w:customStyle="1" w:styleId="32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22">
    <w:name w:val="文字缩进 Char"/>
    <w:basedOn w:val="56"/>
    <w:qFormat/>
    <w:uiPriority w:val="0"/>
    <w:rPr>
      <w:rFonts w:hint="eastAsia" w:ascii="宋体" w:hAnsi="Courier New" w:eastAsia="宋体" w:cs="Courier New"/>
      <w:kern w:val="2"/>
      <w:sz w:val="21"/>
      <w:szCs w:val="21"/>
      <w:lang w:val="en-US" w:eastAsia="zh-CN" w:bidi="ar"/>
    </w:rPr>
  </w:style>
  <w:style w:type="character" w:customStyle="1" w:styleId="323">
    <w:name w:val="msoplaceholdertext"/>
    <w:basedOn w:val="56"/>
    <w:qFormat/>
    <w:uiPriority w:val="0"/>
    <w:rPr>
      <w:color w:val="808080"/>
    </w:rPr>
  </w:style>
  <w:style w:type="character" w:customStyle="1" w:styleId="324">
    <w:name w:val="批注文字 Char2"/>
    <w:basedOn w:val="56"/>
    <w:qFormat/>
    <w:uiPriority w:val="0"/>
    <w:rPr>
      <w:kern w:val="2"/>
      <w:sz w:val="21"/>
      <w:szCs w:val="24"/>
      <w:lang w:bidi="ar"/>
    </w:rPr>
  </w:style>
  <w:style w:type="character" w:customStyle="1" w:styleId="325">
    <w:name w:val="正文-2字符首行缩进 Char"/>
    <w:basedOn w:val="56"/>
    <w:qFormat/>
    <w:uiPriority w:val="0"/>
    <w:rPr>
      <w:rFonts w:hint="eastAsia" w:ascii="仿宋_GB2312" w:hAnsi="Calibri" w:eastAsia="仿宋_GB2312" w:cs="仿宋_GB2312"/>
      <w:sz w:val="28"/>
      <w:szCs w:val="22"/>
    </w:rPr>
  </w:style>
  <w:style w:type="character" w:customStyle="1" w:styleId="326">
    <w:name w:val="正文首行缩进 Char1"/>
    <w:semiHidden/>
    <w:qFormat/>
    <w:uiPriority w:val="0"/>
    <w:rPr>
      <w:rFonts w:ascii="Times New Roman" w:hAnsi="Times New Roman" w:eastAsia="宋体" w:cs="Times New Roman"/>
      <w:sz w:val="21"/>
    </w:rPr>
  </w:style>
  <w:style w:type="character" w:customStyle="1" w:styleId="327">
    <w:name w:val="正文首行缩进 2 Char1"/>
    <w:semiHidden/>
    <w:qFormat/>
    <w:uiPriority w:val="0"/>
    <w:rPr>
      <w:rFonts w:ascii="等线" w:hAnsi="Times New Roman" w:eastAsia="等线" w:cs="Times New Roman"/>
      <w:sz w:val="21"/>
    </w:rPr>
  </w:style>
  <w:style w:type="character" w:customStyle="1" w:styleId="328">
    <w:name w:val="标题 4 字符1"/>
    <w:semiHidden/>
    <w:qFormat/>
    <w:locked/>
    <w:uiPriority w:val="0"/>
    <w:rPr>
      <w:rFonts w:ascii="Arial" w:eastAsia="黑体"/>
      <w:sz w:val="28"/>
    </w:rPr>
  </w:style>
  <w:style w:type="character" w:customStyle="1" w:styleId="329">
    <w:name w:val="标题 2 字符1"/>
    <w:semiHidden/>
    <w:qFormat/>
    <w:locked/>
    <w:uiPriority w:val="0"/>
    <w:rPr>
      <w:rFonts w:ascii="Arial" w:hAnsi="Arial" w:eastAsia="黑体"/>
      <w:b/>
      <w:bCs/>
      <w:kern w:val="2"/>
      <w:sz w:val="32"/>
      <w:szCs w:val="32"/>
    </w:rPr>
  </w:style>
  <w:style w:type="character" w:customStyle="1" w:styleId="330">
    <w:name w:val="标题 3 字符1"/>
    <w:semiHidden/>
    <w:qFormat/>
    <w:locked/>
    <w:uiPriority w:val="0"/>
    <w:rPr>
      <w:b/>
      <w:bCs/>
      <w:kern w:val="2"/>
      <w:sz w:val="32"/>
      <w:szCs w:val="32"/>
    </w:rPr>
  </w:style>
  <w:style w:type="character" w:customStyle="1" w:styleId="331">
    <w:name w:val="标题 5 字符1"/>
    <w:semiHidden/>
    <w:qFormat/>
    <w:locked/>
    <w:uiPriority w:val="9"/>
    <w:rPr>
      <w:b/>
      <w:bCs/>
      <w:kern w:val="2"/>
      <w:sz w:val="28"/>
      <w:szCs w:val="28"/>
    </w:rPr>
  </w:style>
  <w:style w:type="character" w:customStyle="1" w:styleId="332">
    <w:name w:val="正文文本缩进 3 字符1"/>
    <w:semiHidden/>
    <w:qFormat/>
    <w:uiPriority w:val="99"/>
    <w:rPr>
      <w:rFonts w:ascii="Times New Roman" w:hAnsi="Times New Roman" w:eastAsia="宋体" w:cs="Times New Roman"/>
      <w:sz w:val="16"/>
      <w:szCs w:val="16"/>
    </w:rPr>
  </w:style>
  <w:style w:type="character" w:customStyle="1" w:styleId="333">
    <w:name w:val="HTML 预设格式 字符1"/>
    <w:semiHidden/>
    <w:qFormat/>
    <w:uiPriority w:val="99"/>
    <w:rPr>
      <w:rFonts w:ascii="Courier New" w:hAnsi="Courier New" w:eastAsia="宋体" w:cs="Courier New"/>
      <w:sz w:val="20"/>
      <w:szCs w:val="20"/>
    </w:rPr>
  </w:style>
  <w:style w:type="character" w:customStyle="1" w:styleId="334">
    <w:name w:val="正文文本 2 字符1"/>
    <w:semiHidden/>
    <w:qFormat/>
    <w:uiPriority w:val="99"/>
    <w:rPr>
      <w:rFonts w:ascii="Times New Roman" w:hAnsi="Times New Roman" w:eastAsia="宋体" w:cs="Times New Roman"/>
    </w:rPr>
  </w:style>
  <w:style w:type="character" w:customStyle="1" w:styleId="335">
    <w:name w:val="正文文本首行缩进 字符1"/>
    <w:semiHidden/>
    <w:qFormat/>
    <w:uiPriority w:val="99"/>
    <w:rPr>
      <w:rFonts w:ascii="Times New Roman" w:hAnsi="Times New Roman" w:eastAsia="宋体" w:cs="Times New Roman"/>
    </w:rPr>
  </w:style>
  <w:style w:type="character" w:customStyle="1" w:styleId="336">
    <w:name w:val="正文文本首行缩进 2 字符1"/>
    <w:semiHidden/>
    <w:qFormat/>
    <w:uiPriority w:val="99"/>
    <w:rPr>
      <w:rFonts w:ascii="Times New Roman" w:hAnsi="Times New Roman" w:eastAsia="宋体" w:cs="Times New Roman"/>
    </w:rPr>
  </w:style>
  <w:style w:type="character" w:customStyle="1" w:styleId="337">
    <w:name w:val="z-窗体顶端 字符3"/>
    <w:semiHidden/>
    <w:qFormat/>
    <w:uiPriority w:val="99"/>
    <w:rPr>
      <w:rFonts w:ascii="Arial" w:hAnsi="Arial" w:eastAsia="宋体" w:cs="Arial"/>
      <w:vanish/>
      <w:kern w:val="2"/>
      <w:sz w:val="16"/>
      <w:szCs w:val="16"/>
    </w:rPr>
  </w:style>
  <w:style w:type="table" w:customStyle="1" w:styleId="338">
    <w:name w:val="网格型1"/>
    <w:basedOn w:val="54"/>
    <w:qFormat/>
    <w:uiPriority w:val="0"/>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
    <w:name w:val="网格型2"/>
    <w:basedOn w:val="5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40">
    <w:name w:val="*正文"/>
    <w:basedOn w:val="1"/>
    <w:qFormat/>
    <w:uiPriority w:val="0"/>
    <w:pPr>
      <w:widowControl/>
      <w:ind w:firstLine="200" w:firstLineChars="200"/>
    </w:pPr>
    <w:rPr>
      <w:rFonts w:ascii="仿宋_GB2312" w:hAnsi="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CEB67-2911-44D2-9C0C-48E713AC672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122</Pages>
  <Words>70012</Words>
  <Characters>74104</Characters>
  <Lines>3092</Lines>
  <Paragraphs>4250</Paragraphs>
  <TotalTime>0</TotalTime>
  <ScaleCrop>false</ScaleCrop>
  <LinksUpToDate>false</LinksUpToDate>
  <CharactersWithSpaces>78954</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2020-08-07T04:11:00Z</dcterms:created>
  <dc:creator>微软用户</dc:creator>
  <cp:lastModifiedBy>gczb</cp:lastModifiedBy>
  <cp:lastPrinted>2016-03-22T07:52:00Z</cp:lastPrinted>
  <dcterms:modified xsi:type="dcterms:W3CDTF">2025-05-20T11:12:30Z</dcterms:modified>
  <dc:title>桂财采〔2009〕 号</dc:title>
  <cp:revision>354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B9CAB61DE1E043B885D8CCD2AA142C94_13</vt:lpwstr>
  </property>
  <property fmtid="{D5CDD505-2E9C-101B-9397-08002B2CF9AE}" pid="14" name="KSOTemplateDocerSaveRecord">
    <vt:lpwstr>eyJoZGlkIjoiYmUwNmViNzY4YTNlMWY3YzM3MDNkMThkMWFmZGNhYWUiLCJ1c2VySWQiOiIxMDU0NTQyMDMwIn0=</vt:lpwstr>
  </property>
</Properties>
</file>