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65" w:beforeLines="50" w:line="360" w:lineRule="auto"/>
        <w:jc w:val="both"/>
        <w:rPr>
          <w:rFonts w:hint="eastAsia" w:eastAsia="宋体"/>
          <w:color w:val="auto"/>
          <w:highlight w:val="none"/>
          <w:lang w:eastAsia="zh-CN"/>
        </w:rPr>
      </w:pPr>
      <w:r>
        <w:rPr>
          <w:rFonts w:hint="eastAsia" w:eastAsia="宋体"/>
          <w:color w:val="auto"/>
          <w:highlight w:val="none"/>
          <w:lang w:eastAsia="zh-CN"/>
        </w:rPr>
        <w:drawing>
          <wp:anchor distT="0" distB="0" distL="114300" distR="114300" simplePos="0" relativeHeight="251660288" behindDoc="0" locked="0" layoutInCell="1" allowOverlap="1">
            <wp:simplePos x="0" y="0"/>
            <wp:positionH relativeFrom="column">
              <wp:posOffset>-789305</wp:posOffset>
            </wp:positionH>
            <wp:positionV relativeFrom="paragraph">
              <wp:posOffset>-841375</wp:posOffset>
            </wp:positionV>
            <wp:extent cx="7563485" cy="10697210"/>
            <wp:effectExtent l="0" t="0" r="18415" b="8890"/>
            <wp:wrapSquare wrapText="bothSides"/>
            <wp:docPr id="10" name="图片 10" descr="20250630152238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0250630152238_00"/>
                    <pic:cNvPicPr>
                      <a:picLocks noChangeAspect="1"/>
                    </pic:cNvPicPr>
                  </pic:nvPicPr>
                  <pic:blipFill>
                    <a:blip r:embed="rId17"/>
                    <a:stretch>
                      <a:fillRect/>
                    </a:stretch>
                  </pic:blipFill>
                  <pic:spPr>
                    <a:xfrm>
                      <a:off x="0" y="0"/>
                      <a:ext cx="7563485" cy="10697210"/>
                    </a:xfrm>
                    <a:prstGeom prst="rect">
                      <a:avLst/>
                    </a:prstGeom>
                  </pic:spPr>
                </pic:pic>
              </a:graphicData>
            </a:graphic>
          </wp:anchor>
        </w:drawing>
      </w:r>
    </w:p>
    <w:p>
      <w:pPr>
        <w:spacing w:before="165" w:beforeLines="50" w:line="360" w:lineRule="auto"/>
        <w:jc w:val="center"/>
        <w:rPr>
          <w:rFonts w:hint="eastAsia" w:ascii="宋体" w:hAnsi="宋体" w:eastAsia="宋体" w:cs="宋体"/>
          <w:color w:val="auto"/>
          <w:sz w:val="52"/>
          <w:szCs w:val="52"/>
          <w:highlight w:val="none"/>
        </w:rPr>
      </w:pPr>
      <w:r>
        <w:rPr>
          <w:rFonts w:hint="eastAsia" w:ascii="宋体" w:hAnsi="宋体" w:eastAsia="宋体" w:cs="宋体"/>
          <w:color w:val="auto"/>
          <w:sz w:val="52"/>
          <w:szCs w:val="52"/>
          <w:highlight w:val="none"/>
        </w:rPr>
        <w:t>南宁市政府采购</w:t>
      </w:r>
    </w:p>
    <w:p>
      <w:pPr>
        <w:spacing w:before="165" w:beforeLines="50" w:line="360" w:lineRule="auto"/>
        <w:jc w:val="center"/>
        <w:rPr>
          <w:rFonts w:hint="eastAsia" w:ascii="宋体" w:hAnsi="宋体" w:eastAsia="宋体" w:cs="宋体"/>
          <w:color w:val="auto"/>
          <w:sz w:val="52"/>
          <w:szCs w:val="52"/>
          <w:highlight w:val="none"/>
        </w:rPr>
      </w:pPr>
      <w:r>
        <w:rPr>
          <w:rFonts w:hint="eastAsia" w:ascii="宋体" w:hAnsi="宋体" w:eastAsia="宋体" w:cs="宋体"/>
          <w:color w:val="auto"/>
          <w:sz w:val="52"/>
          <w:szCs w:val="52"/>
          <w:highlight w:val="none"/>
        </w:rPr>
        <w:t>竞争性磋商文件（服务类）</w:t>
      </w:r>
    </w:p>
    <w:p>
      <w:pPr>
        <w:spacing w:before="165" w:beforeLines="50" w:line="360" w:lineRule="auto"/>
        <w:jc w:val="center"/>
        <w:rPr>
          <w:rFonts w:hint="eastAsia" w:ascii="宋体" w:hAnsi="宋体" w:eastAsia="宋体" w:cs="宋体"/>
          <w:color w:val="auto"/>
          <w:sz w:val="36"/>
          <w:szCs w:val="36"/>
          <w:highlight w:val="none"/>
        </w:rPr>
      </w:pPr>
    </w:p>
    <w:p>
      <w:pPr>
        <w:snapToGrid w:val="0"/>
        <w:spacing w:before="165" w:beforeLines="50" w:line="360" w:lineRule="auto"/>
        <w:jc w:val="center"/>
        <w:rPr>
          <w:rFonts w:hint="eastAsia" w:ascii="宋体" w:hAnsi="宋体" w:eastAsia="宋体" w:cs="宋体"/>
          <w:color w:val="auto"/>
          <w:sz w:val="44"/>
          <w:szCs w:val="44"/>
          <w:highlight w:val="none"/>
        </w:rPr>
      </w:pPr>
      <w:r>
        <w:rPr>
          <w:rFonts w:hint="eastAsia" w:ascii="宋体" w:hAnsi="宋体" w:eastAsia="宋体" w:cs="宋体"/>
          <w:color w:val="auto"/>
          <w:sz w:val="72"/>
          <w:szCs w:val="72"/>
          <w:highlight w:val="none"/>
        </w:rPr>
        <w:t>竞争性磋商文件</w:t>
      </w:r>
    </w:p>
    <w:p>
      <w:pPr>
        <w:spacing w:before="331" w:beforeLines="100" w:after="165" w:afterLines="50"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（全流程电子化评标）</w:t>
      </w:r>
    </w:p>
    <w:p>
      <w:pPr>
        <w:spacing w:line="360" w:lineRule="auto"/>
        <w:rPr>
          <w:rFonts w:hint="eastAsia" w:ascii="宋体" w:hAnsi="宋体" w:eastAsia="宋体" w:cs="宋体"/>
          <w:b/>
          <w:color w:val="auto"/>
          <w:sz w:val="32"/>
          <w:szCs w:val="32"/>
          <w:highlight w:val="none"/>
        </w:rPr>
      </w:pPr>
    </w:p>
    <w:p>
      <w:pPr>
        <w:spacing w:line="360" w:lineRule="auto"/>
        <w:jc w:val="center"/>
        <w:rPr>
          <w:rFonts w:hint="eastAsia" w:ascii="宋体" w:hAnsi="宋体" w:eastAsia="宋体" w:cs="宋体"/>
          <w:b/>
          <w:color w:val="auto"/>
          <w:sz w:val="32"/>
          <w:szCs w:val="32"/>
          <w:highlight w:val="none"/>
        </w:rPr>
      </w:pPr>
    </w:p>
    <w:p>
      <w:pPr>
        <w:snapToGrid w:val="0"/>
        <w:spacing w:before="50" w:after="120" w:line="360" w:lineRule="auto"/>
        <w:ind w:firstLine="1205" w:firstLineChars="400"/>
        <w:rPr>
          <w:rFonts w:hint="eastAsia" w:ascii="宋体" w:hAnsi="宋体" w:eastAsia="宋体" w:cs="宋体"/>
          <w:b/>
          <w:bCs/>
          <w:color w:val="auto"/>
          <w:kern w:val="0"/>
          <w:sz w:val="30"/>
          <w:szCs w:val="30"/>
          <w:highlight w:val="none"/>
          <w:lang w:val="en-US" w:eastAsia="zh-CN"/>
        </w:rPr>
      </w:pPr>
      <w:bookmarkStart w:id="0" w:name="OLE_LINK15"/>
      <w:r>
        <w:rPr>
          <w:rFonts w:hint="eastAsia" w:ascii="宋体" w:hAnsi="宋体" w:eastAsia="宋体" w:cs="宋体"/>
          <w:b/>
          <w:bCs/>
          <w:color w:val="auto"/>
          <w:kern w:val="0"/>
          <w:sz w:val="30"/>
          <w:szCs w:val="30"/>
          <w:highlight w:val="none"/>
          <w:lang w:eastAsia="zh-CN"/>
        </w:rPr>
        <w:t>项目名称：</w:t>
      </w:r>
      <w:bookmarkStart w:id="1" w:name="OLE_LINK2"/>
      <w:r>
        <w:rPr>
          <w:rFonts w:hint="eastAsia" w:ascii="宋体" w:hAnsi="宋体" w:eastAsia="宋体" w:cs="宋体"/>
          <w:b/>
          <w:bCs/>
          <w:color w:val="auto"/>
          <w:kern w:val="0"/>
          <w:sz w:val="30"/>
          <w:szCs w:val="30"/>
          <w:highlight w:val="none"/>
          <w:lang w:eastAsia="zh-CN"/>
        </w:rPr>
        <w:t>2025年特殊困难老年人家庭居家适老化改造项目</w:t>
      </w:r>
      <w:bookmarkEnd w:id="0"/>
      <w:bookmarkEnd w:id="1"/>
    </w:p>
    <w:p>
      <w:pPr>
        <w:snapToGrid w:val="0"/>
        <w:spacing w:before="50" w:after="120" w:line="360" w:lineRule="auto"/>
        <w:ind w:firstLine="1205" w:firstLineChars="400"/>
        <w:rPr>
          <w:rFonts w:hint="eastAsia" w:ascii="宋体" w:hAnsi="宋体" w:eastAsia="宋体" w:cs="宋体"/>
          <w:b/>
          <w:bCs/>
          <w:color w:val="auto"/>
          <w:kern w:val="0"/>
          <w:sz w:val="30"/>
          <w:szCs w:val="30"/>
          <w:highlight w:val="none"/>
          <w:lang w:val="en-US" w:eastAsia="zh-CN"/>
        </w:rPr>
      </w:pPr>
      <w:r>
        <w:rPr>
          <w:rFonts w:hint="eastAsia" w:ascii="宋体" w:hAnsi="宋体" w:eastAsia="宋体" w:cs="宋体"/>
          <w:b/>
          <w:bCs/>
          <w:color w:val="auto"/>
          <w:kern w:val="0"/>
          <w:sz w:val="30"/>
          <w:szCs w:val="30"/>
          <w:highlight w:val="none"/>
          <w:lang w:eastAsia="zh-CN"/>
        </w:rPr>
        <w:t xml:space="preserve">项目编号：NNZC2025-C3-270095-XMZX   </w:t>
      </w:r>
    </w:p>
    <w:p>
      <w:pPr>
        <w:snapToGrid w:val="0"/>
        <w:spacing w:before="50" w:after="120" w:line="360" w:lineRule="auto"/>
        <w:ind w:firstLine="1193" w:firstLineChars="396"/>
        <w:rPr>
          <w:rFonts w:hint="default" w:ascii="宋体" w:hAnsi="宋体" w:eastAsia="宋体" w:cs="宋体"/>
          <w:b/>
          <w:bCs/>
          <w:color w:val="auto"/>
          <w:sz w:val="30"/>
          <w:szCs w:val="30"/>
          <w:highlight w:val="none"/>
          <w:lang w:val="en-US" w:eastAsia="zh-CN"/>
        </w:rPr>
      </w:pPr>
      <w:r>
        <w:rPr>
          <w:rFonts w:hint="eastAsia" w:ascii="宋体" w:hAnsi="宋体" w:eastAsia="宋体" w:cs="宋体"/>
          <w:b/>
          <w:bCs/>
          <w:color w:val="auto"/>
          <w:sz w:val="30"/>
          <w:szCs w:val="30"/>
          <w:highlight w:val="none"/>
          <w:lang w:val="en-US" w:eastAsia="zh-CN"/>
        </w:rPr>
        <w:t>项目所属区划：</w:t>
      </w:r>
      <w:r>
        <w:rPr>
          <w:rFonts w:hint="eastAsia" w:ascii="宋体" w:hAnsi="宋体" w:cs="宋体"/>
          <w:b/>
          <w:bCs/>
          <w:color w:val="auto"/>
          <w:sz w:val="30"/>
          <w:szCs w:val="30"/>
          <w:highlight w:val="none"/>
          <w:lang w:val="en-US" w:eastAsia="zh-CN"/>
        </w:rPr>
        <w:t>横州市</w:t>
      </w:r>
    </w:p>
    <w:p>
      <w:pPr>
        <w:snapToGrid w:val="0"/>
        <w:spacing w:before="50" w:after="120" w:line="360" w:lineRule="auto"/>
        <w:ind w:firstLine="1193" w:firstLineChars="396"/>
        <w:rPr>
          <w:rFonts w:hint="eastAsia" w:ascii="宋体" w:hAnsi="宋体" w:eastAsia="宋体" w:cs="宋体"/>
          <w:b/>
          <w:bCs/>
          <w:color w:val="auto"/>
          <w:sz w:val="30"/>
          <w:szCs w:val="30"/>
          <w:highlight w:val="none"/>
          <w:lang w:val="en-US" w:eastAsia="zh-CN"/>
        </w:rPr>
      </w:pPr>
      <w:bookmarkStart w:id="2" w:name="OLE_LINK14"/>
      <w:r>
        <w:rPr>
          <w:rFonts w:hint="eastAsia" w:ascii="宋体" w:hAnsi="宋体" w:eastAsia="宋体" w:cs="宋体"/>
          <w:b/>
          <w:bCs/>
          <w:color w:val="auto"/>
          <w:sz w:val="30"/>
          <w:szCs w:val="30"/>
          <w:highlight w:val="none"/>
          <w:lang w:val="en-US" w:eastAsia="zh-CN"/>
        </w:rPr>
        <w:t>采 购 人：</w:t>
      </w:r>
      <w:bookmarkStart w:id="3" w:name="OLE_LINK17"/>
      <w:r>
        <w:rPr>
          <w:rFonts w:hint="eastAsia" w:ascii="宋体" w:hAnsi="宋体" w:eastAsia="宋体" w:cs="宋体"/>
          <w:b/>
          <w:bCs/>
          <w:color w:val="auto"/>
          <w:sz w:val="30"/>
          <w:szCs w:val="30"/>
          <w:highlight w:val="none"/>
          <w:lang w:val="en-US" w:eastAsia="zh-CN"/>
        </w:rPr>
        <w:t>横州市民政局</w:t>
      </w:r>
      <w:bookmarkEnd w:id="3"/>
    </w:p>
    <w:bookmarkEnd w:id="2"/>
    <w:p>
      <w:pPr>
        <w:snapToGrid w:val="0"/>
        <w:spacing w:before="50" w:after="120" w:line="360" w:lineRule="auto"/>
        <w:ind w:firstLine="1193" w:firstLineChars="396"/>
        <w:rPr>
          <w:rFonts w:hint="eastAsia" w:ascii="宋体" w:hAnsi="宋体" w:eastAsia="宋体" w:cs="宋体"/>
          <w:b/>
          <w:bCs/>
          <w:color w:val="auto"/>
          <w:sz w:val="30"/>
          <w:szCs w:val="30"/>
          <w:highlight w:val="none"/>
          <w:lang w:val="en-US" w:eastAsia="zh-CN"/>
        </w:rPr>
      </w:pPr>
      <w:r>
        <w:rPr>
          <w:rFonts w:hint="eastAsia" w:ascii="宋体" w:hAnsi="宋体" w:eastAsia="宋体" w:cs="宋体"/>
          <w:b/>
          <w:bCs/>
          <w:color w:val="auto"/>
          <w:sz w:val="30"/>
          <w:szCs w:val="30"/>
          <w:highlight w:val="none"/>
          <w:lang w:val="en-US" w:eastAsia="zh-CN"/>
        </w:rPr>
        <w:t>采购代理机构：广西星木工程咨询有限公司</w:t>
      </w:r>
    </w:p>
    <w:p>
      <w:pPr>
        <w:snapToGrid w:val="0"/>
        <w:spacing w:before="50" w:after="120" w:line="360" w:lineRule="auto"/>
        <w:jc w:val="center"/>
        <w:rPr>
          <w:rFonts w:hint="default" w:ascii="宋体" w:hAnsi="宋体" w:eastAsia="宋体" w:cs="宋体"/>
          <w:b/>
          <w:bCs/>
          <w:color w:val="auto"/>
          <w:sz w:val="30"/>
          <w:szCs w:val="30"/>
          <w:highlight w:val="none"/>
          <w:lang w:val="en-US" w:eastAsia="zh-CN"/>
        </w:rPr>
        <w:sectPr>
          <w:headerReference r:id="rId3" w:type="default"/>
          <w:footerReference r:id="rId4" w:type="default"/>
          <w:pgSz w:w="11906" w:h="16838"/>
          <w:pgMar w:top="1440" w:right="1080" w:bottom="1440" w:left="1080" w:header="720" w:footer="720" w:gutter="0"/>
          <w:pgNumType w:start="1"/>
          <w:cols w:space="720" w:num="1"/>
          <w:docGrid w:type="lines" w:linePitch="331" w:charSpace="0"/>
        </w:sectPr>
      </w:pPr>
      <w:r>
        <w:rPr>
          <w:rFonts w:hint="eastAsia" w:ascii="宋体" w:hAnsi="宋体" w:eastAsia="宋体" w:cs="宋体"/>
          <w:b/>
          <w:bCs/>
          <w:color w:val="auto"/>
          <w:sz w:val="30"/>
          <w:szCs w:val="30"/>
          <w:highlight w:val="none"/>
          <w:lang w:val="en-US" w:eastAsia="zh-CN"/>
        </w:rPr>
        <w:t>202</w:t>
      </w:r>
      <w:r>
        <w:rPr>
          <w:rFonts w:hint="eastAsia" w:ascii="宋体" w:hAnsi="宋体" w:cs="宋体"/>
          <w:b/>
          <w:bCs/>
          <w:color w:val="auto"/>
          <w:sz w:val="30"/>
          <w:szCs w:val="30"/>
          <w:highlight w:val="none"/>
          <w:lang w:val="en-US" w:eastAsia="zh-CN"/>
        </w:rPr>
        <w:t>5</w:t>
      </w:r>
      <w:r>
        <w:rPr>
          <w:rFonts w:hint="eastAsia" w:ascii="宋体" w:hAnsi="宋体" w:eastAsia="宋体" w:cs="宋体"/>
          <w:b/>
          <w:bCs/>
          <w:color w:val="auto"/>
          <w:sz w:val="30"/>
          <w:szCs w:val="30"/>
          <w:highlight w:val="none"/>
          <w:lang w:val="en-US" w:eastAsia="zh-CN"/>
        </w:rPr>
        <w:t>年</w:t>
      </w:r>
      <w:r>
        <w:rPr>
          <w:rFonts w:hint="eastAsia" w:ascii="宋体" w:hAnsi="宋体" w:cs="宋体"/>
          <w:b/>
          <w:bCs/>
          <w:color w:val="auto"/>
          <w:sz w:val="30"/>
          <w:szCs w:val="30"/>
          <w:highlight w:val="none"/>
          <w:lang w:val="en-US" w:eastAsia="zh-CN"/>
        </w:rPr>
        <w:t>06</w:t>
      </w:r>
      <w:r>
        <w:rPr>
          <w:rFonts w:hint="eastAsia" w:ascii="宋体" w:hAnsi="宋体" w:eastAsia="宋体" w:cs="宋体"/>
          <w:b/>
          <w:bCs/>
          <w:color w:val="auto"/>
          <w:sz w:val="30"/>
          <w:szCs w:val="30"/>
          <w:highlight w:val="none"/>
          <w:lang w:val="en-US" w:eastAsia="zh-CN"/>
        </w:rPr>
        <w:t>月</w:t>
      </w:r>
      <w:r>
        <w:rPr>
          <w:rFonts w:hint="eastAsia" w:ascii="宋体" w:hAnsi="宋体" w:cs="宋体"/>
          <w:b/>
          <w:bCs/>
          <w:color w:val="auto"/>
          <w:sz w:val="30"/>
          <w:szCs w:val="30"/>
          <w:highlight w:val="none"/>
          <w:lang w:val="en-US" w:eastAsia="zh-CN"/>
        </w:rPr>
        <w:t>30</w:t>
      </w:r>
      <w:r>
        <w:rPr>
          <w:rFonts w:hint="eastAsia" w:ascii="宋体" w:hAnsi="宋体" w:eastAsia="宋体" w:cs="宋体"/>
          <w:b/>
          <w:bCs/>
          <w:color w:val="auto"/>
          <w:sz w:val="30"/>
          <w:szCs w:val="30"/>
          <w:highlight w:val="none"/>
          <w:lang w:val="en-US" w:eastAsia="zh-CN"/>
        </w:rPr>
        <w:t>日</w:t>
      </w:r>
    </w:p>
    <w:p>
      <w:pPr>
        <w:spacing w:line="360" w:lineRule="auto"/>
        <w:jc w:val="center"/>
        <w:rPr>
          <w:rFonts w:hint="eastAsia" w:ascii="宋体" w:hAnsi="宋体" w:eastAsia="宋体" w:cs="宋体"/>
          <w:b/>
          <w:color w:val="auto"/>
          <w:sz w:val="44"/>
          <w:szCs w:val="44"/>
          <w:highlight w:val="none"/>
        </w:rPr>
      </w:pPr>
      <w:r>
        <w:rPr>
          <w:rFonts w:hint="eastAsia" w:ascii="宋体" w:hAnsi="宋体" w:eastAsia="宋体" w:cs="宋体"/>
          <w:b/>
          <w:color w:val="auto"/>
          <w:sz w:val="44"/>
          <w:szCs w:val="44"/>
          <w:highlight w:val="none"/>
        </w:rPr>
        <w:t>目   录</w:t>
      </w:r>
    </w:p>
    <w:p>
      <w:pPr>
        <w:spacing w:line="400" w:lineRule="exact"/>
        <w:jc w:val="center"/>
        <w:rPr>
          <w:rFonts w:hint="eastAsia" w:ascii="宋体" w:hAnsi="宋体" w:eastAsia="宋体" w:cs="宋体"/>
          <w:b/>
          <w:color w:val="auto"/>
          <w:sz w:val="32"/>
          <w:szCs w:val="32"/>
          <w:highlight w:val="none"/>
        </w:rPr>
      </w:pPr>
    </w:p>
    <w:p>
      <w:pPr>
        <w:pStyle w:val="21"/>
        <w:tabs>
          <w:tab w:val="right" w:leader="dot" w:pos="9746"/>
        </w:tabs>
      </w:pPr>
      <w:r>
        <w:rPr>
          <w:rFonts w:hint="eastAsia" w:ascii="宋体" w:hAnsi="宋体" w:eastAsia="宋体" w:cs="宋体"/>
          <w:b/>
          <w:color w:val="auto"/>
          <w:sz w:val="32"/>
          <w:szCs w:val="32"/>
          <w:highlight w:val="none"/>
        </w:rPr>
        <w:fldChar w:fldCharType="begin"/>
      </w:r>
      <w:r>
        <w:rPr>
          <w:rFonts w:hint="eastAsia" w:ascii="宋体" w:hAnsi="宋体" w:eastAsia="宋体" w:cs="宋体"/>
          <w:b/>
          <w:color w:val="auto"/>
          <w:sz w:val="32"/>
          <w:szCs w:val="32"/>
          <w:highlight w:val="none"/>
        </w:rPr>
        <w:instrText xml:space="preserve">TOC \o "1-3" \h \u </w:instrText>
      </w:r>
      <w:r>
        <w:rPr>
          <w:rFonts w:hint="eastAsia" w:ascii="宋体" w:hAnsi="宋体" w:eastAsia="宋体" w:cs="宋体"/>
          <w:b/>
          <w:color w:val="auto"/>
          <w:sz w:val="32"/>
          <w:szCs w:val="32"/>
          <w:highlight w:val="none"/>
        </w:rPr>
        <w:fldChar w:fldCharType="separate"/>
      </w:r>
      <w:r>
        <w:rPr>
          <w:rFonts w:hint="eastAsia" w:ascii="宋体" w:hAnsi="宋体" w:eastAsia="宋体" w:cs="宋体"/>
          <w:color w:val="auto"/>
          <w:szCs w:val="32"/>
          <w:highlight w:val="none"/>
        </w:rPr>
        <w:fldChar w:fldCharType="begin"/>
      </w:r>
      <w:r>
        <w:rPr>
          <w:rFonts w:hint="eastAsia" w:ascii="宋体" w:hAnsi="宋体" w:eastAsia="宋体" w:cs="宋体"/>
          <w:szCs w:val="32"/>
          <w:highlight w:val="none"/>
        </w:rPr>
        <w:instrText xml:space="preserve"> HYPERLINK \l _Toc3250 </w:instrText>
      </w:r>
      <w:r>
        <w:rPr>
          <w:rFonts w:hint="eastAsia" w:ascii="宋体" w:hAnsi="宋体" w:eastAsia="宋体" w:cs="宋体"/>
          <w:szCs w:val="32"/>
          <w:highlight w:val="none"/>
        </w:rPr>
        <w:fldChar w:fldCharType="separate"/>
      </w:r>
      <w:r>
        <w:rPr>
          <w:rFonts w:hint="eastAsia" w:ascii="宋体" w:hAnsi="宋体" w:eastAsia="宋体" w:cs="宋体"/>
          <w:bCs/>
          <w:kern w:val="44"/>
          <w:szCs w:val="44"/>
          <w:highlight w:val="none"/>
        </w:rPr>
        <w:t>第一章</w:t>
      </w:r>
      <w:r>
        <w:rPr>
          <w:rFonts w:hint="eastAsia" w:ascii="宋体" w:hAnsi="宋体" w:eastAsia="宋体" w:cs="宋体"/>
          <w:bCs/>
          <w:kern w:val="44"/>
          <w:szCs w:val="44"/>
          <w:highlight w:val="none"/>
          <w:lang w:val="en-US" w:eastAsia="zh-CN"/>
        </w:rPr>
        <w:t xml:space="preserve"> </w:t>
      </w:r>
      <w:r>
        <w:rPr>
          <w:rFonts w:hint="eastAsia" w:ascii="宋体" w:hAnsi="宋体" w:eastAsia="宋体" w:cs="宋体"/>
          <w:bCs/>
          <w:kern w:val="44"/>
          <w:szCs w:val="44"/>
          <w:highlight w:val="none"/>
        </w:rPr>
        <w:t>竞争性磋商公告</w:t>
      </w:r>
      <w:r>
        <w:tab/>
      </w:r>
      <w:r>
        <w:fldChar w:fldCharType="begin"/>
      </w:r>
      <w:r>
        <w:instrText xml:space="preserve"> PAGEREF _Toc3250 </w:instrText>
      </w:r>
      <w:r>
        <w:fldChar w:fldCharType="separate"/>
      </w:r>
      <w:r>
        <w:t>1</w:t>
      </w:r>
      <w:r>
        <w:fldChar w:fldCharType="end"/>
      </w:r>
      <w:r>
        <w:rPr>
          <w:rFonts w:hint="eastAsia" w:ascii="宋体" w:hAnsi="宋体" w:eastAsia="宋体" w:cs="宋体"/>
          <w:color w:val="auto"/>
          <w:szCs w:val="32"/>
          <w:highlight w:val="none"/>
        </w:rPr>
        <w:fldChar w:fldCharType="end"/>
      </w:r>
    </w:p>
    <w:p>
      <w:pPr>
        <w:pStyle w:val="21"/>
        <w:tabs>
          <w:tab w:val="right" w:leader="dot" w:pos="9746"/>
        </w:tabs>
      </w:pPr>
      <w:r>
        <w:rPr>
          <w:rFonts w:hint="eastAsia" w:ascii="宋体" w:hAnsi="宋体" w:eastAsia="宋体" w:cs="宋体"/>
          <w:color w:val="auto"/>
          <w:szCs w:val="32"/>
          <w:highlight w:val="none"/>
        </w:rPr>
        <w:fldChar w:fldCharType="begin"/>
      </w:r>
      <w:r>
        <w:rPr>
          <w:rFonts w:hint="eastAsia" w:ascii="宋体" w:hAnsi="宋体" w:eastAsia="宋体" w:cs="宋体"/>
          <w:szCs w:val="32"/>
          <w:highlight w:val="none"/>
        </w:rPr>
        <w:instrText xml:space="preserve"> HYPERLINK \l _Toc28236 </w:instrText>
      </w:r>
      <w:r>
        <w:rPr>
          <w:rFonts w:hint="eastAsia" w:ascii="宋体" w:hAnsi="宋体" w:eastAsia="宋体" w:cs="宋体"/>
          <w:szCs w:val="32"/>
          <w:highlight w:val="none"/>
        </w:rPr>
        <w:fldChar w:fldCharType="separate"/>
      </w:r>
      <w:r>
        <w:rPr>
          <w:rFonts w:hint="eastAsia" w:ascii="宋体" w:hAnsi="宋体" w:eastAsia="宋体" w:cs="宋体"/>
          <w:kern w:val="44"/>
          <w:szCs w:val="32"/>
          <w:highlight w:val="none"/>
        </w:rPr>
        <w:t>第二章</w:t>
      </w:r>
      <w:r>
        <w:rPr>
          <w:rFonts w:hint="eastAsia" w:ascii="宋体" w:hAnsi="宋体" w:eastAsia="宋体" w:cs="宋体"/>
          <w:kern w:val="44"/>
          <w:szCs w:val="32"/>
          <w:highlight w:val="none"/>
          <w:lang w:val="en-US" w:eastAsia="zh-CN"/>
        </w:rPr>
        <w:t xml:space="preserve"> </w:t>
      </w:r>
      <w:r>
        <w:rPr>
          <w:rFonts w:hint="eastAsia" w:ascii="宋体" w:hAnsi="宋体" w:eastAsia="宋体" w:cs="宋体"/>
          <w:kern w:val="44"/>
          <w:szCs w:val="32"/>
          <w:highlight w:val="none"/>
        </w:rPr>
        <w:t>采购需求</w:t>
      </w:r>
      <w:r>
        <w:tab/>
      </w:r>
      <w:r>
        <w:fldChar w:fldCharType="begin"/>
      </w:r>
      <w:r>
        <w:instrText xml:space="preserve"> PAGEREF _Toc28236 </w:instrText>
      </w:r>
      <w:r>
        <w:fldChar w:fldCharType="separate"/>
      </w:r>
      <w:r>
        <w:t>5</w:t>
      </w:r>
      <w:r>
        <w:fldChar w:fldCharType="end"/>
      </w:r>
      <w:r>
        <w:rPr>
          <w:rFonts w:hint="eastAsia" w:ascii="宋体" w:hAnsi="宋体" w:eastAsia="宋体" w:cs="宋体"/>
          <w:color w:val="auto"/>
          <w:szCs w:val="32"/>
          <w:highlight w:val="none"/>
        </w:rPr>
        <w:fldChar w:fldCharType="end"/>
      </w:r>
    </w:p>
    <w:p>
      <w:pPr>
        <w:pStyle w:val="21"/>
        <w:tabs>
          <w:tab w:val="right" w:leader="dot" w:pos="9746"/>
        </w:tabs>
      </w:pPr>
      <w:r>
        <w:rPr>
          <w:rFonts w:hint="eastAsia" w:ascii="宋体" w:hAnsi="宋体" w:eastAsia="宋体" w:cs="宋体"/>
          <w:color w:val="auto"/>
          <w:szCs w:val="32"/>
          <w:highlight w:val="none"/>
        </w:rPr>
        <w:fldChar w:fldCharType="begin"/>
      </w:r>
      <w:r>
        <w:rPr>
          <w:rFonts w:hint="eastAsia" w:ascii="宋体" w:hAnsi="宋体" w:eastAsia="宋体" w:cs="宋体"/>
          <w:szCs w:val="32"/>
          <w:highlight w:val="none"/>
        </w:rPr>
        <w:instrText xml:space="preserve"> HYPERLINK \l _Toc5179 </w:instrText>
      </w:r>
      <w:r>
        <w:rPr>
          <w:rFonts w:hint="eastAsia" w:ascii="宋体" w:hAnsi="宋体" w:eastAsia="宋体" w:cs="宋体"/>
          <w:szCs w:val="32"/>
          <w:highlight w:val="none"/>
        </w:rPr>
        <w:fldChar w:fldCharType="separate"/>
      </w:r>
      <w:r>
        <w:rPr>
          <w:rFonts w:hint="eastAsia" w:ascii="宋体" w:hAnsi="宋体" w:eastAsia="宋体" w:cs="宋体"/>
          <w:kern w:val="44"/>
          <w:szCs w:val="32"/>
          <w:highlight w:val="none"/>
        </w:rPr>
        <w:t>第三章</w:t>
      </w:r>
      <w:r>
        <w:rPr>
          <w:rFonts w:hint="eastAsia" w:ascii="宋体" w:hAnsi="宋体" w:eastAsia="宋体" w:cs="宋体"/>
          <w:kern w:val="44"/>
          <w:szCs w:val="32"/>
          <w:highlight w:val="none"/>
          <w:lang w:val="en-US" w:eastAsia="zh-CN"/>
        </w:rPr>
        <w:t xml:space="preserve"> </w:t>
      </w:r>
      <w:r>
        <w:rPr>
          <w:rFonts w:hint="eastAsia" w:ascii="宋体" w:hAnsi="宋体" w:eastAsia="宋体" w:cs="宋体"/>
          <w:kern w:val="44"/>
          <w:szCs w:val="32"/>
          <w:highlight w:val="none"/>
        </w:rPr>
        <w:t>供应商须知</w:t>
      </w:r>
      <w:r>
        <w:tab/>
      </w:r>
      <w:r>
        <w:fldChar w:fldCharType="begin"/>
      </w:r>
      <w:r>
        <w:instrText xml:space="preserve"> PAGEREF _Toc5179 </w:instrText>
      </w:r>
      <w:r>
        <w:fldChar w:fldCharType="separate"/>
      </w:r>
      <w:r>
        <w:t>32</w:t>
      </w:r>
      <w:r>
        <w:fldChar w:fldCharType="end"/>
      </w:r>
      <w:r>
        <w:rPr>
          <w:rFonts w:hint="eastAsia" w:ascii="宋体" w:hAnsi="宋体" w:eastAsia="宋体" w:cs="宋体"/>
          <w:color w:val="auto"/>
          <w:szCs w:val="32"/>
          <w:highlight w:val="none"/>
        </w:rPr>
        <w:fldChar w:fldCharType="end"/>
      </w:r>
    </w:p>
    <w:p>
      <w:pPr>
        <w:pStyle w:val="23"/>
        <w:tabs>
          <w:tab w:val="right" w:leader="dot" w:pos="9746"/>
          <w:tab w:val="clear" w:pos="8296"/>
        </w:tabs>
      </w:pPr>
      <w:r>
        <w:rPr>
          <w:rFonts w:hint="eastAsia" w:ascii="宋体" w:hAnsi="宋体" w:eastAsia="宋体" w:cs="宋体"/>
          <w:color w:val="auto"/>
          <w:szCs w:val="32"/>
          <w:highlight w:val="none"/>
        </w:rPr>
        <w:fldChar w:fldCharType="begin"/>
      </w:r>
      <w:r>
        <w:rPr>
          <w:rFonts w:hint="eastAsia" w:ascii="宋体" w:hAnsi="宋体" w:eastAsia="宋体" w:cs="宋体"/>
          <w:szCs w:val="32"/>
          <w:highlight w:val="none"/>
        </w:rPr>
        <w:instrText xml:space="preserve"> HYPERLINK \l _Toc14187 </w:instrText>
      </w:r>
      <w:r>
        <w:rPr>
          <w:rFonts w:hint="eastAsia" w:ascii="宋体" w:hAnsi="宋体" w:eastAsia="宋体" w:cs="宋体"/>
          <w:szCs w:val="32"/>
          <w:highlight w:val="none"/>
        </w:rPr>
        <w:fldChar w:fldCharType="separate"/>
      </w:r>
      <w:r>
        <w:rPr>
          <w:rFonts w:hint="eastAsia" w:ascii="宋体" w:hAnsi="宋体" w:eastAsia="宋体" w:cs="宋体"/>
          <w:bCs/>
          <w:szCs w:val="32"/>
          <w:highlight w:val="none"/>
        </w:rPr>
        <w:t>第一节 供应商须知前附表</w:t>
      </w:r>
      <w:r>
        <w:tab/>
      </w:r>
      <w:r>
        <w:fldChar w:fldCharType="begin"/>
      </w:r>
      <w:r>
        <w:instrText xml:space="preserve"> PAGEREF _Toc14187 </w:instrText>
      </w:r>
      <w:r>
        <w:fldChar w:fldCharType="separate"/>
      </w:r>
      <w:r>
        <w:t>32</w:t>
      </w:r>
      <w:r>
        <w:fldChar w:fldCharType="end"/>
      </w:r>
      <w:r>
        <w:rPr>
          <w:rFonts w:hint="eastAsia" w:ascii="宋体" w:hAnsi="宋体" w:eastAsia="宋体" w:cs="宋体"/>
          <w:color w:val="auto"/>
          <w:szCs w:val="32"/>
          <w:highlight w:val="none"/>
        </w:rPr>
        <w:fldChar w:fldCharType="end"/>
      </w:r>
    </w:p>
    <w:p>
      <w:pPr>
        <w:pStyle w:val="23"/>
        <w:tabs>
          <w:tab w:val="right" w:leader="dot" w:pos="9746"/>
          <w:tab w:val="clear" w:pos="8296"/>
        </w:tabs>
      </w:pPr>
      <w:r>
        <w:rPr>
          <w:rFonts w:hint="eastAsia" w:ascii="宋体" w:hAnsi="宋体" w:eastAsia="宋体" w:cs="宋体"/>
          <w:color w:val="auto"/>
          <w:szCs w:val="32"/>
          <w:highlight w:val="none"/>
        </w:rPr>
        <w:fldChar w:fldCharType="begin"/>
      </w:r>
      <w:r>
        <w:rPr>
          <w:rFonts w:hint="eastAsia" w:ascii="宋体" w:hAnsi="宋体" w:eastAsia="宋体" w:cs="宋体"/>
          <w:szCs w:val="32"/>
          <w:highlight w:val="none"/>
        </w:rPr>
        <w:instrText xml:space="preserve"> HYPERLINK \l _Toc28498 </w:instrText>
      </w:r>
      <w:r>
        <w:rPr>
          <w:rFonts w:hint="eastAsia" w:ascii="宋体" w:hAnsi="宋体" w:eastAsia="宋体" w:cs="宋体"/>
          <w:szCs w:val="32"/>
          <w:highlight w:val="none"/>
        </w:rPr>
        <w:fldChar w:fldCharType="separate"/>
      </w:r>
      <w:r>
        <w:rPr>
          <w:rFonts w:hint="eastAsia" w:ascii="宋体" w:hAnsi="宋体" w:eastAsia="宋体" w:cs="宋体"/>
          <w:bCs/>
          <w:szCs w:val="32"/>
          <w:highlight w:val="none"/>
        </w:rPr>
        <w:t>第二节 供应商须知正文</w:t>
      </w:r>
      <w:r>
        <w:tab/>
      </w:r>
      <w:r>
        <w:fldChar w:fldCharType="begin"/>
      </w:r>
      <w:r>
        <w:instrText xml:space="preserve"> PAGEREF _Toc28498 </w:instrText>
      </w:r>
      <w:r>
        <w:fldChar w:fldCharType="separate"/>
      </w:r>
      <w:r>
        <w:t>37</w:t>
      </w:r>
      <w:r>
        <w:fldChar w:fldCharType="end"/>
      </w:r>
      <w:r>
        <w:rPr>
          <w:rFonts w:hint="eastAsia" w:ascii="宋体" w:hAnsi="宋体" w:eastAsia="宋体" w:cs="宋体"/>
          <w:color w:val="auto"/>
          <w:szCs w:val="32"/>
          <w:highlight w:val="none"/>
        </w:rPr>
        <w:fldChar w:fldCharType="end"/>
      </w:r>
    </w:p>
    <w:p>
      <w:pPr>
        <w:pStyle w:val="15"/>
        <w:tabs>
          <w:tab w:val="right" w:leader="dot" w:pos="9746"/>
        </w:tabs>
      </w:pPr>
      <w:r>
        <w:rPr>
          <w:rFonts w:hint="eastAsia" w:ascii="宋体" w:hAnsi="宋体" w:eastAsia="宋体" w:cs="宋体"/>
          <w:color w:val="auto"/>
          <w:szCs w:val="32"/>
          <w:highlight w:val="none"/>
        </w:rPr>
        <w:fldChar w:fldCharType="begin"/>
      </w:r>
      <w:r>
        <w:rPr>
          <w:rFonts w:hint="eastAsia" w:ascii="宋体" w:hAnsi="宋体" w:eastAsia="宋体" w:cs="宋体"/>
          <w:szCs w:val="32"/>
          <w:highlight w:val="none"/>
        </w:rPr>
        <w:instrText xml:space="preserve"> HYPERLINK \l _Toc485 </w:instrText>
      </w:r>
      <w:r>
        <w:rPr>
          <w:rFonts w:hint="eastAsia" w:ascii="宋体" w:hAnsi="宋体" w:eastAsia="宋体" w:cs="宋体"/>
          <w:szCs w:val="32"/>
          <w:highlight w:val="none"/>
        </w:rPr>
        <w:fldChar w:fldCharType="separate"/>
      </w:r>
      <w:r>
        <w:rPr>
          <w:rFonts w:hint="eastAsia" w:ascii="宋体" w:hAnsi="宋体" w:eastAsia="宋体" w:cs="宋体"/>
          <w:bCs/>
          <w:szCs w:val="32"/>
          <w:highlight w:val="none"/>
        </w:rPr>
        <w:t>一、总则</w:t>
      </w:r>
      <w:r>
        <w:tab/>
      </w:r>
      <w:r>
        <w:fldChar w:fldCharType="begin"/>
      </w:r>
      <w:r>
        <w:instrText xml:space="preserve"> PAGEREF _Toc485 </w:instrText>
      </w:r>
      <w:r>
        <w:fldChar w:fldCharType="separate"/>
      </w:r>
      <w:r>
        <w:t>37</w:t>
      </w:r>
      <w:r>
        <w:fldChar w:fldCharType="end"/>
      </w:r>
      <w:r>
        <w:rPr>
          <w:rFonts w:hint="eastAsia" w:ascii="宋体" w:hAnsi="宋体" w:eastAsia="宋体" w:cs="宋体"/>
          <w:color w:val="auto"/>
          <w:szCs w:val="32"/>
          <w:highlight w:val="none"/>
        </w:rPr>
        <w:fldChar w:fldCharType="end"/>
      </w:r>
    </w:p>
    <w:p>
      <w:pPr>
        <w:pStyle w:val="15"/>
        <w:tabs>
          <w:tab w:val="right" w:leader="dot" w:pos="9746"/>
        </w:tabs>
      </w:pPr>
      <w:r>
        <w:rPr>
          <w:rFonts w:hint="eastAsia" w:ascii="宋体" w:hAnsi="宋体" w:eastAsia="宋体" w:cs="宋体"/>
          <w:color w:val="auto"/>
          <w:szCs w:val="32"/>
          <w:highlight w:val="none"/>
        </w:rPr>
        <w:fldChar w:fldCharType="begin"/>
      </w:r>
      <w:r>
        <w:rPr>
          <w:rFonts w:hint="eastAsia" w:ascii="宋体" w:hAnsi="宋体" w:eastAsia="宋体" w:cs="宋体"/>
          <w:szCs w:val="32"/>
          <w:highlight w:val="none"/>
        </w:rPr>
        <w:instrText xml:space="preserve"> HYPERLINK \l _Toc32580 </w:instrText>
      </w:r>
      <w:r>
        <w:rPr>
          <w:rFonts w:hint="eastAsia" w:ascii="宋体" w:hAnsi="宋体" w:eastAsia="宋体" w:cs="宋体"/>
          <w:szCs w:val="32"/>
          <w:highlight w:val="none"/>
        </w:rPr>
        <w:fldChar w:fldCharType="separate"/>
      </w:r>
      <w:r>
        <w:rPr>
          <w:rFonts w:hint="eastAsia" w:ascii="宋体" w:hAnsi="宋体" w:eastAsia="宋体" w:cs="宋体"/>
          <w:szCs w:val="32"/>
          <w:highlight w:val="none"/>
        </w:rPr>
        <w:t>二、磋商文件</w:t>
      </w:r>
      <w:r>
        <w:tab/>
      </w:r>
      <w:r>
        <w:fldChar w:fldCharType="begin"/>
      </w:r>
      <w:r>
        <w:instrText xml:space="preserve"> PAGEREF _Toc32580 </w:instrText>
      </w:r>
      <w:r>
        <w:fldChar w:fldCharType="separate"/>
      </w:r>
      <w:r>
        <w:t>39</w:t>
      </w:r>
      <w:r>
        <w:fldChar w:fldCharType="end"/>
      </w:r>
      <w:r>
        <w:rPr>
          <w:rFonts w:hint="eastAsia" w:ascii="宋体" w:hAnsi="宋体" w:eastAsia="宋体" w:cs="宋体"/>
          <w:color w:val="auto"/>
          <w:szCs w:val="32"/>
          <w:highlight w:val="none"/>
        </w:rPr>
        <w:fldChar w:fldCharType="end"/>
      </w:r>
    </w:p>
    <w:p>
      <w:pPr>
        <w:pStyle w:val="15"/>
        <w:tabs>
          <w:tab w:val="right" w:leader="dot" w:pos="9746"/>
        </w:tabs>
      </w:pPr>
      <w:r>
        <w:rPr>
          <w:rFonts w:hint="eastAsia" w:ascii="宋体" w:hAnsi="宋体" w:eastAsia="宋体" w:cs="宋体"/>
          <w:color w:val="auto"/>
          <w:szCs w:val="32"/>
          <w:highlight w:val="none"/>
        </w:rPr>
        <w:fldChar w:fldCharType="begin"/>
      </w:r>
      <w:r>
        <w:rPr>
          <w:rFonts w:hint="eastAsia" w:ascii="宋体" w:hAnsi="宋体" w:eastAsia="宋体" w:cs="宋体"/>
          <w:szCs w:val="32"/>
          <w:highlight w:val="none"/>
        </w:rPr>
        <w:instrText xml:space="preserve"> HYPERLINK \l _Toc31762 </w:instrText>
      </w:r>
      <w:r>
        <w:rPr>
          <w:rFonts w:hint="eastAsia" w:ascii="宋体" w:hAnsi="宋体" w:eastAsia="宋体" w:cs="宋体"/>
          <w:szCs w:val="32"/>
          <w:highlight w:val="none"/>
        </w:rPr>
        <w:fldChar w:fldCharType="separate"/>
      </w:r>
      <w:r>
        <w:rPr>
          <w:rFonts w:hint="eastAsia" w:ascii="宋体" w:hAnsi="宋体" w:eastAsia="宋体" w:cs="宋体"/>
          <w:szCs w:val="32"/>
          <w:highlight w:val="none"/>
        </w:rPr>
        <w:t>三、响应文件的编制</w:t>
      </w:r>
      <w:r>
        <w:tab/>
      </w:r>
      <w:r>
        <w:fldChar w:fldCharType="begin"/>
      </w:r>
      <w:r>
        <w:instrText xml:space="preserve"> PAGEREF _Toc31762 </w:instrText>
      </w:r>
      <w:r>
        <w:fldChar w:fldCharType="separate"/>
      </w:r>
      <w:r>
        <w:t>40</w:t>
      </w:r>
      <w:r>
        <w:fldChar w:fldCharType="end"/>
      </w:r>
      <w:r>
        <w:rPr>
          <w:rFonts w:hint="eastAsia" w:ascii="宋体" w:hAnsi="宋体" w:eastAsia="宋体" w:cs="宋体"/>
          <w:color w:val="auto"/>
          <w:szCs w:val="32"/>
          <w:highlight w:val="none"/>
        </w:rPr>
        <w:fldChar w:fldCharType="end"/>
      </w:r>
    </w:p>
    <w:p>
      <w:pPr>
        <w:pStyle w:val="15"/>
        <w:tabs>
          <w:tab w:val="right" w:leader="dot" w:pos="9746"/>
        </w:tabs>
      </w:pPr>
      <w:r>
        <w:rPr>
          <w:rFonts w:hint="eastAsia" w:ascii="宋体" w:hAnsi="宋体" w:eastAsia="宋体" w:cs="宋体"/>
          <w:color w:val="auto"/>
          <w:szCs w:val="32"/>
          <w:highlight w:val="none"/>
        </w:rPr>
        <w:fldChar w:fldCharType="begin"/>
      </w:r>
      <w:r>
        <w:rPr>
          <w:rFonts w:hint="eastAsia" w:ascii="宋体" w:hAnsi="宋体" w:eastAsia="宋体" w:cs="宋体"/>
          <w:szCs w:val="32"/>
          <w:highlight w:val="none"/>
        </w:rPr>
        <w:instrText xml:space="preserve"> HYPERLINK \l _Toc10841 </w:instrText>
      </w:r>
      <w:r>
        <w:rPr>
          <w:rFonts w:hint="eastAsia" w:ascii="宋体" w:hAnsi="宋体" w:eastAsia="宋体" w:cs="宋体"/>
          <w:szCs w:val="32"/>
          <w:highlight w:val="none"/>
        </w:rPr>
        <w:fldChar w:fldCharType="separate"/>
      </w:r>
      <w:r>
        <w:rPr>
          <w:rFonts w:hint="eastAsia" w:ascii="宋体" w:hAnsi="宋体" w:eastAsia="宋体" w:cs="宋体"/>
          <w:szCs w:val="32"/>
          <w:highlight w:val="none"/>
        </w:rPr>
        <w:t>四、评审及磋商</w:t>
      </w:r>
      <w:r>
        <w:tab/>
      </w:r>
      <w:r>
        <w:fldChar w:fldCharType="begin"/>
      </w:r>
      <w:r>
        <w:instrText xml:space="preserve"> PAGEREF _Toc10841 </w:instrText>
      </w:r>
      <w:r>
        <w:fldChar w:fldCharType="separate"/>
      </w:r>
      <w:r>
        <w:t>42</w:t>
      </w:r>
      <w:r>
        <w:fldChar w:fldCharType="end"/>
      </w:r>
      <w:r>
        <w:rPr>
          <w:rFonts w:hint="eastAsia" w:ascii="宋体" w:hAnsi="宋体" w:eastAsia="宋体" w:cs="宋体"/>
          <w:color w:val="auto"/>
          <w:szCs w:val="32"/>
          <w:highlight w:val="none"/>
        </w:rPr>
        <w:fldChar w:fldCharType="end"/>
      </w:r>
    </w:p>
    <w:p>
      <w:pPr>
        <w:pStyle w:val="15"/>
        <w:tabs>
          <w:tab w:val="right" w:leader="dot" w:pos="9746"/>
        </w:tabs>
      </w:pPr>
      <w:r>
        <w:rPr>
          <w:rFonts w:hint="eastAsia" w:ascii="宋体" w:hAnsi="宋体" w:eastAsia="宋体" w:cs="宋体"/>
          <w:color w:val="auto"/>
          <w:szCs w:val="32"/>
          <w:highlight w:val="none"/>
        </w:rPr>
        <w:fldChar w:fldCharType="begin"/>
      </w:r>
      <w:r>
        <w:rPr>
          <w:rFonts w:hint="eastAsia" w:ascii="宋体" w:hAnsi="宋体" w:eastAsia="宋体" w:cs="宋体"/>
          <w:szCs w:val="32"/>
          <w:highlight w:val="none"/>
        </w:rPr>
        <w:instrText xml:space="preserve"> HYPERLINK \l _Toc26399 </w:instrText>
      </w:r>
      <w:r>
        <w:rPr>
          <w:rFonts w:hint="eastAsia" w:ascii="宋体" w:hAnsi="宋体" w:eastAsia="宋体" w:cs="宋体"/>
          <w:szCs w:val="32"/>
          <w:highlight w:val="none"/>
        </w:rPr>
        <w:fldChar w:fldCharType="separate"/>
      </w:r>
      <w:r>
        <w:rPr>
          <w:rFonts w:hint="eastAsia" w:ascii="宋体" w:hAnsi="宋体" w:eastAsia="宋体" w:cs="宋体"/>
          <w:szCs w:val="32"/>
          <w:highlight w:val="none"/>
        </w:rPr>
        <w:t>五、成交及合同</w:t>
      </w:r>
      <w:r>
        <w:tab/>
      </w:r>
      <w:r>
        <w:fldChar w:fldCharType="begin"/>
      </w:r>
      <w:r>
        <w:instrText xml:space="preserve"> PAGEREF _Toc26399 </w:instrText>
      </w:r>
      <w:r>
        <w:fldChar w:fldCharType="separate"/>
      </w:r>
      <w:r>
        <w:t>43</w:t>
      </w:r>
      <w:r>
        <w:fldChar w:fldCharType="end"/>
      </w:r>
      <w:r>
        <w:rPr>
          <w:rFonts w:hint="eastAsia" w:ascii="宋体" w:hAnsi="宋体" w:eastAsia="宋体" w:cs="宋体"/>
          <w:color w:val="auto"/>
          <w:szCs w:val="32"/>
          <w:highlight w:val="none"/>
        </w:rPr>
        <w:fldChar w:fldCharType="end"/>
      </w:r>
    </w:p>
    <w:p>
      <w:pPr>
        <w:pStyle w:val="15"/>
        <w:tabs>
          <w:tab w:val="right" w:leader="dot" w:pos="9746"/>
        </w:tabs>
      </w:pPr>
      <w:r>
        <w:rPr>
          <w:rFonts w:hint="eastAsia" w:ascii="宋体" w:hAnsi="宋体" w:eastAsia="宋体" w:cs="宋体"/>
          <w:color w:val="auto"/>
          <w:szCs w:val="32"/>
          <w:highlight w:val="none"/>
        </w:rPr>
        <w:fldChar w:fldCharType="begin"/>
      </w:r>
      <w:r>
        <w:rPr>
          <w:rFonts w:hint="eastAsia" w:ascii="宋体" w:hAnsi="宋体" w:eastAsia="宋体" w:cs="宋体"/>
          <w:szCs w:val="32"/>
          <w:highlight w:val="none"/>
        </w:rPr>
        <w:instrText xml:space="preserve"> HYPERLINK \l _Toc30955 </w:instrText>
      </w:r>
      <w:r>
        <w:rPr>
          <w:rFonts w:hint="eastAsia" w:ascii="宋体" w:hAnsi="宋体" w:eastAsia="宋体" w:cs="宋体"/>
          <w:szCs w:val="32"/>
          <w:highlight w:val="none"/>
        </w:rPr>
        <w:fldChar w:fldCharType="separate"/>
      </w:r>
      <w:r>
        <w:rPr>
          <w:rFonts w:hint="eastAsia" w:ascii="宋体" w:hAnsi="宋体" w:eastAsia="宋体" w:cs="宋体"/>
          <w:bCs/>
          <w:szCs w:val="32"/>
          <w:highlight w:val="none"/>
        </w:rPr>
        <w:t>六、验收</w:t>
      </w:r>
      <w:r>
        <w:tab/>
      </w:r>
      <w:r>
        <w:fldChar w:fldCharType="begin"/>
      </w:r>
      <w:r>
        <w:instrText xml:space="preserve"> PAGEREF _Toc30955 </w:instrText>
      </w:r>
      <w:r>
        <w:fldChar w:fldCharType="separate"/>
      </w:r>
      <w:r>
        <w:t>45</w:t>
      </w:r>
      <w:r>
        <w:fldChar w:fldCharType="end"/>
      </w:r>
      <w:r>
        <w:rPr>
          <w:rFonts w:hint="eastAsia" w:ascii="宋体" w:hAnsi="宋体" w:eastAsia="宋体" w:cs="宋体"/>
          <w:color w:val="auto"/>
          <w:szCs w:val="32"/>
          <w:highlight w:val="none"/>
        </w:rPr>
        <w:fldChar w:fldCharType="end"/>
      </w:r>
    </w:p>
    <w:p>
      <w:pPr>
        <w:pStyle w:val="15"/>
        <w:tabs>
          <w:tab w:val="right" w:leader="dot" w:pos="9746"/>
        </w:tabs>
      </w:pPr>
      <w:r>
        <w:rPr>
          <w:rFonts w:hint="eastAsia" w:ascii="宋体" w:hAnsi="宋体" w:eastAsia="宋体" w:cs="宋体"/>
          <w:color w:val="auto"/>
          <w:szCs w:val="32"/>
          <w:highlight w:val="none"/>
        </w:rPr>
        <w:fldChar w:fldCharType="begin"/>
      </w:r>
      <w:r>
        <w:rPr>
          <w:rFonts w:hint="eastAsia" w:ascii="宋体" w:hAnsi="宋体" w:eastAsia="宋体" w:cs="宋体"/>
          <w:szCs w:val="32"/>
          <w:highlight w:val="none"/>
        </w:rPr>
        <w:instrText xml:space="preserve"> HYPERLINK \l _Toc20059 </w:instrText>
      </w:r>
      <w:r>
        <w:rPr>
          <w:rFonts w:hint="eastAsia" w:ascii="宋体" w:hAnsi="宋体" w:eastAsia="宋体" w:cs="宋体"/>
          <w:szCs w:val="32"/>
          <w:highlight w:val="none"/>
        </w:rPr>
        <w:fldChar w:fldCharType="separate"/>
      </w:r>
      <w:r>
        <w:rPr>
          <w:rFonts w:hint="eastAsia" w:ascii="宋体" w:hAnsi="宋体" w:eastAsia="宋体" w:cs="宋体"/>
          <w:szCs w:val="32"/>
          <w:highlight w:val="none"/>
        </w:rPr>
        <w:t>七、其他事项</w:t>
      </w:r>
      <w:r>
        <w:tab/>
      </w:r>
      <w:r>
        <w:fldChar w:fldCharType="begin"/>
      </w:r>
      <w:r>
        <w:instrText xml:space="preserve"> PAGEREF _Toc20059 </w:instrText>
      </w:r>
      <w:r>
        <w:fldChar w:fldCharType="separate"/>
      </w:r>
      <w:r>
        <w:t>46</w:t>
      </w:r>
      <w:r>
        <w:fldChar w:fldCharType="end"/>
      </w:r>
      <w:r>
        <w:rPr>
          <w:rFonts w:hint="eastAsia" w:ascii="宋体" w:hAnsi="宋体" w:eastAsia="宋体" w:cs="宋体"/>
          <w:color w:val="auto"/>
          <w:szCs w:val="32"/>
          <w:highlight w:val="none"/>
        </w:rPr>
        <w:fldChar w:fldCharType="end"/>
      </w:r>
    </w:p>
    <w:p>
      <w:pPr>
        <w:pStyle w:val="21"/>
        <w:tabs>
          <w:tab w:val="right" w:leader="dot" w:pos="9746"/>
        </w:tabs>
      </w:pPr>
      <w:r>
        <w:rPr>
          <w:rFonts w:hint="eastAsia" w:ascii="宋体" w:hAnsi="宋体" w:eastAsia="宋体" w:cs="宋体"/>
          <w:color w:val="auto"/>
          <w:szCs w:val="32"/>
          <w:highlight w:val="none"/>
        </w:rPr>
        <w:fldChar w:fldCharType="begin"/>
      </w:r>
      <w:r>
        <w:rPr>
          <w:rFonts w:hint="eastAsia" w:ascii="宋体" w:hAnsi="宋体" w:eastAsia="宋体" w:cs="宋体"/>
          <w:szCs w:val="32"/>
          <w:highlight w:val="none"/>
        </w:rPr>
        <w:instrText xml:space="preserve"> HYPERLINK \l _Toc17410 </w:instrText>
      </w:r>
      <w:r>
        <w:rPr>
          <w:rFonts w:hint="eastAsia" w:ascii="宋体" w:hAnsi="宋体" w:eastAsia="宋体" w:cs="宋体"/>
          <w:szCs w:val="32"/>
          <w:highlight w:val="none"/>
        </w:rPr>
        <w:fldChar w:fldCharType="separate"/>
      </w:r>
      <w:r>
        <w:rPr>
          <w:rFonts w:hint="eastAsia" w:ascii="宋体" w:hAnsi="宋体" w:eastAsia="宋体" w:cs="宋体"/>
          <w:bCs/>
          <w:kern w:val="44"/>
          <w:szCs w:val="44"/>
          <w:highlight w:val="none"/>
        </w:rPr>
        <w:t>第四章</w:t>
      </w:r>
      <w:r>
        <w:rPr>
          <w:rFonts w:hint="eastAsia" w:ascii="宋体" w:hAnsi="宋体" w:eastAsia="宋体" w:cs="宋体"/>
          <w:bCs/>
          <w:kern w:val="44"/>
          <w:szCs w:val="44"/>
          <w:highlight w:val="none"/>
          <w:lang w:val="en-US" w:eastAsia="zh-CN"/>
        </w:rPr>
        <w:t xml:space="preserve"> </w:t>
      </w:r>
      <w:r>
        <w:rPr>
          <w:rFonts w:hint="eastAsia" w:ascii="宋体" w:hAnsi="宋体" w:eastAsia="宋体" w:cs="宋体"/>
          <w:bCs/>
          <w:kern w:val="44"/>
          <w:szCs w:val="44"/>
          <w:highlight w:val="none"/>
        </w:rPr>
        <w:t>评审程序、评审方法和评审标准</w:t>
      </w:r>
      <w:r>
        <w:tab/>
      </w:r>
      <w:r>
        <w:fldChar w:fldCharType="begin"/>
      </w:r>
      <w:r>
        <w:instrText xml:space="preserve"> PAGEREF _Toc17410 </w:instrText>
      </w:r>
      <w:r>
        <w:fldChar w:fldCharType="separate"/>
      </w:r>
      <w:r>
        <w:t>47</w:t>
      </w:r>
      <w:r>
        <w:fldChar w:fldCharType="end"/>
      </w:r>
      <w:r>
        <w:rPr>
          <w:rFonts w:hint="eastAsia" w:ascii="宋体" w:hAnsi="宋体" w:eastAsia="宋体" w:cs="宋体"/>
          <w:color w:val="auto"/>
          <w:szCs w:val="32"/>
          <w:highlight w:val="none"/>
        </w:rPr>
        <w:fldChar w:fldCharType="end"/>
      </w:r>
    </w:p>
    <w:p>
      <w:pPr>
        <w:pStyle w:val="23"/>
        <w:tabs>
          <w:tab w:val="right" w:leader="dot" w:pos="9746"/>
          <w:tab w:val="clear" w:pos="8296"/>
        </w:tabs>
      </w:pPr>
      <w:r>
        <w:rPr>
          <w:rFonts w:hint="eastAsia" w:ascii="宋体" w:hAnsi="宋体" w:eastAsia="宋体" w:cs="宋体"/>
          <w:color w:val="auto"/>
          <w:szCs w:val="32"/>
          <w:highlight w:val="none"/>
        </w:rPr>
        <w:fldChar w:fldCharType="begin"/>
      </w:r>
      <w:r>
        <w:rPr>
          <w:rFonts w:hint="eastAsia" w:ascii="宋体" w:hAnsi="宋体" w:eastAsia="宋体" w:cs="宋体"/>
          <w:szCs w:val="32"/>
          <w:highlight w:val="none"/>
        </w:rPr>
        <w:instrText xml:space="preserve"> HYPERLINK \l _Toc32216 </w:instrText>
      </w:r>
      <w:r>
        <w:rPr>
          <w:rFonts w:hint="eastAsia" w:ascii="宋体" w:hAnsi="宋体" w:eastAsia="宋体" w:cs="宋体"/>
          <w:szCs w:val="32"/>
          <w:highlight w:val="none"/>
        </w:rPr>
        <w:fldChar w:fldCharType="separate"/>
      </w:r>
      <w:r>
        <w:rPr>
          <w:rFonts w:hint="eastAsia" w:ascii="宋体" w:hAnsi="宋体" w:eastAsia="宋体" w:cs="宋体"/>
          <w:bCs/>
          <w:szCs w:val="32"/>
          <w:highlight w:val="none"/>
        </w:rPr>
        <w:t>第一节 评审程序和评审方法</w:t>
      </w:r>
      <w:r>
        <w:tab/>
      </w:r>
      <w:r>
        <w:fldChar w:fldCharType="begin"/>
      </w:r>
      <w:r>
        <w:instrText xml:space="preserve"> PAGEREF _Toc32216 </w:instrText>
      </w:r>
      <w:r>
        <w:fldChar w:fldCharType="separate"/>
      </w:r>
      <w:r>
        <w:t>47</w:t>
      </w:r>
      <w:r>
        <w:fldChar w:fldCharType="end"/>
      </w:r>
      <w:r>
        <w:rPr>
          <w:rFonts w:hint="eastAsia" w:ascii="宋体" w:hAnsi="宋体" w:eastAsia="宋体" w:cs="宋体"/>
          <w:color w:val="auto"/>
          <w:szCs w:val="32"/>
          <w:highlight w:val="none"/>
        </w:rPr>
        <w:fldChar w:fldCharType="end"/>
      </w:r>
    </w:p>
    <w:p>
      <w:pPr>
        <w:pStyle w:val="23"/>
        <w:tabs>
          <w:tab w:val="right" w:leader="dot" w:pos="9746"/>
          <w:tab w:val="clear" w:pos="8296"/>
        </w:tabs>
      </w:pPr>
      <w:r>
        <w:rPr>
          <w:rFonts w:hint="eastAsia" w:ascii="宋体" w:hAnsi="宋体" w:eastAsia="宋体" w:cs="宋体"/>
          <w:color w:val="auto"/>
          <w:szCs w:val="32"/>
          <w:highlight w:val="none"/>
        </w:rPr>
        <w:fldChar w:fldCharType="begin"/>
      </w:r>
      <w:r>
        <w:rPr>
          <w:rFonts w:hint="eastAsia" w:ascii="宋体" w:hAnsi="宋体" w:eastAsia="宋体" w:cs="宋体"/>
          <w:szCs w:val="32"/>
          <w:highlight w:val="none"/>
        </w:rPr>
        <w:instrText xml:space="preserve"> HYPERLINK \l _Toc18919 </w:instrText>
      </w:r>
      <w:r>
        <w:rPr>
          <w:rFonts w:hint="eastAsia" w:ascii="宋体" w:hAnsi="宋体" w:eastAsia="宋体" w:cs="宋体"/>
          <w:szCs w:val="32"/>
          <w:highlight w:val="none"/>
        </w:rPr>
        <w:fldChar w:fldCharType="separate"/>
      </w:r>
      <w:r>
        <w:rPr>
          <w:rFonts w:hint="eastAsia" w:ascii="宋体" w:hAnsi="宋体" w:eastAsia="宋体" w:cs="宋体"/>
          <w:bCs/>
          <w:szCs w:val="32"/>
          <w:highlight w:val="none"/>
        </w:rPr>
        <w:t>第二节 评标报告</w:t>
      </w:r>
      <w:r>
        <w:tab/>
      </w:r>
      <w:r>
        <w:fldChar w:fldCharType="begin"/>
      </w:r>
      <w:r>
        <w:instrText xml:space="preserve"> PAGEREF _Toc18919 </w:instrText>
      </w:r>
      <w:r>
        <w:fldChar w:fldCharType="separate"/>
      </w:r>
      <w:r>
        <w:t>54</w:t>
      </w:r>
      <w:r>
        <w:fldChar w:fldCharType="end"/>
      </w:r>
      <w:r>
        <w:rPr>
          <w:rFonts w:hint="eastAsia" w:ascii="宋体" w:hAnsi="宋体" w:eastAsia="宋体" w:cs="宋体"/>
          <w:color w:val="auto"/>
          <w:szCs w:val="32"/>
          <w:highlight w:val="none"/>
        </w:rPr>
        <w:fldChar w:fldCharType="end"/>
      </w:r>
    </w:p>
    <w:p>
      <w:pPr>
        <w:pStyle w:val="23"/>
        <w:tabs>
          <w:tab w:val="right" w:leader="dot" w:pos="9746"/>
          <w:tab w:val="clear" w:pos="8296"/>
        </w:tabs>
      </w:pPr>
      <w:r>
        <w:rPr>
          <w:rFonts w:hint="eastAsia" w:ascii="宋体" w:hAnsi="宋体" w:eastAsia="宋体" w:cs="宋体"/>
          <w:color w:val="auto"/>
          <w:szCs w:val="32"/>
          <w:highlight w:val="none"/>
        </w:rPr>
        <w:fldChar w:fldCharType="begin"/>
      </w:r>
      <w:r>
        <w:rPr>
          <w:rFonts w:hint="eastAsia" w:ascii="宋体" w:hAnsi="宋体" w:eastAsia="宋体" w:cs="宋体"/>
          <w:szCs w:val="32"/>
          <w:highlight w:val="none"/>
        </w:rPr>
        <w:instrText xml:space="preserve"> HYPERLINK \l _Toc23347 </w:instrText>
      </w:r>
      <w:r>
        <w:rPr>
          <w:rFonts w:hint="eastAsia" w:ascii="宋体" w:hAnsi="宋体" w:eastAsia="宋体" w:cs="宋体"/>
          <w:szCs w:val="32"/>
          <w:highlight w:val="none"/>
        </w:rPr>
        <w:fldChar w:fldCharType="separate"/>
      </w:r>
      <w:r>
        <w:rPr>
          <w:rFonts w:hint="eastAsia" w:ascii="宋体" w:hAnsi="宋体" w:eastAsia="宋体" w:cs="宋体"/>
          <w:bCs/>
          <w:szCs w:val="32"/>
          <w:highlight w:val="none"/>
        </w:rPr>
        <w:t>第三节 评审过程的保密与录像</w:t>
      </w:r>
      <w:r>
        <w:tab/>
      </w:r>
      <w:r>
        <w:fldChar w:fldCharType="begin"/>
      </w:r>
      <w:r>
        <w:instrText xml:space="preserve"> PAGEREF _Toc23347 </w:instrText>
      </w:r>
      <w:r>
        <w:fldChar w:fldCharType="separate"/>
      </w:r>
      <w:r>
        <w:t>54</w:t>
      </w:r>
      <w:r>
        <w:fldChar w:fldCharType="end"/>
      </w:r>
      <w:r>
        <w:rPr>
          <w:rFonts w:hint="eastAsia" w:ascii="宋体" w:hAnsi="宋体" w:eastAsia="宋体" w:cs="宋体"/>
          <w:color w:val="auto"/>
          <w:szCs w:val="32"/>
          <w:highlight w:val="none"/>
        </w:rPr>
        <w:fldChar w:fldCharType="end"/>
      </w:r>
    </w:p>
    <w:p>
      <w:pPr>
        <w:pStyle w:val="21"/>
        <w:tabs>
          <w:tab w:val="right" w:leader="dot" w:pos="9746"/>
        </w:tabs>
      </w:pPr>
      <w:r>
        <w:rPr>
          <w:rFonts w:hint="eastAsia" w:ascii="宋体" w:hAnsi="宋体" w:eastAsia="宋体" w:cs="宋体"/>
          <w:color w:val="auto"/>
          <w:szCs w:val="32"/>
          <w:highlight w:val="none"/>
        </w:rPr>
        <w:fldChar w:fldCharType="begin"/>
      </w:r>
      <w:r>
        <w:rPr>
          <w:rFonts w:hint="eastAsia" w:ascii="宋体" w:hAnsi="宋体" w:eastAsia="宋体" w:cs="宋体"/>
          <w:szCs w:val="32"/>
          <w:highlight w:val="none"/>
        </w:rPr>
        <w:instrText xml:space="preserve"> HYPERLINK \l _Toc24663 </w:instrText>
      </w:r>
      <w:r>
        <w:rPr>
          <w:rFonts w:hint="eastAsia" w:ascii="宋体" w:hAnsi="宋体" w:eastAsia="宋体" w:cs="宋体"/>
          <w:szCs w:val="32"/>
          <w:highlight w:val="none"/>
        </w:rPr>
        <w:fldChar w:fldCharType="separate"/>
      </w:r>
      <w:r>
        <w:rPr>
          <w:rFonts w:hint="eastAsia" w:ascii="宋体" w:hAnsi="宋体" w:eastAsia="宋体" w:cs="宋体"/>
          <w:bCs/>
          <w:kern w:val="44"/>
          <w:szCs w:val="44"/>
          <w:highlight w:val="none"/>
        </w:rPr>
        <w:t>第五章</w:t>
      </w:r>
      <w:r>
        <w:rPr>
          <w:rFonts w:hint="eastAsia" w:ascii="宋体" w:hAnsi="宋体" w:eastAsia="宋体" w:cs="宋体"/>
          <w:bCs/>
          <w:kern w:val="44"/>
          <w:szCs w:val="44"/>
          <w:highlight w:val="none"/>
          <w:lang w:val="en-US" w:eastAsia="zh-CN"/>
        </w:rPr>
        <w:t xml:space="preserve"> </w:t>
      </w:r>
      <w:r>
        <w:rPr>
          <w:rFonts w:hint="eastAsia" w:ascii="宋体" w:hAnsi="宋体" w:eastAsia="宋体" w:cs="宋体"/>
          <w:bCs/>
          <w:kern w:val="44"/>
          <w:szCs w:val="44"/>
          <w:highlight w:val="none"/>
        </w:rPr>
        <w:t>响应文件格式</w:t>
      </w:r>
      <w:r>
        <w:tab/>
      </w:r>
      <w:r>
        <w:fldChar w:fldCharType="begin"/>
      </w:r>
      <w:r>
        <w:instrText xml:space="preserve"> PAGEREF _Toc24663 </w:instrText>
      </w:r>
      <w:r>
        <w:fldChar w:fldCharType="separate"/>
      </w:r>
      <w:r>
        <w:t>55</w:t>
      </w:r>
      <w:r>
        <w:fldChar w:fldCharType="end"/>
      </w:r>
      <w:r>
        <w:rPr>
          <w:rFonts w:hint="eastAsia" w:ascii="宋体" w:hAnsi="宋体" w:eastAsia="宋体" w:cs="宋体"/>
          <w:color w:val="auto"/>
          <w:szCs w:val="32"/>
          <w:highlight w:val="none"/>
        </w:rPr>
        <w:fldChar w:fldCharType="end"/>
      </w:r>
    </w:p>
    <w:p>
      <w:pPr>
        <w:pStyle w:val="23"/>
        <w:tabs>
          <w:tab w:val="right" w:leader="dot" w:pos="9746"/>
          <w:tab w:val="clear" w:pos="8296"/>
        </w:tabs>
      </w:pPr>
      <w:r>
        <w:rPr>
          <w:rFonts w:hint="eastAsia" w:ascii="宋体" w:hAnsi="宋体" w:eastAsia="宋体" w:cs="宋体"/>
          <w:color w:val="auto"/>
          <w:szCs w:val="32"/>
          <w:highlight w:val="none"/>
        </w:rPr>
        <w:fldChar w:fldCharType="begin"/>
      </w:r>
      <w:r>
        <w:rPr>
          <w:rFonts w:hint="eastAsia" w:ascii="宋体" w:hAnsi="宋体" w:eastAsia="宋体" w:cs="宋体"/>
          <w:szCs w:val="32"/>
          <w:highlight w:val="none"/>
        </w:rPr>
        <w:instrText xml:space="preserve"> HYPERLINK \l _Toc6528 </w:instrText>
      </w:r>
      <w:r>
        <w:rPr>
          <w:rFonts w:hint="eastAsia" w:ascii="宋体" w:hAnsi="宋体" w:eastAsia="宋体" w:cs="宋体"/>
          <w:szCs w:val="32"/>
          <w:highlight w:val="none"/>
        </w:rPr>
        <w:fldChar w:fldCharType="separate"/>
      </w:r>
      <w:r>
        <w:rPr>
          <w:rFonts w:hint="eastAsia" w:ascii="宋体" w:hAnsi="宋体" w:eastAsia="宋体" w:cs="宋体"/>
          <w:highlight w:val="none"/>
          <w:lang w:val="en-US" w:eastAsia="zh-CN"/>
        </w:rPr>
        <w:t>第一节 封面格式</w:t>
      </w:r>
      <w:r>
        <w:tab/>
      </w:r>
      <w:r>
        <w:fldChar w:fldCharType="begin"/>
      </w:r>
      <w:r>
        <w:instrText xml:space="preserve"> PAGEREF _Toc6528 </w:instrText>
      </w:r>
      <w:r>
        <w:fldChar w:fldCharType="separate"/>
      </w:r>
      <w:r>
        <w:t>56</w:t>
      </w:r>
      <w:r>
        <w:fldChar w:fldCharType="end"/>
      </w:r>
      <w:r>
        <w:rPr>
          <w:rFonts w:hint="eastAsia" w:ascii="宋体" w:hAnsi="宋体" w:eastAsia="宋体" w:cs="宋体"/>
          <w:color w:val="auto"/>
          <w:szCs w:val="32"/>
          <w:highlight w:val="none"/>
        </w:rPr>
        <w:fldChar w:fldCharType="end"/>
      </w:r>
    </w:p>
    <w:p>
      <w:pPr>
        <w:pStyle w:val="23"/>
        <w:tabs>
          <w:tab w:val="right" w:leader="dot" w:pos="9746"/>
          <w:tab w:val="clear" w:pos="8296"/>
        </w:tabs>
      </w:pPr>
      <w:r>
        <w:rPr>
          <w:rFonts w:hint="eastAsia" w:ascii="宋体" w:hAnsi="宋体" w:eastAsia="宋体" w:cs="宋体"/>
          <w:color w:val="auto"/>
          <w:szCs w:val="32"/>
          <w:highlight w:val="none"/>
        </w:rPr>
        <w:fldChar w:fldCharType="begin"/>
      </w:r>
      <w:r>
        <w:rPr>
          <w:rFonts w:hint="eastAsia" w:ascii="宋体" w:hAnsi="宋体" w:eastAsia="宋体" w:cs="宋体"/>
          <w:szCs w:val="32"/>
          <w:highlight w:val="none"/>
        </w:rPr>
        <w:instrText xml:space="preserve"> HYPERLINK \l _Toc31031 </w:instrText>
      </w:r>
      <w:r>
        <w:rPr>
          <w:rFonts w:hint="eastAsia" w:ascii="宋体" w:hAnsi="宋体" w:eastAsia="宋体" w:cs="宋体"/>
          <w:szCs w:val="32"/>
          <w:highlight w:val="none"/>
        </w:rPr>
        <w:fldChar w:fldCharType="separate"/>
      </w:r>
      <w:r>
        <w:rPr>
          <w:rFonts w:hint="eastAsia" w:ascii="宋体" w:hAnsi="宋体" w:eastAsia="宋体" w:cs="宋体"/>
          <w:bCs w:val="0"/>
          <w:highlight w:val="none"/>
        </w:rPr>
        <w:t>第二节 资格证明文件格式</w:t>
      </w:r>
      <w:r>
        <w:tab/>
      </w:r>
      <w:r>
        <w:fldChar w:fldCharType="begin"/>
      </w:r>
      <w:r>
        <w:instrText xml:space="preserve"> PAGEREF _Toc31031 </w:instrText>
      </w:r>
      <w:r>
        <w:fldChar w:fldCharType="separate"/>
      </w:r>
      <w:r>
        <w:t>57</w:t>
      </w:r>
      <w:r>
        <w:fldChar w:fldCharType="end"/>
      </w:r>
      <w:r>
        <w:rPr>
          <w:rFonts w:hint="eastAsia" w:ascii="宋体" w:hAnsi="宋体" w:eastAsia="宋体" w:cs="宋体"/>
          <w:color w:val="auto"/>
          <w:szCs w:val="32"/>
          <w:highlight w:val="none"/>
        </w:rPr>
        <w:fldChar w:fldCharType="end"/>
      </w:r>
    </w:p>
    <w:p>
      <w:pPr>
        <w:pStyle w:val="23"/>
        <w:tabs>
          <w:tab w:val="right" w:leader="dot" w:pos="9746"/>
          <w:tab w:val="clear" w:pos="8296"/>
        </w:tabs>
      </w:pPr>
      <w:r>
        <w:rPr>
          <w:rFonts w:hint="eastAsia" w:ascii="宋体" w:hAnsi="宋体" w:eastAsia="宋体" w:cs="宋体"/>
          <w:color w:val="auto"/>
          <w:szCs w:val="32"/>
          <w:highlight w:val="none"/>
        </w:rPr>
        <w:fldChar w:fldCharType="begin"/>
      </w:r>
      <w:r>
        <w:rPr>
          <w:rFonts w:hint="eastAsia" w:ascii="宋体" w:hAnsi="宋体" w:eastAsia="宋体" w:cs="宋体"/>
          <w:szCs w:val="32"/>
          <w:highlight w:val="none"/>
        </w:rPr>
        <w:instrText xml:space="preserve"> HYPERLINK \l _Toc18859 </w:instrText>
      </w:r>
      <w:r>
        <w:rPr>
          <w:rFonts w:hint="eastAsia" w:ascii="宋体" w:hAnsi="宋体" w:eastAsia="宋体" w:cs="宋体"/>
          <w:szCs w:val="32"/>
          <w:highlight w:val="none"/>
        </w:rPr>
        <w:fldChar w:fldCharType="separate"/>
      </w:r>
      <w:r>
        <w:rPr>
          <w:rFonts w:hint="eastAsia" w:ascii="宋体" w:hAnsi="宋体" w:eastAsia="宋体" w:cs="宋体"/>
          <w:bCs w:val="0"/>
          <w:highlight w:val="none"/>
        </w:rPr>
        <w:t>第</w:t>
      </w:r>
      <w:r>
        <w:rPr>
          <w:rFonts w:hint="eastAsia" w:ascii="宋体" w:hAnsi="宋体" w:eastAsia="宋体" w:cs="宋体"/>
          <w:bCs w:val="0"/>
          <w:highlight w:val="none"/>
          <w:lang w:eastAsia="zh-CN"/>
        </w:rPr>
        <w:t>三</w:t>
      </w:r>
      <w:r>
        <w:rPr>
          <w:rFonts w:hint="eastAsia" w:ascii="宋体" w:hAnsi="宋体" w:eastAsia="宋体" w:cs="宋体"/>
          <w:bCs w:val="0"/>
          <w:highlight w:val="none"/>
        </w:rPr>
        <w:t xml:space="preserve">节 </w:t>
      </w:r>
      <w:r>
        <w:rPr>
          <w:rFonts w:hint="eastAsia" w:ascii="宋体" w:hAnsi="宋体" w:eastAsia="宋体" w:cs="宋体"/>
          <w:highlight w:val="none"/>
        </w:rPr>
        <w:t>商务技术文件格式</w:t>
      </w:r>
      <w:r>
        <w:tab/>
      </w:r>
      <w:r>
        <w:fldChar w:fldCharType="begin"/>
      </w:r>
      <w:r>
        <w:instrText xml:space="preserve"> PAGEREF _Toc18859 </w:instrText>
      </w:r>
      <w:r>
        <w:fldChar w:fldCharType="separate"/>
      </w:r>
      <w:r>
        <w:t>66</w:t>
      </w:r>
      <w:r>
        <w:fldChar w:fldCharType="end"/>
      </w:r>
      <w:r>
        <w:rPr>
          <w:rFonts w:hint="eastAsia" w:ascii="宋体" w:hAnsi="宋体" w:eastAsia="宋体" w:cs="宋体"/>
          <w:color w:val="auto"/>
          <w:szCs w:val="32"/>
          <w:highlight w:val="none"/>
        </w:rPr>
        <w:fldChar w:fldCharType="end"/>
      </w:r>
    </w:p>
    <w:p>
      <w:pPr>
        <w:pStyle w:val="23"/>
        <w:tabs>
          <w:tab w:val="right" w:leader="dot" w:pos="9746"/>
          <w:tab w:val="clear" w:pos="8296"/>
        </w:tabs>
      </w:pPr>
      <w:r>
        <w:rPr>
          <w:rFonts w:hint="eastAsia" w:ascii="宋体" w:hAnsi="宋体" w:eastAsia="宋体" w:cs="宋体"/>
          <w:color w:val="auto"/>
          <w:szCs w:val="32"/>
          <w:highlight w:val="none"/>
        </w:rPr>
        <w:fldChar w:fldCharType="begin"/>
      </w:r>
      <w:r>
        <w:rPr>
          <w:rFonts w:hint="eastAsia" w:ascii="宋体" w:hAnsi="宋体" w:eastAsia="宋体" w:cs="宋体"/>
          <w:szCs w:val="32"/>
          <w:highlight w:val="none"/>
        </w:rPr>
        <w:instrText xml:space="preserve"> HYPERLINK \l _Toc5623 </w:instrText>
      </w:r>
      <w:r>
        <w:rPr>
          <w:rFonts w:hint="eastAsia" w:ascii="宋体" w:hAnsi="宋体" w:eastAsia="宋体" w:cs="宋体"/>
          <w:szCs w:val="32"/>
          <w:highlight w:val="none"/>
        </w:rPr>
        <w:fldChar w:fldCharType="separate"/>
      </w:r>
      <w:r>
        <w:rPr>
          <w:rFonts w:hint="eastAsia" w:ascii="宋体" w:hAnsi="宋体" w:eastAsia="宋体" w:cs="宋体"/>
          <w:highlight w:val="none"/>
          <w:lang w:val="en-US" w:eastAsia="zh-CN"/>
        </w:rPr>
        <w:t>第四节 报价文件格式</w:t>
      </w:r>
      <w:r>
        <w:tab/>
      </w:r>
      <w:r>
        <w:fldChar w:fldCharType="begin"/>
      </w:r>
      <w:r>
        <w:instrText xml:space="preserve"> PAGEREF _Toc5623 </w:instrText>
      </w:r>
      <w:r>
        <w:fldChar w:fldCharType="separate"/>
      </w:r>
      <w:r>
        <w:t>79</w:t>
      </w:r>
      <w:r>
        <w:fldChar w:fldCharType="end"/>
      </w:r>
      <w:r>
        <w:rPr>
          <w:rFonts w:hint="eastAsia" w:ascii="宋体" w:hAnsi="宋体" w:eastAsia="宋体" w:cs="宋体"/>
          <w:color w:val="auto"/>
          <w:szCs w:val="32"/>
          <w:highlight w:val="none"/>
        </w:rPr>
        <w:fldChar w:fldCharType="end"/>
      </w:r>
    </w:p>
    <w:p>
      <w:pPr>
        <w:pStyle w:val="23"/>
        <w:tabs>
          <w:tab w:val="right" w:leader="dot" w:pos="9746"/>
          <w:tab w:val="clear" w:pos="8296"/>
        </w:tabs>
      </w:pPr>
      <w:r>
        <w:rPr>
          <w:rFonts w:hint="eastAsia" w:ascii="宋体" w:hAnsi="宋体" w:eastAsia="宋体" w:cs="宋体"/>
          <w:color w:val="auto"/>
          <w:szCs w:val="32"/>
          <w:highlight w:val="none"/>
        </w:rPr>
        <w:fldChar w:fldCharType="begin"/>
      </w:r>
      <w:r>
        <w:rPr>
          <w:rFonts w:hint="eastAsia" w:ascii="宋体" w:hAnsi="宋体" w:eastAsia="宋体" w:cs="宋体"/>
          <w:szCs w:val="32"/>
          <w:highlight w:val="none"/>
        </w:rPr>
        <w:instrText xml:space="preserve"> HYPERLINK \l _Toc4813 </w:instrText>
      </w:r>
      <w:r>
        <w:rPr>
          <w:rFonts w:hint="eastAsia" w:ascii="宋体" w:hAnsi="宋体" w:eastAsia="宋体" w:cs="宋体"/>
          <w:szCs w:val="32"/>
          <w:highlight w:val="none"/>
        </w:rPr>
        <w:fldChar w:fldCharType="separate"/>
      </w:r>
      <w:r>
        <w:rPr>
          <w:rFonts w:hint="eastAsia" w:ascii="宋体" w:hAnsi="宋体" w:eastAsia="宋体" w:cs="宋体"/>
          <w:highlight w:val="none"/>
          <w:lang w:val="en-US" w:eastAsia="zh-CN"/>
        </w:rPr>
        <w:t>第五节 其他文书、文件格式</w:t>
      </w:r>
      <w:r>
        <w:tab/>
      </w:r>
      <w:r>
        <w:fldChar w:fldCharType="begin"/>
      </w:r>
      <w:r>
        <w:instrText xml:space="preserve"> PAGEREF _Toc4813 </w:instrText>
      </w:r>
      <w:r>
        <w:fldChar w:fldCharType="separate"/>
      </w:r>
      <w:r>
        <w:t>92</w:t>
      </w:r>
      <w:r>
        <w:fldChar w:fldCharType="end"/>
      </w:r>
      <w:r>
        <w:rPr>
          <w:rFonts w:hint="eastAsia" w:ascii="宋体" w:hAnsi="宋体" w:eastAsia="宋体" w:cs="宋体"/>
          <w:color w:val="auto"/>
          <w:szCs w:val="32"/>
          <w:highlight w:val="none"/>
        </w:rPr>
        <w:fldChar w:fldCharType="end"/>
      </w:r>
    </w:p>
    <w:p>
      <w:pPr>
        <w:pStyle w:val="21"/>
        <w:tabs>
          <w:tab w:val="right" w:leader="dot" w:pos="9746"/>
        </w:tabs>
      </w:pPr>
      <w:r>
        <w:rPr>
          <w:rFonts w:hint="eastAsia" w:ascii="宋体" w:hAnsi="宋体" w:eastAsia="宋体" w:cs="宋体"/>
          <w:color w:val="auto"/>
          <w:szCs w:val="32"/>
          <w:highlight w:val="none"/>
        </w:rPr>
        <w:fldChar w:fldCharType="begin"/>
      </w:r>
      <w:r>
        <w:rPr>
          <w:rFonts w:hint="eastAsia" w:ascii="宋体" w:hAnsi="宋体" w:eastAsia="宋体" w:cs="宋体"/>
          <w:szCs w:val="32"/>
          <w:highlight w:val="none"/>
        </w:rPr>
        <w:instrText xml:space="preserve"> HYPERLINK \l _Toc26377 </w:instrText>
      </w:r>
      <w:r>
        <w:rPr>
          <w:rFonts w:hint="eastAsia" w:ascii="宋体" w:hAnsi="宋体" w:eastAsia="宋体" w:cs="宋体"/>
          <w:szCs w:val="32"/>
          <w:highlight w:val="none"/>
        </w:rPr>
        <w:fldChar w:fldCharType="separate"/>
      </w:r>
      <w:r>
        <w:rPr>
          <w:rFonts w:hint="eastAsia" w:ascii="宋体" w:hAnsi="宋体" w:eastAsia="宋体" w:cs="宋体"/>
          <w:kern w:val="44"/>
          <w:szCs w:val="44"/>
          <w:highlight w:val="none"/>
        </w:rPr>
        <w:t>第六章 合同文本</w:t>
      </w:r>
      <w:r>
        <w:tab/>
      </w:r>
      <w:r>
        <w:fldChar w:fldCharType="begin"/>
      </w:r>
      <w:r>
        <w:instrText xml:space="preserve"> PAGEREF _Toc26377 </w:instrText>
      </w:r>
      <w:r>
        <w:fldChar w:fldCharType="separate"/>
      </w:r>
      <w:r>
        <w:t>93</w:t>
      </w:r>
      <w:r>
        <w:fldChar w:fldCharType="end"/>
      </w:r>
      <w:r>
        <w:rPr>
          <w:rFonts w:hint="eastAsia" w:ascii="宋体" w:hAnsi="宋体" w:eastAsia="宋体" w:cs="宋体"/>
          <w:color w:val="auto"/>
          <w:szCs w:val="32"/>
          <w:highlight w:val="none"/>
        </w:rPr>
        <w:fldChar w:fldCharType="end"/>
      </w:r>
    </w:p>
    <w:p>
      <w:pPr>
        <w:pStyle w:val="23"/>
        <w:tabs>
          <w:tab w:val="right" w:leader="dot" w:pos="9746"/>
          <w:tab w:val="clear" w:pos="8296"/>
        </w:tabs>
      </w:pPr>
      <w:r>
        <w:rPr>
          <w:rFonts w:hint="eastAsia" w:ascii="宋体" w:hAnsi="宋体" w:eastAsia="宋体" w:cs="宋体"/>
          <w:color w:val="auto"/>
          <w:szCs w:val="32"/>
          <w:highlight w:val="none"/>
        </w:rPr>
        <w:fldChar w:fldCharType="begin"/>
      </w:r>
      <w:r>
        <w:rPr>
          <w:rFonts w:hint="eastAsia" w:ascii="宋体" w:hAnsi="宋体" w:eastAsia="宋体" w:cs="宋体"/>
          <w:szCs w:val="32"/>
          <w:highlight w:val="none"/>
        </w:rPr>
        <w:instrText xml:space="preserve"> HYPERLINK \l _Toc31307 </w:instrText>
      </w:r>
      <w:r>
        <w:rPr>
          <w:rFonts w:hint="eastAsia" w:ascii="宋体" w:hAnsi="宋体" w:eastAsia="宋体" w:cs="宋体"/>
          <w:szCs w:val="32"/>
          <w:highlight w:val="none"/>
        </w:rPr>
        <w:fldChar w:fldCharType="separate"/>
      </w:r>
      <w:r>
        <w:rPr>
          <w:rFonts w:hint="eastAsia" w:ascii="宋体" w:hAnsi="宋体" w:eastAsia="宋体" w:cs="宋体"/>
          <w:szCs w:val="28"/>
          <w:highlight w:val="none"/>
        </w:rPr>
        <w:t>第一部分 合同书</w:t>
      </w:r>
      <w:r>
        <w:tab/>
      </w:r>
      <w:r>
        <w:fldChar w:fldCharType="begin"/>
      </w:r>
      <w:r>
        <w:instrText xml:space="preserve"> PAGEREF _Toc31307 </w:instrText>
      </w:r>
      <w:r>
        <w:fldChar w:fldCharType="separate"/>
      </w:r>
      <w:r>
        <w:t>96</w:t>
      </w:r>
      <w:r>
        <w:fldChar w:fldCharType="end"/>
      </w:r>
      <w:r>
        <w:rPr>
          <w:rFonts w:hint="eastAsia" w:ascii="宋体" w:hAnsi="宋体" w:eastAsia="宋体" w:cs="宋体"/>
          <w:color w:val="auto"/>
          <w:szCs w:val="32"/>
          <w:highlight w:val="none"/>
        </w:rPr>
        <w:fldChar w:fldCharType="end"/>
      </w:r>
    </w:p>
    <w:p>
      <w:pPr>
        <w:pStyle w:val="23"/>
        <w:tabs>
          <w:tab w:val="right" w:leader="dot" w:pos="9746"/>
          <w:tab w:val="clear" w:pos="8296"/>
        </w:tabs>
      </w:pPr>
      <w:r>
        <w:rPr>
          <w:rFonts w:hint="eastAsia" w:ascii="宋体" w:hAnsi="宋体" w:eastAsia="宋体" w:cs="宋体"/>
          <w:color w:val="auto"/>
          <w:szCs w:val="32"/>
          <w:highlight w:val="none"/>
        </w:rPr>
        <w:fldChar w:fldCharType="begin"/>
      </w:r>
      <w:r>
        <w:rPr>
          <w:rFonts w:hint="eastAsia" w:ascii="宋体" w:hAnsi="宋体" w:eastAsia="宋体" w:cs="宋体"/>
          <w:szCs w:val="32"/>
          <w:highlight w:val="none"/>
        </w:rPr>
        <w:instrText xml:space="preserve"> HYPERLINK \l _Toc23 </w:instrText>
      </w:r>
      <w:r>
        <w:rPr>
          <w:rFonts w:hint="eastAsia" w:ascii="宋体" w:hAnsi="宋体" w:eastAsia="宋体" w:cs="宋体"/>
          <w:szCs w:val="32"/>
          <w:highlight w:val="none"/>
        </w:rPr>
        <w:fldChar w:fldCharType="separate"/>
      </w:r>
      <w:r>
        <w:rPr>
          <w:rFonts w:hint="eastAsia" w:ascii="宋体" w:hAnsi="宋体" w:eastAsia="宋体" w:cs="宋体"/>
          <w:szCs w:val="28"/>
          <w:highlight w:val="none"/>
        </w:rPr>
        <w:t>第二部分 合同一般条款</w:t>
      </w:r>
      <w:r>
        <w:tab/>
      </w:r>
      <w:r>
        <w:fldChar w:fldCharType="begin"/>
      </w:r>
      <w:r>
        <w:instrText xml:space="preserve"> PAGEREF _Toc23 </w:instrText>
      </w:r>
      <w:r>
        <w:fldChar w:fldCharType="separate"/>
      </w:r>
      <w:r>
        <w:t>100</w:t>
      </w:r>
      <w:r>
        <w:fldChar w:fldCharType="end"/>
      </w:r>
      <w:r>
        <w:rPr>
          <w:rFonts w:hint="eastAsia" w:ascii="宋体" w:hAnsi="宋体" w:eastAsia="宋体" w:cs="宋体"/>
          <w:color w:val="auto"/>
          <w:szCs w:val="32"/>
          <w:highlight w:val="none"/>
        </w:rPr>
        <w:fldChar w:fldCharType="end"/>
      </w:r>
    </w:p>
    <w:p>
      <w:pPr>
        <w:pStyle w:val="23"/>
        <w:tabs>
          <w:tab w:val="right" w:leader="dot" w:pos="9746"/>
          <w:tab w:val="clear" w:pos="8296"/>
        </w:tabs>
      </w:pPr>
      <w:r>
        <w:rPr>
          <w:rFonts w:hint="eastAsia" w:ascii="宋体" w:hAnsi="宋体" w:eastAsia="宋体" w:cs="宋体"/>
          <w:color w:val="auto"/>
          <w:szCs w:val="32"/>
          <w:highlight w:val="none"/>
        </w:rPr>
        <w:fldChar w:fldCharType="begin"/>
      </w:r>
      <w:r>
        <w:rPr>
          <w:rFonts w:hint="eastAsia" w:ascii="宋体" w:hAnsi="宋体" w:eastAsia="宋体" w:cs="宋体"/>
          <w:szCs w:val="32"/>
          <w:highlight w:val="none"/>
        </w:rPr>
        <w:instrText xml:space="preserve"> HYPERLINK \l _Toc8624 </w:instrText>
      </w:r>
      <w:r>
        <w:rPr>
          <w:rFonts w:hint="eastAsia" w:ascii="宋体" w:hAnsi="宋体" w:eastAsia="宋体" w:cs="宋体"/>
          <w:szCs w:val="32"/>
          <w:highlight w:val="none"/>
        </w:rPr>
        <w:fldChar w:fldCharType="separate"/>
      </w:r>
      <w:r>
        <w:rPr>
          <w:rFonts w:hint="eastAsia" w:ascii="宋体" w:hAnsi="宋体" w:eastAsia="宋体" w:cs="宋体"/>
          <w:szCs w:val="28"/>
          <w:highlight w:val="none"/>
        </w:rPr>
        <w:t>第三部分 合同专用条款</w:t>
      </w:r>
      <w:r>
        <w:tab/>
      </w:r>
      <w:r>
        <w:fldChar w:fldCharType="begin"/>
      </w:r>
      <w:r>
        <w:instrText xml:space="preserve"> PAGEREF _Toc8624 </w:instrText>
      </w:r>
      <w:r>
        <w:fldChar w:fldCharType="separate"/>
      </w:r>
      <w:r>
        <w:t>105</w:t>
      </w:r>
      <w:r>
        <w:fldChar w:fldCharType="end"/>
      </w:r>
      <w:r>
        <w:rPr>
          <w:rFonts w:hint="eastAsia" w:ascii="宋体" w:hAnsi="宋体" w:eastAsia="宋体" w:cs="宋体"/>
          <w:color w:val="auto"/>
          <w:szCs w:val="32"/>
          <w:highlight w:val="none"/>
        </w:rPr>
        <w:fldChar w:fldCharType="end"/>
      </w:r>
    </w:p>
    <w:p>
      <w:pPr>
        <w:pStyle w:val="21"/>
        <w:tabs>
          <w:tab w:val="right" w:leader="dot" w:pos="9746"/>
        </w:tabs>
      </w:pPr>
      <w:r>
        <w:rPr>
          <w:rFonts w:hint="eastAsia" w:ascii="宋体" w:hAnsi="宋体" w:eastAsia="宋体" w:cs="宋体"/>
          <w:color w:val="auto"/>
          <w:szCs w:val="32"/>
          <w:highlight w:val="none"/>
        </w:rPr>
        <w:fldChar w:fldCharType="begin"/>
      </w:r>
      <w:r>
        <w:rPr>
          <w:rFonts w:hint="eastAsia" w:ascii="宋体" w:hAnsi="宋体" w:eastAsia="宋体" w:cs="宋体"/>
          <w:szCs w:val="32"/>
          <w:highlight w:val="none"/>
        </w:rPr>
        <w:instrText xml:space="preserve"> HYPERLINK \l _Toc3803 </w:instrText>
      </w:r>
      <w:r>
        <w:rPr>
          <w:rFonts w:hint="eastAsia" w:ascii="宋体" w:hAnsi="宋体" w:eastAsia="宋体" w:cs="宋体"/>
          <w:szCs w:val="32"/>
          <w:highlight w:val="none"/>
        </w:rPr>
        <w:fldChar w:fldCharType="separate"/>
      </w:r>
      <w:r>
        <w:rPr>
          <w:rFonts w:hint="eastAsia" w:ascii="宋体" w:hAnsi="宋体" w:eastAsia="宋体" w:cs="宋体"/>
          <w:bCs/>
          <w:kern w:val="44"/>
          <w:szCs w:val="44"/>
          <w:highlight w:val="none"/>
        </w:rPr>
        <w:t>第七章 质疑、投诉材料格式</w:t>
      </w:r>
      <w:r>
        <w:tab/>
      </w:r>
      <w:r>
        <w:fldChar w:fldCharType="begin"/>
      </w:r>
      <w:r>
        <w:instrText xml:space="preserve"> PAGEREF _Toc3803 </w:instrText>
      </w:r>
      <w:r>
        <w:fldChar w:fldCharType="separate"/>
      </w:r>
      <w:r>
        <w:t>108</w:t>
      </w:r>
      <w:r>
        <w:fldChar w:fldCharType="end"/>
      </w:r>
      <w:r>
        <w:rPr>
          <w:rFonts w:hint="eastAsia" w:ascii="宋体" w:hAnsi="宋体" w:eastAsia="宋体" w:cs="宋体"/>
          <w:color w:val="auto"/>
          <w:szCs w:val="32"/>
          <w:highlight w:val="none"/>
        </w:rPr>
        <w:fldChar w:fldCharType="end"/>
      </w:r>
    </w:p>
    <w:p>
      <w:pPr>
        <w:spacing w:line="400" w:lineRule="exact"/>
        <w:jc w:val="center"/>
        <w:rPr>
          <w:rFonts w:hint="eastAsia" w:ascii="宋体" w:hAnsi="宋体" w:eastAsia="宋体" w:cs="宋体"/>
          <w:b/>
          <w:color w:val="auto"/>
          <w:sz w:val="32"/>
          <w:szCs w:val="32"/>
          <w:highlight w:val="none"/>
        </w:rPr>
        <w:sectPr>
          <w:headerReference r:id="rId6" w:type="first"/>
          <w:footerReference r:id="rId8" w:type="first"/>
          <w:headerReference r:id="rId5" w:type="default"/>
          <w:footerReference r:id="rId7" w:type="default"/>
          <w:pgSz w:w="11906" w:h="16838"/>
          <w:pgMar w:top="1440" w:right="1080" w:bottom="1440" w:left="1080" w:header="851" w:footer="992" w:gutter="0"/>
          <w:pgNumType w:start="0"/>
          <w:cols w:space="720" w:num="1"/>
          <w:titlePg/>
          <w:docGrid w:type="lines" w:linePitch="312" w:charSpace="0"/>
        </w:sectPr>
      </w:pPr>
      <w:r>
        <w:rPr>
          <w:rFonts w:hint="eastAsia" w:ascii="宋体" w:hAnsi="宋体" w:eastAsia="宋体" w:cs="宋体"/>
          <w:color w:val="auto"/>
          <w:szCs w:val="32"/>
          <w:highlight w:val="none"/>
        </w:rPr>
        <w:fldChar w:fldCharType="end"/>
      </w:r>
    </w:p>
    <w:p>
      <w:pPr>
        <w:keepNext/>
        <w:keepLines/>
        <w:spacing w:before="340" w:after="330" w:line="400" w:lineRule="exact"/>
        <w:jc w:val="center"/>
        <w:outlineLvl w:val="0"/>
        <w:rPr>
          <w:rFonts w:hint="eastAsia" w:ascii="宋体" w:hAnsi="宋体" w:eastAsia="宋体" w:cs="宋体"/>
          <w:b/>
          <w:bCs/>
          <w:color w:val="auto"/>
          <w:kern w:val="44"/>
          <w:sz w:val="44"/>
          <w:szCs w:val="44"/>
          <w:highlight w:val="none"/>
        </w:rPr>
      </w:pPr>
      <w:bookmarkStart w:id="4" w:name="_Toc428"/>
      <w:bookmarkStart w:id="5" w:name="_Toc3250"/>
      <w:r>
        <w:rPr>
          <w:rFonts w:hint="eastAsia" w:ascii="宋体" w:hAnsi="宋体" w:eastAsia="宋体" w:cs="宋体"/>
          <w:b/>
          <w:color w:val="auto"/>
          <w:kern w:val="44"/>
          <w:sz w:val="24"/>
          <w:highlight w:val="none"/>
        </w:rPr>
        <mc:AlternateContent>
          <mc:Choice Requires="wps">
            <w:drawing>
              <wp:anchor distT="0" distB="0" distL="114300" distR="114300" simplePos="0" relativeHeight="251659264" behindDoc="0" locked="0" layoutInCell="1" allowOverlap="1">
                <wp:simplePos x="0" y="0"/>
                <wp:positionH relativeFrom="column">
                  <wp:posOffset>57150</wp:posOffset>
                </wp:positionH>
                <wp:positionV relativeFrom="paragraph">
                  <wp:posOffset>675640</wp:posOffset>
                </wp:positionV>
                <wp:extent cx="5965190" cy="1216660"/>
                <wp:effectExtent l="0" t="0" r="16510" b="2540"/>
                <wp:wrapNone/>
                <wp:docPr id="4" name="文本框 101"/>
                <wp:cNvGraphicFramePr/>
                <a:graphic xmlns:a="http://schemas.openxmlformats.org/drawingml/2006/main">
                  <a:graphicData uri="http://schemas.microsoft.com/office/word/2010/wordprocessingShape">
                    <wps:wsp>
                      <wps:cNvSpPr txBox="1"/>
                      <wps:spPr>
                        <a:xfrm>
                          <a:off x="0" y="0"/>
                          <a:ext cx="5965190" cy="1216660"/>
                        </a:xfrm>
                        <a:prstGeom prst="rect">
                          <a:avLst/>
                        </a:prstGeom>
                        <a:solidFill>
                          <a:srgbClr val="FFFFFF"/>
                        </a:solidFill>
                        <a:ln w="9525">
                          <a:noFill/>
                        </a:ln>
                        <a:effectLst/>
                      </wps:spPr>
                      <wps:txbx>
                        <w:txbxContent>
                          <w:p>
                            <w:pPr>
                              <w:pBdr>
                                <w:top w:val="single" w:color="auto" w:sz="4" w:space="1"/>
                                <w:left w:val="single" w:color="auto" w:sz="4" w:space="4"/>
                                <w:bottom w:val="single" w:color="auto" w:sz="4" w:space="1"/>
                                <w:right w:val="single" w:color="auto" w:sz="4" w:space="4"/>
                              </w:pBdr>
                              <w:spacing w:line="360" w:lineRule="auto"/>
                              <w:ind w:firstLine="420" w:firstLineChars="200"/>
                              <w:rPr>
                                <w:rFonts w:ascii="宋体" w:hAnsi="宋体"/>
                                <w:color w:val="auto"/>
                                <w:szCs w:val="21"/>
                              </w:rPr>
                            </w:pPr>
                            <w:r>
                              <w:rPr>
                                <w:rFonts w:hint="eastAsia" w:ascii="宋体" w:hAnsi="宋体"/>
                                <w:color w:val="auto"/>
                                <w:szCs w:val="21"/>
                              </w:rPr>
                              <w:t>项目概况</w:t>
                            </w:r>
                          </w:p>
                          <w:p>
                            <w:pPr>
                              <w:pBdr>
                                <w:top w:val="single" w:color="auto" w:sz="4" w:space="1"/>
                                <w:left w:val="single" w:color="auto" w:sz="4" w:space="4"/>
                                <w:bottom w:val="single" w:color="auto" w:sz="4" w:space="1"/>
                                <w:right w:val="single" w:color="auto" w:sz="4" w:space="4"/>
                              </w:pBdr>
                              <w:spacing w:line="360" w:lineRule="auto"/>
                              <w:ind w:firstLine="420" w:firstLineChars="200"/>
                              <w:rPr>
                                <w:rFonts w:hint="eastAsia" w:ascii="宋体" w:hAnsi="宋体" w:eastAsia="宋体" w:cs="宋体"/>
                                <w:color w:val="auto"/>
                                <w:szCs w:val="21"/>
                                <w:highlight w:val="none"/>
                              </w:rPr>
                            </w:pPr>
                            <w:r>
                              <w:rPr>
                                <w:rFonts w:hint="eastAsia" w:ascii="宋体" w:hAnsi="宋体" w:cs="宋体"/>
                                <w:color w:val="auto"/>
                                <w:szCs w:val="21"/>
                                <w:u w:val="single"/>
                                <w:lang w:val="en-US" w:eastAsia="zh-CN"/>
                              </w:rPr>
                              <w:t xml:space="preserve">2025年特殊困难老年人家庭居家适老化改造项目 </w:t>
                            </w:r>
                            <w:r>
                              <w:rPr>
                                <w:rFonts w:hint="eastAsia" w:ascii="宋体" w:hAnsi="宋体"/>
                                <w:color w:val="auto"/>
                                <w:szCs w:val="21"/>
                              </w:rPr>
                              <w:t>的</w:t>
                            </w:r>
                            <w:r>
                              <w:rPr>
                                <w:rFonts w:hint="eastAsia" w:ascii="宋体" w:hAnsi="宋体" w:eastAsia="宋体" w:cs="宋体"/>
                                <w:color w:val="auto"/>
                                <w:szCs w:val="21"/>
                              </w:rPr>
                              <w:t>潜在供应商应在</w:t>
                            </w:r>
                            <w:r>
                              <w:rPr>
                                <w:rFonts w:hint="eastAsia" w:ascii="宋体" w:hAnsi="宋体" w:eastAsia="宋体" w:cs="宋体"/>
                                <w:color w:val="auto"/>
                                <w:szCs w:val="21"/>
                                <w:lang w:eastAsia="zh-CN"/>
                              </w:rPr>
                              <w:t>广西政府采购云平台（https://www.gcy.zfcg.gxzf.gov.cn/）</w:t>
                            </w:r>
                            <w:r>
                              <w:rPr>
                                <w:rFonts w:hint="eastAsia" w:ascii="宋体" w:hAnsi="宋体" w:eastAsia="宋体" w:cs="宋体"/>
                                <w:color w:val="auto"/>
                                <w:szCs w:val="21"/>
                              </w:rPr>
                              <w:t>获取竞争性磋商文件，并于</w:t>
                            </w:r>
                            <w:bookmarkStart w:id="301" w:name="PO_3000001868_PM015_2"/>
                            <w:r>
                              <w:rPr>
                                <w:rFonts w:hint="eastAsia" w:ascii="宋体" w:hAnsi="宋体" w:eastAsia="宋体" w:cs="宋体"/>
                                <w:color w:val="auto"/>
                                <w:szCs w:val="21"/>
                                <w:highlight w:val="none"/>
                                <w:u w:val="single"/>
                              </w:rPr>
                              <w:t>[</w:t>
                            </w:r>
                            <w:r>
                              <w:rPr>
                                <w:rFonts w:hint="eastAsia" w:ascii="宋体" w:hAnsi="宋体" w:eastAsia="宋体" w:cs="宋体"/>
                                <w:color w:val="auto"/>
                                <w:szCs w:val="21"/>
                                <w:highlight w:val="none"/>
                                <w:u w:val="single"/>
                                <w:lang w:eastAsia="zh-CN"/>
                              </w:rPr>
                              <w:t>202</w:t>
                            </w:r>
                            <w:r>
                              <w:rPr>
                                <w:rFonts w:hint="eastAsia" w:ascii="宋体" w:hAnsi="宋体" w:cs="宋体"/>
                                <w:color w:val="auto"/>
                                <w:szCs w:val="21"/>
                                <w:highlight w:val="none"/>
                                <w:u w:val="single"/>
                                <w:lang w:val="en-US" w:eastAsia="zh-CN"/>
                              </w:rPr>
                              <w:t>5</w:t>
                            </w:r>
                            <w:r>
                              <w:rPr>
                                <w:rFonts w:hint="eastAsia" w:ascii="宋体" w:hAnsi="宋体" w:eastAsia="宋体" w:cs="宋体"/>
                                <w:color w:val="auto"/>
                                <w:szCs w:val="21"/>
                                <w:highlight w:val="none"/>
                                <w:u w:val="single"/>
                                <w:lang w:eastAsia="zh-CN"/>
                              </w:rPr>
                              <w:t>年</w:t>
                            </w:r>
                            <w:r>
                              <w:rPr>
                                <w:rFonts w:hint="eastAsia" w:ascii="宋体" w:hAnsi="宋体" w:cs="宋体"/>
                                <w:color w:val="auto"/>
                                <w:szCs w:val="21"/>
                                <w:highlight w:val="none"/>
                                <w:u w:val="single"/>
                                <w:lang w:val="en-US" w:eastAsia="zh-CN"/>
                              </w:rPr>
                              <w:t>07</w:t>
                            </w:r>
                            <w:r>
                              <w:rPr>
                                <w:rFonts w:hint="eastAsia" w:ascii="宋体" w:hAnsi="宋体" w:eastAsia="宋体" w:cs="宋体"/>
                                <w:color w:val="auto"/>
                                <w:szCs w:val="21"/>
                                <w:highlight w:val="none"/>
                                <w:u w:val="single"/>
                                <w:lang w:eastAsia="zh-CN"/>
                              </w:rPr>
                              <w:t>月</w:t>
                            </w:r>
                            <w:r>
                              <w:rPr>
                                <w:rFonts w:hint="eastAsia" w:ascii="宋体" w:hAnsi="宋体" w:cs="宋体"/>
                                <w:color w:val="auto"/>
                                <w:szCs w:val="21"/>
                                <w:highlight w:val="none"/>
                                <w:u w:val="single"/>
                                <w:lang w:val="en-US" w:eastAsia="zh-CN"/>
                              </w:rPr>
                              <w:t>11</w:t>
                            </w:r>
                            <w:r>
                              <w:rPr>
                                <w:rFonts w:hint="eastAsia" w:ascii="宋体" w:hAnsi="宋体" w:eastAsia="宋体" w:cs="宋体"/>
                                <w:color w:val="auto"/>
                                <w:szCs w:val="21"/>
                                <w:highlight w:val="none"/>
                                <w:u w:val="single"/>
                                <w:lang w:eastAsia="zh-CN"/>
                              </w:rPr>
                              <w:t>日</w:t>
                            </w:r>
                            <w:r>
                              <w:rPr>
                                <w:rFonts w:hint="eastAsia" w:ascii="宋体" w:hAnsi="宋体" w:cs="宋体"/>
                                <w:color w:val="auto"/>
                                <w:szCs w:val="21"/>
                                <w:highlight w:val="none"/>
                                <w:u w:val="single"/>
                                <w:lang w:val="en-US" w:eastAsia="zh-CN"/>
                              </w:rPr>
                              <w:t>15</w:t>
                            </w:r>
                            <w:r>
                              <w:rPr>
                                <w:rFonts w:hint="eastAsia" w:ascii="宋体" w:hAnsi="宋体" w:eastAsia="宋体" w:cs="宋体"/>
                                <w:color w:val="auto"/>
                                <w:szCs w:val="21"/>
                                <w:highlight w:val="none"/>
                                <w:u w:val="single"/>
                                <w:lang w:eastAsia="zh-CN"/>
                              </w:rPr>
                              <w:t>点</w:t>
                            </w:r>
                            <w:r>
                              <w:rPr>
                                <w:rFonts w:hint="eastAsia" w:ascii="宋体" w:hAnsi="宋体" w:cs="宋体"/>
                                <w:color w:val="auto"/>
                                <w:szCs w:val="21"/>
                                <w:highlight w:val="none"/>
                                <w:u w:val="single"/>
                                <w:lang w:val="en-US" w:eastAsia="zh-CN"/>
                              </w:rPr>
                              <w:t>00</w:t>
                            </w:r>
                            <w:r>
                              <w:rPr>
                                <w:rFonts w:hint="eastAsia" w:ascii="宋体" w:hAnsi="宋体" w:eastAsia="宋体" w:cs="宋体"/>
                                <w:color w:val="auto"/>
                                <w:szCs w:val="21"/>
                                <w:highlight w:val="none"/>
                                <w:u w:val="single"/>
                              </w:rPr>
                              <w:t>分</w:t>
                            </w:r>
                            <w:r>
                              <w:rPr>
                                <w:rFonts w:hint="eastAsia" w:ascii="宋体" w:hAnsi="宋体" w:cs="宋体"/>
                                <w:color w:val="auto"/>
                                <w:szCs w:val="21"/>
                                <w:highlight w:val="none"/>
                                <w:u w:val="single"/>
                                <w:lang w:val="en-US" w:eastAsia="zh-CN"/>
                              </w:rPr>
                              <w:t>00</w:t>
                            </w:r>
                            <w:r>
                              <w:rPr>
                                <w:rFonts w:hint="eastAsia" w:ascii="宋体" w:hAnsi="宋体" w:eastAsia="宋体" w:cs="宋体"/>
                                <w:color w:val="auto"/>
                                <w:szCs w:val="21"/>
                                <w:highlight w:val="none"/>
                                <w:u w:val="single"/>
                              </w:rPr>
                              <w:t>秒（北京时间）]</w:t>
                            </w:r>
                            <w:bookmarkEnd w:id="301"/>
                            <w:r>
                              <w:rPr>
                                <w:rFonts w:hint="eastAsia" w:ascii="宋体" w:hAnsi="宋体" w:eastAsia="宋体" w:cs="宋体"/>
                                <w:color w:val="auto"/>
                                <w:szCs w:val="21"/>
                                <w:highlight w:val="none"/>
                              </w:rPr>
                              <w:t>前提交响应文件。</w:t>
                            </w:r>
                          </w:p>
                          <w:p/>
                        </w:txbxContent>
                      </wps:txbx>
                      <wps:bodyPr wrap="square" upright="1"/>
                    </wps:wsp>
                  </a:graphicData>
                </a:graphic>
              </wp:anchor>
            </w:drawing>
          </mc:Choice>
          <mc:Fallback>
            <w:pict>
              <v:shape id="文本框 101" o:spid="_x0000_s1026" o:spt="202" type="#_x0000_t202" style="position:absolute;left:0pt;margin-left:4.5pt;margin-top:53.2pt;height:95.8pt;width:469.7pt;z-index:251659264;mso-width-relative:page;mso-height-relative:page;" fillcolor="#FFFFFF" filled="t" stroked="f" coordsize="21600,21600" o:gfxdata="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IOkiMXXAAAACQEAAA8AAAAAAAAAAQAgAAAAIgAAAGRycy9kb3ducmV2Lnht&#10;bFBLAQIUABQAAAAIAIdO4kCsGiBJwQEAAFEDAAAOAAAAAAAAAAEAIAAAACYBAABkcnMvZTJvRG9j&#10;LnhtbFBLBQYAAAAABgAGAFkBAABZBQAAAAA=&#10;">
                <v:fill on="t" focussize="0,0"/>
                <v:stroke on="f"/>
                <v:imagedata o:title=""/>
                <o:lock v:ext="edit" aspectratio="f"/>
                <v:textbox>
                  <w:txbxContent>
                    <w:p>
                      <w:pPr>
                        <w:pBdr>
                          <w:top w:val="single" w:color="auto" w:sz="4" w:space="1"/>
                          <w:left w:val="single" w:color="auto" w:sz="4" w:space="4"/>
                          <w:bottom w:val="single" w:color="auto" w:sz="4" w:space="1"/>
                          <w:right w:val="single" w:color="auto" w:sz="4" w:space="4"/>
                        </w:pBdr>
                        <w:spacing w:line="360" w:lineRule="auto"/>
                        <w:ind w:firstLine="420" w:firstLineChars="200"/>
                        <w:rPr>
                          <w:rFonts w:ascii="宋体" w:hAnsi="宋体"/>
                          <w:color w:val="auto"/>
                          <w:szCs w:val="21"/>
                        </w:rPr>
                      </w:pPr>
                      <w:r>
                        <w:rPr>
                          <w:rFonts w:hint="eastAsia" w:ascii="宋体" w:hAnsi="宋体"/>
                          <w:color w:val="auto"/>
                          <w:szCs w:val="21"/>
                        </w:rPr>
                        <w:t>项目概况</w:t>
                      </w:r>
                    </w:p>
                    <w:p>
                      <w:pPr>
                        <w:pBdr>
                          <w:top w:val="single" w:color="auto" w:sz="4" w:space="1"/>
                          <w:left w:val="single" w:color="auto" w:sz="4" w:space="4"/>
                          <w:bottom w:val="single" w:color="auto" w:sz="4" w:space="1"/>
                          <w:right w:val="single" w:color="auto" w:sz="4" w:space="4"/>
                        </w:pBdr>
                        <w:spacing w:line="360" w:lineRule="auto"/>
                        <w:ind w:firstLine="420" w:firstLineChars="200"/>
                        <w:rPr>
                          <w:rFonts w:hint="eastAsia" w:ascii="宋体" w:hAnsi="宋体" w:eastAsia="宋体" w:cs="宋体"/>
                          <w:color w:val="auto"/>
                          <w:szCs w:val="21"/>
                          <w:highlight w:val="none"/>
                        </w:rPr>
                      </w:pPr>
                      <w:r>
                        <w:rPr>
                          <w:rFonts w:hint="eastAsia" w:ascii="宋体" w:hAnsi="宋体" w:cs="宋体"/>
                          <w:color w:val="auto"/>
                          <w:szCs w:val="21"/>
                          <w:u w:val="single"/>
                          <w:lang w:val="en-US" w:eastAsia="zh-CN"/>
                        </w:rPr>
                        <w:t xml:space="preserve">2025年特殊困难老年人家庭居家适老化改造项目 </w:t>
                      </w:r>
                      <w:r>
                        <w:rPr>
                          <w:rFonts w:hint="eastAsia" w:ascii="宋体" w:hAnsi="宋体"/>
                          <w:color w:val="auto"/>
                          <w:szCs w:val="21"/>
                        </w:rPr>
                        <w:t>的</w:t>
                      </w:r>
                      <w:r>
                        <w:rPr>
                          <w:rFonts w:hint="eastAsia" w:ascii="宋体" w:hAnsi="宋体" w:eastAsia="宋体" w:cs="宋体"/>
                          <w:color w:val="auto"/>
                          <w:szCs w:val="21"/>
                        </w:rPr>
                        <w:t>潜在供应商应在</w:t>
                      </w:r>
                      <w:r>
                        <w:rPr>
                          <w:rFonts w:hint="eastAsia" w:ascii="宋体" w:hAnsi="宋体" w:eastAsia="宋体" w:cs="宋体"/>
                          <w:color w:val="auto"/>
                          <w:szCs w:val="21"/>
                          <w:lang w:eastAsia="zh-CN"/>
                        </w:rPr>
                        <w:t>广西政府采购云平台（https://www.gcy.zfcg.gxzf.gov.cn/）</w:t>
                      </w:r>
                      <w:r>
                        <w:rPr>
                          <w:rFonts w:hint="eastAsia" w:ascii="宋体" w:hAnsi="宋体" w:eastAsia="宋体" w:cs="宋体"/>
                          <w:color w:val="auto"/>
                          <w:szCs w:val="21"/>
                        </w:rPr>
                        <w:t>获取竞争性磋商文件，并于</w:t>
                      </w:r>
                      <w:bookmarkStart w:id="301" w:name="PO_3000001868_PM015_2"/>
                      <w:r>
                        <w:rPr>
                          <w:rFonts w:hint="eastAsia" w:ascii="宋体" w:hAnsi="宋体" w:eastAsia="宋体" w:cs="宋体"/>
                          <w:color w:val="auto"/>
                          <w:szCs w:val="21"/>
                          <w:highlight w:val="none"/>
                          <w:u w:val="single"/>
                        </w:rPr>
                        <w:t>[</w:t>
                      </w:r>
                      <w:r>
                        <w:rPr>
                          <w:rFonts w:hint="eastAsia" w:ascii="宋体" w:hAnsi="宋体" w:eastAsia="宋体" w:cs="宋体"/>
                          <w:color w:val="auto"/>
                          <w:szCs w:val="21"/>
                          <w:highlight w:val="none"/>
                          <w:u w:val="single"/>
                          <w:lang w:eastAsia="zh-CN"/>
                        </w:rPr>
                        <w:t>202</w:t>
                      </w:r>
                      <w:r>
                        <w:rPr>
                          <w:rFonts w:hint="eastAsia" w:ascii="宋体" w:hAnsi="宋体" w:cs="宋体"/>
                          <w:color w:val="auto"/>
                          <w:szCs w:val="21"/>
                          <w:highlight w:val="none"/>
                          <w:u w:val="single"/>
                          <w:lang w:val="en-US" w:eastAsia="zh-CN"/>
                        </w:rPr>
                        <w:t>5</w:t>
                      </w:r>
                      <w:r>
                        <w:rPr>
                          <w:rFonts w:hint="eastAsia" w:ascii="宋体" w:hAnsi="宋体" w:eastAsia="宋体" w:cs="宋体"/>
                          <w:color w:val="auto"/>
                          <w:szCs w:val="21"/>
                          <w:highlight w:val="none"/>
                          <w:u w:val="single"/>
                          <w:lang w:eastAsia="zh-CN"/>
                        </w:rPr>
                        <w:t>年</w:t>
                      </w:r>
                      <w:r>
                        <w:rPr>
                          <w:rFonts w:hint="eastAsia" w:ascii="宋体" w:hAnsi="宋体" w:cs="宋体"/>
                          <w:color w:val="auto"/>
                          <w:szCs w:val="21"/>
                          <w:highlight w:val="none"/>
                          <w:u w:val="single"/>
                          <w:lang w:val="en-US" w:eastAsia="zh-CN"/>
                        </w:rPr>
                        <w:t>07</w:t>
                      </w:r>
                      <w:r>
                        <w:rPr>
                          <w:rFonts w:hint="eastAsia" w:ascii="宋体" w:hAnsi="宋体" w:eastAsia="宋体" w:cs="宋体"/>
                          <w:color w:val="auto"/>
                          <w:szCs w:val="21"/>
                          <w:highlight w:val="none"/>
                          <w:u w:val="single"/>
                          <w:lang w:eastAsia="zh-CN"/>
                        </w:rPr>
                        <w:t>月</w:t>
                      </w:r>
                      <w:r>
                        <w:rPr>
                          <w:rFonts w:hint="eastAsia" w:ascii="宋体" w:hAnsi="宋体" w:cs="宋体"/>
                          <w:color w:val="auto"/>
                          <w:szCs w:val="21"/>
                          <w:highlight w:val="none"/>
                          <w:u w:val="single"/>
                          <w:lang w:val="en-US" w:eastAsia="zh-CN"/>
                        </w:rPr>
                        <w:t>11</w:t>
                      </w:r>
                      <w:r>
                        <w:rPr>
                          <w:rFonts w:hint="eastAsia" w:ascii="宋体" w:hAnsi="宋体" w:eastAsia="宋体" w:cs="宋体"/>
                          <w:color w:val="auto"/>
                          <w:szCs w:val="21"/>
                          <w:highlight w:val="none"/>
                          <w:u w:val="single"/>
                          <w:lang w:eastAsia="zh-CN"/>
                        </w:rPr>
                        <w:t>日</w:t>
                      </w:r>
                      <w:r>
                        <w:rPr>
                          <w:rFonts w:hint="eastAsia" w:ascii="宋体" w:hAnsi="宋体" w:cs="宋体"/>
                          <w:color w:val="auto"/>
                          <w:szCs w:val="21"/>
                          <w:highlight w:val="none"/>
                          <w:u w:val="single"/>
                          <w:lang w:val="en-US" w:eastAsia="zh-CN"/>
                        </w:rPr>
                        <w:t>15</w:t>
                      </w:r>
                      <w:r>
                        <w:rPr>
                          <w:rFonts w:hint="eastAsia" w:ascii="宋体" w:hAnsi="宋体" w:eastAsia="宋体" w:cs="宋体"/>
                          <w:color w:val="auto"/>
                          <w:szCs w:val="21"/>
                          <w:highlight w:val="none"/>
                          <w:u w:val="single"/>
                          <w:lang w:eastAsia="zh-CN"/>
                        </w:rPr>
                        <w:t>点</w:t>
                      </w:r>
                      <w:r>
                        <w:rPr>
                          <w:rFonts w:hint="eastAsia" w:ascii="宋体" w:hAnsi="宋体" w:cs="宋体"/>
                          <w:color w:val="auto"/>
                          <w:szCs w:val="21"/>
                          <w:highlight w:val="none"/>
                          <w:u w:val="single"/>
                          <w:lang w:val="en-US" w:eastAsia="zh-CN"/>
                        </w:rPr>
                        <w:t>00</w:t>
                      </w:r>
                      <w:r>
                        <w:rPr>
                          <w:rFonts w:hint="eastAsia" w:ascii="宋体" w:hAnsi="宋体" w:eastAsia="宋体" w:cs="宋体"/>
                          <w:color w:val="auto"/>
                          <w:szCs w:val="21"/>
                          <w:highlight w:val="none"/>
                          <w:u w:val="single"/>
                        </w:rPr>
                        <w:t>分</w:t>
                      </w:r>
                      <w:r>
                        <w:rPr>
                          <w:rFonts w:hint="eastAsia" w:ascii="宋体" w:hAnsi="宋体" w:cs="宋体"/>
                          <w:color w:val="auto"/>
                          <w:szCs w:val="21"/>
                          <w:highlight w:val="none"/>
                          <w:u w:val="single"/>
                          <w:lang w:val="en-US" w:eastAsia="zh-CN"/>
                        </w:rPr>
                        <w:t>00</w:t>
                      </w:r>
                      <w:r>
                        <w:rPr>
                          <w:rFonts w:hint="eastAsia" w:ascii="宋体" w:hAnsi="宋体" w:eastAsia="宋体" w:cs="宋体"/>
                          <w:color w:val="auto"/>
                          <w:szCs w:val="21"/>
                          <w:highlight w:val="none"/>
                          <w:u w:val="single"/>
                        </w:rPr>
                        <w:t>秒（北京时间）]</w:t>
                      </w:r>
                      <w:bookmarkEnd w:id="301"/>
                      <w:r>
                        <w:rPr>
                          <w:rFonts w:hint="eastAsia" w:ascii="宋体" w:hAnsi="宋体" w:eastAsia="宋体" w:cs="宋体"/>
                          <w:color w:val="auto"/>
                          <w:szCs w:val="21"/>
                          <w:highlight w:val="none"/>
                        </w:rPr>
                        <w:t>前提交响应文件。</w:t>
                      </w:r>
                    </w:p>
                    <w:p/>
                  </w:txbxContent>
                </v:textbox>
              </v:shape>
            </w:pict>
          </mc:Fallback>
        </mc:AlternateContent>
      </w:r>
      <w:r>
        <w:rPr>
          <w:rFonts w:hint="eastAsia" w:ascii="宋体" w:hAnsi="宋体" w:eastAsia="宋体" w:cs="宋体"/>
          <w:b/>
          <w:bCs/>
          <w:color w:val="auto"/>
          <w:kern w:val="44"/>
          <w:sz w:val="44"/>
          <w:szCs w:val="44"/>
          <w:highlight w:val="none"/>
        </w:rPr>
        <w:t>第一章</w:t>
      </w:r>
      <w:r>
        <w:rPr>
          <w:rFonts w:hint="eastAsia" w:ascii="宋体" w:hAnsi="宋体" w:eastAsia="宋体" w:cs="宋体"/>
          <w:b/>
          <w:bCs/>
          <w:color w:val="auto"/>
          <w:kern w:val="44"/>
          <w:sz w:val="44"/>
          <w:szCs w:val="44"/>
          <w:highlight w:val="none"/>
          <w:lang w:val="en-US" w:eastAsia="zh-CN"/>
        </w:rPr>
        <w:t xml:space="preserve"> </w:t>
      </w:r>
      <w:r>
        <w:rPr>
          <w:rFonts w:hint="eastAsia" w:ascii="宋体" w:hAnsi="宋体" w:eastAsia="宋体" w:cs="宋体"/>
          <w:b/>
          <w:bCs/>
          <w:color w:val="auto"/>
          <w:kern w:val="44"/>
          <w:sz w:val="44"/>
          <w:szCs w:val="44"/>
          <w:highlight w:val="none"/>
        </w:rPr>
        <w:t>竞争性磋商公告</w:t>
      </w:r>
      <w:bookmarkEnd w:id="4"/>
      <w:bookmarkEnd w:id="5"/>
      <w:bookmarkStart w:id="6" w:name="_Toc28359089"/>
      <w:bookmarkStart w:id="7" w:name="_Toc44229878"/>
      <w:bookmarkStart w:id="8" w:name="_Toc35393629"/>
      <w:bookmarkStart w:id="9" w:name="_Toc28359012"/>
      <w:bookmarkStart w:id="10" w:name="_Toc35393798"/>
      <w:bookmarkStart w:id="11" w:name="_Toc28359081"/>
      <w:bookmarkStart w:id="12" w:name="_Toc28359004"/>
      <w:bookmarkStart w:id="13" w:name="_Toc35393623"/>
      <w:bookmarkStart w:id="14" w:name="_Toc35393792"/>
    </w:p>
    <w:p>
      <w:pPr>
        <w:keepNext/>
        <w:keepLines/>
        <w:spacing w:before="340" w:after="330" w:line="400" w:lineRule="exact"/>
        <w:ind w:firstLine="482" w:firstLineChars="200"/>
        <w:outlineLvl w:val="9"/>
        <w:rPr>
          <w:rFonts w:hint="eastAsia" w:ascii="宋体" w:hAnsi="宋体" w:eastAsia="宋体" w:cs="宋体"/>
          <w:b/>
          <w:color w:val="auto"/>
          <w:kern w:val="44"/>
          <w:sz w:val="24"/>
          <w:highlight w:val="none"/>
        </w:rPr>
      </w:pPr>
    </w:p>
    <w:p>
      <w:pPr>
        <w:keepNext/>
        <w:keepLines/>
        <w:spacing w:before="340" w:after="330" w:line="400" w:lineRule="exact"/>
        <w:ind w:firstLine="482" w:firstLineChars="200"/>
        <w:outlineLvl w:val="9"/>
        <w:rPr>
          <w:rFonts w:hint="eastAsia" w:ascii="宋体" w:hAnsi="宋体" w:eastAsia="宋体" w:cs="宋体"/>
          <w:b/>
          <w:color w:val="auto"/>
          <w:kern w:val="44"/>
          <w:sz w:val="24"/>
          <w:highlight w:val="none"/>
        </w:rPr>
      </w:pPr>
    </w:p>
    <w:p>
      <w:pPr>
        <w:spacing w:line="360" w:lineRule="auto"/>
        <w:rPr>
          <w:rFonts w:hint="eastAsia" w:ascii="宋体" w:hAnsi="宋体" w:eastAsia="宋体" w:cs="宋体"/>
          <w:bCs/>
          <w:color w:val="auto"/>
          <w:sz w:val="24"/>
          <w:highlight w:val="none"/>
        </w:rPr>
      </w:pPr>
    </w:p>
    <w:p>
      <w:pPr>
        <w:spacing w:line="360" w:lineRule="auto"/>
        <w:ind w:firstLine="482" w:firstLineChars="200"/>
        <w:rPr>
          <w:rFonts w:hint="eastAsia" w:ascii="宋体" w:hAnsi="宋体" w:eastAsia="宋体" w:cs="宋体"/>
          <w:b/>
          <w:color w:val="auto"/>
          <w:kern w:val="44"/>
          <w:sz w:val="24"/>
          <w:highlight w:val="none"/>
        </w:rPr>
      </w:pPr>
      <w:r>
        <w:rPr>
          <w:rFonts w:hint="eastAsia" w:ascii="宋体" w:hAnsi="宋体" w:eastAsia="宋体" w:cs="宋体"/>
          <w:b/>
          <w:color w:val="auto"/>
          <w:kern w:val="44"/>
          <w:sz w:val="24"/>
          <w:highlight w:val="none"/>
          <w:lang w:val="en-US" w:eastAsia="zh-CN"/>
        </w:rPr>
        <w:t>一、项目</w:t>
      </w:r>
      <w:r>
        <w:rPr>
          <w:rFonts w:hint="eastAsia" w:ascii="宋体" w:hAnsi="宋体" w:eastAsia="宋体" w:cs="宋体"/>
          <w:b/>
          <w:color w:val="auto"/>
          <w:kern w:val="44"/>
          <w:sz w:val="24"/>
          <w:highlight w:val="none"/>
        </w:rPr>
        <w:t>基本情况</w:t>
      </w:r>
      <w:bookmarkEnd w:id="6"/>
      <w:bookmarkEnd w:id="7"/>
      <w:bookmarkEnd w:id="8"/>
      <w:bookmarkEnd w:id="9"/>
      <w:bookmarkEnd w:id="10"/>
    </w:p>
    <w:p>
      <w:pPr>
        <w:spacing w:line="360" w:lineRule="auto"/>
        <w:ind w:firstLine="420" w:firstLineChars="20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1.项目编号：</w:t>
      </w:r>
      <w:r>
        <w:rPr>
          <w:rFonts w:hint="eastAsia" w:ascii="宋体" w:hAnsi="宋体" w:eastAsia="宋体" w:cs="宋体"/>
          <w:color w:val="auto"/>
          <w:szCs w:val="21"/>
          <w:highlight w:val="none"/>
          <w:lang w:eastAsia="zh-CN"/>
        </w:rPr>
        <w:t xml:space="preserve">NNZC2025-C3-270095-XMZX </w:t>
      </w:r>
    </w:p>
    <w:p>
      <w:pPr>
        <w:spacing w:line="360" w:lineRule="auto"/>
        <w:ind w:firstLine="420" w:firstLineChars="20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2.项目名称：</w:t>
      </w:r>
      <w:bookmarkStart w:id="15" w:name="OLE_LINK1"/>
      <w:r>
        <w:rPr>
          <w:rFonts w:hint="eastAsia" w:ascii="宋体" w:hAnsi="宋体" w:cs="宋体"/>
          <w:color w:val="auto"/>
          <w:szCs w:val="21"/>
          <w:highlight w:val="none"/>
          <w:lang w:eastAsia="zh-CN"/>
        </w:rPr>
        <w:t>2025年特殊</w:t>
      </w:r>
      <w:bookmarkStart w:id="16" w:name="OLE_LINK13"/>
      <w:r>
        <w:rPr>
          <w:rFonts w:hint="eastAsia" w:ascii="宋体" w:hAnsi="宋体" w:cs="宋体"/>
          <w:color w:val="auto"/>
          <w:szCs w:val="21"/>
          <w:highlight w:val="none"/>
          <w:lang w:eastAsia="zh-CN"/>
        </w:rPr>
        <w:t>困难老年人家庭居家适老化改造项目</w:t>
      </w:r>
      <w:bookmarkEnd w:id="15"/>
      <w:bookmarkEnd w:id="16"/>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3.采购方式：竞争性磋商</w:t>
      </w:r>
    </w:p>
    <w:p>
      <w:pPr>
        <w:spacing w:line="360" w:lineRule="auto"/>
        <w:ind w:firstLine="420" w:firstLineChars="200"/>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rPr>
        <w:t>4.</w:t>
      </w:r>
      <w:bookmarkStart w:id="17" w:name="OLE_LINK16"/>
      <w:r>
        <w:rPr>
          <w:rFonts w:hint="eastAsia" w:ascii="宋体" w:hAnsi="宋体" w:eastAsia="宋体" w:cs="宋体"/>
          <w:color w:val="auto"/>
          <w:szCs w:val="21"/>
          <w:highlight w:val="none"/>
        </w:rPr>
        <w:t>预算金额：</w:t>
      </w:r>
      <w:bookmarkStart w:id="18" w:name="OLE_LINK3"/>
      <w:bookmarkStart w:id="19" w:name="OLE_LINK21"/>
      <w:r>
        <w:rPr>
          <w:rFonts w:hint="eastAsia" w:ascii="宋体" w:hAnsi="宋体" w:eastAsia="宋体" w:cs="宋体"/>
          <w:color w:val="auto"/>
          <w:szCs w:val="21"/>
          <w:highlight w:val="none"/>
        </w:rPr>
        <w:t>人民币（大写）</w:t>
      </w:r>
      <w:bookmarkEnd w:id="17"/>
      <w:bookmarkEnd w:id="18"/>
      <w:r>
        <w:rPr>
          <w:rFonts w:hint="eastAsia" w:ascii="宋体" w:hAnsi="宋体" w:eastAsia="宋体" w:cs="宋体"/>
          <w:color w:val="auto"/>
          <w:szCs w:val="21"/>
          <w:highlight w:val="none"/>
        </w:rPr>
        <w:t>壹佰贰拾伍万零柒佰元整（¥1250700.00）</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其中</w:t>
      </w:r>
      <w:bookmarkStart w:id="20" w:name="OLE_LINK22"/>
      <w:bookmarkStart w:id="21" w:name="OLE_LINK19"/>
      <w:r>
        <w:rPr>
          <w:rFonts w:hint="eastAsia" w:ascii="宋体" w:hAnsi="宋体" w:cs="宋体"/>
          <w:color w:val="auto"/>
          <w:szCs w:val="21"/>
          <w:highlight w:val="none"/>
          <w:lang w:val="en-US" w:eastAsia="zh-CN"/>
        </w:rPr>
        <w:t>A分标</w:t>
      </w:r>
      <w:bookmarkEnd w:id="20"/>
      <w:r>
        <w:rPr>
          <w:rFonts w:hint="eastAsia" w:ascii="宋体" w:hAnsi="宋体" w:cs="宋体"/>
          <w:color w:val="auto"/>
          <w:szCs w:val="21"/>
          <w:highlight w:val="none"/>
          <w:lang w:val="en-US" w:eastAsia="zh-CN"/>
        </w:rPr>
        <w:t>：人民币（大写）陆拾肆万陆仟捌佰元整（¥646800.00）</w:t>
      </w:r>
      <w:bookmarkEnd w:id="21"/>
      <w:r>
        <w:rPr>
          <w:rFonts w:hint="eastAsia" w:ascii="宋体" w:hAnsi="宋体" w:cs="宋体"/>
          <w:color w:val="auto"/>
          <w:szCs w:val="21"/>
          <w:highlight w:val="none"/>
          <w:lang w:val="en-US" w:eastAsia="zh-CN"/>
        </w:rPr>
        <w:t>；</w:t>
      </w:r>
      <w:bookmarkStart w:id="22" w:name="OLE_LINK23"/>
      <w:r>
        <w:rPr>
          <w:rFonts w:hint="eastAsia" w:ascii="宋体" w:hAnsi="宋体" w:cs="宋体"/>
          <w:color w:val="auto"/>
          <w:szCs w:val="21"/>
          <w:highlight w:val="none"/>
          <w:lang w:val="en-US" w:eastAsia="zh-CN"/>
        </w:rPr>
        <w:t>B分标</w:t>
      </w:r>
      <w:bookmarkEnd w:id="22"/>
      <w:r>
        <w:rPr>
          <w:rFonts w:hint="eastAsia" w:ascii="宋体" w:hAnsi="宋体" w:cs="宋体"/>
          <w:color w:val="auto"/>
          <w:szCs w:val="21"/>
          <w:highlight w:val="none"/>
          <w:lang w:val="en-US" w:eastAsia="zh-CN"/>
        </w:rPr>
        <w:t>：人民币（大写）陆拾万零叁仟玖佰元整（¥603900.00）。</w:t>
      </w:r>
      <w:bookmarkEnd w:id="19"/>
    </w:p>
    <w:p>
      <w:pPr>
        <w:spacing w:line="360" w:lineRule="auto"/>
        <w:ind w:firstLine="420" w:firstLineChars="200"/>
        <w:rPr>
          <w:rFonts w:hint="eastAsia" w:ascii="宋体" w:hAnsi="宋体" w:cs="宋体"/>
          <w:color w:val="auto"/>
          <w:szCs w:val="21"/>
          <w:highlight w:val="none"/>
          <w:lang w:val="en-US" w:eastAsia="zh-CN"/>
        </w:rPr>
      </w:pPr>
      <w:r>
        <w:rPr>
          <w:rFonts w:hint="eastAsia" w:ascii="宋体" w:hAnsi="宋体" w:eastAsia="宋体" w:cs="宋体"/>
          <w:color w:val="auto"/>
          <w:szCs w:val="21"/>
          <w:highlight w:val="none"/>
        </w:rPr>
        <w:t>5.最高限价</w:t>
      </w:r>
      <w:bookmarkStart w:id="23" w:name="_Hlk66782034"/>
      <w:r>
        <w:rPr>
          <w:rFonts w:hint="eastAsia" w:ascii="宋体" w:hAnsi="宋体" w:eastAsia="宋体" w:cs="宋体"/>
          <w:color w:val="auto"/>
          <w:szCs w:val="21"/>
          <w:highlight w:val="none"/>
        </w:rPr>
        <w:t>（如有）</w:t>
      </w:r>
      <w:bookmarkEnd w:id="23"/>
      <w:r>
        <w:rPr>
          <w:rFonts w:hint="eastAsia" w:ascii="宋体" w:hAnsi="宋体" w:eastAsia="宋体" w:cs="宋体"/>
          <w:color w:val="auto"/>
          <w:szCs w:val="21"/>
          <w:highlight w:val="none"/>
        </w:rPr>
        <w:t>：人民币（大写）</w:t>
      </w:r>
      <w:bookmarkStart w:id="302" w:name="_GoBack"/>
      <w:bookmarkEnd w:id="302"/>
      <w:r>
        <w:rPr>
          <w:rFonts w:hint="eastAsia" w:ascii="宋体" w:hAnsi="宋体" w:eastAsia="宋体" w:cs="宋体"/>
          <w:color w:val="auto"/>
          <w:szCs w:val="21"/>
          <w:highlight w:val="none"/>
        </w:rPr>
        <w:t>壹佰贰拾伍万零柒佰元整（¥1250700.00）</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 xml:space="preserve">其中A分标：人民币（大写）陆拾肆万陆仟捌佰元整（¥646800.00）；B分标：人民币（大写）陆拾万零叁仟玖佰元整（¥603900.00）。 </w:t>
      </w:r>
    </w:p>
    <w:p>
      <w:pPr>
        <w:spacing w:line="360" w:lineRule="auto"/>
        <w:ind w:firstLine="420" w:firstLineChars="200"/>
        <w:rPr>
          <w:rFonts w:hint="eastAsia" w:ascii="宋体" w:hAnsi="宋体" w:eastAsia="宋体" w:cs="宋体"/>
          <w:color w:val="auto"/>
          <w:szCs w:val="21"/>
          <w:highlight w:val="none"/>
          <w:lang w:val="en-US"/>
        </w:rPr>
      </w:pPr>
      <w:r>
        <w:rPr>
          <w:rFonts w:hint="eastAsia" w:ascii="宋体" w:hAnsi="宋体" w:eastAsia="宋体" w:cs="宋体"/>
          <w:color w:val="auto"/>
          <w:szCs w:val="21"/>
          <w:highlight w:val="none"/>
        </w:rPr>
        <w:t>6.采购需求：</w:t>
      </w:r>
      <w:r>
        <w:rPr>
          <w:rFonts w:hint="eastAsia" w:ascii="宋体" w:hAnsi="宋体" w:cs="宋体"/>
          <w:color w:val="auto"/>
          <w:szCs w:val="21"/>
          <w:highlight w:val="none"/>
          <w:lang w:eastAsia="zh-CN"/>
        </w:rPr>
        <w:t>2025年特殊困难老年人家庭居家适老化改造项目</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具体详见第二章采购需求。</w:t>
      </w:r>
    </w:p>
    <w:p>
      <w:pPr>
        <w:spacing w:line="360" w:lineRule="auto"/>
        <w:ind w:firstLine="420" w:firstLineChars="20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7.合同履行期限：</w:t>
      </w:r>
      <w:r>
        <w:rPr>
          <w:rFonts w:hint="eastAsia" w:ascii="宋体" w:hAnsi="宋体" w:cs="宋体"/>
          <w:b w:val="0"/>
          <w:bCs w:val="0"/>
          <w:color w:val="auto"/>
          <w:sz w:val="21"/>
          <w:szCs w:val="21"/>
          <w:highlight w:val="none"/>
          <w:lang w:eastAsia="zh-CN"/>
        </w:rPr>
        <w:t>自合同签订之日起至项目验收合格之日止</w:t>
      </w:r>
      <w:r>
        <w:rPr>
          <w:rFonts w:hint="eastAsia" w:ascii="宋体" w:hAnsi="宋体" w:eastAsia="宋体" w:cs="宋体"/>
          <w:color w:val="auto"/>
          <w:szCs w:val="21"/>
          <w:highlight w:val="none"/>
          <w:lang w:val="en-US" w:eastAsia="zh-CN"/>
        </w:rPr>
        <w:t>。</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8.本项目是否接受联合体：否</w:t>
      </w:r>
    </w:p>
    <w:p>
      <w:pPr>
        <w:spacing w:line="360" w:lineRule="auto"/>
        <w:ind w:firstLine="482" w:firstLineChars="200"/>
        <w:rPr>
          <w:rFonts w:hint="eastAsia" w:ascii="宋体" w:hAnsi="宋体" w:eastAsia="宋体" w:cs="宋体"/>
          <w:bCs/>
          <w:color w:val="auto"/>
          <w:sz w:val="24"/>
          <w:highlight w:val="none"/>
        </w:rPr>
      </w:pPr>
      <w:bookmarkStart w:id="24" w:name="_Toc28359090"/>
      <w:bookmarkStart w:id="25" w:name="_Toc35393799"/>
      <w:bookmarkStart w:id="26" w:name="_Toc44229879"/>
      <w:bookmarkStart w:id="27" w:name="_Toc28359013"/>
      <w:bookmarkStart w:id="28" w:name="_Toc35393630"/>
      <w:r>
        <w:rPr>
          <w:rFonts w:hint="eastAsia" w:ascii="宋体" w:hAnsi="宋体" w:eastAsia="宋体" w:cs="宋体"/>
          <w:b/>
          <w:color w:val="auto"/>
          <w:kern w:val="44"/>
          <w:sz w:val="24"/>
          <w:highlight w:val="none"/>
        </w:rPr>
        <w:t>二、供应商的资格条件</w:t>
      </w:r>
      <w:bookmarkEnd w:id="24"/>
      <w:bookmarkEnd w:id="25"/>
      <w:bookmarkEnd w:id="26"/>
      <w:bookmarkEnd w:id="27"/>
      <w:bookmarkEnd w:id="28"/>
    </w:p>
    <w:p>
      <w:pPr>
        <w:spacing w:line="360" w:lineRule="auto"/>
        <w:ind w:firstLine="420" w:firstLineChars="20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1.满足《中华人民共和国政府采购法》第二十二条规定</w:t>
      </w:r>
      <w:r>
        <w:rPr>
          <w:rFonts w:hint="eastAsia" w:ascii="宋体" w:hAnsi="宋体" w:eastAsia="宋体" w:cs="宋体"/>
          <w:color w:val="auto"/>
          <w:szCs w:val="21"/>
          <w:highlight w:val="none"/>
          <w:lang w:eastAsia="zh-CN"/>
        </w:rPr>
        <w:t>。</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2.落实政府采购政策需满足的资格要求：</w:t>
      </w:r>
      <w:r>
        <w:rPr>
          <w:rFonts w:hint="eastAsia" w:ascii="Segoe UI Symbol" w:hAnsi="Segoe UI Symbol" w:cs="Segoe UI Symbol"/>
          <w:color w:val="auto"/>
          <w:sz w:val="22"/>
          <w:szCs w:val="22"/>
          <w:highlight w:val="none"/>
          <w:lang w:eastAsia="zh-CN"/>
        </w:rPr>
        <w:t>☑</w:t>
      </w:r>
      <w:r>
        <w:rPr>
          <w:rFonts w:hint="eastAsia" w:ascii="Segoe UI Symbol" w:hAnsi="Segoe UI Symbol" w:cs="Segoe UI Symbol"/>
          <w:color w:val="auto"/>
          <w:sz w:val="22"/>
          <w:szCs w:val="22"/>
          <w:highlight w:val="none"/>
          <w:lang w:val="en-US" w:eastAsia="zh-CN"/>
        </w:rPr>
        <w:t xml:space="preserve"> </w:t>
      </w:r>
      <w:r>
        <w:rPr>
          <w:rFonts w:hint="eastAsia" w:ascii="宋体" w:hAnsi="宋体" w:eastAsia="宋体" w:cs="Times New Roman"/>
          <w:color w:val="auto"/>
          <w:szCs w:val="21"/>
          <w:highlight w:val="none"/>
        </w:rPr>
        <w:t>专门面向</w:t>
      </w:r>
      <w:bookmarkStart w:id="29" w:name="OLE_LINK24"/>
      <w:r>
        <w:rPr>
          <w:rFonts w:hint="eastAsia" w:ascii="宋体" w:hAnsi="宋体" w:cs="Times New Roman"/>
          <w:color w:val="auto"/>
          <w:szCs w:val="21"/>
          <w:highlight w:val="none"/>
          <w:lang w:val="en-US" w:eastAsia="zh-CN"/>
        </w:rPr>
        <w:t>中</w:t>
      </w:r>
      <w:bookmarkEnd w:id="29"/>
      <w:r>
        <w:rPr>
          <w:rFonts w:hint="eastAsia" w:ascii="宋体" w:hAnsi="宋体" w:eastAsia="宋体" w:cs="Times New Roman"/>
          <w:color w:val="auto"/>
          <w:szCs w:val="21"/>
          <w:highlight w:val="none"/>
        </w:rPr>
        <w:t>小微企业采购的项目（供应商应为</w:t>
      </w:r>
      <w:r>
        <w:rPr>
          <w:rFonts w:hint="eastAsia" w:ascii="宋体" w:hAnsi="宋体" w:cs="Times New Roman"/>
          <w:color w:val="auto"/>
          <w:szCs w:val="21"/>
          <w:highlight w:val="none"/>
          <w:lang w:val="en-US" w:eastAsia="zh-CN"/>
        </w:rPr>
        <w:t>中</w:t>
      </w:r>
      <w:r>
        <w:rPr>
          <w:rFonts w:hint="eastAsia" w:ascii="宋体" w:hAnsi="宋体" w:eastAsia="宋体" w:cs="Times New Roman"/>
          <w:color w:val="auto"/>
          <w:szCs w:val="21"/>
          <w:highlight w:val="none"/>
        </w:rPr>
        <w:t>小微企业或监狱企业或残疾人福利性单位）</w:t>
      </w:r>
    </w:p>
    <w:p>
      <w:pPr>
        <w:spacing w:line="36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3.本项目的特定资格要求：</w:t>
      </w:r>
      <w:r>
        <w:rPr>
          <w:rFonts w:hint="eastAsia"/>
          <w:color w:val="auto"/>
          <w:highlight w:val="none"/>
          <w:lang w:val="en-US" w:eastAsia="zh-CN"/>
        </w:rPr>
        <w:t>无</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4.本项目的特定条件：无</w:t>
      </w:r>
    </w:p>
    <w:p>
      <w:pPr>
        <w:snapToGrid w:val="0"/>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5.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6.对在“信用中国”网站(www.creditchina.gov.cn) 、中国政府采购网(www.ccgp.gov.cn)被列入失信被执行人、</w:t>
      </w:r>
      <w:r>
        <w:rPr>
          <w:rFonts w:hint="eastAsia" w:ascii="宋体" w:hAnsi="宋体" w:eastAsia="宋体" w:cs="宋体"/>
          <w:color w:val="auto"/>
          <w:szCs w:val="21"/>
          <w:highlight w:val="none"/>
          <w:lang w:eastAsia="zh-CN"/>
        </w:rPr>
        <w:t>重大税收违法失信主体</w:t>
      </w:r>
      <w:r>
        <w:rPr>
          <w:rFonts w:hint="eastAsia" w:ascii="宋体" w:hAnsi="宋体" w:eastAsia="宋体" w:cs="宋体"/>
          <w:color w:val="auto"/>
          <w:szCs w:val="21"/>
          <w:highlight w:val="none"/>
        </w:rPr>
        <w:t>、政府采购严重违法失信行为记录名单及其他不符合《中华人民共和国政府采购法》第二十二条规定条件的供应商，不得参与政府采购活动。</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三、获取竞争性磋商文件</w:t>
      </w:r>
      <w:bookmarkEnd w:id="11"/>
      <w:bookmarkEnd w:id="12"/>
      <w:bookmarkEnd w:id="13"/>
      <w:bookmarkEnd w:id="14"/>
    </w:p>
    <w:p>
      <w:pPr>
        <w:spacing w:line="360" w:lineRule="auto"/>
        <w:ind w:firstLine="420" w:firstLineChars="200"/>
        <w:rPr>
          <w:rFonts w:hint="eastAsia" w:ascii="宋体" w:hAnsi="宋体" w:eastAsia="宋体" w:cs="宋体"/>
          <w:color w:val="auto"/>
          <w:szCs w:val="21"/>
          <w:highlight w:val="none"/>
          <w:lang w:eastAsia="zh-CN"/>
        </w:rPr>
      </w:pPr>
      <w:bookmarkStart w:id="30" w:name="_Toc28359082"/>
      <w:bookmarkStart w:id="31" w:name="_Toc35393793"/>
      <w:bookmarkStart w:id="32" w:name="_Toc35393624"/>
      <w:bookmarkStart w:id="33" w:name="_Toc28359005"/>
      <w:r>
        <w:rPr>
          <w:rFonts w:hint="eastAsia" w:ascii="宋体" w:hAnsi="宋体" w:eastAsia="宋体" w:cs="宋体"/>
          <w:color w:val="auto"/>
          <w:szCs w:val="21"/>
          <w:highlight w:val="none"/>
        </w:rPr>
        <w:t>时间：</w:t>
      </w:r>
      <w:r>
        <w:rPr>
          <w:rFonts w:hint="eastAsia" w:ascii="宋体" w:hAnsi="宋体" w:eastAsia="宋体" w:cs="宋体"/>
          <w:b w:val="0"/>
          <w:bCs w:val="0"/>
          <w:color w:val="auto"/>
          <w:szCs w:val="21"/>
          <w:highlight w:val="none"/>
        </w:rPr>
        <w:t>自公告发布之日起。</w:t>
      </w:r>
    </w:p>
    <w:p>
      <w:pPr>
        <w:spacing w:line="360" w:lineRule="auto"/>
        <w:ind w:firstLine="420" w:firstLineChars="200"/>
        <w:rPr>
          <w:rFonts w:hint="eastAsia" w:ascii="宋体" w:hAnsi="宋体" w:eastAsia="宋体" w:cs="宋体"/>
          <w:b/>
          <w:bCs/>
          <w:color w:val="auto"/>
          <w:sz w:val="24"/>
          <w:highlight w:val="none"/>
        </w:rPr>
      </w:pPr>
      <w:r>
        <w:rPr>
          <w:rFonts w:hint="eastAsia" w:ascii="宋体" w:hAnsi="宋体" w:eastAsia="宋体" w:cs="宋体"/>
          <w:color w:val="auto"/>
          <w:szCs w:val="21"/>
          <w:highlight w:val="none"/>
        </w:rPr>
        <w:t>获取方式</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网上下载。本项目不发放纸质采购文件，供应商可自行在</w:t>
      </w:r>
      <w:r>
        <w:rPr>
          <w:rFonts w:hint="eastAsia" w:ascii="宋体" w:hAnsi="宋体"/>
          <w:color w:val="auto"/>
          <w:szCs w:val="21"/>
          <w:highlight w:val="none"/>
        </w:rPr>
        <w:t>广西政府采购云平台（https://www.gcy.zfcg.gxzf.gov.cn/）下载采购文件</w:t>
      </w:r>
      <w:r>
        <w:rPr>
          <w:rFonts w:hint="eastAsia" w:ascii="宋体" w:hAnsi="宋体" w:eastAsia="宋体" w:cs="宋体"/>
          <w:color w:val="auto"/>
          <w:szCs w:val="21"/>
          <w:highlight w:val="none"/>
        </w:rPr>
        <w:t>（操作路径：登录</w:t>
      </w:r>
      <w:r>
        <w:rPr>
          <w:rFonts w:hint="eastAsia" w:ascii="宋体" w:hAnsi="宋体" w:eastAsia="宋体" w:cs="宋体"/>
          <w:color w:val="auto"/>
          <w:szCs w:val="21"/>
          <w:highlight w:val="none"/>
          <w:lang w:eastAsia="zh-CN"/>
        </w:rPr>
        <w:t>“广西政府采购云平台”</w:t>
      </w:r>
      <w:r>
        <w:rPr>
          <w:rFonts w:hint="eastAsia" w:ascii="宋体" w:hAnsi="宋体" w:eastAsia="宋体" w:cs="宋体"/>
          <w:color w:val="auto"/>
          <w:szCs w:val="21"/>
          <w:highlight w:val="none"/>
        </w:rPr>
        <w:t>-项目采购-获取采购文件-找到本项目-点击“申请获取采购文件”），电子响应文件制作需要基于</w:t>
      </w:r>
      <w:r>
        <w:rPr>
          <w:rFonts w:hint="eastAsia" w:ascii="宋体" w:hAnsi="宋体" w:eastAsia="宋体" w:cs="宋体"/>
          <w:color w:val="auto"/>
          <w:szCs w:val="21"/>
          <w:highlight w:val="none"/>
          <w:lang w:eastAsia="zh-CN"/>
        </w:rPr>
        <w:t>“广西政府采购云平台”</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eastAsia="zh-CN"/>
        </w:rPr>
        <w:t>https://www.gcy.zfcg.gxzf.gov.cn/</w:t>
      </w:r>
      <w:r>
        <w:rPr>
          <w:rFonts w:hint="eastAsia" w:ascii="宋体" w:hAnsi="宋体" w:eastAsia="宋体" w:cs="宋体"/>
          <w:color w:val="auto"/>
          <w:szCs w:val="21"/>
          <w:highlight w:val="none"/>
        </w:rPr>
        <w:t>）获取的采购文件编制。</w:t>
      </w:r>
    </w:p>
    <w:p>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售价：0元。</w:t>
      </w:r>
    </w:p>
    <w:p>
      <w:pPr>
        <w:spacing w:line="360" w:lineRule="auto"/>
        <w:ind w:firstLine="482" w:firstLineChars="200"/>
        <w:rPr>
          <w:rFonts w:hint="eastAsia" w:ascii="宋体" w:hAnsi="宋体" w:eastAsia="宋体" w:cs="宋体"/>
          <w:color w:val="auto"/>
          <w:szCs w:val="21"/>
          <w:highlight w:val="none"/>
        </w:rPr>
      </w:pPr>
      <w:r>
        <w:rPr>
          <w:rFonts w:hint="eastAsia" w:ascii="宋体" w:hAnsi="宋体" w:eastAsia="宋体" w:cs="宋体"/>
          <w:b/>
          <w:bCs/>
          <w:color w:val="auto"/>
          <w:sz w:val="24"/>
          <w:highlight w:val="none"/>
        </w:rPr>
        <w:t>四、</w:t>
      </w:r>
      <w:bookmarkEnd w:id="30"/>
      <w:bookmarkEnd w:id="31"/>
      <w:bookmarkEnd w:id="32"/>
      <w:bookmarkEnd w:id="33"/>
      <w:r>
        <w:rPr>
          <w:rFonts w:hint="eastAsia" w:ascii="宋体" w:hAnsi="宋体" w:eastAsia="宋体" w:cs="宋体"/>
          <w:b/>
          <w:bCs/>
          <w:color w:val="auto"/>
          <w:sz w:val="24"/>
          <w:highlight w:val="none"/>
        </w:rPr>
        <w:t>响应文件提交</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1.首次响应文件提交截止时间（北京时间）：</w:t>
      </w:r>
      <w:bookmarkStart w:id="34" w:name="OLE_LINK4"/>
      <w:r>
        <w:rPr>
          <w:rFonts w:hint="eastAsia" w:ascii="宋体" w:hAnsi="宋体" w:cs="宋体"/>
          <w:color w:val="auto"/>
          <w:szCs w:val="21"/>
          <w:highlight w:val="none"/>
          <w:lang w:val="en-US" w:eastAsia="zh-CN"/>
        </w:rPr>
        <w:t>2025</w:t>
      </w:r>
      <w:r>
        <w:rPr>
          <w:rFonts w:hint="eastAsia" w:ascii="宋体" w:hAnsi="宋体" w:eastAsia="宋体" w:cs="宋体"/>
          <w:color w:val="auto"/>
          <w:szCs w:val="21"/>
          <w:highlight w:val="none"/>
          <w:lang w:eastAsia="zh-CN"/>
        </w:rPr>
        <w:t>年</w:t>
      </w:r>
      <w:r>
        <w:rPr>
          <w:rFonts w:hint="eastAsia" w:ascii="宋体" w:hAnsi="宋体" w:cs="宋体"/>
          <w:color w:val="auto"/>
          <w:szCs w:val="21"/>
          <w:highlight w:val="none"/>
          <w:lang w:val="en-US" w:eastAsia="zh-CN"/>
        </w:rPr>
        <w:t>07</w:t>
      </w:r>
      <w:r>
        <w:rPr>
          <w:rFonts w:hint="eastAsia" w:ascii="宋体" w:hAnsi="宋体" w:eastAsia="宋体" w:cs="宋体"/>
          <w:color w:val="auto"/>
          <w:szCs w:val="21"/>
          <w:highlight w:val="none"/>
          <w:lang w:eastAsia="zh-CN"/>
        </w:rPr>
        <w:t>月</w:t>
      </w:r>
      <w:r>
        <w:rPr>
          <w:rFonts w:hint="eastAsia" w:ascii="宋体" w:hAnsi="宋体" w:cs="宋体"/>
          <w:color w:val="auto"/>
          <w:szCs w:val="21"/>
          <w:highlight w:val="none"/>
          <w:lang w:val="en-US" w:eastAsia="zh-CN"/>
        </w:rPr>
        <w:t>11</w:t>
      </w:r>
      <w:r>
        <w:rPr>
          <w:rFonts w:hint="eastAsia" w:ascii="宋体" w:hAnsi="宋体" w:eastAsia="宋体" w:cs="宋体"/>
          <w:color w:val="auto"/>
          <w:szCs w:val="21"/>
          <w:highlight w:val="none"/>
          <w:lang w:eastAsia="zh-CN"/>
        </w:rPr>
        <w:t>日</w:t>
      </w:r>
      <w:r>
        <w:rPr>
          <w:rFonts w:hint="eastAsia" w:ascii="宋体" w:hAnsi="宋体" w:cs="宋体"/>
          <w:color w:val="auto"/>
          <w:szCs w:val="21"/>
          <w:highlight w:val="none"/>
          <w:lang w:val="en-US" w:eastAsia="zh-CN"/>
        </w:rPr>
        <w:t>15:00</w:t>
      </w:r>
      <w:bookmarkEnd w:id="34"/>
      <w:r>
        <w:rPr>
          <w:rFonts w:hint="eastAsia" w:ascii="宋体" w:hAnsi="宋体" w:eastAsia="宋体" w:cs="宋体"/>
          <w:color w:val="auto"/>
          <w:szCs w:val="21"/>
          <w:highlight w:val="none"/>
        </w:rPr>
        <w:t>（北京时间）。</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2.首次响应文件提交地点：</w:t>
      </w:r>
    </w:p>
    <w:p>
      <w:pPr>
        <w:widowControl/>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（1）响应文件提交方式：本项目为南宁市全流程电子化项目，通过</w:t>
      </w:r>
      <w:r>
        <w:rPr>
          <w:rFonts w:hint="eastAsia" w:ascii="宋体" w:hAnsi="宋体" w:eastAsia="宋体" w:cs="宋体"/>
          <w:color w:val="auto"/>
          <w:szCs w:val="21"/>
          <w:highlight w:val="none"/>
          <w:lang w:eastAsia="zh-CN"/>
        </w:rPr>
        <w:t>“广西政府采购云平台”</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eastAsia="zh-CN"/>
        </w:rPr>
        <w:t>https://www.gcy.zfcg.gxzf.gov.cn/</w:t>
      </w:r>
      <w:r>
        <w:rPr>
          <w:rFonts w:hint="eastAsia" w:ascii="宋体" w:hAnsi="宋体" w:eastAsia="宋体" w:cs="宋体"/>
          <w:color w:val="auto"/>
          <w:szCs w:val="21"/>
          <w:highlight w:val="none"/>
        </w:rPr>
        <w:t>）实行在线电子响应，供应商应先安装“</w:t>
      </w:r>
      <w:r>
        <w:rPr>
          <w:rFonts w:hint="eastAsia" w:ascii="宋体" w:hAnsi="宋体" w:cs="宋体"/>
          <w:color w:val="auto"/>
          <w:szCs w:val="21"/>
          <w:highlight w:val="none"/>
          <w:lang w:eastAsia="zh-CN"/>
        </w:rPr>
        <w:t>广西政府采购云平台客户端</w:t>
      </w:r>
      <w:r>
        <w:rPr>
          <w:rFonts w:hint="eastAsia" w:ascii="宋体" w:hAnsi="宋体" w:eastAsia="宋体" w:cs="宋体"/>
          <w:color w:val="auto"/>
          <w:szCs w:val="21"/>
          <w:highlight w:val="none"/>
        </w:rPr>
        <w:t>”（请自行前往</w:t>
      </w:r>
      <w:r>
        <w:rPr>
          <w:rFonts w:hint="eastAsia" w:ascii="宋体" w:hAnsi="宋体" w:eastAsia="宋体" w:cs="宋体"/>
          <w:color w:val="auto"/>
          <w:szCs w:val="21"/>
          <w:highlight w:val="none"/>
          <w:lang w:eastAsia="zh-CN"/>
        </w:rPr>
        <w:t>“广西政府采购云平台”</w:t>
      </w:r>
      <w:r>
        <w:rPr>
          <w:rFonts w:hint="eastAsia" w:ascii="宋体" w:hAnsi="宋体" w:eastAsia="宋体" w:cs="宋体"/>
          <w:color w:val="auto"/>
          <w:szCs w:val="21"/>
          <w:highlight w:val="none"/>
        </w:rPr>
        <w:t>进行下载），并按照本项目采购文件和</w:t>
      </w:r>
      <w:r>
        <w:rPr>
          <w:rFonts w:hint="eastAsia" w:ascii="宋体" w:hAnsi="宋体" w:eastAsia="宋体" w:cs="宋体"/>
          <w:color w:val="auto"/>
          <w:szCs w:val="21"/>
          <w:highlight w:val="none"/>
          <w:lang w:eastAsia="zh-CN"/>
        </w:rPr>
        <w:t>“广西政府采购云平台”</w:t>
      </w:r>
      <w:r>
        <w:rPr>
          <w:rFonts w:hint="eastAsia" w:ascii="宋体" w:hAnsi="宋体" w:eastAsia="宋体" w:cs="宋体"/>
          <w:color w:val="auto"/>
          <w:szCs w:val="21"/>
          <w:highlight w:val="none"/>
        </w:rPr>
        <w:t>的要求编制、加密后在投标截止时间前通过网络上传至南宁市</w:t>
      </w:r>
      <w:r>
        <w:rPr>
          <w:rFonts w:hint="eastAsia" w:ascii="宋体" w:hAnsi="宋体" w:eastAsia="宋体" w:cs="宋体"/>
          <w:color w:val="auto"/>
          <w:szCs w:val="21"/>
          <w:highlight w:val="none"/>
          <w:lang w:eastAsia="zh-CN"/>
        </w:rPr>
        <w:t>“广西政府采购云平台”</w:t>
      </w:r>
      <w:r>
        <w:rPr>
          <w:rFonts w:hint="eastAsia" w:ascii="宋体" w:hAnsi="宋体" w:eastAsia="宋体" w:cs="宋体"/>
          <w:color w:val="auto"/>
          <w:szCs w:val="21"/>
          <w:highlight w:val="none"/>
        </w:rPr>
        <w:t>，</w:t>
      </w:r>
      <w:r>
        <w:rPr>
          <w:rFonts w:hint="eastAsia" w:ascii="宋体" w:hAnsi="宋体" w:eastAsia="宋体" w:cs="宋体"/>
          <w:b/>
          <w:color w:val="auto"/>
          <w:szCs w:val="21"/>
          <w:highlight w:val="none"/>
        </w:rPr>
        <w:t>供应商在</w:t>
      </w:r>
      <w:r>
        <w:rPr>
          <w:rFonts w:hint="eastAsia" w:ascii="宋体" w:hAnsi="宋体" w:eastAsia="宋体" w:cs="宋体"/>
          <w:b/>
          <w:color w:val="auto"/>
          <w:szCs w:val="21"/>
          <w:highlight w:val="none"/>
          <w:lang w:eastAsia="zh-CN"/>
        </w:rPr>
        <w:t>“广西政府采购云平台”</w:t>
      </w:r>
      <w:r>
        <w:rPr>
          <w:rFonts w:hint="eastAsia" w:ascii="宋体" w:hAnsi="宋体" w:eastAsia="宋体" w:cs="宋体"/>
          <w:b/>
          <w:color w:val="auto"/>
          <w:szCs w:val="21"/>
          <w:highlight w:val="none"/>
        </w:rPr>
        <w:t>提交电子版响应文件时，请填写参加远程采购活动经办人联系方式，</w:t>
      </w:r>
      <w:r>
        <w:rPr>
          <w:rFonts w:hint="eastAsia" w:ascii="宋体" w:hAnsi="宋体" w:eastAsia="宋体" w:cs="宋体"/>
          <w:color w:val="auto"/>
          <w:szCs w:val="21"/>
          <w:highlight w:val="none"/>
        </w:rPr>
        <w:t>电子响应文件具体操作流程详见本公告附件。</w:t>
      </w:r>
    </w:p>
    <w:p>
      <w:pPr>
        <w:widowControl/>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未进行网上注册并办理数字证书（CA认证）的供应商将无法参与本项目政府采购活动，潜在供应商应当在投标截止时间前，完成电子交易平台上的CA数字证书办理（申领流程见本公告附件2）及响应文件的提交。完成CA数字证书办理预计7日左右，供应商只需办理其中一家CA数字证书及签章。</w:t>
      </w:r>
    </w:p>
    <w:p>
      <w:pPr>
        <w:widowControl/>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（3）为确保网上操作合法、有效和安全，请供应商确保在电子响应过程中能够对相关数据电文进行加密和使用电子签章，妥善保管CA数字证书并使用有效的CA数字证书参与整个采购活动。</w:t>
      </w:r>
    </w:p>
    <w:p>
      <w:pPr>
        <w:spacing w:line="360" w:lineRule="auto"/>
        <w:ind w:firstLine="420" w:firstLineChars="200"/>
        <w:rPr>
          <w:rFonts w:hint="eastAsia" w:ascii="宋体" w:hAnsi="宋体" w:eastAsia="宋体" w:cs="宋体"/>
          <w:bCs/>
          <w:color w:val="auto"/>
          <w:szCs w:val="21"/>
          <w:highlight w:val="none"/>
          <w:u w:val="single"/>
        </w:rPr>
      </w:pPr>
      <w:r>
        <w:rPr>
          <w:rFonts w:hint="eastAsia" w:ascii="宋体" w:hAnsi="宋体" w:eastAsia="宋体" w:cs="宋体"/>
          <w:bCs/>
          <w:color w:val="auto"/>
          <w:szCs w:val="21"/>
          <w:highlight w:val="none"/>
          <w:u w:val="single"/>
        </w:rPr>
        <w:t>注：供应商应当在首次响应文件提交截止时间前完成电子响应文件的上传、递交，响应文件提交截止时间前可以补充、修改或者撤回响应文件。补充或者修改响应文件的，应当先行撤回原文件，补充、修改后重新上传、递交。响应截止时间前未完成上传、递交的，视为撤回响应文件。响应文件提交截止时间以后上传递交的响应文件的，</w:t>
      </w:r>
      <w:r>
        <w:rPr>
          <w:rFonts w:hint="eastAsia" w:ascii="宋体" w:hAnsi="宋体" w:eastAsia="宋体" w:cs="宋体"/>
          <w:bCs/>
          <w:color w:val="auto"/>
          <w:szCs w:val="21"/>
          <w:highlight w:val="none"/>
          <w:u w:val="single"/>
          <w:lang w:eastAsia="zh-CN"/>
        </w:rPr>
        <w:t>“广西政府采购云平台”</w:t>
      </w:r>
      <w:r>
        <w:rPr>
          <w:rFonts w:hint="eastAsia" w:ascii="宋体" w:hAnsi="宋体" w:eastAsia="宋体" w:cs="宋体"/>
          <w:bCs/>
          <w:color w:val="auto"/>
          <w:szCs w:val="21"/>
          <w:highlight w:val="none"/>
          <w:u w:val="single"/>
        </w:rPr>
        <w:t>将予以拒收。</w:t>
      </w:r>
    </w:p>
    <w:p>
      <w:pPr>
        <w:snapToGrid w:val="0"/>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3.CA证书在线解密：首次响应文件开启时，须要供应商携带制作响应文件时用来加密的有效数字证书（CA认证）登录</w:t>
      </w:r>
      <w:r>
        <w:rPr>
          <w:rFonts w:hint="eastAsia" w:ascii="宋体" w:hAnsi="宋体" w:eastAsia="宋体" w:cs="宋体"/>
          <w:color w:val="auto"/>
          <w:kern w:val="0"/>
          <w:szCs w:val="21"/>
          <w:highlight w:val="none"/>
          <w:lang w:eastAsia="zh-CN"/>
        </w:rPr>
        <w:t>“广西政府采购云平台”</w:t>
      </w:r>
      <w:r>
        <w:rPr>
          <w:rFonts w:hint="eastAsia" w:ascii="宋体" w:hAnsi="宋体" w:eastAsia="宋体" w:cs="宋体"/>
          <w:color w:val="auto"/>
          <w:kern w:val="0"/>
          <w:szCs w:val="21"/>
          <w:highlight w:val="none"/>
        </w:rPr>
        <w:t>电子开标大厅现场按规定时间对加密的响应文件进行解密，否则后果自负。</w:t>
      </w:r>
    </w:p>
    <w:p>
      <w:pPr>
        <w:snapToGrid w:val="0"/>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4.供应商需要在具备有摄像头及语音功能且互联网网络状况良好的电脑登录</w:t>
      </w:r>
      <w:r>
        <w:rPr>
          <w:rFonts w:hint="eastAsia" w:ascii="宋体" w:hAnsi="宋体" w:eastAsia="宋体" w:cs="宋体"/>
          <w:color w:val="auto"/>
          <w:kern w:val="0"/>
          <w:szCs w:val="21"/>
          <w:highlight w:val="none"/>
          <w:lang w:eastAsia="zh-CN"/>
        </w:rPr>
        <w:t>“广西政府采购云平台”</w:t>
      </w:r>
      <w:r>
        <w:rPr>
          <w:rFonts w:hint="eastAsia" w:ascii="宋体" w:hAnsi="宋体" w:eastAsia="宋体" w:cs="宋体"/>
          <w:color w:val="auto"/>
          <w:kern w:val="0"/>
          <w:szCs w:val="21"/>
          <w:highlight w:val="none"/>
        </w:rPr>
        <w:t>远程开标大厅参与本次磋商，否则后果自负。</w:t>
      </w:r>
    </w:p>
    <w:p>
      <w:pPr>
        <w:snapToGrid w:val="0"/>
        <w:spacing w:line="360" w:lineRule="auto"/>
        <w:ind w:firstLine="482" w:firstLineChars="200"/>
        <w:rPr>
          <w:rFonts w:hint="eastAsia" w:ascii="宋体" w:hAnsi="宋体" w:eastAsia="宋体" w:cs="宋体"/>
          <w:color w:val="auto"/>
          <w:kern w:val="0"/>
          <w:szCs w:val="21"/>
          <w:highlight w:val="none"/>
        </w:rPr>
      </w:pPr>
      <w:r>
        <w:rPr>
          <w:rFonts w:hint="eastAsia" w:ascii="宋体" w:hAnsi="宋体" w:eastAsia="宋体" w:cs="宋体"/>
          <w:b/>
          <w:bCs/>
          <w:color w:val="auto"/>
          <w:sz w:val="24"/>
          <w:highlight w:val="none"/>
        </w:rPr>
        <w:t>五、开启（首次响应文件开启时间）</w:t>
      </w:r>
    </w:p>
    <w:p>
      <w:pPr>
        <w:snapToGrid w:val="0"/>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1.时间（北京时间）：</w:t>
      </w:r>
      <w:r>
        <w:rPr>
          <w:rFonts w:hint="eastAsia" w:ascii="宋体" w:hAnsi="宋体" w:cs="宋体"/>
          <w:color w:val="auto"/>
          <w:szCs w:val="21"/>
          <w:highlight w:val="none"/>
          <w:lang w:val="en-US" w:eastAsia="zh-CN"/>
        </w:rPr>
        <w:t>2025</w:t>
      </w:r>
      <w:r>
        <w:rPr>
          <w:rFonts w:hint="eastAsia" w:ascii="宋体" w:hAnsi="宋体" w:eastAsia="宋体" w:cs="宋体"/>
          <w:color w:val="auto"/>
          <w:szCs w:val="21"/>
          <w:highlight w:val="none"/>
          <w:lang w:eastAsia="zh-CN"/>
        </w:rPr>
        <w:t>年</w:t>
      </w:r>
      <w:r>
        <w:rPr>
          <w:rFonts w:hint="eastAsia" w:ascii="宋体" w:hAnsi="宋体" w:cs="宋体"/>
          <w:color w:val="auto"/>
          <w:szCs w:val="21"/>
          <w:highlight w:val="none"/>
          <w:lang w:val="en-US" w:eastAsia="zh-CN"/>
        </w:rPr>
        <w:t xml:space="preserve"> 07</w:t>
      </w:r>
      <w:r>
        <w:rPr>
          <w:rFonts w:hint="eastAsia" w:ascii="宋体" w:hAnsi="宋体" w:eastAsia="宋体" w:cs="宋体"/>
          <w:color w:val="auto"/>
          <w:szCs w:val="21"/>
          <w:highlight w:val="none"/>
          <w:lang w:eastAsia="zh-CN"/>
        </w:rPr>
        <w:t>月</w:t>
      </w:r>
      <w:r>
        <w:rPr>
          <w:rFonts w:hint="eastAsia" w:ascii="宋体" w:hAnsi="宋体" w:cs="宋体"/>
          <w:color w:val="auto"/>
          <w:szCs w:val="21"/>
          <w:highlight w:val="none"/>
          <w:lang w:val="en-US" w:eastAsia="zh-CN"/>
        </w:rPr>
        <w:t>11</w:t>
      </w:r>
      <w:r>
        <w:rPr>
          <w:rFonts w:hint="eastAsia" w:ascii="宋体" w:hAnsi="宋体" w:eastAsia="宋体" w:cs="宋体"/>
          <w:color w:val="auto"/>
          <w:szCs w:val="21"/>
          <w:highlight w:val="none"/>
          <w:lang w:eastAsia="zh-CN"/>
        </w:rPr>
        <w:t>日</w:t>
      </w:r>
      <w:r>
        <w:rPr>
          <w:rFonts w:hint="eastAsia" w:ascii="宋体" w:hAnsi="宋体" w:cs="宋体"/>
          <w:color w:val="auto"/>
          <w:szCs w:val="21"/>
          <w:highlight w:val="none"/>
          <w:lang w:val="en-US" w:eastAsia="zh-CN"/>
        </w:rPr>
        <w:t>15:00</w:t>
      </w:r>
      <w:r>
        <w:rPr>
          <w:rFonts w:hint="eastAsia" w:ascii="宋体" w:hAnsi="宋体" w:eastAsia="宋体" w:cs="宋体"/>
          <w:color w:val="auto"/>
          <w:szCs w:val="21"/>
          <w:highlight w:val="none"/>
          <w:lang w:eastAsia="zh-CN"/>
        </w:rPr>
        <w:t xml:space="preserve"> </w:t>
      </w:r>
      <w:r>
        <w:rPr>
          <w:rFonts w:hint="eastAsia" w:ascii="宋体" w:hAnsi="宋体" w:eastAsia="宋体" w:cs="宋体"/>
          <w:color w:val="auto"/>
          <w:kern w:val="0"/>
          <w:szCs w:val="21"/>
          <w:highlight w:val="none"/>
        </w:rPr>
        <w:t>后</w:t>
      </w:r>
    </w:p>
    <w:p>
      <w:pPr>
        <w:spacing w:line="360" w:lineRule="auto"/>
        <w:ind w:firstLine="420" w:firstLineChars="200"/>
        <w:rPr>
          <w:rFonts w:hint="eastAsia" w:ascii="宋体" w:hAnsi="宋体" w:eastAsia="宋体" w:cs="宋体"/>
          <w:bCs/>
          <w:color w:val="auto"/>
          <w:szCs w:val="21"/>
          <w:highlight w:val="none"/>
          <w:u w:val="single"/>
        </w:rPr>
      </w:pPr>
      <w:r>
        <w:rPr>
          <w:rFonts w:hint="eastAsia" w:ascii="宋体" w:hAnsi="宋体" w:eastAsia="宋体" w:cs="宋体"/>
          <w:color w:val="auto"/>
          <w:szCs w:val="21"/>
          <w:highlight w:val="none"/>
        </w:rPr>
        <w:t>2.地点：</w:t>
      </w:r>
      <w:r>
        <w:rPr>
          <w:rFonts w:hint="eastAsia" w:ascii="宋体" w:hAnsi="宋体"/>
          <w:color w:val="auto"/>
          <w:szCs w:val="21"/>
          <w:highlight w:val="none"/>
          <w:u w:val="single"/>
        </w:rPr>
        <w:t>广西政府采购云平台远程开标大厅</w:t>
      </w:r>
    </w:p>
    <w:p>
      <w:pPr>
        <w:spacing w:line="360" w:lineRule="auto"/>
        <w:ind w:firstLine="482" w:firstLineChars="200"/>
        <w:rPr>
          <w:rFonts w:hint="eastAsia" w:ascii="宋体" w:hAnsi="宋体" w:eastAsia="宋体" w:cs="宋体"/>
          <w:b/>
          <w:bCs/>
          <w:color w:val="auto"/>
          <w:sz w:val="24"/>
          <w:highlight w:val="none"/>
        </w:rPr>
      </w:pPr>
      <w:bookmarkStart w:id="35" w:name="_Toc28359084"/>
      <w:bookmarkStart w:id="36" w:name="_Toc35393625"/>
      <w:bookmarkStart w:id="37" w:name="_Toc35393794"/>
      <w:bookmarkStart w:id="38" w:name="_Toc28359007"/>
      <w:r>
        <w:rPr>
          <w:rFonts w:hint="eastAsia" w:ascii="宋体" w:hAnsi="宋体" w:eastAsia="宋体" w:cs="宋体"/>
          <w:b/>
          <w:bCs/>
          <w:color w:val="auto"/>
          <w:sz w:val="24"/>
          <w:highlight w:val="none"/>
        </w:rPr>
        <w:t>六、公告期限</w:t>
      </w:r>
      <w:bookmarkEnd w:id="35"/>
      <w:bookmarkEnd w:id="36"/>
      <w:bookmarkEnd w:id="37"/>
      <w:bookmarkEnd w:id="38"/>
    </w:p>
    <w:p>
      <w:pPr>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自本公告发布之日起</w:t>
      </w:r>
      <w:r>
        <w:rPr>
          <w:rFonts w:hint="eastAsia" w:ascii="宋体" w:hAnsi="宋体" w:eastAsia="宋体" w:cs="宋体"/>
          <w:color w:val="auto"/>
          <w:kern w:val="0"/>
          <w:szCs w:val="21"/>
          <w:highlight w:val="none"/>
          <w:lang w:val="en-US" w:eastAsia="zh-CN"/>
        </w:rPr>
        <w:t>3</w:t>
      </w:r>
      <w:r>
        <w:rPr>
          <w:rFonts w:hint="eastAsia" w:ascii="宋体" w:hAnsi="宋体" w:eastAsia="宋体" w:cs="宋体"/>
          <w:color w:val="auto"/>
          <w:kern w:val="0"/>
          <w:szCs w:val="21"/>
          <w:highlight w:val="none"/>
        </w:rPr>
        <w:t>个工作日。</w:t>
      </w:r>
    </w:p>
    <w:p>
      <w:pPr>
        <w:spacing w:line="360" w:lineRule="auto"/>
        <w:ind w:firstLine="482" w:firstLineChars="200"/>
        <w:rPr>
          <w:rFonts w:hint="eastAsia" w:ascii="宋体" w:hAnsi="宋体" w:eastAsia="宋体" w:cs="宋体"/>
          <w:b/>
          <w:bCs/>
          <w:color w:val="auto"/>
          <w:sz w:val="24"/>
          <w:highlight w:val="none"/>
        </w:rPr>
      </w:pPr>
      <w:bookmarkStart w:id="39" w:name="_Toc35393795"/>
      <w:bookmarkStart w:id="40" w:name="_Toc35393626"/>
      <w:r>
        <w:rPr>
          <w:rFonts w:hint="eastAsia" w:ascii="宋体" w:hAnsi="宋体" w:eastAsia="宋体" w:cs="宋体"/>
          <w:b/>
          <w:bCs/>
          <w:color w:val="auto"/>
          <w:sz w:val="24"/>
          <w:highlight w:val="none"/>
        </w:rPr>
        <w:t>七、其他补充事宜</w:t>
      </w:r>
      <w:bookmarkEnd w:id="39"/>
      <w:bookmarkEnd w:id="40"/>
    </w:p>
    <w:p>
      <w:pPr>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1.磋商保证金：本项目不收取磋商保证金</w:t>
      </w:r>
    </w:p>
    <w:p>
      <w:pPr>
        <w:wordWrap w:val="0"/>
        <w:spacing w:line="360" w:lineRule="auto"/>
        <w:ind w:firstLine="420" w:firstLineChars="200"/>
        <w:rPr>
          <w:rFonts w:hint="eastAsia" w:ascii="宋体" w:hAnsi="宋体" w:eastAsia="宋体" w:cs="宋体"/>
          <w:color w:val="auto"/>
          <w:kern w:val="0"/>
          <w:szCs w:val="21"/>
          <w:highlight w:val="none"/>
          <w:u w:val="single"/>
        </w:rPr>
      </w:pPr>
      <w:r>
        <w:rPr>
          <w:rFonts w:hint="eastAsia" w:ascii="宋体" w:hAnsi="宋体" w:eastAsia="宋体" w:cs="宋体"/>
          <w:color w:val="auto"/>
          <w:kern w:val="0"/>
          <w:szCs w:val="21"/>
          <w:highlight w:val="none"/>
        </w:rPr>
        <w:t>2.采购意向公开链接：http://www.ccgp-guangxi.gov.cn/site/detail?parentId=66601&amp;articleId=mKEiTDKKcg3dwXTxv71GBg==</w:t>
      </w:r>
    </w:p>
    <w:p>
      <w:pPr>
        <w:spacing w:line="360" w:lineRule="auto"/>
        <w:ind w:firstLine="420" w:firstLineChars="200"/>
        <w:rPr>
          <w:rFonts w:hint="eastAsia" w:ascii="宋体" w:hAnsi="宋体" w:eastAsia="宋体" w:cs="宋体"/>
          <w:color w:val="auto"/>
          <w:kern w:val="0"/>
          <w:szCs w:val="21"/>
          <w:highlight w:val="none"/>
        </w:rPr>
      </w:pPr>
      <w:bookmarkStart w:id="41" w:name="_Hlk37429585"/>
      <w:r>
        <w:rPr>
          <w:rFonts w:hint="eastAsia" w:ascii="宋体" w:hAnsi="宋体" w:eastAsia="宋体" w:cs="宋体"/>
          <w:color w:val="auto"/>
          <w:kern w:val="0"/>
          <w:szCs w:val="21"/>
          <w:highlight w:val="none"/>
        </w:rPr>
        <w:t>3.</w:t>
      </w:r>
      <w:bookmarkStart w:id="42" w:name="_Hlk37429595"/>
      <w:r>
        <w:rPr>
          <w:rFonts w:hint="eastAsia" w:ascii="宋体" w:hAnsi="宋体" w:eastAsia="宋体" w:cs="宋体"/>
          <w:color w:val="auto"/>
          <w:kern w:val="0"/>
          <w:szCs w:val="21"/>
          <w:highlight w:val="none"/>
        </w:rPr>
        <w:t>网上查询地址</w:t>
      </w:r>
    </w:p>
    <w:bookmarkEnd w:id="41"/>
    <w:bookmarkEnd w:id="42"/>
    <w:p>
      <w:pPr>
        <w:wordWrap w:val="0"/>
        <w:spacing w:line="360" w:lineRule="auto"/>
        <w:ind w:firstLine="420" w:firstLineChars="200"/>
        <w:rPr>
          <w:rFonts w:hint="eastAsia" w:ascii="宋体" w:hAnsi="宋体" w:eastAsia="宋体" w:cs="宋体"/>
          <w:color w:val="auto"/>
          <w:kern w:val="0"/>
          <w:szCs w:val="21"/>
          <w:highlight w:val="none"/>
          <w:lang w:eastAsia="zh-CN"/>
        </w:rPr>
      </w:pPr>
      <w:bookmarkStart w:id="43" w:name="_Hlk37429674"/>
      <w:r>
        <w:rPr>
          <w:rFonts w:hint="eastAsia" w:ascii="宋体" w:hAnsi="宋体" w:eastAsia="宋体" w:cs="宋体"/>
          <w:color w:val="auto"/>
          <w:kern w:val="0"/>
          <w:szCs w:val="21"/>
          <w:highlight w:val="none"/>
        </w:rPr>
        <w:t>http://www.ccgp.gov.cn/（中国政府采购网）、http://zfcg.gxzf.gov.cn/ (广西政府采购网)、http://ggzy.jgswj.gxzf.gov.cn/nnggzy/（全国公共资源交易平台（广西.南宁））</w:t>
      </w:r>
      <w:r>
        <w:rPr>
          <w:rFonts w:hint="eastAsia" w:ascii="宋体" w:hAnsi="宋体" w:eastAsia="宋体" w:cs="宋体"/>
          <w:color w:val="auto"/>
          <w:kern w:val="0"/>
          <w:szCs w:val="21"/>
          <w:highlight w:val="none"/>
          <w:lang w:eastAsia="zh-CN"/>
        </w:rPr>
        <w:t>。</w:t>
      </w:r>
    </w:p>
    <w:p>
      <w:pPr>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w:t>
      </w:r>
      <w:r>
        <w:rPr>
          <w:rFonts w:hint="eastAsia" w:ascii="宋体" w:hAnsi="宋体" w:eastAsia="宋体" w:cs="宋体"/>
          <w:color w:val="auto"/>
          <w:szCs w:val="21"/>
          <w:highlight w:val="none"/>
        </w:rPr>
        <w:t>.</w:t>
      </w:r>
      <w:r>
        <w:rPr>
          <w:rFonts w:hint="eastAsia" w:ascii="宋体" w:hAnsi="宋体" w:eastAsia="宋体" w:cs="宋体"/>
          <w:color w:val="auto"/>
          <w:kern w:val="0"/>
          <w:szCs w:val="21"/>
          <w:highlight w:val="none"/>
        </w:rPr>
        <w:t>本项目需要落实的政府采购政策</w:t>
      </w:r>
    </w:p>
    <w:bookmarkEnd w:id="43"/>
    <w:p>
      <w:pPr>
        <w:spacing w:line="360" w:lineRule="auto"/>
        <w:ind w:firstLine="315" w:firstLineChars="15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（1）政府采购促进中小企业发展。</w:t>
      </w:r>
    </w:p>
    <w:p>
      <w:pPr>
        <w:spacing w:line="360" w:lineRule="auto"/>
        <w:ind w:firstLine="315" w:firstLineChars="15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（2）政府采购支持采用本国产品的政策。</w:t>
      </w:r>
    </w:p>
    <w:p>
      <w:pPr>
        <w:spacing w:line="360" w:lineRule="auto"/>
        <w:ind w:firstLine="315" w:firstLineChars="15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（3）强制采购节能产品；优先采购节能产品、环境标志产品。</w:t>
      </w:r>
    </w:p>
    <w:p>
      <w:pPr>
        <w:spacing w:line="360" w:lineRule="auto"/>
        <w:ind w:firstLine="315" w:firstLineChars="15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（4）政府采购促进残疾人就业政策。</w:t>
      </w:r>
    </w:p>
    <w:p>
      <w:pPr>
        <w:spacing w:line="360" w:lineRule="auto"/>
        <w:ind w:firstLine="315" w:firstLineChars="15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（5）政府采购支持监狱企业发展。</w:t>
      </w:r>
    </w:p>
    <w:p>
      <w:pPr>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5</w:t>
      </w:r>
      <w:r>
        <w:rPr>
          <w:rFonts w:hint="eastAsia" w:ascii="宋体" w:hAnsi="宋体" w:eastAsia="宋体" w:cs="宋体"/>
          <w:color w:val="auto"/>
          <w:kern w:val="0"/>
          <w:szCs w:val="21"/>
          <w:highlight w:val="none"/>
        </w:rPr>
        <w:t>.供应商认为采购文件使自己的权益受到损害的，可以自获取采购文件之日或者采购文件公告期限届满之日（公告期限届满后获取采购文件的，以公告期限届满之日为准）起7个工作日内以书面形式一次性向采购人和采购代理机构提出同一环节的质疑。否则，逾期的质疑采购人及招标代理机构可不予接受。质疑供应商对采购人、采购代理机构的答复不满意或者采购人、采购代理机构未在规定的时间内作出答复的，可以在答复期满后十五个工作日内向同级政府采购监督管理部门投诉。</w:t>
      </w:r>
    </w:p>
    <w:p>
      <w:pPr>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6</w:t>
      </w:r>
      <w:r>
        <w:rPr>
          <w:rFonts w:hint="eastAsia" w:ascii="宋体" w:hAnsi="宋体" w:eastAsia="宋体" w:cs="宋体"/>
          <w:color w:val="auto"/>
          <w:kern w:val="0"/>
          <w:szCs w:val="21"/>
          <w:highlight w:val="none"/>
        </w:rPr>
        <w:t>.若对项目采购电子交易系统操作有疑问，可登录</w:t>
      </w:r>
      <w:r>
        <w:rPr>
          <w:rFonts w:hint="eastAsia" w:ascii="宋体" w:hAnsi="宋体" w:eastAsia="宋体" w:cs="宋体"/>
          <w:color w:val="auto"/>
          <w:kern w:val="0"/>
          <w:szCs w:val="21"/>
          <w:highlight w:val="none"/>
          <w:lang w:eastAsia="zh-CN"/>
        </w:rPr>
        <w:t>“广西政府采购云平台”</w:t>
      </w:r>
      <w:r>
        <w:rPr>
          <w:rFonts w:hint="eastAsia" w:ascii="宋体" w:hAnsi="宋体" w:eastAsia="宋体" w:cs="宋体"/>
          <w:color w:val="auto"/>
          <w:kern w:val="0"/>
          <w:szCs w:val="21"/>
          <w:highlight w:val="none"/>
        </w:rPr>
        <w:t>（</w:t>
      </w:r>
      <w:r>
        <w:rPr>
          <w:rFonts w:hint="eastAsia" w:ascii="宋体" w:hAnsi="宋体" w:eastAsia="宋体" w:cs="宋体"/>
          <w:color w:val="auto"/>
          <w:kern w:val="0"/>
          <w:szCs w:val="21"/>
          <w:highlight w:val="none"/>
          <w:lang w:eastAsia="zh-CN"/>
        </w:rPr>
        <w:t>https://www.gcy.zfcg.gxzf.gov.cn/</w:t>
      </w:r>
      <w:r>
        <w:rPr>
          <w:rFonts w:hint="eastAsia" w:ascii="宋体" w:hAnsi="宋体" w:eastAsia="宋体" w:cs="宋体"/>
          <w:color w:val="auto"/>
          <w:kern w:val="0"/>
          <w:szCs w:val="21"/>
          <w:highlight w:val="none"/>
        </w:rPr>
        <w:t>），点击右侧咨询小采，获取采小蜜智能服务管家帮助，</w:t>
      </w:r>
      <w:r>
        <w:rPr>
          <w:rFonts w:hint="eastAsia" w:ascii="宋体" w:hAnsi="宋体" w:cs="宋体"/>
          <w:color w:val="auto"/>
          <w:kern w:val="0"/>
          <w:szCs w:val="21"/>
          <w:highlight w:val="none"/>
        </w:rPr>
        <w:t>或拨打政采云服务热线</w:t>
      </w:r>
      <w:r>
        <w:rPr>
          <w:rFonts w:ascii="宋体" w:hAnsi="宋体" w:cs="宋体"/>
          <w:color w:val="auto"/>
          <w:kern w:val="0"/>
          <w:szCs w:val="21"/>
          <w:highlight w:val="none"/>
        </w:rPr>
        <w:t>95763</w:t>
      </w:r>
      <w:r>
        <w:rPr>
          <w:rFonts w:hint="eastAsia" w:ascii="宋体" w:hAnsi="宋体" w:cs="宋体"/>
          <w:color w:val="auto"/>
          <w:kern w:val="0"/>
          <w:szCs w:val="21"/>
          <w:highlight w:val="none"/>
        </w:rPr>
        <w:t>获取热线服务帮助</w:t>
      </w:r>
      <w:r>
        <w:rPr>
          <w:rFonts w:hint="eastAsia" w:ascii="宋体" w:hAnsi="宋体" w:eastAsia="宋体" w:cs="宋体"/>
          <w:color w:val="auto"/>
          <w:kern w:val="0"/>
          <w:szCs w:val="21"/>
          <w:highlight w:val="none"/>
        </w:rPr>
        <w:t xml:space="preserve">。 </w:t>
      </w:r>
    </w:p>
    <w:p>
      <w:pPr>
        <w:spacing w:line="360" w:lineRule="auto"/>
        <w:ind w:firstLine="482" w:firstLineChars="200"/>
        <w:rPr>
          <w:rFonts w:hint="eastAsia" w:ascii="宋体" w:hAnsi="宋体" w:eastAsia="宋体" w:cs="宋体"/>
          <w:bCs/>
          <w:color w:val="auto"/>
          <w:sz w:val="24"/>
          <w:highlight w:val="none"/>
        </w:rPr>
      </w:pPr>
      <w:r>
        <w:rPr>
          <w:rFonts w:hint="eastAsia" w:ascii="宋体" w:hAnsi="宋体" w:eastAsia="宋体" w:cs="宋体"/>
          <w:b/>
          <w:color w:val="auto"/>
          <w:kern w:val="44"/>
          <w:sz w:val="24"/>
          <w:highlight w:val="none"/>
        </w:rPr>
        <w:t>八、凡对本次采购提出询问，请按以下方式联系</w:t>
      </w:r>
    </w:p>
    <w:p>
      <w:pPr>
        <w:spacing w:line="360" w:lineRule="auto"/>
        <w:ind w:firstLine="735" w:firstLineChars="35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1.采购人信息</w:t>
      </w:r>
    </w:p>
    <w:p>
      <w:pPr>
        <w:spacing w:line="360" w:lineRule="auto"/>
        <w:ind w:left="1041" w:leftChars="371" w:hanging="262" w:hangingChars="125"/>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名称：</w:t>
      </w:r>
      <w:bookmarkStart w:id="44" w:name="OLE_LINK10"/>
      <w:r>
        <w:rPr>
          <w:rFonts w:hint="eastAsia" w:ascii="宋体" w:hAnsi="宋体" w:eastAsia="宋体" w:cs="宋体"/>
          <w:color w:val="auto"/>
          <w:szCs w:val="21"/>
          <w:highlight w:val="none"/>
          <w:lang w:val="en-US" w:eastAsia="zh-CN"/>
        </w:rPr>
        <w:t>横州市民政局</w:t>
      </w:r>
      <w:bookmarkEnd w:id="44"/>
    </w:p>
    <w:p>
      <w:pPr>
        <w:spacing w:line="360" w:lineRule="auto"/>
        <w:ind w:left="1041" w:leftChars="371" w:hanging="262" w:hangingChars="125"/>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地址：</w:t>
      </w:r>
      <w:bookmarkStart w:id="45" w:name="OLE_LINK11"/>
      <w:r>
        <w:rPr>
          <w:rFonts w:hint="eastAsia" w:ascii="宋体" w:hAnsi="宋体" w:eastAsia="宋体" w:cs="宋体"/>
          <w:color w:val="auto"/>
          <w:kern w:val="0"/>
          <w:szCs w:val="21"/>
          <w:highlight w:val="none"/>
        </w:rPr>
        <w:t>横州市横州镇柳明路130号</w:t>
      </w:r>
      <w:bookmarkEnd w:id="45"/>
    </w:p>
    <w:p>
      <w:pPr>
        <w:spacing w:line="360" w:lineRule="auto"/>
        <w:ind w:left="1041" w:leftChars="371" w:hanging="262" w:hangingChars="125"/>
        <w:jc w:val="left"/>
        <w:rPr>
          <w:rFonts w:hint="eastAsia" w:ascii="宋体" w:hAnsi="宋体" w:cs="宋体"/>
          <w:color w:val="auto"/>
          <w:kern w:val="0"/>
          <w:szCs w:val="21"/>
          <w:highlight w:val="none"/>
          <w:lang w:val="en-US" w:eastAsia="zh-CN"/>
        </w:rPr>
      </w:pPr>
      <w:r>
        <w:rPr>
          <w:rFonts w:hint="eastAsia" w:ascii="宋体" w:hAnsi="宋体" w:eastAsia="宋体" w:cs="宋体"/>
          <w:color w:val="auto"/>
          <w:kern w:val="0"/>
          <w:szCs w:val="21"/>
          <w:highlight w:val="none"/>
        </w:rPr>
        <w:t>项目联系人：</w:t>
      </w:r>
      <w:r>
        <w:rPr>
          <w:rFonts w:hint="eastAsia" w:ascii="宋体" w:hAnsi="宋体" w:cs="宋体"/>
          <w:color w:val="auto"/>
          <w:kern w:val="0"/>
          <w:szCs w:val="21"/>
          <w:highlight w:val="none"/>
          <w:lang w:eastAsia="zh-CN"/>
        </w:rPr>
        <w:t>谢惠宁</w:t>
      </w:r>
      <w:r>
        <w:rPr>
          <w:rFonts w:hint="eastAsia" w:ascii="宋体" w:hAnsi="宋体" w:cs="宋体"/>
          <w:color w:val="auto"/>
          <w:kern w:val="0"/>
          <w:szCs w:val="21"/>
          <w:highlight w:val="none"/>
          <w:lang w:val="en-US" w:eastAsia="zh-CN"/>
        </w:rPr>
        <w:t xml:space="preserve"> </w:t>
      </w:r>
    </w:p>
    <w:p>
      <w:pPr>
        <w:spacing w:line="360" w:lineRule="auto"/>
        <w:ind w:left="1041" w:leftChars="371" w:hanging="262" w:hangingChars="125"/>
        <w:jc w:val="left"/>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联系电话：</w:t>
      </w:r>
      <w:r>
        <w:rPr>
          <w:rFonts w:hint="eastAsia" w:ascii="宋体" w:hAnsi="宋体" w:cs="宋体"/>
          <w:color w:val="auto"/>
          <w:kern w:val="0"/>
          <w:szCs w:val="21"/>
          <w:highlight w:val="none"/>
          <w:lang w:val="en-US" w:eastAsia="zh-CN"/>
        </w:rPr>
        <w:t xml:space="preserve">0771-7223700 </w:t>
      </w:r>
      <w:r>
        <w:rPr>
          <w:rFonts w:hint="eastAsia" w:ascii="宋体" w:hAnsi="宋体" w:eastAsia="宋体" w:cs="宋体"/>
          <w:color w:val="auto"/>
          <w:kern w:val="0"/>
          <w:szCs w:val="21"/>
          <w:highlight w:val="none"/>
          <w:lang w:eastAsia="zh-CN"/>
        </w:rPr>
        <w:t xml:space="preserve"> </w:t>
      </w:r>
    </w:p>
    <w:p>
      <w:pPr>
        <w:spacing w:line="360" w:lineRule="auto"/>
        <w:ind w:firstLine="630" w:firstLineChars="3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2.采购代理机构信息</w:t>
      </w:r>
    </w:p>
    <w:p>
      <w:pPr>
        <w:spacing w:line="360" w:lineRule="auto"/>
        <w:ind w:firstLine="735" w:firstLineChars="350"/>
        <w:rPr>
          <w:rFonts w:hint="eastAsia" w:ascii="宋体" w:hAnsi="宋体" w:eastAsia="宋体" w:cs="宋体"/>
          <w:color w:val="auto"/>
          <w:szCs w:val="21"/>
          <w:highlight w:val="none"/>
          <w:u w:val="single"/>
          <w:lang w:eastAsia="zh-CN"/>
        </w:rPr>
      </w:pPr>
      <w:r>
        <w:rPr>
          <w:rFonts w:hint="eastAsia" w:ascii="宋体" w:hAnsi="宋体" w:eastAsia="宋体" w:cs="宋体"/>
          <w:color w:val="auto"/>
          <w:szCs w:val="21"/>
          <w:highlight w:val="none"/>
        </w:rPr>
        <w:t>名称：</w:t>
      </w:r>
      <w:r>
        <w:rPr>
          <w:rFonts w:hint="eastAsia" w:ascii="宋体" w:hAnsi="宋体" w:eastAsia="宋体" w:cs="宋体"/>
          <w:color w:val="auto"/>
          <w:szCs w:val="21"/>
          <w:highlight w:val="none"/>
          <w:u w:val="none"/>
          <w:lang w:eastAsia="zh-CN"/>
        </w:rPr>
        <w:t>广西星木工程咨询有限公司</w:t>
      </w:r>
    </w:p>
    <w:p>
      <w:pPr>
        <w:spacing w:line="360" w:lineRule="auto"/>
        <w:ind w:right="-309" w:rightChars="-147" w:firstLine="735" w:firstLineChars="350"/>
        <w:rPr>
          <w:rFonts w:hint="eastAsia" w:ascii="宋体" w:hAnsi="宋体" w:eastAsia="宋体" w:cs="宋体"/>
          <w:color w:val="auto"/>
          <w:szCs w:val="21"/>
          <w:highlight w:val="none"/>
          <w:u w:val="single"/>
          <w:lang w:val="en-US" w:eastAsia="zh-CN"/>
        </w:rPr>
      </w:pPr>
      <w:r>
        <w:rPr>
          <w:rFonts w:hint="eastAsia" w:ascii="宋体" w:hAnsi="宋体" w:eastAsia="宋体" w:cs="宋体"/>
          <w:color w:val="auto"/>
          <w:szCs w:val="21"/>
          <w:highlight w:val="none"/>
        </w:rPr>
        <w:t>地址：</w:t>
      </w:r>
      <w:r>
        <w:rPr>
          <w:rFonts w:hint="eastAsia" w:ascii="宋体" w:hAnsi="宋体" w:eastAsia="宋体" w:cs="宋体"/>
          <w:color w:val="auto"/>
          <w:szCs w:val="21"/>
          <w:highlight w:val="none"/>
          <w:lang w:val="en-US" w:eastAsia="zh-CN"/>
        </w:rPr>
        <w:t>南宁市青秀区佛子岭路18号德利国际·东盟文化广场B1栋十五层1508、1509号办公室</w:t>
      </w:r>
    </w:p>
    <w:p>
      <w:pPr>
        <w:spacing w:line="360" w:lineRule="auto"/>
        <w:ind w:firstLine="735" w:firstLineChars="35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项目联系人：韦春贤</w:t>
      </w:r>
    </w:p>
    <w:p>
      <w:pPr>
        <w:spacing w:line="360" w:lineRule="auto"/>
        <w:ind w:firstLine="735" w:firstLineChars="35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联系电话</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0771-3132669</w:t>
      </w:r>
    </w:p>
    <w:p>
      <w:pPr>
        <w:spacing w:line="360" w:lineRule="auto"/>
        <w:ind w:firstLine="630" w:firstLineChars="3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3.项目联系方式</w:t>
      </w:r>
    </w:p>
    <w:p>
      <w:pPr>
        <w:spacing w:line="360" w:lineRule="auto"/>
        <w:ind w:firstLine="735" w:firstLineChars="35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项目联系人：韦春贤</w:t>
      </w:r>
    </w:p>
    <w:p>
      <w:pPr>
        <w:spacing w:line="360" w:lineRule="auto"/>
        <w:ind w:firstLine="735" w:firstLineChars="35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电话：0771-3132669</w:t>
      </w:r>
    </w:p>
    <w:p>
      <w:pPr>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szCs w:val="21"/>
          <w:highlight w:val="none"/>
        </w:rPr>
        <w:t>附件： 1.</w:t>
      </w:r>
      <w:r>
        <w:rPr>
          <w:rFonts w:hint="eastAsia" w:ascii="宋体" w:hAnsi="宋体"/>
          <w:color w:val="auto"/>
          <w:szCs w:val="21"/>
          <w:highlight w:val="none"/>
        </w:rPr>
        <w:t>CA证书申请方式及操作指南下载地址（</w:t>
      </w:r>
      <w:r>
        <w:rPr>
          <w:rFonts w:hint="eastAsia" w:ascii="宋体" w:hAnsi="宋体"/>
          <w:color w:val="auto"/>
          <w:szCs w:val="21"/>
          <w:highlight w:val="none"/>
          <w:lang w:eastAsia="zh-CN"/>
        </w:rPr>
        <w:t>登录http</w:t>
      </w:r>
      <w:r>
        <w:rPr>
          <w:rFonts w:hint="eastAsia"/>
          <w:color w:val="auto"/>
          <w:highlight w:val="none"/>
        </w:rPr>
        <w:t>（南宁市财政局官网）</w:t>
      </w:r>
      <w:r>
        <w:rPr>
          <w:rFonts w:hint="eastAsia"/>
          <w:color w:val="auto"/>
          <w:highlight w:val="none"/>
          <w:lang w:eastAsia="zh-CN"/>
        </w:rPr>
        <w:t>－</w:t>
      </w:r>
      <w:r>
        <w:rPr>
          <w:rFonts w:hint="eastAsia"/>
          <w:color w:val="auto"/>
          <w:highlight w:val="none"/>
        </w:rPr>
        <w:t>业务专题</w:t>
      </w:r>
      <w:r>
        <w:rPr>
          <w:rFonts w:hint="eastAsia"/>
          <w:color w:val="auto"/>
          <w:highlight w:val="none"/>
          <w:lang w:eastAsia="zh-CN"/>
        </w:rPr>
        <w:t>－</w:t>
      </w:r>
      <w:r>
        <w:rPr>
          <w:rFonts w:hint="eastAsia"/>
          <w:color w:val="auto"/>
          <w:highlight w:val="none"/>
        </w:rPr>
        <w:t>政府采购监督管理</w:t>
      </w:r>
      <w:r>
        <w:rPr>
          <w:rFonts w:hint="eastAsia"/>
          <w:color w:val="auto"/>
          <w:highlight w:val="none"/>
          <w:lang w:eastAsia="zh-CN"/>
        </w:rPr>
        <w:t>－</w:t>
      </w:r>
      <w:r>
        <w:rPr>
          <w:rFonts w:hint="eastAsia"/>
          <w:color w:val="auto"/>
          <w:highlight w:val="none"/>
        </w:rPr>
        <w:t>资料下载</w:t>
      </w:r>
      <w:r>
        <w:rPr>
          <w:rFonts w:hint="eastAsia"/>
          <w:color w:val="auto"/>
          <w:highlight w:val="none"/>
          <w:lang w:eastAsia="zh-CN"/>
        </w:rPr>
        <w:t>－</w:t>
      </w:r>
      <w:r>
        <w:rPr>
          <w:rFonts w:hint="eastAsia"/>
          <w:color w:val="auto"/>
          <w:highlight w:val="none"/>
        </w:rPr>
        <w:t>“广西政采云西部</w:t>
      </w:r>
      <w:r>
        <w:rPr>
          <w:color w:val="auto"/>
          <w:highlight w:val="none"/>
        </w:rPr>
        <w:t>CA</w:t>
      </w:r>
      <w:r>
        <w:rPr>
          <w:rFonts w:hint="eastAsia"/>
          <w:color w:val="auto"/>
          <w:highlight w:val="none"/>
        </w:rPr>
        <w:t>办理方式”或“南宁市政采云</w:t>
      </w:r>
      <w:r>
        <w:rPr>
          <w:color w:val="auto"/>
          <w:highlight w:val="none"/>
        </w:rPr>
        <w:t>CA</w:t>
      </w:r>
      <w:r>
        <w:rPr>
          <w:rFonts w:hint="eastAsia"/>
          <w:color w:val="auto"/>
          <w:highlight w:val="none"/>
        </w:rPr>
        <w:t>证书办理操作指南”</w:t>
      </w:r>
      <w:r>
        <w:rPr>
          <w:rFonts w:hint="eastAsia" w:ascii="宋体" w:hAnsi="宋体"/>
          <w:color w:val="auto"/>
          <w:szCs w:val="21"/>
          <w:highlight w:val="none"/>
        </w:rPr>
        <w:t>）</w:t>
      </w:r>
    </w:p>
    <w:p>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color w:val="auto"/>
          <w:szCs w:val="21"/>
          <w:highlight w:val="none"/>
        </w:rPr>
        <w:t>电子投标文件制作与投送教程（在此网址下载：</w:t>
      </w:r>
      <w:r>
        <w:rPr>
          <w:color w:val="auto"/>
          <w:highlight w:val="none"/>
        </w:rPr>
        <w:fldChar w:fldCharType="begin"/>
      </w:r>
      <w:r>
        <w:rPr>
          <w:color w:val="auto"/>
          <w:highlight w:val="none"/>
        </w:rPr>
        <w:instrText xml:space="preserve"> HYPERLINK "http://nncz.nanning.gov.cn/" </w:instrText>
      </w:r>
      <w:r>
        <w:rPr>
          <w:color w:val="auto"/>
          <w:highlight w:val="none"/>
        </w:rPr>
        <w:fldChar w:fldCharType="separate"/>
      </w:r>
      <w:r>
        <w:rPr>
          <w:rStyle w:val="34"/>
          <w:color w:val="auto"/>
          <w:highlight w:val="none"/>
        </w:rPr>
        <w:t>http://nncz.nanning.gov.cn/</w:t>
      </w:r>
      <w:r>
        <w:rPr>
          <w:color w:val="auto"/>
          <w:highlight w:val="none"/>
        </w:rPr>
        <w:fldChar w:fldCharType="end"/>
      </w:r>
      <w:r>
        <w:rPr>
          <w:rFonts w:hint="eastAsia"/>
          <w:color w:val="auto"/>
          <w:highlight w:val="none"/>
        </w:rPr>
        <w:t>（南宁市财政局官网）</w:t>
      </w:r>
      <w:r>
        <w:rPr>
          <w:rFonts w:hint="eastAsia"/>
          <w:color w:val="auto"/>
          <w:highlight w:val="none"/>
          <w:lang w:eastAsia="zh-CN"/>
        </w:rPr>
        <w:t>－</w:t>
      </w:r>
      <w:r>
        <w:rPr>
          <w:rFonts w:hint="eastAsia"/>
          <w:color w:val="auto"/>
          <w:highlight w:val="none"/>
        </w:rPr>
        <w:t>业务专题</w:t>
      </w:r>
      <w:r>
        <w:rPr>
          <w:rFonts w:hint="eastAsia"/>
          <w:color w:val="auto"/>
          <w:highlight w:val="none"/>
          <w:lang w:eastAsia="zh-CN"/>
        </w:rPr>
        <w:t>－</w:t>
      </w:r>
      <w:r>
        <w:rPr>
          <w:rFonts w:hint="eastAsia"/>
          <w:color w:val="auto"/>
          <w:highlight w:val="none"/>
        </w:rPr>
        <w:t>政府采购监督管理</w:t>
      </w:r>
      <w:r>
        <w:rPr>
          <w:rFonts w:hint="eastAsia"/>
          <w:color w:val="auto"/>
          <w:highlight w:val="none"/>
          <w:lang w:eastAsia="zh-CN"/>
        </w:rPr>
        <w:t>－</w:t>
      </w:r>
      <w:r>
        <w:rPr>
          <w:rFonts w:hint="eastAsia"/>
          <w:color w:val="auto"/>
          <w:highlight w:val="none"/>
        </w:rPr>
        <w:t>资料下载</w:t>
      </w:r>
      <w:r>
        <w:rPr>
          <w:rFonts w:hint="eastAsia"/>
          <w:color w:val="auto"/>
          <w:highlight w:val="none"/>
          <w:lang w:eastAsia="zh-CN"/>
        </w:rPr>
        <w:t>－</w:t>
      </w:r>
      <w:r>
        <w:rPr>
          <w:rFonts w:hint="eastAsia"/>
          <w:color w:val="auto"/>
          <w:highlight w:val="none"/>
        </w:rPr>
        <w:t>南宁市政府采购项目全流程电子化交易操作指南</w:t>
      </w:r>
      <w:r>
        <w:rPr>
          <w:rFonts w:hint="eastAsia" w:ascii="宋体" w:hAnsi="宋体"/>
          <w:color w:val="auto"/>
          <w:szCs w:val="21"/>
          <w:highlight w:val="none"/>
        </w:rPr>
        <w:t>）</w:t>
      </w:r>
    </w:p>
    <w:p>
      <w:pPr>
        <w:spacing w:line="360" w:lineRule="auto"/>
        <w:ind w:firstLine="640" w:firstLineChars="200"/>
        <w:jc w:val="right"/>
        <w:rPr>
          <w:rFonts w:hint="eastAsia" w:ascii="宋体" w:hAnsi="宋体" w:eastAsia="宋体" w:cs="宋体"/>
          <w:color w:val="auto"/>
          <w:sz w:val="32"/>
          <w:szCs w:val="32"/>
          <w:highlight w:val="none"/>
        </w:rPr>
      </w:pPr>
    </w:p>
    <w:p>
      <w:pPr>
        <w:spacing w:line="360" w:lineRule="auto"/>
        <w:ind w:firstLine="420" w:firstLineChars="200"/>
        <w:jc w:val="right"/>
        <w:rPr>
          <w:rFonts w:hint="eastAsia" w:ascii="宋体" w:hAnsi="宋体" w:eastAsia="宋体" w:cs="宋体"/>
          <w:color w:val="auto"/>
          <w:szCs w:val="21"/>
          <w:highlight w:val="none"/>
          <w:u w:val="none"/>
          <w:lang w:eastAsia="zh-CN"/>
        </w:rPr>
      </w:pPr>
      <w:r>
        <w:rPr>
          <w:rFonts w:hint="eastAsia" w:ascii="宋体" w:hAnsi="宋体" w:eastAsia="宋体" w:cs="宋体"/>
          <w:color w:val="auto"/>
          <w:szCs w:val="21"/>
          <w:highlight w:val="none"/>
          <w:u w:val="none"/>
          <w:lang w:eastAsia="zh-CN"/>
        </w:rPr>
        <w:t>广西星木工程咨询有限公司</w:t>
      </w:r>
    </w:p>
    <w:p>
      <w:pPr>
        <w:spacing w:line="360" w:lineRule="auto"/>
        <w:ind w:firstLine="420" w:firstLineChars="200"/>
        <w:jc w:val="center"/>
        <w:rPr>
          <w:rFonts w:hint="eastAsia" w:ascii="宋体" w:hAnsi="宋体" w:eastAsia="宋体" w:cs="宋体"/>
          <w:color w:val="auto"/>
          <w:szCs w:val="21"/>
          <w:highlight w:val="none"/>
          <w:u w:val="none"/>
          <w:lang w:eastAsia="zh-CN"/>
        </w:rPr>
      </w:pPr>
      <w:r>
        <w:rPr>
          <w:rFonts w:hint="eastAsia" w:ascii="宋体" w:hAnsi="宋体" w:eastAsia="宋体" w:cs="宋体"/>
          <w:color w:val="auto"/>
          <w:szCs w:val="21"/>
          <w:highlight w:val="none"/>
          <w:u w:val="none"/>
          <w:lang w:val="en-US" w:eastAsia="zh-CN"/>
        </w:rPr>
        <w:t xml:space="preserve">                                      </w:t>
      </w:r>
      <w:r>
        <w:rPr>
          <w:rFonts w:hint="eastAsia" w:ascii="宋体" w:hAnsi="宋体" w:eastAsia="宋体" w:cs="宋体"/>
          <w:color w:val="auto"/>
          <w:highlight w:val="none"/>
          <w:u w:val="none"/>
          <w:lang w:val="en-US" w:eastAsia="zh-CN"/>
        </w:rPr>
        <w:t xml:space="preserve">      </w:t>
      </w:r>
      <w:r>
        <w:rPr>
          <w:rFonts w:hint="eastAsia" w:ascii="宋体" w:hAnsi="宋体" w:eastAsia="宋体" w:cs="宋体"/>
          <w:color w:val="auto"/>
          <w:szCs w:val="21"/>
          <w:highlight w:val="none"/>
          <w:u w:val="none"/>
          <w:lang w:val="en-US" w:eastAsia="zh-CN"/>
        </w:rPr>
        <w:t xml:space="preserve">                       </w:t>
      </w:r>
      <w:r>
        <w:rPr>
          <w:rFonts w:hint="eastAsia" w:ascii="宋体" w:hAnsi="宋体" w:cs="宋体"/>
          <w:color w:val="auto"/>
          <w:szCs w:val="21"/>
          <w:highlight w:val="none"/>
          <w:u w:val="none"/>
          <w:lang w:val="en-US" w:eastAsia="zh-CN"/>
        </w:rPr>
        <w:t>2025</w:t>
      </w:r>
      <w:r>
        <w:rPr>
          <w:rFonts w:hint="eastAsia" w:ascii="宋体" w:hAnsi="宋体" w:eastAsia="宋体" w:cs="宋体"/>
          <w:color w:val="auto"/>
          <w:szCs w:val="21"/>
          <w:highlight w:val="none"/>
          <w:u w:val="none"/>
          <w:lang w:eastAsia="zh-CN"/>
        </w:rPr>
        <w:t>年</w:t>
      </w:r>
      <w:r>
        <w:rPr>
          <w:rFonts w:hint="eastAsia" w:ascii="宋体" w:hAnsi="宋体" w:cs="宋体"/>
          <w:color w:val="auto"/>
          <w:szCs w:val="21"/>
          <w:highlight w:val="none"/>
          <w:u w:val="none"/>
          <w:lang w:val="en-US" w:eastAsia="zh-CN"/>
        </w:rPr>
        <w:t>06</w:t>
      </w:r>
      <w:r>
        <w:rPr>
          <w:rFonts w:hint="eastAsia" w:ascii="宋体" w:hAnsi="宋体" w:eastAsia="宋体" w:cs="宋体"/>
          <w:color w:val="auto"/>
          <w:szCs w:val="21"/>
          <w:highlight w:val="none"/>
          <w:u w:val="none"/>
          <w:lang w:eastAsia="zh-CN"/>
        </w:rPr>
        <w:t>月</w:t>
      </w:r>
      <w:r>
        <w:rPr>
          <w:rFonts w:hint="eastAsia" w:ascii="宋体" w:hAnsi="宋体" w:cs="宋体"/>
          <w:color w:val="auto"/>
          <w:szCs w:val="21"/>
          <w:highlight w:val="none"/>
          <w:u w:val="none"/>
          <w:lang w:val="en-US" w:eastAsia="zh-CN"/>
        </w:rPr>
        <w:t xml:space="preserve">30 </w:t>
      </w:r>
      <w:r>
        <w:rPr>
          <w:rFonts w:hint="eastAsia" w:ascii="宋体" w:hAnsi="宋体" w:eastAsia="宋体" w:cs="宋体"/>
          <w:color w:val="auto"/>
          <w:szCs w:val="21"/>
          <w:highlight w:val="none"/>
          <w:u w:val="none"/>
          <w:lang w:eastAsia="zh-CN"/>
        </w:rPr>
        <w:t>日</w:t>
      </w:r>
    </w:p>
    <w:p>
      <w:pPr>
        <w:outlineLvl w:val="9"/>
        <w:rPr>
          <w:rFonts w:hint="eastAsia" w:ascii="宋体" w:hAnsi="宋体" w:eastAsia="宋体" w:cs="宋体"/>
          <w:color w:val="auto"/>
          <w:szCs w:val="21"/>
          <w:highlight w:val="none"/>
        </w:rPr>
      </w:pPr>
    </w:p>
    <w:p>
      <w:pPr>
        <w:outlineLvl w:val="9"/>
        <w:rPr>
          <w:rFonts w:hint="eastAsia" w:ascii="宋体" w:hAnsi="宋体" w:eastAsia="宋体" w:cs="宋体"/>
          <w:color w:val="auto"/>
          <w:highlight w:val="none"/>
        </w:rPr>
      </w:pPr>
    </w:p>
    <w:p>
      <w:pPr>
        <w:keepNext/>
        <w:keepLines/>
        <w:spacing w:before="340" w:after="330" w:line="578" w:lineRule="auto"/>
        <w:jc w:val="center"/>
        <w:outlineLvl w:val="9"/>
        <w:rPr>
          <w:rFonts w:hint="eastAsia" w:ascii="宋体" w:hAnsi="宋体" w:eastAsia="宋体" w:cs="宋体"/>
          <w:b/>
          <w:color w:val="auto"/>
          <w:kern w:val="44"/>
          <w:sz w:val="32"/>
          <w:szCs w:val="32"/>
          <w:highlight w:val="none"/>
          <w:lang w:eastAsia="zh-CN"/>
        </w:rPr>
      </w:pPr>
      <w:bookmarkStart w:id="46" w:name="_Toc15889"/>
    </w:p>
    <w:p>
      <w:pPr>
        <w:keepNext/>
        <w:keepLines/>
        <w:spacing w:before="340" w:after="330" w:line="578" w:lineRule="auto"/>
        <w:jc w:val="both"/>
        <w:outlineLvl w:val="9"/>
        <w:rPr>
          <w:rFonts w:hint="eastAsia" w:ascii="宋体" w:hAnsi="宋体" w:eastAsia="宋体" w:cs="宋体"/>
          <w:b/>
          <w:color w:val="auto"/>
          <w:kern w:val="44"/>
          <w:sz w:val="32"/>
          <w:szCs w:val="32"/>
          <w:highlight w:val="none"/>
        </w:rPr>
      </w:pPr>
    </w:p>
    <w:p>
      <w:pPr>
        <w:keepNext/>
        <w:keepLines/>
        <w:spacing w:before="340" w:after="330" w:line="578" w:lineRule="auto"/>
        <w:jc w:val="both"/>
        <w:outlineLvl w:val="9"/>
        <w:rPr>
          <w:rFonts w:hint="eastAsia" w:ascii="宋体" w:hAnsi="宋体" w:eastAsia="宋体" w:cs="宋体"/>
          <w:b/>
          <w:color w:val="auto"/>
          <w:kern w:val="44"/>
          <w:sz w:val="32"/>
          <w:szCs w:val="32"/>
          <w:highlight w:val="none"/>
        </w:rPr>
      </w:pPr>
    </w:p>
    <w:p>
      <w:pPr>
        <w:keepNext/>
        <w:keepLines/>
        <w:spacing w:before="340" w:after="330" w:line="578" w:lineRule="auto"/>
        <w:jc w:val="both"/>
        <w:outlineLvl w:val="9"/>
        <w:rPr>
          <w:rFonts w:hint="eastAsia" w:ascii="宋体" w:hAnsi="宋体" w:eastAsia="宋体" w:cs="宋体"/>
          <w:b/>
          <w:color w:val="auto"/>
          <w:kern w:val="44"/>
          <w:sz w:val="32"/>
          <w:szCs w:val="32"/>
          <w:highlight w:val="none"/>
        </w:rPr>
      </w:pPr>
    </w:p>
    <w:p>
      <w:pPr>
        <w:keepNext/>
        <w:keepLines/>
        <w:spacing w:before="340" w:after="330" w:line="578" w:lineRule="auto"/>
        <w:jc w:val="both"/>
        <w:outlineLvl w:val="9"/>
        <w:rPr>
          <w:rFonts w:hint="eastAsia" w:ascii="宋体" w:hAnsi="宋体" w:eastAsia="宋体" w:cs="宋体"/>
          <w:b/>
          <w:color w:val="auto"/>
          <w:kern w:val="44"/>
          <w:sz w:val="32"/>
          <w:szCs w:val="32"/>
          <w:highlight w:val="none"/>
        </w:rPr>
      </w:pPr>
    </w:p>
    <w:p>
      <w:pPr>
        <w:keepNext/>
        <w:keepLines/>
        <w:spacing w:before="340" w:after="330" w:line="578" w:lineRule="auto"/>
        <w:jc w:val="both"/>
        <w:outlineLvl w:val="9"/>
        <w:rPr>
          <w:rFonts w:hint="eastAsia" w:ascii="宋体" w:hAnsi="宋体" w:eastAsia="宋体" w:cs="宋体"/>
          <w:b/>
          <w:color w:val="auto"/>
          <w:kern w:val="44"/>
          <w:sz w:val="32"/>
          <w:szCs w:val="32"/>
          <w:highlight w:val="none"/>
        </w:rPr>
      </w:pPr>
    </w:p>
    <w:p>
      <w:pPr>
        <w:pStyle w:val="19"/>
        <w:rPr>
          <w:rFonts w:hint="eastAsia" w:ascii="宋体" w:hAnsi="宋体" w:eastAsia="宋体" w:cs="宋体"/>
          <w:color w:val="auto"/>
          <w:highlight w:val="none"/>
        </w:rPr>
      </w:pPr>
    </w:p>
    <w:p>
      <w:pPr>
        <w:keepNext/>
        <w:keepLines/>
        <w:spacing w:before="340" w:after="330" w:line="578" w:lineRule="auto"/>
        <w:jc w:val="both"/>
        <w:outlineLvl w:val="0"/>
        <w:rPr>
          <w:rFonts w:hint="eastAsia" w:ascii="宋体" w:hAnsi="宋体" w:eastAsia="宋体" w:cs="宋体"/>
          <w:b/>
          <w:color w:val="auto"/>
          <w:kern w:val="44"/>
          <w:sz w:val="32"/>
          <w:szCs w:val="32"/>
          <w:highlight w:val="none"/>
        </w:rPr>
        <w:sectPr>
          <w:footerReference r:id="rId9" w:type="default"/>
          <w:pgSz w:w="11910" w:h="16840"/>
          <w:pgMar w:top="1440" w:right="1080" w:bottom="1440" w:left="1080" w:header="720" w:footer="720" w:gutter="0"/>
          <w:pgNumType w:fmt="decimal" w:start="1"/>
          <w:cols w:space="720" w:num="1"/>
        </w:sectPr>
      </w:pPr>
    </w:p>
    <w:p>
      <w:pPr>
        <w:keepNext/>
        <w:keepLines/>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宋体" w:cs="宋体"/>
          <w:b/>
          <w:bCs/>
          <w:color w:val="auto"/>
          <w:kern w:val="44"/>
          <w:sz w:val="44"/>
          <w:szCs w:val="44"/>
          <w:highlight w:val="none"/>
        </w:rPr>
      </w:pPr>
      <w:bookmarkStart w:id="47" w:name="_Toc28236"/>
      <w:r>
        <w:rPr>
          <w:rFonts w:hint="eastAsia" w:ascii="宋体" w:hAnsi="宋体" w:eastAsia="宋体" w:cs="宋体"/>
          <w:b/>
          <w:color w:val="auto"/>
          <w:kern w:val="44"/>
          <w:sz w:val="32"/>
          <w:szCs w:val="32"/>
          <w:highlight w:val="none"/>
        </w:rPr>
        <w:t>第二章</w:t>
      </w:r>
      <w:r>
        <w:rPr>
          <w:rFonts w:hint="eastAsia" w:ascii="宋体" w:hAnsi="宋体" w:eastAsia="宋体" w:cs="宋体"/>
          <w:b/>
          <w:color w:val="auto"/>
          <w:kern w:val="44"/>
          <w:sz w:val="32"/>
          <w:szCs w:val="32"/>
          <w:highlight w:val="none"/>
          <w:lang w:val="en-US" w:eastAsia="zh-CN"/>
        </w:rPr>
        <w:t xml:space="preserve"> </w:t>
      </w:r>
      <w:r>
        <w:rPr>
          <w:rFonts w:hint="eastAsia" w:ascii="宋体" w:hAnsi="宋体" w:eastAsia="宋体" w:cs="宋体"/>
          <w:b/>
          <w:color w:val="auto"/>
          <w:kern w:val="44"/>
          <w:sz w:val="32"/>
          <w:szCs w:val="32"/>
          <w:highlight w:val="none"/>
        </w:rPr>
        <w:t>采购需求</w:t>
      </w:r>
      <w:bookmarkEnd w:id="46"/>
      <w:bookmarkEnd w:id="47"/>
    </w:p>
    <w:p>
      <w:pPr>
        <w:spacing w:line="420" w:lineRule="exact"/>
        <w:jc w:val="left"/>
        <w:rPr>
          <w:rFonts w:hint="eastAsia" w:ascii="宋体" w:hAnsi="宋体" w:cs="宋体"/>
          <w:color w:val="auto"/>
          <w:szCs w:val="21"/>
          <w:highlight w:val="none"/>
        </w:rPr>
      </w:pPr>
      <w:r>
        <w:rPr>
          <w:rFonts w:hint="eastAsia" w:ascii="宋体" w:hAnsi="宋体" w:cs="宋体"/>
          <w:color w:val="auto"/>
          <w:szCs w:val="21"/>
          <w:highlight w:val="none"/>
        </w:rPr>
        <w:t>说明：</w:t>
      </w:r>
    </w:p>
    <w:p>
      <w:pPr>
        <w:spacing w:line="420" w:lineRule="exact"/>
        <w:ind w:firstLine="420" w:firstLineChars="200"/>
        <w:jc w:val="left"/>
        <w:rPr>
          <w:rFonts w:hint="eastAsia" w:ascii="宋体" w:hAnsi="宋体" w:cs="宋体"/>
          <w:color w:val="auto"/>
          <w:szCs w:val="21"/>
          <w:highlight w:val="none"/>
        </w:rPr>
      </w:pPr>
      <w:r>
        <w:rPr>
          <w:rFonts w:hint="eastAsia" w:ascii="宋体" w:hAnsi="宋体"/>
          <w:color w:val="auto"/>
          <w:highlight w:val="none"/>
        </w:rPr>
        <w:t>1</w:t>
      </w:r>
      <w:r>
        <w:rPr>
          <w:rFonts w:hint="eastAsia"/>
          <w:color w:val="auto"/>
          <w:highlight w:val="none"/>
        </w:rPr>
        <w:t>. 为落实政府采购政策需满足的要求（根据项目实际情况填写内容）</w:t>
      </w:r>
    </w:p>
    <w:p>
      <w:pPr>
        <w:spacing w:line="420" w:lineRule="exact"/>
        <w:ind w:firstLine="424" w:firstLineChars="202"/>
        <w:jc w:val="left"/>
        <w:rPr>
          <w:rFonts w:hint="eastAsia" w:ascii="宋体" w:hAnsi="宋体" w:cs="宋体"/>
          <w:color w:val="auto"/>
          <w:szCs w:val="21"/>
          <w:highlight w:val="none"/>
        </w:rPr>
      </w:pPr>
      <w:r>
        <w:rPr>
          <w:rFonts w:hint="eastAsia" w:ascii="宋体" w:hAnsi="宋体" w:cs="宋体"/>
          <w:color w:val="auto"/>
          <w:szCs w:val="21"/>
          <w:highlight w:val="none"/>
        </w:rPr>
        <w:t>（1）本竞争性磋商采购文件所称中小企业必须符合《政府采购促进中小企业发展管理办法》（财库〔2020〕46号）的规定。</w:t>
      </w:r>
    </w:p>
    <w:p>
      <w:pPr>
        <w:spacing w:line="420" w:lineRule="exact"/>
        <w:ind w:firstLine="424" w:firstLineChars="202"/>
        <w:jc w:val="left"/>
        <w:rPr>
          <w:rFonts w:hint="eastAsia" w:ascii="宋体" w:hAnsi="宋体" w:cs="宋体"/>
          <w:color w:val="auto"/>
          <w:szCs w:val="21"/>
          <w:highlight w:val="none"/>
        </w:rPr>
      </w:pPr>
      <w:r>
        <w:rPr>
          <w:rFonts w:hint="eastAsia" w:ascii="宋体" w:hAnsi="宋体" w:cs="宋体"/>
          <w:color w:val="auto"/>
          <w:szCs w:val="21"/>
          <w:highlight w:val="none"/>
        </w:rPr>
        <w:t>（2）《关于我区政府采购支持监狱企业发展有关问题的通知》（桂财采[2015]24号）的规定。</w:t>
      </w:r>
    </w:p>
    <w:p>
      <w:pPr>
        <w:spacing w:line="420" w:lineRule="exact"/>
        <w:ind w:firstLine="424" w:firstLineChars="202"/>
        <w:jc w:val="left"/>
        <w:rPr>
          <w:rFonts w:hint="eastAsia" w:ascii="宋体" w:hAnsi="宋体" w:cs="宋体"/>
          <w:color w:val="auto"/>
          <w:szCs w:val="21"/>
          <w:highlight w:val="none"/>
        </w:rPr>
      </w:pPr>
      <w:r>
        <w:rPr>
          <w:rFonts w:hint="eastAsia" w:ascii="宋体" w:hAnsi="宋体" w:cs="宋体"/>
          <w:color w:val="auto"/>
          <w:szCs w:val="21"/>
          <w:highlight w:val="none"/>
        </w:rPr>
        <w:t>（3）《三部门联合发布关于促进残疾人就业政府采购政策的通知》（财库〔2017〕141号）的规定。</w:t>
      </w:r>
    </w:p>
    <w:p>
      <w:pPr>
        <w:spacing w:line="420" w:lineRule="exact"/>
        <w:ind w:firstLine="413" w:firstLineChars="196"/>
        <w:rPr>
          <w:rFonts w:hint="eastAsia" w:ascii="宋体" w:hAnsi="宋体" w:cs="宋体"/>
          <w:b/>
          <w:bCs/>
          <w:color w:val="auto"/>
          <w:szCs w:val="21"/>
          <w:highlight w:val="none"/>
        </w:rPr>
      </w:pPr>
      <w:r>
        <w:rPr>
          <w:rFonts w:hint="eastAsia" w:ascii="宋体" w:hAnsi="宋体" w:cs="宋体"/>
          <w:b/>
          <w:bCs/>
          <w:color w:val="auto"/>
          <w:szCs w:val="21"/>
          <w:highlight w:val="none"/>
        </w:rPr>
        <w:t>2.“实质性要求”是指采购需求中带“▲”的条款或者不能负偏离的条款或者已经指明不满足按响应文件作无效处理的条款。</w:t>
      </w:r>
    </w:p>
    <w:p>
      <w:pPr>
        <w:spacing w:line="420" w:lineRule="exact"/>
        <w:ind w:firstLine="420" w:firstLineChars="200"/>
        <w:jc w:val="left"/>
        <w:rPr>
          <w:rFonts w:hint="eastAsia" w:ascii="宋体" w:hAnsi="宋体" w:eastAsia="宋体" w:cs="宋体"/>
          <w:color w:val="auto"/>
          <w:highlight w:val="none"/>
        </w:rPr>
      </w:pPr>
      <w:r>
        <w:rPr>
          <w:rFonts w:hint="eastAsia" w:ascii="宋体" w:hAnsi="宋体" w:cs="宋体"/>
          <w:color w:val="auto"/>
          <w:szCs w:val="21"/>
          <w:highlight w:val="none"/>
        </w:rPr>
        <w:t xml:space="preserve">3. </w:t>
      </w:r>
      <w:r>
        <w:rPr>
          <w:rFonts w:hint="eastAsia"/>
          <w:color w:val="auto"/>
          <w:highlight w:val="none"/>
        </w:rPr>
        <w:t>如投标人投标</w:t>
      </w:r>
      <w:r>
        <w:rPr>
          <w:color w:val="auto"/>
          <w:highlight w:val="none"/>
        </w:rPr>
        <w:t>产品</w:t>
      </w:r>
      <w:r>
        <w:rPr>
          <w:rFonts w:hint="eastAsia"/>
          <w:color w:val="auto"/>
          <w:highlight w:val="none"/>
        </w:rPr>
        <w:t>存在</w:t>
      </w:r>
      <w:r>
        <w:rPr>
          <w:color w:val="auto"/>
          <w:highlight w:val="none"/>
        </w:rPr>
        <w:t>侵犯</w:t>
      </w:r>
      <w:r>
        <w:rPr>
          <w:rFonts w:hint="eastAsia"/>
          <w:color w:val="auto"/>
          <w:highlight w:val="none"/>
        </w:rPr>
        <w:t>他人的知识产权或者专利成果行为的，应</w:t>
      </w:r>
      <w:r>
        <w:rPr>
          <w:color w:val="auto"/>
          <w:highlight w:val="none"/>
        </w:rPr>
        <w:t>承担相应法律责任</w:t>
      </w:r>
      <w:r>
        <w:rPr>
          <w:rFonts w:hint="eastAsia"/>
          <w:color w:val="auto"/>
          <w:highlight w:val="none"/>
        </w:rPr>
        <w:t>。</w:t>
      </w:r>
    </w:p>
    <w:p>
      <w:pPr>
        <w:pStyle w:val="19"/>
        <w:rPr>
          <w:rFonts w:hint="eastAsia" w:ascii="宋体" w:hAnsi="宋体" w:eastAsia="宋体" w:cs="宋体"/>
          <w:color w:val="auto"/>
          <w:highlight w:val="none"/>
        </w:rPr>
      </w:pPr>
    </w:p>
    <w:tbl>
      <w:tblPr>
        <w:tblStyle w:val="28"/>
        <w:tblW w:w="10481"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5"/>
        <w:gridCol w:w="545"/>
        <w:gridCol w:w="1229"/>
        <w:gridCol w:w="495"/>
        <w:gridCol w:w="465"/>
        <w:gridCol w:w="4538"/>
        <w:gridCol w:w="1365"/>
        <w:gridCol w:w="129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16" w:hRule="atLeast"/>
          <w:jc w:val="center"/>
        </w:trPr>
        <w:tc>
          <w:tcPr>
            <w:tcW w:w="10481" w:type="dxa"/>
            <w:gridSpan w:val="8"/>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color w:val="auto"/>
                <w:sz w:val="24"/>
                <w:highlight w:val="none"/>
              </w:rPr>
            </w:pPr>
            <w:bookmarkStart w:id="48" w:name="OLE_LINK18"/>
            <w:r>
              <w:rPr>
                <w:rFonts w:hint="eastAsia" w:ascii="宋体" w:hAnsi="宋体" w:eastAsia="宋体" w:cs="宋体"/>
                <w:b/>
                <w:color w:val="auto"/>
                <w:sz w:val="32"/>
                <w:szCs w:val="32"/>
                <w:highlight w:val="none"/>
              </w:rPr>
              <w:t>服务需求一览表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26" w:hRule="atLeast"/>
          <w:jc w:val="center"/>
        </w:trPr>
        <w:tc>
          <w:tcPr>
            <w:tcW w:w="2319" w:type="dxa"/>
            <w:gridSpan w:val="3"/>
            <w:tcBorders>
              <w:top w:val="single" w:color="auto" w:sz="4" w:space="0"/>
              <w:left w:val="single" w:color="auto" w:sz="4" w:space="0"/>
              <w:right w:val="single" w:color="auto" w:sz="4" w:space="0"/>
            </w:tcBorders>
            <w:noWrap w:val="0"/>
            <w:vAlign w:val="center"/>
          </w:tcPr>
          <w:p>
            <w:pPr>
              <w:spacing w:line="320" w:lineRule="exact"/>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标段</w:t>
            </w:r>
          </w:p>
        </w:tc>
        <w:tc>
          <w:tcPr>
            <w:tcW w:w="8162" w:type="dxa"/>
            <w:gridSpan w:val="5"/>
            <w:tcBorders>
              <w:top w:val="single" w:color="auto" w:sz="4" w:space="0"/>
              <w:left w:val="single" w:color="auto" w:sz="4" w:space="0"/>
              <w:right w:val="single" w:color="auto" w:sz="4" w:space="0"/>
            </w:tcBorders>
            <w:noWrap w:val="0"/>
            <w:vAlign w:val="center"/>
          </w:tcPr>
          <w:p>
            <w:pPr>
              <w:spacing w:line="320" w:lineRule="exact"/>
              <w:jc w:val="left"/>
              <w:rPr>
                <w:rFonts w:hint="eastAsia" w:ascii="宋体" w:hAnsi="宋体" w:eastAsia="宋体" w:cs="宋体"/>
                <w:b/>
                <w:bCs/>
                <w:color w:val="auto"/>
                <w:sz w:val="28"/>
                <w:highlight w:val="none"/>
                <w:lang w:val="en-US" w:eastAsia="zh-CN"/>
              </w:rPr>
            </w:pPr>
            <w:r>
              <w:rPr>
                <w:rFonts w:hint="eastAsia" w:ascii="宋体" w:hAnsi="宋体" w:cs="宋体"/>
                <w:b/>
                <w:bCs/>
                <w:color w:val="auto"/>
                <w:sz w:val="32"/>
                <w:szCs w:val="32"/>
                <w:highlight w:val="none"/>
                <w:lang w:val="en-US" w:eastAsia="zh-CN"/>
              </w:rPr>
              <w:t>A</w:t>
            </w:r>
            <w:r>
              <w:rPr>
                <w:rFonts w:hint="eastAsia" w:ascii="宋体" w:hAnsi="宋体" w:eastAsia="宋体" w:cs="宋体"/>
                <w:b/>
                <w:bCs/>
                <w:color w:val="auto"/>
                <w:sz w:val="32"/>
                <w:szCs w:val="32"/>
                <w:highlight w:val="none"/>
                <w:lang w:val="en-US" w:eastAsia="zh-CN"/>
              </w:rPr>
              <w:t>分标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370" w:hRule="atLeast"/>
          <w:jc w:val="center"/>
        </w:trPr>
        <w:tc>
          <w:tcPr>
            <w:tcW w:w="545" w:type="dxa"/>
            <w:vMerge w:val="restart"/>
            <w:tcBorders>
              <w:top w:val="single" w:color="auto" w:sz="4" w:space="0"/>
              <w:left w:val="single" w:color="auto" w:sz="4" w:space="0"/>
              <w:right w:val="single" w:color="auto" w:sz="4" w:space="0"/>
            </w:tcBorders>
            <w:noWrap w:val="0"/>
            <w:vAlign w:val="top"/>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采购清单及技术参数</w:t>
            </w:r>
          </w:p>
        </w:tc>
        <w:tc>
          <w:tcPr>
            <w:tcW w:w="54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22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服务</w:t>
            </w:r>
            <w:r>
              <w:rPr>
                <w:rFonts w:hint="eastAsia" w:ascii="宋体" w:hAnsi="宋体" w:eastAsia="宋体" w:cs="宋体"/>
                <w:color w:val="auto"/>
                <w:sz w:val="21"/>
                <w:szCs w:val="21"/>
                <w:highlight w:val="none"/>
              </w:rPr>
              <w:t>名称</w:t>
            </w:r>
          </w:p>
        </w:tc>
        <w:tc>
          <w:tcPr>
            <w:tcW w:w="49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单位</w:t>
            </w:r>
          </w:p>
        </w:tc>
        <w:tc>
          <w:tcPr>
            <w:tcW w:w="46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数量</w:t>
            </w:r>
          </w:p>
        </w:tc>
        <w:tc>
          <w:tcPr>
            <w:tcW w:w="453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服务参数</w:t>
            </w:r>
          </w:p>
        </w:tc>
        <w:tc>
          <w:tcPr>
            <w:tcW w:w="136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预算</w:t>
            </w:r>
            <w:r>
              <w:rPr>
                <w:rFonts w:hint="eastAsia" w:ascii="宋体" w:hAnsi="宋体" w:eastAsia="宋体" w:cs="宋体"/>
                <w:color w:val="auto"/>
                <w:sz w:val="21"/>
                <w:szCs w:val="21"/>
                <w:highlight w:val="none"/>
                <w:lang w:val="en-US" w:eastAsia="zh-CN"/>
              </w:rPr>
              <w:t>金额</w:t>
            </w:r>
            <w:r>
              <w:rPr>
                <w:rFonts w:hint="eastAsia" w:ascii="宋体" w:hAnsi="宋体" w:eastAsia="宋体" w:cs="宋体"/>
                <w:color w:val="auto"/>
                <w:sz w:val="21"/>
                <w:szCs w:val="21"/>
                <w:highlight w:val="none"/>
              </w:rPr>
              <w:t>（元）</w:t>
            </w:r>
          </w:p>
        </w:tc>
        <w:tc>
          <w:tcPr>
            <w:tcW w:w="129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中小企业划分标准所属行业名称（行业名称及划分见本章附件</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90" w:hRule="atLeast"/>
          <w:jc w:val="center"/>
        </w:trPr>
        <w:tc>
          <w:tcPr>
            <w:tcW w:w="545" w:type="dxa"/>
            <w:vMerge w:val="continue"/>
            <w:tcBorders>
              <w:left w:val="single" w:color="auto" w:sz="4" w:space="0"/>
              <w:right w:val="single" w:color="auto" w:sz="4" w:space="0"/>
            </w:tcBorders>
            <w:noWrap w:val="0"/>
            <w:vAlign w:val="top"/>
          </w:tcPr>
          <w:p>
            <w:pPr>
              <w:spacing w:line="240" w:lineRule="exact"/>
              <w:jc w:val="center"/>
              <w:rPr>
                <w:rFonts w:hint="eastAsia" w:ascii="宋体" w:hAnsi="宋体" w:eastAsia="宋体" w:cs="宋体"/>
                <w:b/>
                <w:bCs/>
                <w:color w:val="auto"/>
                <w:sz w:val="21"/>
                <w:szCs w:val="21"/>
                <w:highlight w:val="none"/>
              </w:rPr>
            </w:pPr>
          </w:p>
        </w:tc>
        <w:tc>
          <w:tcPr>
            <w:tcW w:w="54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1229"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eastAsia="zh-CN"/>
              </w:rPr>
              <w:t>2025年特殊困难老年人家庭居家适老化改造项目</w:t>
            </w:r>
          </w:p>
        </w:tc>
        <w:tc>
          <w:tcPr>
            <w:tcW w:w="49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项</w:t>
            </w:r>
          </w:p>
        </w:tc>
        <w:tc>
          <w:tcPr>
            <w:tcW w:w="46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4538" w:type="dxa"/>
            <w:tcBorders>
              <w:top w:val="single" w:color="auto" w:sz="4" w:space="0"/>
              <w:left w:val="single" w:color="auto" w:sz="4" w:space="0"/>
              <w:bottom w:val="single" w:color="auto" w:sz="4" w:space="0"/>
              <w:right w:val="single" w:color="auto" w:sz="4" w:space="0"/>
            </w:tcBorders>
            <w:noWrap w:val="0"/>
            <w:vAlign w:val="top"/>
          </w:tcPr>
          <w:p>
            <w:pPr>
              <w:spacing w:line="360" w:lineRule="auto"/>
              <w:ind w:firstLine="420" w:firstLineChars="20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本分标区域范围：A分标（共196户）: 横州镇27户、陶圩镇29户、石塘镇27户、莲塘镇9户、平马镇14户、平朗镇14户、六景镇30户、峦城镇27户、新福镇19户（具体内容详见附件1）；</w:t>
            </w:r>
          </w:p>
          <w:p>
            <w:pPr>
              <w:spacing w:line="360" w:lineRule="auto"/>
              <w:ind w:firstLine="420" w:firstLineChars="20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为积极应对人口老龄化，</w:t>
            </w:r>
            <w:r>
              <w:rPr>
                <w:rFonts w:hint="eastAsia" w:ascii="Times New Roman" w:hAnsi="Times New Roman" w:eastAsia="宋体" w:cs="Times New Roman"/>
                <w:color w:val="auto"/>
                <w:highlight w:val="none"/>
                <w:lang w:eastAsia="zh-CN"/>
              </w:rPr>
              <w:t>帮助困难老年人家庭改善居住条件和生活质量</w:t>
            </w:r>
            <w:r>
              <w:rPr>
                <w:rFonts w:hint="eastAsia" w:ascii="Times New Roman" w:hAnsi="Times New Roman" w:eastAsia="宋体" w:cs="Times New Roman"/>
                <w:color w:val="auto"/>
                <w:highlight w:val="none"/>
              </w:rPr>
              <w:t>，</w:t>
            </w:r>
            <w:r>
              <w:rPr>
                <w:rFonts w:hint="eastAsia" w:ascii="Times New Roman" w:hAnsi="Times New Roman" w:eastAsia="宋体" w:cs="Times New Roman"/>
                <w:color w:val="auto"/>
                <w:highlight w:val="none"/>
                <w:lang w:val="en-US" w:eastAsia="zh-CN"/>
              </w:rPr>
              <w:t>根据</w:t>
            </w:r>
            <w:r>
              <w:rPr>
                <w:rFonts w:hint="eastAsia" w:ascii="Times New Roman" w:hAnsi="Times New Roman" w:eastAsia="宋体" w:cs="Times New Roman"/>
                <w:color w:val="auto"/>
                <w:highlight w:val="none"/>
              </w:rPr>
              <w:t>民政部等9部委联合印发《关于加快实施老年人居家适老化改造工程的指导意见》（</w:t>
            </w:r>
            <w:r>
              <w:rPr>
                <w:rFonts w:hint="eastAsia" w:ascii="Times New Roman" w:hAnsi="Times New Roman" w:eastAsia="宋体" w:cs="Times New Roman"/>
                <w:color w:val="auto"/>
                <w:highlight w:val="none"/>
                <w:lang w:val="en-US" w:eastAsia="zh-CN"/>
              </w:rPr>
              <w:t>民发〔2020〕86号</w:t>
            </w:r>
            <w:r>
              <w:rPr>
                <w:rFonts w:hint="eastAsia" w:ascii="Times New Roman" w:hAnsi="Times New Roman" w:eastAsia="宋体" w:cs="Times New Roman"/>
                <w:color w:val="auto"/>
                <w:highlight w:val="none"/>
              </w:rPr>
              <w:t>）</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广西壮族自治区民政厅 广西壮族自治区发展和改革委员会关于印发《广西壮族自治区“十四五”养老服务体系规划》的通知</w:t>
            </w:r>
            <w:r>
              <w:rPr>
                <w:rFonts w:hint="eastAsia" w:ascii="Times New Roman" w:hAnsi="Times New Roman" w:eastAsia="宋体" w:cs="Times New Roman"/>
                <w:color w:val="auto"/>
                <w:highlight w:val="none"/>
              </w:rPr>
              <w:t>（</w:t>
            </w:r>
            <w:r>
              <w:rPr>
                <w:rFonts w:hint="eastAsia" w:ascii="Times New Roman" w:hAnsi="Times New Roman" w:eastAsia="宋体" w:cs="Times New Roman"/>
                <w:color w:val="auto"/>
                <w:highlight w:val="none"/>
                <w:lang w:eastAsia="zh-CN"/>
              </w:rPr>
              <w:t>桂</w:t>
            </w:r>
            <w:r>
              <w:rPr>
                <w:rFonts w:hint="eastAsia" w:ascii="Times New Roman" w:hAnsi="Times New Roman" w:eastAsia="宋体" w:cs="Times New Roman"/>
                <w:color w:val="auto"/>
                <w:highlight w:val="none"/>
                <w:lang w:val="en-US" w:eastAsia="zh-CN"/>
              </w:rPr>
              <w:t>民发〔2021〕55号</w:t>
            </w:r>
            <w:r>
              <w:rPr>
                <w:rFonts w:hint="eastAsia" w:ascii="Times New Roman" w:hAnsi="Times New Roman" w:eastAsia="宋体" w:cs="Times New Roman"/>
                <w:color w:val="auto"/>
                <w:highlight w:val="none"/>
              </w:rPr>
              <w:t>）</w:t>
            </w:r>
            <w:r>
              <w:rPr>
                <w:rFonts w:hint="eastAsia" w:ascii="Times New Roman" w:hAnsi="Times New Roman" w:eastAsia="宋体" w:cs="Times New Roman"/>
                <w:color w:val="auto"/>
                <w:highlight w:val="none"/>
                <w:lang w:val="en-US" w:eastAsia="zh-CN"/>
              </w:rPr>
              <w:t>要求，</w:t>
            </w:r>
            <w:r>
              <w:rPr>
                <w:rFonts w:hint="eastAsia" w:ascii="Times New Roman" w:hAnsi="Times New Roman" w:eastAsia="宋体" w:cs="Times New Roman"/>
                <w:color w:val="auto"/>
                <w:highlight w:val="none"/>
              </w:rPr>
              <w:t>决定</w:t>
            </w:r>
            <w:r>
              <w:rPr>
                <w:rFonts w:hint="eastAsia" w:ascii="Times New Roman" w:hAnsi="Times New Roman" w:eastAsia="宋体" w:cs="Times New Roman"/>
                <w:color w:val="auto"/>
                <w:highlight w:val="none"/>
                <w:lang w:eastAsia="zh-CN"/>
              </w:rPr>
              <w:t>在全市</w:t>
            </w:r>
            <w:r>
              <w:rPr>
                <w:rFonts w:hint="eastAsia" w:ascii="Times New Roman" w:hAnsi="Times New Roman" w:eastAsia="宋体" w:cs="Times New Roman"/>
                <w:color w:val="auto"/>
                <w:highlight w:val="none"/>
                <w:lang w:val="en-US" w:eastAsia="zh-CN"/>
              </w:rPr>
              <w:t>开展特殊困难</w:t>
            </w:r>
            <w:r>
              <w:rPr>
                <w:rFonts w:hint="eastAsia" w:ascii="Times New Roman" w:hAnsi="Times New Roman" w:eastAsia="宋体" w:cs="Times New Roman"/>
                <w:color w:val="auto"/>
                <w:highlight w:val="none"/>
              </w:rPr>
              <w:t>老</w:t>
            </w:r>
            <w:r>
              <w:rPr>
                <w:rFonts w:hint="eastAsia" w:ascii="Times New Roman" w:hAnsi="Times New Roman" w:eastAsia="宋体" w:cs="Times New Roman"/>
                <w:color w:val="auto"/>
                <w:highlight w:val="none"/>
                <w:lang w:eastAsia="zh-CN"/>
              </w:rPr>
              <w:t>年</w:t>
            </w:r>
            <w:r>
              <w:rPr>
                <w:rFonts w:hint="eastAsia" w:ascii="Times New Roman" w:hAnsi="Times New Roman" w:eastAsia="宋体" w:cs="Times New Roman"/>
                <w:color w:val="auto"/>
                <w:highlight w:val="none"/>
              </w:rPr>
              <w:t>人</w:t>
            </w:r>
            <w:r>
              <w:rPr>
                <w:rFonts w:hint="eastAsia" w:ascii="Times New Roman" w:hAnsi="Times New Roman" w:eastAsia="宋体" w:cs="Times New Roman"/>
                <w:color w:val="auto"/>
                <w:highlight w:val="none"/>
                <w:lang w:eastAsia="zh-CN"/>
              </w:rPr>
              <w:t>家庭</w:t>
            </w:r>
            <w:r>
              <w:rPr>
                <w:rFonts w:hint="eastAsia" w:ascii="Times New Roman" w:hAnsi="Times New Roman" w:eastAsia="宋体" w:cs="Times New Roman"/>
                <w:color w:val="auto"/>
                <w:highlight w:val="none"/>
                <w:lang w:val="en-US" w:eastAsia="zh-CN"/>
              </w:rPr>
              <w:t>居家</w:t>
            </w:r>
            <w:r>
              <w:rPr>
                <w:rFonts w:hint="eastAsia" w:ascii="Times New Roman" w:hAnsi="Times New Roman" w:eastAsia="宋体" w:cs="Times New Roman"/>
                <w:color w:val="auto"/>
                <w:highlight w:val="none"/>
              </w:rPr>
              <w:t>适老化改造</w:t>
            </w:r>
            <w:r>
              <w:rPr>
                <w:rFonts w:hint="eastAsia" w:ascii="Times New Roman" w:hAnsi="Times New Roman" w:eastAsia="宋体" w:cs="Times New Roman"/>
                <w:color w:val="auto"/>
                <w:highlight w:val="none"/>
                <w:lang w:eastAsia="zh-CN"/>
              </w:rPr>
              <w:t>工作。</w:t>
            </w:r>
            <w:r>
              <w:rPr>
                <w:rFonts w:hint="eastAsia" w:ascii="Times New Roman" w:hAnsi="Times New Roman" w:eastAsia="宋体" w:cs="Times New Roman"/>
                <w:color w:val="auto"/>
                <w:highlight w:val="none"/>
              </w:rPr>
              <w:t>结合我县实际，本项目需求如下：</w:t>
            </w:r>
          </w:p>
          <w:p>
            <w:pPr>
              <w:keepNext w:val="0"/>
              <w:keepLines w:val="0"/>
              <w:pageBreakBefore w:val="0"/>
              <w:kinsoku/>
              <w:wordWrap/>
              <w:overflowPunct/>
              <w:topLinePunct w:val="0"/>
              <w:autoSpaceDE/>
              <w:autoSpaceDN/>
              <w:bidi w:val="0"/>
              <w:adjustRightInd/>
              <w:snapToGrid/>
              <w:spacing w:line="400" w:lineRule="exact"/>
              <w:ind w:firstLine="422" w:firstLineChars="200"/>
              <w:textAlignment w:val="auto"/>
              <w:rPr>
                <w:rFonts w:hint="eastAsia"/>
                <w:b/>
                <w:bCs/>
                <w:color w:val="auto"/>
                <w:highlight w:val="none"/>
              </w:rPr>
            </w:pPr>
            <w:r>
              <w:rPr>
                <w:rFonts w:hint="eastAsia"/>
                <w:b/>
                <w:bCs/>
                <w:color w:val="auto"/>
                <w:highlight w:val="none"/>
              </w:rPr>
              <w:t>一、任务目标</w:t>
            </w:r>
          </w:p>
          <w:p>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2025年底前，对分散供养特困人员、城乡低保对象中的高龄、失能、留守、空巢、残疾老年人家庭和计划生育特殊家庭（以上对象统称“特殊困难老年人家庭”）等实施适老化改造工程，在全市选取符合改造条件的379户特殊困难老年人家庭给予适老化改造（具体分配名额详见附件1）。通过适老化改造，改善老年人的居家生活环境，缓解老年人因生理机能变化导致的生活不适应，增强老年人居家生活的安全性和便利性，从而提升居家生活品质。</w:t>
            </w:r>
          </w:p>
          <w:p>
            <w:pPr>
              <w:keepNext w:val="0"/>
              <w:keepLines w:val="0"/>
              <w:pageBreakBefore w:val="0"/>
              <w:kinsoku/>
              <w:wordWrap/>
              <w:overflowPunct/>
              <w:topLinePunct w:val="0"/>
              <w:autoSpaceDE/>
              <w:autoSpaceDN/>
              <w:bidi w:val="0"/>
              <w:adjustRightInd/>
              <w:snapToGrid/>
              <w:spacing w:line="400" w:lineRule="exact"/>
              <w:ind w:firstLine="422" w:firstLineChars="200"/>
              <w:textAlignment w:val="auto"/>
              <w:rPr>
                <w:rFonts w:hint="eastAsia"/>
                <w:b/>
                <w:bCs/>
                <w:color w:val="auto"/>
                <w:highlight w:val="none"/>
              </w:rPr>
            </w:pPr>
            <w:r>
              <w:rPr>
                <w:rFonts w:hint="eastAsia"/>
                <w:b/>
                <w:bCs/>
                <w:color w:val="auto"/>
                <w:highlight w:val="none"/>
                <w:lang w:val="en-US" w:eastAsia="zh-CN"/>
              </w:rPr>
              <w:t>二</w:t>
            </w:r>
            <w:r>
              <w:rPr>
                <w:rFonts w:hint="eastAsia"/>
                <w:b/>
                <w:bCs/>
                <w:color w:val="auto"/>
                <w:highlight w:val="none"/>
              </w:rPr>
              <w:t>、</w:t>
            </w:r>
            <w:r>
              <w:rPr>
                <w:rFonts w:hint="eastAsia"/>
                <w:b/>
                <w:bCs/>
                <w:color w:val="auto"/>
                <w:highlight w:val="none"/>
                <w:lang w:val="en-US" w:eastAsia="zh-CN"/>
              </w:rPr>
              <w:t>申请</w:t>
            </w:r>
            <w:r>
              <w:rPr>
                <w:rFonts w:hint="eastAsia"/>
                <w:b/>
                <w:bCs/>
                <w:color w:val="auto"/>
                <w:highlight w:val="none"/>
              </w:rPr>
              <w:t>条件</w:t>
            </w:r>
          </w:p>
          <w:p>
            <w:pPr>
              <w:widowControl/>
              <w:spacing w:line="360" w:lineRule="auto"/>
              <w:ind w:firstLine="420" w:firstLineChars="200"/>
              <w:rPr>
                <w:rFonts w:hint="eastAsia"/>
                <w:color w:val="auto"/>
                <w:highlight w:val="none"/>
                <w:lang w:val="en-US" w:eastAsia="zh-CN"/>
              </w:rPr>
            </w:pPr>
            <w:r>
              <w:rPr>
                <w:rFonts w:hint="eastAsia"/>
                <w:color w:val="auto"/>
                <w:highlight w:val="none"/>
                <w:lang w:val="en-US" w:eastAsia="zh-CN"/>
              </w:rPr>
              <w:t>申请适老化改造对象为横州市户籍老年人，需要满足下列条件：</w:t>
            </w:r>
          </w:p>
          <w:p>
            <w:pPr>
              <w:widowControl/>
              <w:spacing w:line="360" w:lineRule="auto"/>
              <w:ind w:firstLine="420" w:firstLineChars="200"/>
              <w:rPr>
                <w:rFonts w:hint="eastAsia"/>
                <w:color w:val="auto"/>
                <w:highlight w:val="none"/>
                <w:lang w:val="en-US" w:eastAsia="zh-CN"/>
              </w:rPr>
            </w:pPr>
            <w:r>
              <w:rPr>
                <w:rFonts w:hint="eastAsia"/>
                <w:color w:val="auto"/>
                <w:highlight w:val="none"/>
                <w:lang w:val="en-US" w:eastAsia="zh-CN"/>
              </w:rPr>
              <w:t>（一）申请者属于分散供养特困人员家庭或城乡低保对象中的高龄、失能、留守、空巢、残疾老年人家庭和计划生育特殊家庭；</w:t>
            </w:r>
          </w:p>
          <w:p>
            <w:pPr>
              <w:widowControl/>
              <w:spacing w:line="360" w:lineRule="auto"/>
              <w:ind w:firstLine="420" w:firstLineChars="200"/>
              <w:rPr>
                <w:rFonts w:hint="eastAsia"/>
                <w:color w:val="auto"/>
                <w:highlight w:val="none"/>
                <w:lang w:val="en-US" w:eastAsia="zh-CN"/>
              </w:rPr>
            </w:pPr>
            <w:r>
              <w:rPr>
                <w:rFonts w:hint="eastAsia"/>
                <w:color w:val="auto"/>
                <w:highlight w:val="none"/>
                <w:lang w:val="en-US" w:eastAsia="zh-CN"/>
              </w:rPr>
              <w:t>（二）申请居家适老化改造的对象，应对拟申请改造住房拥有产权或者长期使用权，拟申请改造的住房应符合质量安全相关标准、具备基础改造条件，且近期未列入政府征收、拆迁计划范围。同一家庭有2名以上（含）的实施对象老年人，对共同使用的适老化改造设施设备不再重复补助。已纳入过民政、残联或其他政府部门和单位补贴项目，不再重复纳入改造补贴范围。</w:t>
            </w:r>
          </w:p>
          <w:p>
            <w:pPr>
              <w:keepNext w:val="0"/>
              <w:keepLines w:val="0"/>
              <w:pageBreakBefore w:val="0"/>
              <w:kinsoku/>
              <w:wordWrap/>
              <w:overflowPunct/>
              <w:topLinePunct w:val="0"/>
              <w:autoSpaceDE/>
              <w:autoSpaceDN/>
              <w:bidi w:val="0"/>
              <w:adjustRightInd/>
              <w:snapToGrid/>
              <w:spacing w:line="400" w:lineRule="exact"/>
              <w:ind w:firstLine="422" w:firstLineChars="200"/>
              <w:textAlignment w:val="auto"/>
              <w:rPr>
                <w:rFonts w:hint="default"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三、改造</w:t>
            </w:r>
            <w:r>
              <w:rPr>
                <w:rFonts w:hint="eastAsia" w:cs="Times New Roman"/>
                <w:b/>
                <w:bCs/>
                <w:color w:val="auto"/>
                <w:highlight w:val="none"/>
                <w:lang w:val="en-US" w:eastAsia="zh-CN"/>
              </w:rPr>
              <w:t>和服务</w:t>
            </w:r>
            <w:r>
              <w:rPr>
                <w:rFonts w:hint="eastAsia" w:ascii="Times New Roman" w:hAnsi="Times New Roman" w:eastAsia="宋体" w:cs="Times New Roman"/>
                <w:b/>
                <w:bCs/>
                <w:color w:val="auto"/>
                <w:highlight w:val="none"/>
                <w:lang w:val="en-US" w:eastAsia="zh-CN"/>
              </w:rPr>
              <w:t>要求</w:t>
            </w:r>
          </w:p>
          <w:p>
            <w:pPr>
              <w:widowControl/>
              <w:spacing w:line="360" w:lineRule="auto"/>
              <w:ind w:firstLine="420" w:firstLineChars="200"/>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（一）</w:t>
            </w:r>
            <w:r>
              <w:rPr>
                <w:rFonts w:hint="eastAsia" w:ascii="Times New Roman" w:hAnsi="Times New Roman" w:eastAsia="宋体" w:cs="Times New Roman"/>
                <w:color w:val="auto"/>
                <w:highlight w:val="none"/>
                <w:lang w:val="en-US" w:eastAsia="zh-CN"/>
              </w:rPr>
              <w:t>根据民政部、住房和城乡建设部制定的《老年人居家适老化改造项目和老年用品配置推荐清单》（详见附件2），围绕施工改造、设施配备、老年用品配置等方面进行居家适老化改造，各乡（镇）在补贴标准范围内进行适老化改造。</w:t>
            </w:r>
          </w:p>
          <w:p>
            <w:pPr>
              <w:widowControl/>
              <w:spacing w:line="360" w:lineRule="auto"/>
              <w:ind w:firstLine="420" w:firstLineChars="200"/>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（二）</w:t>
            </w:r>
            <w:r>
              <w:rPr>
                <w:rFonts w:hint="eastAsia" w:ascii="Times New Roman" w:hAnsi="Times New Roman" w:eastAsia="宋体" w:cs="Times New Roman"/>
                <w:color w:val="auto"/>
                <w:highlight w:val="none"/>
                <w:lang w:val="en-US" w:eastAsia="zh-CN"/>
              </w:rPr>
              <w:t>适老化改造项目设施、设备，应当以显著方式标明“彩票公益金资助-中国福利彩票和中国体育彩票”标识。</w:t>
            </w:r>
          </w:p>
          <w:p>
            <w:pPr>
              <w:widowControl/>
              <w:spacing w:line="360" w:lineRule="auto"/>
              <w:ind w:firstLine="420" w:firstLineChars="200"/>
              <w:rPr>
                <w:rFonts w:hint="eastAsia" w:cs="Times New Roman"/>
                <w:color w:val="auto"/>
                <w:highlight w:val="none"/>
                <w:lang w:val="en-US" w:eastAsia="zh-CN"/>
              </w:rPr>
            </w:pPr>
            <w:r>
              <w:rPr>
                <w:rFonts w:hint="eastAsia" w:cs="Times New Roman"/>
                <w:color w:val="auto"/>
                <w:highlight w:val="none"/>
                <w:lang w:val="en-US" w:eastAsia="zh-CN"/>
              </w:rPr>
              <w:t>（三）供应商需规范实施。</w:t>
            </w:r>
          </w:p>
          <w:p>
            <w:pPr>
              <w:widowControl/>
              <w:spacing w:line="360" w:lineRule="auto"/>
              <w:ind w:firstLine="420" w:firstLineChars="200"/>
              <w:rPr>
                <w:rFonts w:hint="eastAsia" w:cs="Times New Roman"/>
                <w:color w:val="auto"/>
                <w:highlight w:val="none"/>
                <w:lang w:val="en-US" w:eastAsia="zh-CN"/>
              </w:rPr>
            </w:pPr>
            <w:r>
              <w:rPr>
                <w:rFonts w:hint="eastAsia" w:cs="Times New Roman"/>
                <w:color w:val="auto"/>
                <w:highlight w:val="none"/>
                <w:lang w:val="en-US" w:eastAsia="zh-CN"/>
              </w:rPr>
              <w:t>1.供应商要按照行业标准和规范，与接受项目的老年人或者者其代理人确认改造需求，并按照改造需求评估确认表为老年人开展对应的服务，保证服务质量，维护老年人合法权益。</w:t>
            </w:r>
          </w:p>
          <w:p>
            <w:pPr>
              <w:widowControl/>
              <w:spacing w:line="360" w:lineRule="auto"/>
              <w:ind w:firstLine="420" w:firstLineChars="200"/>
              <w:rPr>
                <w:rFonts w:hint="eastAsia" w:cs="Times New Roman"/>
                <w:color w:val="auto"/>
                <w:highlight w:val="none"/>
                <w:lang w:val="en-US" w:eastAsia="zh-CN"/>
              </w:rPr>
            </w:pPr>
            <w:r>
              <w:rPr>
                <w:rFonts w:hint="eastAsia" w:cs="Times New Roman"/>
                <w:color w:val="auto"/>
                <w:highlight w:val="none"/>
                <w:lang w:val="en-US" w:eastAsia="zh-CN"/>
              </w:rPr>
              <w:t>2.供应商提供的产品需达到采购需求相关要求及国家相关行业标准要求，不使用假冒伪劣产品、以次充好。所有产品报价均包含产品费用、安装费用、培训服务费用等，上门服务期间不得额外收取任何费用。</w:t>
            </w:r>
          </w:p>
          <w:p>
            <w:pPr>
              <w:widowControl/>
              <w:spacing w:line="360" w:lineRule="auto"/>
              <w:ind w:firstLine="420" w:firstLineChars="200"/>
              <w:rPr>
                <w:rFonts w:hint="eastAsia" w:cs="Times New Roman"/>
                <w:color w:val="auto"/>
                <w:highlight w:val="none"/>
                <w:lang w:val="en-US" w:eastAsia="zh-CN"/>
              </w:rPr>
            </w:pPr>
            <w:r>
              <w:rPr>
                <w:rFonts w:hint="eastAsia" w:cs="Times New Roman"/>
                <w:color w:val="auto"/>
                <w:highlight w:val="none"/>
                <w:lang w:val="en-US" w:eastAsia="zh-CN"/>
              </w:rPr>
              <w:t>3.供应商要根据服务对象需求，做好方案、总结及每月计划、进度等工作，按要求报送横州市民政局及所辖乡镇等。</w:t>
            </w:r>
          </w:p>
          <w:p>
            <w:pPr>
              <w:widowControl/>
              <w:spacing w:line="360" w:lineRule="auto"/>
              <w:ind w:firstLine="420" w:firstLineChars="200"/>
              <w:rPr>
                <w:rFonts w:hint="eastAsia" w:cs="Times New Roman"/>
                <w:color w:val="auto"/>
                <w:highlight w:val="none"/>
                <w:lang w:val="en-US" w:eastAsia="zh-CN"/>
              </w:rPr>
            </w:pPr>
            <w:r>
              <w:rPr>
                <w:rFonts w:hint="eastAsia" w:cs="Times New Roman"/>
                <w:color w:val="auto"/>
                <w:highlight w:val="none"/>
                <w:lang w:val="en-US" w:eastAsia="zh-CN"/>
              </w:rPr>
              <w:t>4.供应商开展服务要做到敬老爱老，态度和蔼，尊重服务对象的隐私权、名誉权，根据服务对象意愿填写改造项目申请表，并建立服务对象的台账。</w:t>
            </w:r>
          </w:p>
          <w:p>
            <w:pPr>
              <w:widowControl/>
              <w:spacing w:line="360" w:lineRule="auto"/>
              <w:ind w:firstLine="420" w:firstLineChars="200"/>
              <w:rPr>
                <w:rFonts w:hint="eastAsia" w:cs="Times New Roman"/>
                <w:color w:val="auto"/>
                <w:highlight w:val="none"/>
                <w:lang w:val="en-US" w:eastAsia="zh-CN"/>
              </w:rPr>
            </w:pPr>
            <w:r>
              <w:rPr>
                <w:rFonts w:hint="eastAsia" w:cs="Times New Roman"/>
                <w:color w:val="auto"/>
                <w:highlight w:val="none"/>
                <w:lang w:val="en-US" w:eastAsia="zh-CN"/>
              </w:rPr>
              <w:t>5.供应商应通过工作简报等多种形式定期向横州市民政局及所辖乡镇汇报近期工作情况，并分类保存各阶段推进项目的文本、照片和音像等材料，在项目结束后提交给横州市民政局。</w:t>
            </w:r>
          </w:p>
          <w:p>
            <w:pPr>
              <w:widowControl/>
              <w:spacing w:line="360" w:lineRule="auto"/>
              <w:ind w:firstLine="420" w:firstLineChars="200"/>
              <w:rPr>
                <w:rFonts w:hint="eastAsia" w:cs="Times New Roman"/>
                <w:color w:val="auto"/>
                <w:highlight w:val="none"/>
                <w:lang w:val="en-US" w:eastAsia="zh-CN"/>
              </w:rPr>
            </w:pPr>
            <w:r>
              <w:rPr>
                <w:rFonts w:hint="eastAsia" w:cs="Times New Roman"/>
                <w:color w:val="auto"/>
                <w:highlight w:val="none"/>
                <w:lang w:val="en-US" w:eastAsia="zh-CN"/>
              </w:rPr>
              <w:t>6.供应商不得在提供家庭养老床位建设服务过程中开展非法集资、推销假药、伪劣商品等违法活动。</w:t>
            </w:r>
          </w:p>
          <w:p>
            <w:pPr>
              <w:widowControl/>
              <w:spacing w:line="360" w:lineRule="auto"/>
              <w:ind w:firstLine="420" w:firstLineChars="200"/>
              <w:rPr>
                <w:rFonts w:hint="default" w:cs="Times New Roman"/>
                <w:color w:val="auto"/>
                <w:highlight w:val="none"/>
                <w:lang w:val="en-US" w:eastAsia="zh-CN"/>
              </w:rPr>
            </w:pPr>
            <w:r>
              <w:rPr>
                <w:rFonts w:hint="eastAsia" w:cs="Times New Roman"/>
                <w:color w:val="auto"/>
                <w:highlight w:val="none"/>
                <w:lang w:val="en-US" w:eastAsia="zh-CN"/>
              </w:rPr>
              <w:t>7.严格遵守法律、法规规定以及购买项目要求的其他条件。</w:t>
            </w:r>
          </w:p>
          <w:p>
            <w:pPr>
              <w:keepNext w:val="0"/>
              <w:keepLines w:val="0"/>
              <w:pageBreakBefore w:val="0"/>
              <w:kinsoku/>
              <w:wordWrap/>
              <w:overflowPunct/>
              <w:topLinePunct w:val="0"/>
              <w:autoSpaceDE/>
              <w:autoSpaceDN/>
              <w:bidi w:val="0"/>
              <w:adjustRightInd/>
              <w:snapToGrid/>
              <w:spacing w:line="400" w:lineRule="exact"/>
              <w:ind w:firstLine="422" w:firstLineChars="200"/>
              <w:textAlignment w:val="auto"/>
              <w:rPr>
                <w:rFonts w:hint="eastAsia"/>
                <w:b/>
                <w:bCs/>
                <w:color w:val="auto"/>
                <w:highlight w:val="none"/>
                <w:lang w:val="en-US" w:eastAsia="zh-CN"/>
              </w:rPr>
            </w:pPr>
            <w:r>
              <w:rPr>
                <w:rFonts w:hint="eastAsia"/>
                <w:b/>
                <w:bCs/>
                <w:color w:val="auto"/>
                <w:highlight w:val="none"/>
                <w:lang w:val="en-US" w:eastAsia="zh-CN"/>
              </w:rPr>
              <w:t>四、改造要求</w:t>
            </w:r>
          </w:p>
          <w:p>
            <w:pPr>
              <w:widowControl/>
              <w:spacing w:line="360" w:lineRule="auto"/>
              <w:ind w:firstLine="420" w:firstLineChars="20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对申请2025年居家适老化改造并符合条件的对象家庭，每户补助最高不高于3300元，最低不低于1000元，具体补助金额以实际费用为准。资金从上级下达的中央福彩公益金（因素法）中列支。</w:t>
            </w:r>
          </w:p>
          <w:p>
            <w:pPr>
              <w:keepNext w:val="0"/>
              <w:keepLines w:val="0"/>
              <w:pageBreakBefore w:val="0"/>
              <w:kinsoku/>
              <w:wordWrap/>
              <w:overflowPunct/>
              <w:topLinePunct w:val="0"/>
              <w:autoSpaceDE/>
              <w:autoSpaceDN/>
              <w:bidi w:val="0"/>
              <w:adjustRightInd/>
              <w:snapToGrid/>
              <w:spacing w:line="400" w:lineRule="exact"/>
              <w:ind w:firstLine="422" w:firstLineChars="200"/>
              <w:textAlignment w:val="auto"/>
              <w:rPr>
                <w:rFonts w:hint="eastAsia"/>
                <w:b/>
                <w:bCs/>
                <w:color w:val="auto"/>
                <w:highlight w:val="none"/>
                <w:lang w:val="en-US" w:eastAsia="zh-CN"/>
              </w:rPr>
            </w:pPr>
            <w:r>
              <w:rPr>
                <w:rFonts w:hint="eastAsia"/>
                <w:b/>
                <w:bCs/>
                <w:color w:val="auto"/>
                <w:highlight w:val="none"/>
                <w:lang w:val="en-US" w:eastAsia="zh-CN"/>
              </w:rPr>
              <w:t>五、服务流程</w:t>
            </w:r>
          </w:p>
          <w:p>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（一）</w:t>
            </w:r>
            <w:r>
              <w:rPr>
                <w:rFonts w:hint="eastAsia" w:ascii="宋体" w:hAnsi="宋体" w:eastAsia="宋体" w:cs="宋体"/>
                <w:color w:val="auto"/>
                <w:sz w:val="21"/>
                <w:szCs w:val="21"/>
                <w:highlight w:val="none"/>
                <w:lang w:val="en-US" w:eastAsia="zh-CN"/>
              </w:rPr>
              <w:t>提出申请。以有改造需求的老年人或其监护人自愿申请为前提，填写《横州市特殊困难老年人家庭适老化改造项目申请表》(见附件3)。乡（镇）从老年人申请日起7个工作日内完成审核并将申请表移交至市民政局。市民政局根据实施对象范围，拟定实施对象名单。</w:t>
            </w:r>
          </w:p>
          <w:p>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（二）</w:t>
            </w:r>
            <w:r>
              <w:rPr>
                <w:rFonts w:hint="eastAsia" w:ascii="宋体" w:hAnsi="宋体" w:eastAsia="宋体" w:cs="宋体"/>
                <w:color w:val="auto"/>
                <w:sz w:val="21"/>
                <w:szCs w:val="21"/>
                <w:highlight w:val="none"/>
                <w:lang w:val="en-US" w:eastAsia="zh-CN"/>
              </w:rPr>
              <w:t>调查评估。确定列入实施对象的，由市民政局</w:t>
            </w:r>
            <w:r>
              <w:rPr>
                <w:rFonts w:hint="eastAsia" w:ascii="宋体" w:hAnsi="宋体" w:cs="宋体"/>
                <w:color w:val="auto"/>
                <w:sz w:val="21"/>
                <w:szCs w:val="21"/>
                <w:highlight w:val="none"/>
                <w:lang w:val="en-US" w:eastAsia="zh-CN"/>
              </w:rPr>
              <w:t>委托公司</w:t>
            </w:r>
            <w:r>
              <w:rPr>
                <w:rFonts w:hint="eastAsia" w:ascii="宋体" w:hAnsi="宋体" w:eastAsia="宋体" w:cs="宋体"/>
                <w:color w:val="auto"/>
                <w:sz w:val="21"/>
                <w:szCs w:val="21"/>
                <w:highlight w:val="none"/>
                <w:lang w:val="en-US" w:eastAsia="zh-CN"/>
              </w:rPr>
              <w:t>开展政府采购确定的适老化改造服务机构对老年人身体状况、养老服务需求、居住环境特点和适老化需求等进行综合评估，按照“一户一策”，选择最适合、最迫切的项目进行改造。适老化改造服务机构会商老年人家庭后拟定改造方案并概算所需经费（填写附件4），报市民政局审定。</w:t>
            </w:r>
          </w:p>
          <w:p>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（三）</w:t>
            </w:r>
            <w:r>
              <w:rPr>
                <w:rFonts w:hint="eastAsia" w:ascii="宋体" w:hAnsi="宋体" w:eastAsia="宋体" w:cs="宋体"/>
                <w:color w:val="auto"/>
                <w:sz w:val="21"/>
                <w:szCs w:val="21"/>
                <w:highlight w:val="none"/>
                <w:lang w:val="en-US" w:eastAsia="zh-CN"/>
              </w:rPr>
              <w:t>建设施工。适老化改造服务机构在施工过程中做到文明施工，尽量缩短施工工期，减少对项目对象正常生活的影响。要加强质量监管，施工所需物资、产品、器材等均须符合国家质量标准，并指派专人负责施工管理，进行经常性巡查，发现问题及时整改，确保施工质量。要建立完整的改造档案，留存完整的改造信息，有清晰的改造前后图片资料（填写附件5），并将施工建设资料移交至市民政局。</w:t>
            </w:r>
          </w:p>
          <w:p>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（四）</w:t>
            </w:r>
            <w:r>
              <w:rPr>
                <w:rFonts w:hint="eastAsia" w:ascii="宋体" w:hAnsi="宋体" w:eastAsia="宋体" w:cs="宋体"/>
                <w:color w:val="auto"/>
                <w:sz w:val="21"/>
                <w:szCs w:val="21"/>
                <w:highlight w:val="none"/>
                <w:lang w:val="en-US" w:eastAsia="zh-CN"/>
              </w:rPr>
              <w:t>检查验收。施工完成后，横州市民政局组织人员进行检查验收（填写附件6），如发现存在质量问题，应责令改造施工方限期整改。验收完成后，适老化改造服务机构按“一户一档”整理相关材料移送市民政局归档。</w:t>
            </w:r>
          </w:p>
          <w:p>
            <w:pPr>
              <w:keepNext w:val="0"/>
              <w:keepLines w:val="0"/>
              <w:pageBreakBefore w:val="0"/>
              <w:kinsoku/>
              <w:wordWrap/>
              <w:overflowPunct/>
              <w:topLinePunct w:val="0"/>
              <w:autoSpaceDE/>
              <w:autoSpaceDN/>
              <w:bidi w:val="0"/>
              <w:adjustRightInd/>
              <w:snapToGrid/>
              <w:spacing w:line="400" w:lineRule="exact"/>
              <w:ind w:firstLine="422" w:firstLineChars="200"/>
              <w:textAlignment w:val="auto"/>
              <w:rPr>
                <w:rFonts w:hint="eastAsia"/>
                <w:b/>
                <w:bCs/>
                <w:color w:val="auto"/>
                <w:highlight w:val="none"/>
                <w:lang w:val="en-US" w:eastAsia="zh-CN"/>
              </w:rPr>
            </w:pPr>
            <w:r>
              <w:rPr>
                <w:rFonts w:hint="eastAsia"/>
                <w:b/>
                <w:bCs/>
                <w:color w:val="auto"/>
                <w:highlight w:val="none"/>
                <w:lang w:val="en-US" w:eastAsia="zh-CN"/>
              </w:rPr>
              <w:t>六、法律责任</w:t>
            </w:r>
          </w:p>
          <w:p>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经查证供应商具有下列情形之一的，视为不正常履约，取消其供应商资格并解除合同。涉嫌违法犯罪的，依法移交司法机关处理。</w:t>
            </w:r>
          </w:p>
          <w:p>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（一）不再具备开展工作资格的；</w:t>
            </w:r>
          </w:p>
          <w:p>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（二）有违法违规行为，损害老年人合法权益的；</w:t>
            </w:r>
          </w:p>
          <w:p>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（三）伪造服务记录骗取政府补贴的：</w:t>
            </w:r>
          </w:p>
          <w:p>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（四）签订协议后30日内仍无法开展家庭养老床位建设的；</w:t>
            </w:r>
          </w:p>
          <w:p>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（五）转包转让家庭养老床位建设的；</w:t>
            </w:r>
          </w:p>
          <w:p>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（六）开展家庭养老床位建设过程中出现责任事故，造成服务对象重伤或死亡的；</w:t>
            </w:r>
          </w:p>
          <w:p>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(七）出现其他违反本办法或相关法律法规行为的。</w:t>
            </w:r>
          </w:p>
        </w:tc>
        <w:tc>
          <w:tcPr>
            <w:tcW w:w="136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rFonts w:hint="default" w:ascii="宋体" w:hAnsi="宋体" w:eastAsia="宋体" w:cs="宋体"/>
                <w:color w:val="auto"/>
                <w:sz w:val="21"/>
                <w:szCs w:val="21"/>
                <w:highlight w:val="none"/>
                <w:lang w:val="en-US" w:eastAsia="zh-CN"/>
              </w:rPr>
            </w:pPr>
            <w:r>
              <w:rPr>
                <w:rFonts w:hint="eastAsia" w:ascii="宋体" w:hAnsi="宋体" w:cs="宋体"/>
                <w:color w:val="auto"/>
                <w:szCs w:val="21"/>
                <w:highlight w:val="none"/>
                <w:lang w:val="en-US" w:eastAsia="zh-CN"/>
              </w:rPr>
              <w:t>646800.00</w:t>
            </w:r>
          </w:p>
        </w:tc>
        <w:tc>
          <w:tcPr>
            <w:tcW w:w="1299"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其他未列明行业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27" w:hRule="atLeast"/>
          <w:jc w:val="center"/>
        </w:trPr>
        <w:tc>
          <w:tcPr>
            <w:tcW w:w="545"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hint="eastAsia" w:ascii="宋体" w:hAnsi="宋体" w:eastAsia="宋体" w:cs="宋体"/>
                <w:color w:val="auto"/>
                <w:sz w:val="21"/>
                <w:szCs w:val="21"/>
                <w:highlight w:val="none"/>
              </w:rPr>
            </w:pPr>
          </w:p>
          <w:p>
            <w:pPr>
              <w:spacing w:line="360"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商务条款</w:t>
            </w:r>
          </w:p>
        </w:tc>
        <w:tc>
          <w:tcPr>
            <w:tcW w:w="9936" w:type="dxa"/>
            <w:gridSpan w:val="7"/>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shd w:val="clear" w:color="auto" w:fill="FFFFFF"/>
              <w:kinsoku/>
              <w:wordWrap/>
              <w:overflowPunct/>
              <w:topLinePunct w:val="0"/>
              <w:autoSpaceDE/>
              <w:autoSpaceDN/>
              <w:bidi w:val="0"/>
              <w:adjustRightInd/>
              <w:snapToGrid/>
              <w:spacing w:line="420" w:lineRule="exact"/>
              <w:textAlignment w:val="auto"/>
              <w:rPr>
                <w:rFonts w:hint="default" w:eastAsia="宋体"/>
                <w:color w:val="auto"/>
                <w:sz w:val="21"/>
                <w:szCs w:val="21"/>
                <w:highlight w:val="none"/>
                <w:lang w:val="en-US" w:eastAsia="zh-CN"/>
              </w:rPr>
            </w:pPr>
            <w:r>
              <w:rPr>
                <w:rFonts w:hint="eastAsia"/>
                <w:color w:val="auto"/>
                <w:sz w:val="21"/>
                <w:szCs w:val="21"/>
                <w:highlight w:val="none"/>
              </w:rPr>
              <w:t>▲一、合同签订期：自</w:t>
            </w:r>
            <w:r>
              <w:rPr>
                <w:rFonts w:hint="eastAsia"/>
                <w:color w:val="auto"/>
                <w:sz w:val="21"/>
                <w:szCs w:val="21"/>
                <w:highlight w:val="none"/>
                <w:lang w:val="en-US" w:eastAsia="zh-CN"/>
              </w:rPr>
              <w:t>成交</w:t>
            </w:r>
            <w:r>
              <w:rPr>
                <w:rFonts w:hint="eastAsia"/>
                <w:color w:val="auto"/>
                <w:sz w:val="21"/>
                <w:szCs w:val="21"/>
                <w:highlight w:val="none"/>
              </w:rPr>
              <w:t>通知书发出之日起</w:t>
            </w:r>
            <w:r>
              <w:rPr>
                <w:rFonts w:hint="eastAsia"/>
                <w:color w:val="auto"/>
                <w:sz w:val="21"/>
                <w:szCs w:val="21"/>
                <w:highlight w:val="none"/>
                <w:lang w:val="en-US" w:eastAsia="zh-CN"/>
              </w:rPr>
              <w:t>25</w:t>
            </w:r>
            <w:r>
              <w:rPr>
                <w:rFonts w:hint="eastAsia"/>
                <w:color w:val="auto"/>
                <w:sz w:val="21"/>
                <w:szCs w:val="21"/>
                <w:highlight w:val="none"/>
              </w:rPr>
              <w:t>日内</w:t>
            </w:r>
            <w:r>
              <w:rPr>
                <w:rFonts w:hint="eastAsia"/>
                <w:color w:val="auto"/>
                <w:sz w:val="21"/>
                <w:szCs w:val="21"/>
                <w:highlight w:val="none"/>
                <w:lang w:val="en-US" w:eastAsia="zh-CN"/>
              </w:rPr>
              <w:t>。</w:t>
            </w:r>
          </w:p>
          <w:p>
            <w:pPr>
              <w:keepNext w:val="0"/>
              <w:keepLines w:val="0"/>
              <w:pageBreakBefore w:val="0"/>
              <w:widowControl/>
              <w:numPr>
                <w:ilvl w:val="0"/>
                <w:numId w:val="1"/>
              </w:numPr>
              <w:shd w:val="clear" w:color="auto" w:fill="FFFFFF"/>
              <w:kinsoku/>
              <w:wordWrap/>
              <w:overflowPunct/>
              <w:topLinePunct w:val="0"/>
              <w:autoSpaceDE/>
              <w:autoSpaceDN/>
              <w:bidi w:val="0"/>
              <w:adjustRightInd/>
              <w:snapToGrid/>
              <w:spacing w:line="420" w:lineRule="exact"/>
              <w:textAlignment w:val="auto"/>
              <w:rPr>
                <w:rFonts w:hint="eastAsia" w:ascii="宋体" w:hAnsi="宋体" w:eastAsia="宋体" w:cs="宋体"/>
                <w:color w:val="auto"/>
                <w:sz w:val="21"/>
                <w:szCs w:val="21"/>
                <w:highlight w:val="none"/>
              </w:rPr>
            </w:pPr>
            <w:r>
              <w:rPr>
                <w:rFonts w:hint="eastAsia"/>
                <w:color w:val="auto"/>
                <w:highlight w:val="none"/>
              </w:rPr>
              <w:t>提交服务成果时间</w:t>
            </w:r>
            <w:r>
              <w:rPr>
                <w:rFonts w:hint="eastAsia" w:ascii="宋体" w:hAnsi="宋体" w:eastAsia="宋体" w:cs="宋体"/>
                <w:color w:val="auto"/>
                <w:sz w:val="21"/>
                <w:szCs w:val="21"/>
                <w:highlight w:val="none"/>
              </w:rPr>
              <w:t>：</w:t>
            </w:r>
            <w:r>
              <w:rPr>
                <w:rFonts w:hint="eastAsia" w:ascii="宋体" w:hAnsi="宋体"/>
                <w:color w:val="auto"/>
                <w:szCs w:val="21"/>
                <w:highlight w:val="none"/>
                <w:lang w:eastAsia="zh-CN"/>
              </w:rPr>
              <w:t>自合同签订之日起至项目验收合格之日止</w:t>
            </w:r>
            <w:r>
              <w:rPr>
                <w:rFonts w:hint="eastAsia" w:ascii="宋体" w:hAnsi="宋体" w:eastAsia="宋体" w:cs="Times New Roman"/>
                <w:color w:val="auto"/>
                <w:szCs w:val="21"/>
                <w:highlight w:val="none"/>
                <w:lang w:eastAsia="zh-CN"/>
              </w:rPr>
              <w:t>。</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420" w:lineRule="exact"/>
              <w:textAlignment w:val="auto"/>
              <w:rPr>
                <w:rFonts w:hint="eastAsia"/>
                <w:color w:val="auto"/>
                <w:sz w:val="21"/>
                <w:szCs w:val="21"/>
                <w:highlight w:val="none"/>
              </w:rPr>
            </w:pPr>
            <w:r>
              <w:rPr>
                <w:rFonts w:hint="eastAsia"/>
                <w:color w:val="auto"/>
                <w:sz w:val="21"/>
                <w:szCs w:val="21"/>
                <w:highlight w:val="none"/>
              </w:rPr>
              <w:t>三、</w:t>
            </w:r>
            <w:r>
              <w:rPr>
                <w:rFonts w:hint="eastAsia"/>
                <w:color w:val="auto"/>
                <w:highlight w:val="none"/>
              </w:rPr>
              <w:t>提交服务成果地点</w:t>
            </w:r>
            <w:r>
              <w:rPr>
                <w:rFonts w:hint="eastAsia"/>
                <w:color w:val="auto"/>
                <w:sz w:val="21"/>
                <w:szCs w:val="21"/>
                <w:highlight w:val="none"/>
              </w:rPr>
              <w:t>：</w:t>
            </w:r>
            <w:r>
              <w:rPr>
                <w:rFonts w:hint="eastAsia"/>
                <w:color w:val="auto"/>
                <w:sz w:val="21"/>
                <w:szCs w:val="21"/>
                <w:highlight w:val="none"/>
                <w:lang w:val="en-US" w:eastAsia="zh-CN"/>
              </w:rPr>
              <w:t>采购人指定地点。</w:t>
            </w:r>
            <w:r>
              <w:rPr>
                <w:rFonts w:hint="eastAsia"/>
                <w:color w:val="auto"/>
                <w:sz w:val="21"/>
                <w:szCs w:val="21"/>
                <w:highlight w:val="none"/>
              </w:rPr>
              <w:t xml:space="preserve">  </w:t>
            </w:r>
          </w:p>
          <w:p>
            <w:pPr>
              <w:keepNext w:val="0"/>
              <w:keepLines w:val="0"/>
              <w:pageBreakBefore w:val="0"/>
              <w:widowControl/>
              <w:shd w:val="clear" w:color="auto" w:fill="FFFFFF"/>
              <w:kinsoku/>
              <w:wordWrap/>
              <w:overflowPunct/>
              <w:topLinePunct w:val="0"/>
              <w:autoSpaceDE/>
              <w:autoSpaceDN/>
              <w:bidi w:val="0"/>
              <w:adjustRightInd/>
              <w:snapToGrid/>
              <w:spacing w:line="420" w:lineRule="exact"/>
              <w:textAlignment w:val="auto"/>
              <w:rPr>
                <w:rFonts w:hint="eastAsia"/>
                <w:color w:val="auto"/>
                <w:sz w:val="21"/>
                <w:szCs w:val="21"/>
                <w:highlight w:val="none"/>
                <w:lang w:eastAsia="zh-CN"/>
              </w:rPr>
            </w:pPr>
            <w:r>
              <w:rPr>
                <w:rFonts w:hint="eastAsia"/>
                <w:color w:val="auto"/>
                <w:sz w:val="21"/>
                <w:szCs w:val="21"/>
                <w:highlight w:val="none"/>
              </w:rPr>
              <w:t>四、验收标准、规范：符合相关国家标准及行业标准，并满足本招标采购文件要求</w:t>
            </w:r>
            <w:r>
              <w:rPr>
                <w:rFonts w:hint="eastAsia"/>
                <w:color w:val="auto"/>
                <w:sz w:val="21"/>
                <w:szCs w:val="21"/>
                <w:highlight w:val="none"/>
                <w:lang w:val="en-US" w:eastAsia="zh-CN"/>
              </w:rPr>
              <w:t>。</w:t>
            </w:r>
          </w:p>
          <w:p>
            <w:pPr>
              <w:keepNext w:val="0"/>
              <w:keepLines w:val="0"/>
              <w:pageBreakBefore w:val="0"/>
              <w:widowControl/>
              <w:shd w:val="clear" w:color="auto" w:fill="FFFFFF"/>
              <w:kinsoku/>
              <w:wordWrap/>
              <w:overflowPunct/>
              <w:topLinePunct w:val="0"/>
              <w:autoSpaceDE/>
              <w:autoSpaceDN/>
              <w:bidi w:val="0"/>
              <w:adjustRightInd/>
              <w:snapToGrid/>
              <w:spacing w:line="420" w:lineRule="exact"/>
              <w:textAlignment w:val="auto"/>
              <w:rPr>
                <w:rFonts w:hint="eastAsia"/>
                <w:color w:val="auto"/>
                <w:sz w:val="21"/>
                <w:szCs w:val="21"/>
                <w:highlight w:val="none"/>
              </w:rPr>
            </w:pPr>
            <w:r>
              <w:rPr>
                <w:rFonts w:hint="eastAsia"/>
                <w:color w:val="auto"/>
                <w:sz w:val="21"/>
                <w:szCs w:val="21"/>
                <w:highlight w:val="none"/>
              </w:rPr>
              <w:t>▲ 五、售后服务要求：</w:t>
            </w:r>
          </w:p>
          <w:p>
            <w:pPr>
              <w:keepNext w:val="0"/>
              <w:keepLines w:val="0"/>
              <w:pageBreakBefore w:val="0"/>
              <w:widowControl/>
              <w:kinsoku/>
              <w:wordWrap/>
              <w:overflowPunct/>
              <w:topLinePunct w:val="0"/>
              <w:autoSpaceDE/>
              <w:autoSpaceDN/>
              <w:bidi w:val="0"/>
              <w:adjustRightInd/>
              <w:snapToGrid/>
              <w:spacing w:line="420" w:lineRule="exact"/>
              <w:contextualSpacing/>
              <w:jc w:val="left"/>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1、</w:t>
            </w:r>
            <w:r>
              <w:rPr>
                <w:rFonts w:hint="eastAsia"/>
                <w:color w:val="auto"/>
                <w:sz w:val="21"/>
                <w:szCs w:val="21"/>
                <w:highlight w:val="none"/>
              </w:rPr>
              <w:t>成交供应商应按采购文件规定的服务内容、技术要求、质量标准向采购人提供无瑕疵的服务成果。</w:t>
            </w:r>
            <w:r>
              <w:rPr>
                <w:rFonts w:hint="eastAsia"/>
                <w:color w:val="auto"/>
                <w:sz w:val="21"/>
                <w:szCs w:val="21"/>
                <w:highlight w:val="none"/>
                <w:lang w:eastAsia="zh-CN"/>
              </w:rPr>
              <w:t>质量保证期</w:t>
            </w:r>
            <w:r>
              <w:rPr>
                <w:rFonts w:hint="eastAsia"/>
                <w:color w:val="auto"/>
                <w:sz w:val="21"/>
                <w:szCs w:val="21"/>
                <w:highlight w:val="none"/>
                <w:lang w:val="en-US" w:eastAsia="zh-CN"/>
              </w:rPr>
              <w:t>2年（自交货并验收合格之日起计）。在质保期间内，</w:t>
            </w:r>
            <w:r>
              <w:rPr>
                <w:rFonts w:hint="eastAsia"/>
                <w:color w:val="auto"/>
                <w:sz w:val="21"/>
                <w:szCs w:val="21"/>
                <w:highlight w:val="none"/>
              </w:rPr>
              <w:t>成交供应商对提交的最终货物及服务成果质量负责</w:t>
            </w:r>
            <w:r>
              <w:rPr>
                <w:rFonts w:hint="eastAsia"/>
                <w:color w:val="auto"/>
                <w:sz w:val="21"/>
                <w:szCs w:val="21"/>
                <w:highlight w:val="none"/>
                <w:lang w:eastAsia="zh-CN"/>
              </w:rPr>
              <w:t>，如因成交供应商出现质量问题的，成交供应商应按采购人要求及时更换修复，费用由成交供应商承担。</w:t>
            </w:r>
          </w:p>
          <w:p>
            <w:pPr>
              <w:keepNext w:val="0"/>
              <w:keepLines w:val="0"/>
              <w:pageBreakBefore w:val="0"/>
              <w:widowControl/>
              <w:kinsoku/>
              <w:wordWrap/>
              <w:overflowPunct/>
              <w:topLinePunct w:val="0"/>
              <w:autoSpaceDE/>
              <w:autoSpaceDN/>
              <w:bidi w:val="0"/>
              <w:adjustRightInd/>
              <w:snapToGrid/>
              <w:spacing w:line="420" w:lineRule="exact"/>
              <w:contextualSpacing/>
              <w:jc w:val="left"/>
              <w:textAlignment w:val="auto"/>
              <w:rPr>
                <w:rFonts w:hint="eastAsia"/>
                <w:color w:val="auto"/>
                <w:sz w:val="21"/>
                <w:szCs w:val="21"/>
                <w:highlight w:val="none"/>
              </w:rPr>
            </w:pPr>
            <w:r>
              <w:rPr>
                <w:rFonts w:hint="eastAsia"/>
                <w:color w:val="auto"/>
                <w:sz w:val="21"/>
                <w:szCs w:val="21"/>
                <w:highlight w:val="none"/>
                <w:lang w:val="en-US" w:eastAsia="zh-CN"/>
              </w:rPr>
              <w:t>2、</w:t>
            </w:r>
            <w:r>
              <w:rPr>
                <w:rFonts w:hint="eastAsia"/>
                <w:color w:val="auto"/>
                <w:sz w:val="21"/>
                <w:szCs w:val="21"/>
                <w:highlight w:val="none"/>
              </w:rPr>
              <w:t>服务完成后，如有修改，成交供应商应在规定时间按要求完成修改工作，采购人不另行支付修改费用。</w:t>
            </w:r>
          </w:p>
          <w:p>
            <w:pPr>
              <w:keepNext w:val="0"/>
              <w:keepLines w:val="0"/>
              <w:pageBreakBefore w:val="0"/>
              <w:widowControl/>
              <w:kinsoku/>
              <w:wordWrap/>
              <w:overflowPunct/>
              <w:topLinePunct w:val="0"/>
              <w:autoSpaceDE/>
              <w:autoSpaceDN/>
              <w:bidi w:val="0"/>
              <w:adjustRightInd/>
              <w:snapToGrid/>
              <w:spacing w:line="420" w:lineRule="exact"/>
              <w:contextualSpacing/>
              <w:jc w:val="left"/>
              <w:textAlignment w:val="auto"/>
              <w:rPr>
                <w:rFonts w:hint="eastAsia" w:eastAsia="宋体"/>
                <w:color w:val="auto"/>
                <w:sz w:val="21"/>
                <w:szCs w:val="21"/>
                <w:highlight w:val="none"/>
                <w:lang w:eastAsia="zh-CN"/>
              </w:rPr>
            </w:pPr>
            <w:r>
              <w:rPr>
                <w:rFonts w:hint="eastAsia"/>
                <w:color w:val="auto"/>
                <w:sz w:val="21"/>
                <w:szCs w:val="21"/>
                <w:highlight w:val="none"/>
                <w:lang w:val="en-US" w:eastAsia="zh-CN"/>
              </w:rPr>
              <w:t>3、故障响应时间</w:t>
            </w:r>
            <w:r>
              <w:rPr>
                <w:rFonts w:hint="eastAsia"/>
                <w:color w:val="auto"/>
                <w:sz w:val="21"/>
                <w:szCs w:val="21"/>
                <w:highlight w:val="none"/>
              </w:rPr>
              <w:t>：接到采购人处理问题通知后</w:t>
            </w:r>
            <w:r>
              <w:rPr>
                <w:rFonts w:hint="eastAsia"/>
                <w:color w:val="auto"/>
                <w:sz w:val="21"/>
                <w:szCs w:val="21"/>
                <w:highlight w:val="none"/>
                <w:lang w:val="en-US" w:eastAsia="zh-CN"/>
              </w:rPr>
              <w:t>2</w:t>
            </w:r>
            <w:r>
              <w:rPr>
                <w:rFonts w:hint="eastAsia"/>
                <w:color w:val="auto"/>
                <w:sz w:val="21"/>
                <w:szCs w:val="21"/>
                <w:highlight w:val="none"/>
              </w:rPr>
              <w:t>小时内到达采购人指定现场</w:t>
            </w:r>
            <w:r>
              <w:rPr>
                <w:rFonts w:hint="eastAsia"/>
                <w:color w:val="auto"/>
                <w:sz w:val="21"/>
                <w:szCs w:val="21"/>
                <w:highlight w:val="none"/>
                <w:lang w:eastAsia="zh-CN"/>
              </w:rPr>
              <w:t>。</w:t>
            </w:r>
          </w:p>
          <w:p>
            <w:pPr>
              <w:keepNext w:val="0"/>
              <w:keepLines w:val="0"/>
              <w:pageBreakBefore w:val="0"/>
              <w:kinsoku/>
              <w:wordWrap/>
              <w:overflowPunct/>
              <w:topLinePunct w:val="0"/>
              <w:autoSpaceDE/>
              <w:autoSpaceDN/>
              <w:bidi w:val="0"/>
              <w:adjustRightInd/>
              <w:snapToGrid/>
              <w:spacing w:line="420" w:lineRule="exact"/>
              <w:textAlignment w:val="auto"/>
              <w:rPr>
                <w:rFonts w:hint="eastAsia"/>
                <w:color w:val="auto"/>
                <w:sz w:val="21"/>
                <w:szCs w:val="21"/>
                <w:highlight w:val="none"/>
              </w:rPr>
            </w:pPr>
            <w:r>
              <w:rPr>
                <w:rFonts w:hint="eastAsia"/>
                <w:color w:val="auto"/>
                <w:sz w:val="21"/>
                <w:szCs w:val="21"/>
                <w:highlight w:val="none"/>
              </w:rPr>
              <w:t>六、其他要求：</w:t>
            </w:r>
          </w:p>
          <w:p>
            <w:pPr>
              <w:keepNext w:val="0"/>
              <w:keepLines w:val="0"/>
              <w:pageBreakBefore w:val="0"/>
              <w:kinsoku/>
              <w:wordWrap/>
              <w:overflowPunct/>
              <w:topLinePunct w:val="0"/>
              <w:autoSpaceDE/>
              <w:autoSpaceDN/>
              <w:bidi w:val="0"/>
              <w:adjustRightInd/>
              <w:snapToGrid/>
              <w:spacing w:line="420" w:lineRule="exact"/>
              <w:textAlignment w:val="auto"/>
              <w:rPr>
                <w:rFonts w:hint="eastAsia"/>
                <w:color w:val="auto"/>
                <w:sz w:val="21"/>
                <w:szCs w:val="21"/>
                <w:highlight w:val="none"/>
              </w:rPr>
            </w:pPr>
            <w:r>
              <w:rPr>
                <w:rFonts w:hint="eastAsia"/>
                <w:color w:val="auto"/>
                <w:sz w:val="21"/>
                <w:szCs w:val="21"/>
                <w:highlight w:val="none"/>
              </w:rPr>
              <w:t>1、报价必须</w:t>
            </w:r>
            <w:r>
              <w:rPr>
                <w:rFonts w:hint="eastAsia"/>
                <w:color w:val="auto"/>
                <w:sz w:val="21"/>
                <w:szCs w:val="21"/>
                <w:highlight w:val="none"/>
                <w:lang w:eastAsia="zh-CN"/>
              </w:rPr>
              <w:t>包含</w:t>
            </w:r>
            <w:r>
              <w:rPr>
                <w:rFonts w:hint="eastAsia"/>
                <w:color w:val="auto"/>
                <w:sz w:val="21"/>
                <w:szCs w:val="21"/>
                <w:highlight w:val="none"/>
              </w:rPr>
              <w:t>以下部分，包括：</w:t>
            </w:r>
          </w:p>
          <w:p>
            <w:pPr>
              <w:keepNext w:val="0"/>
              <w:keepLines w:val="0"/>
              <w:pageBreakBefore w:val="0"/>
              <w:kinsoku/>
              <w:wordWrap/>
              <w:overflowPunct/>
              <w:topLinePunct w:val="0"/>
              <w:autoSpaceDE/>
              <w:autoSpaceDN/>
              <w:bidi w:val="0"/>
              <w:adjustRightInd/>
              <w:snapToGrid/>
              <w:spacing w:line="420" w:lineRule="exact"/>
              <w:textAlignment w:val="auto"/>
              <w:rPr>
                <w:rFonts w:hint="eastAsia"/>
                <w:color w:val="auto"/>
                <w:sz w:val="21"/>
                <w:szCs w:val="21"/>
                <w:highlight w:val="none"/>
              </w:rPr>
            </w:pPr>
            <w:r>
              <w:rPr>
                <w:rFonts w:hint="eastAsia"/>
                <w:color w:val="auto"/>
                <w:sz w:val="21"/>
                <w:szCs w:val="21"/>
                <w:highlight w:val="none"/>
              </w:rPr>
              <w:t>（1）服务的价格</w:t>
            </w:r>
            <w:r>
              <w:rPr>
                <w:rFonts w:hint="eastAsia"/>
                <w:color w:val="auto"/>
                <w:sz w:val="21"/>
                <w:szCs w:val="21"/>
                <w:highlight w:val="none"/>
                <w:lang w:eastAsia="zh-CN"/>
              </w:rPr>
              <w:t>（</w:t>
            </w:r>
            <w:r>
              <w:rPr>
                <w:rFonts w:hint="eastAsia"/>
                <w:color w:val="auto"/>
                <w:sz w:val="21"/>
                <w:szCs w:val="21"/>
                <w:highlight w:val="none"/>
                <w:lang w:val="en-US" w:eastAsia="zh-CN"/>
              </w:rPr>
              <w:t>包括但不限于完成本次所采购服务</w:t>
            </w:r>
            <w:r>
              <w:rPr>
                <w:rFonts w:hint="eastAsia" w:ascii="宋体" w:hAnsi="宋体"/>
                <w:color w:val="auto"/>
                <w:sz w:val="21"/>
                <w:szCs w:val="21"/>
                <w:highlight w:val="none"/>
              </w:rPr>
              <w:t>所有工作人员的交通费、食宿费、劳务费、设备物资费</w:t>
            </w:r>
            <w:r>
              <w:rPr>
                <w:rFonts w:hint="eastAsia" w:ascii="宋体" w:hAnsi="宋体"/>
                <w:color w:val="auto"/>
                <w:sz w:val="21"/>
                <w:szCs w:val="21"/>
                <w:highlight w:val="none"/>
                <w:lang w:val="en-US" w:eastAsia="zh-CN"/>
              </w:rPr>
              <w:t>等</w:t>
            </w:r>
            <w:r>
              <w:rPr>
                <w:rFonts w:hint="eastAsia"/>
                <w:color w:val="auto"/>
                <w:sz w:val="21"/>
                <w:szCs w:val="21"/>
                <w:highlight w:val="none"/>
                <w:lang w:eastAsia="zh-CN"/>
              </w:rPr>
              <w:t>）</w:t>
            </w:r>
            <w:r>
              <w:rPr>
                <w:rFonts w:hint="eastAsia"/>
                <w:color w:val="auto"/>
                <w:sz w:val="21"/>
                <w:szCs w:val="21"/>
                <w:highlight w:val="none"/>
              </w:rPr>
              <w:t>；</w:t>
            </w:r>
          </w:p>
          <w:p>
            <w:pPr>
              <w:keepNext w:val="0"/>
              <w:keepLines w:val="0"/>
              <w:pageBreakBefore w:val="0"/>
              <w:kinsoku/>
              <w:wordWrap/>
              <w:overflowPunct/>
              <w:topLinePunct w:val="0"/>
              <w:autoSpaceDE/>
              <w:autoSpaceDN/>
              <w:bidi w:val="0"/>
              <w:adjustRightInd/>
              <w:snapToGrid/>
              <w:spacing w:line="420" w:lineRule="exact"/>
              <w:textAlignment w:val="auto"/>
              <w:rPr>
                <w:rFonts w:hint="eastAsia"/>
                <w:color w:val="auto"/>
                <w:sz w:val="21"/>
                <w:szCs w:val="21"/>
                <w:highlight w:val="none"/>
              </w:rPr>
            </w:pPr>
            <w:r>
              <w:rPr>
                <w:rFonts w:hint="eastAsia"/>
                <w:color w:val="auto"/>
                <w:sz w:val="21"/>
                <w:szCs w:val="21"/>
                <w:highlight w:val="none"/>
              </w:rPr>
              <w:t>（2）必要的保险费用和各项税金；</w:t>
            </w:r>
          </w:p>
          <w:p>
            <w:pPr>
              <w:keepNext w:val="0"/>
              <w:keepLines w:val="0"/>
              <w:pageBreakBefore w:val="0"/>
              <w:tabs>
                <w:tab w:val="left" w:pos="3490"/>
                <w:tab w:val="left" w:pos="3670"/>
                <w:tab w:val="left" w:pos="3895"/>
              </w:tabs>
              <w:kinsoku/>
              <w:wordWrap/>
              <w:overflowPunct/>
              <w:topLinePunct w:val="0"/>
              <w:autoSpaceDE/>
              <w:autoSpaceDN/>
              <w:bidi w:val="0"/>
              <w:adjustRightInd/>
              <w:snapToGrid/>
              <w:spacing w:line="420" w:lineRule="exact"/>
              <w:textAlignment w:val="auto"/>
              <w:rPr>
                <w:rFonts w:hint="eastAsia"/>
                <w:color w:val="auto"/>
                <w:sz w:val="21"/>
                <w:szCs w:val="21"/>
                <w:highlight w:val="none"/>
                <w:lang w:eastAsia="zh-CN"/>
              </w:rPr>
            </w:pPr>
            <w:r>
              <w:rPr>
                <w:rFonts w:hint="eastAsia"/>
                <w:color w:val="auto"/>
                <w:sz w:val="21"/>
                <w:szCs w:val="21"/>
                <w:highlight w:val="none"/>
              </w:rPr>
              <w:t>（3）按规定提取的保险和福利费</w:t>
            </w:r>
            <w:r>
              <w:rPr>
                <w:rFonts w:hint="eastAsia"/>
                <w:color w:val="auto"/>
                <w:sz w:val="21"/>
                <w:szCs w:val="21"/>
                <w:highlight w:val="none"/>
                <w:lang w:eastAsia="zh-CN"/>
              </w:rPr>
              <w:t>、</w:t>
            </w:r>
            <w:r>
              <w:rPr>
                <w:rFonts w:hint="eastAsia"/>
                <w:color w:val="auto"/>
                <w:sz w:val="21"/>
                <w:szCs w:val="21"/>
                <w:highlight w:val="none"/>
              </w:rPr>
              <w:t>日常工作耗用办公材料费用</w:t>
            </w:r>
            <w:r>
              <w:rPr>
                <w:rFonts w:hint="eastAsia"/>
                <w:color w:val="auto"/>
                <w:sz w:val="21"/>
                <w:szCs w:val="21"/>
                <w:highlight w:val="none"/>
                <w:lang w:eastAsia="zh-CN"/>
              </w:rPr>
              <w:t>、</w:t>
            </w:r>
            <w:r>
              <w:rPr>
                <w:rFonts w:hint="eastAsia"/>
                <w:color w:val="auto"/>
                <w:sz w:val="21"/>
                <w:szCs w:val="21"/>
                <w:highlight w:val="none"/>
              </w:rPr>
              <w:t>员工劳动保护用品及工作服装</w:t>
            </w:r>
            <w:r>
              <w:rPr>
                <w:rFonts w:hint="eastAsia"/>
                <w:color w:val="auto"/>
                <w:sz w:val="21"/>
                <w:szCs w:val="21"/>
                <w:highlight w:val="none"/>
                <w:lang w:eastAsia="zh-CN"/>
              </w:rPr>
              <w:t>、</w:t>
            </w:r>
            <w:r>
              <w:rPr>
                <w:rFonts w:hint="eastAsia"/>
                <w:color w:val="auto"/>
                <w:sz w:val="21"/>
                <w:szCs w:val="21"/>
                <w:highlight w:val="none"/>
              </w:rPr>
              <w:t>企业合理利润</w:t>
            </w:r>
            <w:r>
              <w:rPr>
                <w:rFonts w:hint="eastAsia"/>
                <w:color w:val="auto"/>
                <w:sz w:val="21"/>
                <w:szCs w:val="21"/>
                <w:highlight w:val="none"/>
                <w:lang w:val="en-US" w:eastAsia="zh-CN"/>
              </w:rPr>
              <w:t>等；</w:t>
            </w:r>
          </w:p>
          <w:p>
            <w:pPr>
              <w:keepNext w:val="0"/>
              <w:keepLines w:val="0"/>
              <w:pageBreakBefore w:val="0"/>
              <w:tabs>
                <w:tab w:val="left" w:pos="3490"/>
                <w:tab w:val="left" w:pos="3670"/>
                <w:tab w:val="left" w:pos="3895"/>
              </w:tabs>
              <w:kinsoku/>
              <w:wordWrap/>
              <w:overflowPunct/>
              <w:topLinePunct w:val="0"/>
              <w:autoSpaceDE/>
              <w:autoSpaceDN/>
              <w:bidi w:val="0"/>
              <w:adjustRightInd/>
              <w:snapToGrid/>
              <w:spacing w:line="420" w:lineRule="exact"/>
              <w:textAlignment w:val="auto"/>
              <w:rPr>
                <w:rFonts w:hint="eastAsia"/>
                <w:color w:val="auto"/>
                <w:sz w:val="21"/>
                <w:szCs w:val="21"/>
                <w:highlight w:val="none"/>
                <w:lang w:eastAsia="zh-CN"/>
              </w:rPr>
            </w:pPr>
            <w:r>
              <w:rPr>
                <w:rFonts w:hint="eastAsia"/>
                <w:color w:val="auto"/>
                <w:sz w:val="21"/>
                <w:szCs w:val="21"/>
                <w:highlight w:val="none"/>
                <w:lang w:eastAsia="zh-CN"/>
              </w:rPr>
              <w:t>（</w:t>
            </w:r>
            <w:r>
              <w:rPr>
                <w:rFonts w:hint="eastAsia"/>
                <w:color w:val="auto"/>
                <w:sz w:val="21"/>
                <w:szCs w:val="21"/>
                <w:highlight w:val="none"/>
                <w:lang w:val="en-US" w:eastAsia="zh-CN"/>
              </w:rPr>
              <w:t>4</w:t>
            </w:r>
            <w:r>
              <w:rPr>
                <w:rFonts w:hint="eastAsia"/>
                <w:color w:val="auto"/>
                <w:sz w:val="21"/>
                <w:szCs w:val="21"/>
                <w:highlight w:val="none"/>
                <w:lang w:eastAsia="zh-CN"/>
              </w:rPr>
              <w:t>）</w:t>
            </w:r>
            <w:r>
              <w:rPr>
                <w:rFonts w:hint="eastAsia"/>
                <w:color w:val="auto"/>
                <w:sz w:val="21"/>
                <w:szCs w:val="21"/>
                <w:highlight w:val="none"/>
              </w:rPr>
              <w:t>成交后，所发生的一切费用，无论供应商是否在报价中列出相关明细报价，采购人均认为其价格已含在报价中，不得以任何理由向采购人提出增加费用的要求，且不能影响服务质量。</w:t>
            </w:r>
            <w:r>
              <w:rPr>
                <w:rFonts w:hint="eastAsia"/>
                <w:color w:val="auto"/>
                <w:sz w:val="21"/>
                <w:szCs w:val="21"/>
                <w:highlight w:val="none"/>
                <w:lang w:val="en-US" w:eastAsia="zh-CN"/>
              </w:rPr>
              <w:t>采购人</w:t>
            </w:r>
            <w:r>
              <w:rPr>
                <w:rFonts w:hint="eastAsia"/>
                <w:color w:val="auto"/>
                <w:sz w:val="21"/>
                <w:szCs w:val="21"/>
                <w:highlight w:val="none"/>
              </w:rPr>
              <w:t>无需向</w:t>
            </w:r>
            <w:r>
              <w:rPr>
                <w:rFonts w:hint="eastAsia"/>
                <w:color w:val="auto"/>
                <w:sz w:val="21"/>
                <w:szCs w:val="21"/>
                <w:highlight w:val="none"/>
                <w:lang w:val="en-US" w:eastAsia="zh-CN"/>
              </w:rPr>
              <w:t>成交供应商</w:t>
            </w:r>
            <w:r>
              <w:rPr>
                <w:rFonts w:hint="eastAsia"/>
                <w:color w:val="auto"/>
                <w:sz w:val="21"/>
                <w:szCs w:val="21"/>
                <w:highlight w:val="none"/>
              </w:rPr>
              <w:t>再另行支付任何费用。</w:t>
            </w:r>
          </w:p>
          <w:p>
            <w:pPr>
              <w:keepNext w:val="0"/>
              <w:keepLines w:val="0"/>
              <w:pageBreakBefore w:val="0"/>
              <w:kinsoku/>
              <w:wordWrap/>
              <w:overflowPunct/>
              <w:topLinePunct w:val="0"/>
              <w:autoSpaceDE/>
              <w:autoSpaceDN/>
              <w:bidi w:val="0"/>
              <w:adjustRightInd/>
              <w:snapToGrid/>
              <w:spacing w:line="420" w:lineRule="exact"/>
              <w:textAlignment w:val="auto"/>
              <w:rPr>
                <w:rFonts w:hint="eastAsia"/>
                <w:color w:val="auto"/>
                <w:sz w:val="21"/>
                <w:szCs w:val="21"/>
                <w:highlight w:val="none"/>
              </w:rPr>
            </w:pPr>
            <w:r>
              <w:rPr>
                <w:rFonts w:hint="eastAsia"/>
                <w:color w:val="auto"/>
                <w:sz w:val="21"/>
                <w:szCs w:val="21"/>
                <w:highlight w:val="none"/>
              </w:rPr>
              <w:t>▲2、付款方式：</w:t>
            </w:r>
          </w:p>
          <w:p>
            <w:pPr>
              <w:keepNext w:val="0"/>
              <w:keepLines w:val="0"/>
              <w:pageBreakBefore w:val="0"/>
              <w:tabs>
                <w:tab w:val="left" w:pos="3490"/>
                <w:tab w:val="left" w:pos="3670"/>
                <w:tab w:val="left" w:pos="3895"/>
              </w:tabs>
              <w:kinsoku/>
              <w:wordWrap/>
              <w:overflowPunct/>
              <w:topLinePunct w:val="0"/>
              <w:autoSpaceDE/>
              <w:autoSpaceDN/>
              <w:bidi w:val="0"/>
              <w:adjustRightInd/>
              <w:snapToGrid/>
              <w:spacing w:line="420" w:lineRule="exact"/>
              <w:textAlignment w:val="auto"/>
              <w:rPr>
                <w:rFonts w:hint="eastAsia" w:eastAsia="宋体"/>
                <w:color w:val="auto"/>
                <w:sz w:val="21"/>
                <w:szCs w:val="21"/>
                <w:highlight w:val="none"/>
                <w:lang w:val="en-US" w:eastAsia="zh-CN"/>
              </w:rPr>
            </w:pPr>
            <w:r>
              <w:rPr>
                <w:rFonts w:hint="eastAsia" w:eastAsia="宋体"/>
                <w:color w:val="auto"/>
                <w:sz w:val="21"/>
                <w:szCs w:val="21"/>
                <w:highlight w:val="none"/>
                <w:lang w:val="en-US" w:eastAsia="zh-CN"/>
              </w:rPr>
              <w:t>（1）自采购合同签订之日起30日内采购人向</w:t>
            </w:r>
            <w:r>
              <w:rPr>
                <w:rFonts w:hint="eastAsia"/>
                <w:color w:val="auto"/>
                <w:sz w:val="21"/>
                <w:szCs w:val="21"/>
                <w:highlight w:val="none"/>
                <w:lang w:val="en-US" w:eastAsia="zh-CN"/>
              </w:rPr>
              <w:t>市财政局申请合同金额的</w:t>
            </w:r>
            <w:r>
              <w:rPr>
                <w:rFonts w:hint="eastAsia" w:eastAsia="宋体"/>
                <w:color w:val="auto"/>
                <w:sz w:val="21"/>
                <w:szCs w:val="21"/>
                <w:highlight w:val="none"/>
                <w:lang w:val="en-US" w:eastAsia="zh-CN"/>
              </w:rPr>
              <w:t>30%作为预付款；</w:t>
            </w:r>
          </w:p>
          <w:p>
            <w:pPr>
              <w:keepNext w:val="0"/>
              <w:keepLines w:val="0"/>
              <w:pageBreakBefore w:val="0"/>
              <w:tabs>
                <w:tab w:val="left" w:pos="3490"/>
                <w:tab w:val="left" w:pos="3670"/>
                <w:tab w:val="left" w:pos="3895"/>
              </w:tabs>
              <w:kinsoku/>
              <w:wordWrap/>
              <w:overflowPunct/>
              <w:topLinePunct w:val="0"/>
              <w:autoSpaceDE/>
              <w:autoSpaceDN/>
              <w:bidi w:val="0"/>
              <w:adjustRightInd/>
              <w:snapToGrid/>
              <w:spacing w:line="420" w:lineRule="exact"/>
              <w:textAlignment w:val="auto"/>
              <w:rPr>
                <w:rFonts w:hint="eastAsia" w:eastAsia="宋体"/>
                <w:color w:val="auto"/>
                <w:sz w:val="21"/>
                <w:szCs w:val="21"/>
                <w:highlight w:val="none"/>
                <w:lang w:val="en-US" w:eastAsia="zh-CN"/>
              </w:rPr>
            </w:pPr>
            <w:r>
              <w:rPr>
                <w:rFonts w:hint="eastAsia" w:eastAsia="宋体"/>
                <w:color w:val="auto"/>
                <w:sz w:val="21"/>
                <w:szCs w:val="21"/>
                <w:highlight w:val="none"/>
                <w:lang w:val="en-US" w:eastAsia="zh-CN"/>
              </w:rPr>
              <w:t>（2）成交供应商提交所有的服务材料且项目完成验收</w:t>
            </w:r>
            <w:r>
              <w:rPr>
                <w:rFonts w:hint="eastAsia"/>
                <w:color w:val="auto"/>
                <w:sz w:val="21"/>
                <w:szCs w:val="21"/>
                <w:highlight w:val="none"/>
                <w:lang w:val="en-US" w:eastAsia="zh-CN"/>
              </w:rPr>
              <w:t>合格后，</w:t>
            </w:r>
            <w:r>
              <w:rPr>
                <w:rFonts w:hint="eastAsia" w:eastAsia="宋体"/>
                <w:color w:val="auto"/>
                <w:sz w:val="21"/>
                <w:szCs w:val="21"/>
                <w:highlight w:val="none"/>
                <w:lang w:val="en-US" w:eastAsia="zh-CN"/>
              </w:rPr>
              <w:t>1个月内</w:t>
            </w:r>
            <w:r>
              <w:rPr>
                <w:rFonts w:hint="eastAsia"/>
                <w:color w:val="auto"/>
                <w:sz w:val="21"/>
                <w:szCs w:val="21"/>
                <w:highlight w:val="none"/>
                <w:lang w:val="en-US" w:eastAsia="zh-CN"/>
              </w:rPr>
              <w:t>采购人向市财政局申请资金，支付余下项目款项（具体金额以实际费用为准）。</w:t>
            </w:r>
          </w:p>
          <w:p>
            <w:pPr>
              <w:keepNext w:val="0"/>
              <w:keepLines w:val="0"/>
              <w:pageBreakBefore w:val="0"/>
              <w:tabs>
                <w:tab w:val="left" w:pos="3490"/>
                <w:tab w:val="left" w:pos="3670"/>
                <w:tab w:val="left" w:pos="3895"/>
              </w:tabs>
              <w:kinsoku/>
              <w:wordWrap/>
              <w:overflowPunct/>
              <w:topLinePunct w:val="0"/>
              <w:autoSpaceDE/>
              <w:autoSpaceDN/>
              <w:bidi w:val="0"/>
              <w:adjustRightInd/>
              <w:snapToGrid/>
              <w:spacing w:line="420" w:lineRule="exact"/>
              <w:textAlignment w:val="auto"/>
              <w:rPr>
                <w:rFonts w:hint="eastAsia" w:ascii="宋体" w:hAnsi="宋体" w:eastAsia="宋体" w:cs="宋体"/>
                <w:color w:val="auto"/>
                <w:sz w:val="21"/>
                <w:szCs w:val="21"/>
                <w:highlight w:val="none"/>
                <w:lang w:val="en-US" w:eastAsia="zh-CN"/>
              </w:rPr>
            </w:pPr>
            <w:r>
              <w:rPr>
                <w:rFonts w:hint="eastAsia" w:eastAsia="宋体"/>
                <w:color w:val="auto"/>
                <w:sz w:val="21"/>
                <w:szCs w:val="21"/>
                <w:highlight w:val="none"/>
                <w:lang w:val="en-US" w:eastAsia="zh-CN"/>
              </w:rPr>
              <w:t>（3）成交供应商应在采购人</w:t>
            </w:r>
            <w:r>
              <w:rPr>
                <w:rFonts w:hint="eastAsia"/>
                <w:color w:val="auto"/>
                <w:sz w:val="21"/>
                <w:szCs w:val="21"/>
                <w:highlight w:val="none"/>
                <w:lang w:val="en-US" w:eastAsia="zh-CN"/>
              </w:rPr>
              <w:t>申请</w:t>
            </w:r>
            <w:r>
              <w:rPr>
                <w:rFonts w:hint="eastAsia" w:eastAsia="宋体"/>
                <w:color w:val="auto"/>
                <w:sz w:val="21"/>
                <w:szCs w:val="21"/>
                <w:highlight w:val="none"/>
                <w:lang w:val="en-US" w:eastAsia="zh-CN"/>
              </w:rPr>
              <w:t>支付合同款项前，向采购人提供对应金额的完税发票</w:t>
            </w:r>
            <w:r>
              <w:rPr>
                <w:rFonts w:hint="eastAsia"/>
                <w:color w:val="auto"/>
                <w:sz w:val="21"/>
                <w:szCs w:val="21"/>
                <w:highlight w:val="none"/>
                <w:lang w:val="en-US" w:eastAsia="zh-CN"/>
              </w:rPr>
              <w:t>及请款函，采购人将请款材料递交市财政局申请支付有关款项，</w:t>
            </w:r>
            <w:r>
              <w:rPr>
                <w:rFonts w:hint="eastAsia" w:eastAsia="宋体"/>
                <w:color w:val="auto"/>
                <w:sz w:val="21"/>
                <w:szCs w:val="21"/>
                <w:highlight w:val="none"/>
                <w:lang w:val="en-US" w:eastAsia="zh-CN"/>
              </w:rPr>
              <w:t>一切税费均由成交供应商负担。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52" w:hRule="atLeast"/>
          <w:jc w:val="center"/>
        </w:trPr>
        <w:tc>
          <w:tcPr>
            <w:tcW w:w="54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其他说明</w:t>
            </w:r>
          </w:p>
        </w:tc>
        <w:tc>
          <w:tcPr>
            <w:tcW w:w="9936" w:type="dxa"/>
            <w:gridSpan w:val="7"/>
            <w:tcBorders>
              <w:top w:val="single" w:color="auto" w:sz="4" w:space="0"/>
              <w:left w:val="single" w:color="auto" w:sz="4" w:space="0"/>
              <w:bottom w:val="single" w:color="auto" w:sz="4" w:space="0"/>
              <w:right w:val="single" w:color="auto" w:sz="4" w:space="0"/>
            </w:tcBorders>
            <w:noWrap w:val="0"/>
            <w:vAlign w:val="top"/>
          </w:tcPr>
          <w:p>
            <w:pPr>
              <w:widowControl/>
              <w:shd w:val="clear" w:color="auto" w:fill="FFFFFF"/>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一、进口产品说明</w:t>
            </w:r>
          </w:p>
          <w:p>
            <w:pPr>
              <w:widowControl/>
              <w:shd w:val="clear" w:color="auto" w:fill="FFFFFF"/>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本项目服务所涉及的货物不接受进口产品（即通过中国海关报关验放进入中国境内且产自关境外的产品）参与投标，如有进口产品参与投标的作无效标处理。</w:t>
            </w:r>
          </w:p>
          <w:p>
            <w:pPr>
              <w:widowControl/>
              <w:numPr>
                <w:ilvl w:val="0"/>
                <w:numId w:val="2"/>
              </w:numPr>
              <w:shd w:val="clear" w:color="auto" w:fill="FFFFFF"/>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其他</w:t>
            </w:r>
          </w:p>
          <w:p>
            <w:pPr>
              <w:widowControl/>
              <w:shd w:val="clear" w:color="auto" w:fill="FFFFFF"/>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本项目所采购货物如需执行国家相关标准、行业标准、地方标准要求时，应执行相应的标准、规范。如具体采购需求与标准、规范不一致的，高于标准、规范的按具体采购需求执行，低于标准、规范的按标准、规范执行。</w:t>
            </w:r>
          </w:p>
          <w:p>
            <w:pPr>
              <w:widowControl/>
              <w:shd w:val="clear" w:color="auto" w:fill="FFFFFF"/>
              <w:spacing w:line="360" w:lineRule="auto"/>
              <w:ind w:firstLine="210" w:firstLineChars="100"/>
              <w:rPr>
                <w:rFonts w:hint="eastAsia" w:ascii="宋体" w:hAnsi="宋体" w:eastAsia="宋体" w:cs="宋体"/>
                <w:color w:val="auto"/>
                <w:sz w:val="21"/>
                <w:szCs w:val="21"/>
                <w:highlight w:val="none"/>
              </w:rPr>
            </w:pPr>
            <w:bookmarkStart w:id="49" w:name="PO_3000001868_PM041"/>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、是否进行演示：</w:t>
            </w:r>
            <w:bookmarkEnd w:id="49"/>
            <w:r>
              <w:rPr>
                <w:rFonts w:hint="eastAsia" w:ascii="宋体" w:hAnsi="宋体" w:eastAsia="宋体" w:cs="宋体"/>
                <w:color w:val="auto"/>
                <w:sz w:val="21"/>
                <w:szCs w:val="21"/>
                <w:highlight w:val="none"/>
              </w:rPr>
              <w:t>无。</w:t>
            </w:r>
          </w:p>
          <w:p>
            <w:pPr>
              <w:widowControl/>
              <w:shd w:val="clear" w:color="auto" w:fill="FFFFFF"/>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w:t>
            </w:r>
            <w:bookmarkStart w:id="50" w:name="PO_3000001868_PM043"/>
            <w:r>
              <w:rPr>
                <w:rFonts w:hint="eastAsia" w:ascii="宋体" w:hAnsi="宋体" w:eastAsia="宋体" w:cs="宋体"/>
                <w:color w:val="auto"/>
                <w:sz w:val="21"/>
                <w:szCs w:val="21"/>
                <w:highlight w:val="none"/>
              </w:rPr>
              <w:t>是否要求提供样品：</w:t>
            </w:r>
            <w:bookmarkEnd w:id="50"/>
            <w:r>
              <w:rPr>
                <w:rFonts w:hint="eastAsia" w:ascii="宋体" w:hAnsi="宋体" w:eastAsia="宋体" w:cs="宋体"/>
                <w:color w:val="auto"/>
                <w:sz w:val="21"/>
                <w:szCs w:val="21"/>
                <w:highlight w:val="none"/>
              </w:rPr>
              <w:t>无。</w:t>
            </w:r>
          </w:p>
          <w:p>
            <w:pPr>
              <w:widowControl/>
              <w:shd w:val="clear" w:color="auto" w:fill="FFFFFF"/>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w:t>
            </w:r>
            <w:bookmarkStart w:id="51" w:name="PO_3000001868_PM040"/>
            <w:r>
              <w:rPr>
                <w:rFonts w:hint="eastAsia" w:ascii="宋体" w:hAnsi="宋体" w:eastAsia="宋体" w:cs="宋体"/>
                <w:color w:val="auto"/>
                <w:sz w:val="21"/>
                <w:szCs w:val="21"/>
                <w:highlight w:val="none"/>
              </w:rPr>
              <w:t>是否现场踏勘：</w:t>
            </w:r>
            <w:bookmarkEnd w:id="51"/>
            <w:r>
              <w:rPr>
                <w:rFonts w:hint="eastAsia" w:ascii="宋体" w:hAnsi="宋体" w:eastAsia="宋体" w:cs="宋体"/>
                <w:color w:val="auto"/>
                <w:sz w:val="21"/>
                <w:szCs w:val="21"/>
                <w:highlight w:val="none"/>
              </w:rPr>
              <w:t>不组织。</w:t>
            </w:r>
          </w:p>
        </w:tc>
      </w:tr>
      <w:bookmarkEnd w:id="48"/>
    </w:tbl>
    <w:p>
      <w:pPr>
        <w:tabs>
          <w:tab w:val="left" w:pos="180"/>
          <w:tab w:val="left" w:pos="1620"/>
        </w:tabs>
        <w:spacing w:line="360" w:lineRule="auto"/>
        <w:ind w:firstLine="422" w:firstLineChars="200"/>
        <w:rPr>
          <w:rFonts w:hint="eastAsia" w:ascii="宋体" w:hAnsi="宋体" w:eastAsia="宋体" w:cs="宋体"/>
          <w:b/>
          <w:bCs/>
          <w:color w:val="auto"/>
          <w:szCs w:val="21"/>
          <w:highlight w:val="none"/>
        </w:rPr>
        <w:sectPr>
          <w:pgSz w:w="11910" w:h="16840"/>
          <w:pgMar w:top="1440" w:right="1080" w:bottom="1440" w:left="1080" w:header="720" w:footer="720" w:gutter="0"/>
          <w:pgNumType w:fmt="decimal"/>
          <w:cols w:space="720" w:num="1"/>
        </w:sectPr>
      </w:pPr>
    </w:p>
    <w:tbl>
      <w:tblPr>
        <w:tblStyle w:val="28"/>
        <w:tblW w:w="10481"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5"/>
        <w:gridCol w:w="545"/>
        <w:gridCol w:w="1229"/>
        <w:gridCol w:w="495"/>
        <w:gridCol w:w="465"/>
        <w:gridCol w:w="4538"/>
        <w:gridCol w:w="1365"/>
        <w:gridCol w:w="129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16" w:hRule="atLeast"/>
          <w:jc w:val="center"/>
        </w:trPr>
        <w:tc>
          <w:tcPr>
            <w:tcW w:w="10481" w:type="dxa"/>
            <w:gridSpan w:val="8"/>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color w:val="auto"/>
                <w:sz w:val="24"/>
                <w:highlight w:val="none"/>
              </w:rPr>
            </w:pPr>
            <w:r>
              <w:rPr>
                <w:rFonts w:hint="eastAsia" w:ascii="宋体" w:hAnsi="宋体" w:eastAsia="宋体" w:cs="宋体"/>
                <w:b/>
                <w:color w:val="auto"/>
                <w:sz w:val="32"/>
                <w:szCs w:val="32"/>
                <w:highlight w:val="none"/>
              </w:rPr>
              <w:t>服务需求一览表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26" w:hRule="atLeast"/>
          <w:jc w:val="center"/>
        </w:trPr>
        <w:tc>
          <w:tcPr>
            <w:tcW w:w="2319" w:type="dxa"/>
            <w:gridSpan w:val="3"/>
            <w:tcBorders>
              <w:top w:val="single" w:color="auto" w:sz="4" w:space="0"/>
              <w:left w:val="single" w:color="auto" w:sz="4" w:space="0"/>
              <w:right w:val="single" w:color="auto" w:sz="4" w:space="0"/>
            </w:tcBorders>
            <w:noWrap w:val="0"/>
            <w:vAlign w:val="center"/>
          </w:tcPr>
          <w:p>
            <w:pPr>
              <w:spacing w:line="320" w:lineRule="exact"/>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标段</w:t>
            </w:r>
          </w:p>
        </w:tc>
        <w:tc>
          <w:tcPr>
            <w:tcW w:w="8162" w:type="dxa"/>
            <w:gridSpan w:val="5"/>
            <w:tcBorders>
              <w:top w:val="single" w:color="auto" w:sz="4" w:space="0"/>
              <w:left w:val="single" w:color="auto" w:sz="4" w:space="0"/>
              <w:right w:val="single" w:color="auto" w:sz="4" w:space="0"/>
            </w:tcBorders>
            <w:noWrap w:val="0"/>
            <w:vAlign w:val="center"/>
          </w:tcPr>
          <w:p>
            <w:pPr>
              <w:spacing w:line="320" w:lineRule="exact"/>
              <w:jc w:val="left"/>
              <w:rPr>
                <w:rFonts w:hint="eastAsia" w:ascii="宋体" w:hAnsi="宋体" w:eastAsia="宋体" w:cs="宋体"/>
                <w:b/>
                <w:bCs/>
                <w:color w:val="auto"/>
                <w:sz w:val="28"/>
                <w:highlight w:val="none"/>
                <w:lang w:val="en-US" w:eastAsia="zh-CN"/>
              </w:rPr>
            </w:pPr>
            <w:r>
              <w:rPr>
                <w:rFonts w:hint="eastAsia" w:ascii="宋体" w:hAnsi="宋体" w:cs="宋体"/>
                <w:b/>
                <w:bCs/>
                <w:color w:val="auto"/>
                <w:sz w:val="32"/>
                <w:szCs w:val="32"/>
                <w:highlight w:val="none"/>
                <w:lang w:val="en-US" w:eastAsia="zh-CN"/>
              </w:rPr>
              <w:t>B</w:t>
            </w:r>
            <w:r>
              <w:rPr>
                <w:rFonts w:hint="eastAsia" w:ascii="宋体" w:hAnsi="宋体" w:eastAsia="宋体" w:cs="宋体"/>
                <w:b/>
                <w:bCs/>
                <w:color w:val="auto"/>
                <w:sz w:val="32"/>
                <w:szCs w:val="32"/>
                <w:highlight w:val="none"/>
                <w:lang w:val="en-US" w:eastAsia="zh-CN"/>
              </w:rPr>
              <w:t>分标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370" w:hRule="atLeast"/>
          <w:jc w:val="center"/>
        </w:trPr>
        <w:tc>
          <w:tcPr>
            <w:tcW w:w="545" w:type="dxa"/>
            <w:vMerge w:val="restart"/>
            <w:tcBorders>
              <w:top w:val="single" w:color="auto" w:sz="4" w:space="0"/>
              <w:left w:val="single" w:color="auto" w:sz="4" w:space="0"/>
              <w:right w:val="single" w:color="auto" w:sz="4" w:space="0"/>
            </w:tcBorders>
            <w:noWrap w:val="0"/>
            <w:vAlign w:val="top"/>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采购清单及技术参数</w:t>
            </w:r>
          </w:p>
        </w:tc>
        <w:tc>
          <w:tcPr>
            <w:tcW w:w="54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22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服务</w:t>
            </w:r>
            <w:r>
              <w:rPr>
                <w:rFonts w:hint="eastAsia" w:ascii="宋体" w:hAnsi="宋体" w:eastAsia="宋体" w:cs="宋体"/>
                <w:color w:val="auto"/>
                <w:sz w:val="21"/>
                <w:szCs w:val="21"/>
                <w:highlight w:val="none"/>
              </w:rPr>
              <w:t>名称</w:t>
            </w:r>
          </w:p>
        </w:tc>
        <w:tc>
          <w:tcPr>
            <w:tcW w:w="49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单位</w:t>
            </w:r>
          </w:p>
        </w:tc>
        <w:tc>
          <w:tcPr>
            <w:tcW w:w="46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数量</w:t>
            </w:r>
          </w:p>
        </w:tc>
        <w:tc>
          <w:tcPr>
            <w:tcW w:w="453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服务参数</w:t>
            </w:r>
          </w:p>
        </w:tc>
        <w:tc>
          <w:tcPr>
            <w:tcW w:w="136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预算</w:t>
            </w:r>
            <w:r>
              <w:rPr>
                <w:rFonts w:hint="eastAsia" w:ascii="宋体" w:hAnsi="宋体" w:eastAsia="宋体" w:cs="宋体"/>
                <w:color w:val="auto"/>
                <w:sz w:val="21"/>
                <w:szCs w:val="21"/>
                <w:highlight w:val="none"/>
                <w:lang w:val="en-US" w:eastAsia="zh-CN"/>
              </w:rPr>
              <w:t>金额</w:t>
            </w:r>
            <w:r>
              <w:rPr>
                <w:rFonts w:hint="eastAsia" w:ascii="宋体" w:hAnsi="宋体" w:eastAsia="宋体" w:cs="宋体"/>
                <w:color w:val="auto"/>
                <w:sz w:val="21"/>
                <w:szCs w:val="21"/>
                <w:highlight w:val="none"/>
              </w:rPr>
              <w:t>（元）</w:t>
            </w:r>
          </w:p>
        </w:tc>
        <w:tc>
          <w:tcPr>
            <w:tcW w:w="129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中小企业划分标准所属行业名称（行业名称及划分见本章附件</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90" w:hRule="atLeast"/>
          <w:jc w:val="center"/>
        </w:trPr>
        <w:tc>
          <w:tcPr>
            <w:tcW w:w="545" w:type="dxa"/>
            <w:vMerge w:val="continue"/>
            <w:tcBorders>
              <w:left w:val="single" w:color="auto" w:sz="4" w:space="0"/>
              <w:right w:val="single" w:color="auto" w:sz="4" w:space="0"/>
            </w:tcBorders>
            <w:noWrap w:val="0"/>
            <w:vAlign w:val="top"/>
          </w:tcPr>
          <w:p>
            <w:pPr>
              <w:spacing w:line="240" w:lineRule="exact"/>
              <w:jc w:val="center"/>
              <w:rPr>
                <w:rFonts w:hint="eastAsia" w:ascii="宋体" w:hAnsi="宋体" w:eastAsia="宋体" w:cs="宋体"/>
                <w:b/>
                <w:bCs/>
                <w:color w:val="auto"/>
                <w:sz w:val="21"/>
                <w:szCs w:val="21"/>
                <w:highlight w:val="none"/>
              </w:rPr>
            </w:pPr>
          </w:p>
        </w:tc>
        <w:tc>
          <w:tcPr>
            <w:tcW w:w="54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1229"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eastAsia="zh-CN"/>
              </w:rPr>
              <w:t>2025年特殊困难老年人家庭居家适老化改造项目</w:t>
            </w:r>
          </w:p>
        </w:tc>
        <w:tc>
          <w:tcPr>
            <w:tcW w:w="49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项</w:t>
            </w:r>
          </w:p>
        </w:tc>
        <w:tc>
          <w:tcPr>
            <w:tcW w:w="46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4538" w:type="dxa"/>
            <w:tcBorders>
              <w:top w:val="single" w:color="auto" w:sz="4" w:space="0"/>
              <w:left w:val="single" w:color="auto" w:sz="4" w:space="0"/>
              <w:bottom w:val="single" w:color="auto" w:sz="4" w:space="0"/>
              <w:right w:val="single" w:color="auto" w:sz="4" w:space="0"/>
            </w:tcBorders>
            <w:noWrap w:val="0"/>
            <w:vAlign w:val="top"/>
          </w:tcPr>
          <w:p>
            <w:pPr>
              <w:spacing w:line="360" w:lineRule="auto"/>
              <w:ind w:firstLine="420" w:firstLineChars="20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本分标区域范围：B分标（共183户）: 南乡镇38户、那阳镇17户、百合镇38户、马山镇22户、马岭镇11户、云表镇25户、校椅镇26户、镇龙乡6户（具体内容详见附件1）；</w:t>
            </w:r>
          </w:p>
          <w:p>
            <w:pPr>
              <w:spacing w:line="360" w:lineRule="auto"/>
              <w:ind w:firstLine="420" w:firstLineChars="20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为积极应对人口老龄化，</w:t>
            </w:r>
            <w:r>
              <w:rPr>
                <w:rFonts w:hint="eastAsia" w:ascii="Times New Roman" w:hAnsi="Times New Roman" w:eastAsia="宋体" w:cs="Times New Roman"/>
                <w:color w:val="auto"/>
                <w:highlight w:val="none"/>
                <w:lang w:eastAsia="zh-CN"/>
              </w:rPr>
              <w:t>帮助困难老年人家庭改善居住条件和生活质量</w:t>
            </w:r>
            <w:r>
              <w:rPr>
                <w:rFonts w:hint="eastAsia" w:ascii="Times New Roman" w:hAnsi="Times New Roman" w:eastAsia="宋体" w:cs="Times New Roman"/>
                <w:color w:val="auto"/>
                <w:highlight w:val="none"/>
              </w:rPr>
              <w:t>，</w:t>
            </w:r>
            <w:r>
              <w:rPr>
                <w:rFonts w:hint="eastAsia" w:ascii="Times New Roman" w:hAnsi="Times New Roman" w:eastAsia="宋体" w:cs="Times New Roman"/>
                <w:color w:val="auto"/>
                <w:highlight w:val="none"/>
                <w:lang w:val="en-US" w:eastAsia="zh-CN"/>
              </w:rPr>
              <w:t>根据</w:t>
            </w:r>
            <w:r>
              <w:rPr>
                <w:rFonts w:hint="eastAsia" w:ascii="Times New Roman" w:hAnsi="Times New Roman" w:eastAsia="宋体" w:cs="Times New Roman"/>
                <w:color w:val="auto"/>
                <w:highlight w:val="none"/>
              </w:rPr>
              <w:t>民政部等9部委联合印发《关于加快实施老年人居家适老化改造工程的指导意见》（</w:t>
            </w:r>
            <w:r>
              <w:rPr>
                <w:rFonts w:hint="eastAsia" w:ascii="Times New Roman" w:hAnsi="Times New Roman" w:eastAsia="宋体" w:cs="Times New Roman"/>
                <w:color w:val="auto"/>
                <w:highlight w:val="none"/>
                <w:lang w:val="en-US" w:eastAsia="zh-CN"/>
              </w:rPr>
              <w:t>民发〔2020〕86号</w:t>
            </w:r>
            <w:r>
              <w:rPr>
                <w:rFonts w:hint="eastAsia" w:ascii="Times New Roman" w:hAnsi="Times New Roman" w:eastAsia="宋体" w:cs="Times New Roman"/>
                <w:color w:val="auto"/>
                <w:highlight w:val="none"/>
              </w:rPr>
              <w:t>）</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广西壮族自治区民政厅 广西壮族自治区发展和改革委员会关于印发《广西壮族自治区“十四五”养老服务体系规划》的通知</w:t>
            </w:r>
            <w:r>
              <w:rPr>
                <w:rFonts w:hint="eastAsia" w:ascii="Times New Roman" w:hAnsi="Times New Roman" w:eastAsia="宋体" w:cs="Times New Roman"/>
                <w:color w:val="auto"/>
                <w:highlight w:val="none"/>
              </w:rPr>
              <w:t>（</w:t>
            </w:r>
            <w:r>
              <w:rPr>
                <w:rFonts w:hint="eastAsia" w:ascii="Times New Roman" w:hAnsi="Times New Roman" w:eastAsia="宋体" w:cs="Times New Roman"/>
                <w:color w:val="auto"/>
                <w:highlight w:val="none"/>
                <w:lang w:eastAsia="zh-CN"/>
              </w:rPr>
              <w:t>桂</w:t>
            </w:r>
            <w:r>
              <w:rPr>
                <w:rFonts w:hint="eastAsia" w:ascii="Times New Roman" w:hAnsi="Times New Roman" w:eastAsia="宋体" w:cs="Times New Roman"/>
                <w:color w:val="auto"/>
                <w:highlight w:val="none"/>
                <w:lang w:val="en-US" w:eastAsia="zh-CN"/>
              </w:rPr>
              <w:t>民发〔2021〕55号</w:t>
            </w:r>
            <w:r>
              <w:rPr>
                <w:rFonts w:hint="eastAsia" w:ascii="Times New Roman" w:hAnsi="Times New Roman" w:eastAsia="宋体" w:cs="Times New Roman"/>
                <w:color w:val="auto"/>
                <w:highlight w:val="none"/>
              </w:rPr>
              <w:t>）</w:t>
            </w:r>
            <w:r>
              <w:rPr>
                <w:rFonts w:hint="eastAsia" w:ascii="Times New Roman" w:hAnsi="Times New Roman" w:eastAsia="宋体" w:cs="Times New Roman"/>
                <w:color w:val="auto"/>
                <w:highlight w:val="none"/>
                <w:lang w:val="en-US" w:eastAsia="zh-CN"/>
              </w:rPr>
              <w:t>要求，</w:t>
            </w:r>
            <w:r>
              <w:rPr>
                <w:rFonts w:hint="eastAsia" w:ascii="Times New Roman" w:hAnsi="Times New Roman" w:eastAsia="宋体" w:cs="Times New Roman"/>
                <w:color w:val="auto"/>
                <w:highlight w:val="none"/>
              </w:rPr>
              <w:t>决定</w:t>
            </w:r>
            <w:r>
              <w:rPr>
                <w:rFonts w:hint="eastAsia" w:ascii="Times New Roman" w:hAnsi="Times New Roman" w:eastAsia="宋体" w:cs="Times New Roman"/>
                <w:color w:val="auto"/>
                <w:highlight w:val="none"/>
                <w:lang w:eastAsia="zh-CN"/>
              </w:rPr>
              <w:t>在全市</w:t>
            </w:r>
            <w:r>
              <w:rPr>
                <w:rFonts w:hint="eastAsia" w:ascii="Times New Roman" w:hAnsi="Times New Roman" w:eastAsia="宋体" w:cs="Times New Roman"/>
                <w:color w:val="auto"/>
                <w:highlight w:val="none"/>
                <w:lang w:val="en-US" w:eastAsia="zh-CN"/>
              </w:rPr>
              <w:t>开展特殊困难</w:t>
            </w:r>
            <w:r>
              <w:rPr>
                <w:rFonts w:hint="eastAsia" w:ascii="Times New Roman" w:hAnsi="Times New Roman" w:eastAsia="宋体" w:cs="Times New Roman"/>
                <w:color w:val="auto"/>
                <w:highlight w:val="none"/>
              </w:rPr>
              <w:t>老</w:t>
            </w:r>
            <w:r>
              <w:rPr>
                <w:rFonts w:hint="eastAsia" w:ascii="Times New Roman" w:hAnsi="Times New Roman" w:eastAsia="宋体" w:cs="Times New Roman"/>
                <w:color w:val="auto"/>
                <w:highlight w:val="none"/>
                <w:lang w:eastAsia="zh-CN"/>
              </w:rPr>
              <w:t>年</w:t>
            </w:r>
            <w:r>
              <w:rPr>
                <w:rFonts w:hint="eastAsia" w:ascii="Times New Roman" w:hAnsi="Times New Roman" w:eastAsia="宋体" w:cs="Times New Roman"/>
                <w:color w:val="auto"/>
                <w:highlight w:val="none"/>
              </w:rPr>
              <w:t>人</w:t>
            </w:r>
            <w:r>
              <w:rPr>
                <w:rFonts w:hint="eastAsia" w:ascii="Times New Roman" w:hAnsi="Times New Roman" w:eastAsia="宋体" w:cs="Times New Roman"/>
                <w:color w:val="auto"/>
                <w:highlight w:val="none"/>
                <w:lang w:eastAsia="zh-CN"/>
              </w:rPr>
              <w:t>家庭</w:t>
            </w:r>
            <w:r>
              <w:rPr>
                <w:rFonts w:hint="eastAsia" w:ascii="Times New Roman" w:hAnsi="Times New Roman" w:eastAsia="宋体" w:cs="Times New Roman"/>
                <w:color w:val="auto"/>
                <w:highlight w:val="none"/>
                <w:lang w:val="en-US" w:eastAsia="zh-CN"/>
              </w:rPr>
              <w:t>居家</w:t>
            </w:r>
            <w:r>
              <w:rPr>
                <w:rFonts w:hint="eastAsia" w:ascii="Times New Roman" w:hAnsi="Times New Roman" w:eastAsia="宋体" w:cs="Times New Roman"/>
                <w:color w:val="auto"/>
                <w:highlight w:val="none"/>
              </w:rPr>
              <w:t>适老化改造</w:t>
            </w:r>
            <w:r>
              <w:rPr>
                <w:rFonts w:hint="eastAsia" w:ascii="Times New Roman" w:hAnsi="Times New Roman" w:eastAsia="宋体" w:cs="Times New Roman"/>
                <w:color w:val="auto"/>
                <w:highlight w:val="none"/>
                <w:lang w:eastAsia="zh-CN"/>
              </w:rPr>
              <w:t>工作。</w:t>
            </w:r>
            <w:r>
              <w:rPr>
                <w:rFonts w:hint="eastAsia" w:ascii="Times New Roman" w:hAnsi="Times New Roman" w:eastAsia="宋体" w:cs="Times New Roman"/>
                <w:color w:val="auto"/>
                <w:highlight w:val="none"/>
              </w:rPr>
              <w:t>结合我县实际，本项目需求如下：</w:t>
            </w:r>
          </w:p>
          <w:p>
            <w:pPr>
              <w:keepNext w:val="0"/>
              <w:keepLines w:val="0"/>
              <w:pageBreakBefore w:val="0"/>
              <w:kinsoku/>
              <w:wordWrap/>
              <w:overflowPunct/>
              <w:topLinePunct w:val="0"/>
              <w:autoSpaceDE/>
              <w:autoSpaceDN/>
              <w:bidi w:val="0"/>
              <w:adjustRightInd/>
              <w:snapToGrid/>
              <w:spacing w:line="400" w:lineRule="exact"/>
              <w:ind w:firstLine="422" w:firstLineChars="200"/>
              <w:textAlignment w:val="auto"/>
              <w:rPr>
                <w:rFonts w:hint="eastAsia"/>
                <w:b/>
                <w:bCs/>
                <w:color w:val="auto"/>
                <w:highlight w:val="none"/>
              </w:rPr>
            </w:pPr>
            <w:r>
              <w:rPr>
                <w:rFonts w:hint="eastAsia"/>
                <w:b/>
                <w:bCs/>
                <w:color w:val="auto"/>
                <w:highlight w:val="none"/>
              </w:rPr>
              <w:t>一、任务目标</w:t>
            </w:r>
          </w:p>
          <w:p>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2025年底前，对分散供养特困人员、城乡低保对象中的高龄、失能、留守、空巢、残疾老年人家庭和计划生育特殊家庭（以上对象统称“特殊困难老年人家庭”）等实施适老化改造工程，在全市选取符合改造条件的379户特殊困难老年人家庭给予适老化改造（具体分配名额详见附件1）。通过适老化改造，改善老年人的居家生活环境，缓解老年人因生理机能变化导致的生活不适应，增强老年人居家生活的安全性和便利性，从而提升居家生活品质。</w:t>
            </w:r>
          </w:p>
          <w:p>
            <w:pPr>
              <w:keepNext w:val="0"/>
              <w:keepLines w:val="0"/>
              <w:pageBreakBefore w:val="0"/>
              <w:kinsoku/>
              <w:wordWrap/>
              <w:overflowPunct/>
              <w:topLinePunct w:val="0"/>
              <w:autoSpaceDE/>
              <w:autoSpaceDN/>
              <w:bidi w:val="0"/>
              <w:adjustRightInd/>
              <w:snapToGrid/>
              <w:spacing w:line="400" w:lineRule="exact"/>
              <w:ind w:firstLine="422" w:firstLineChars="200"/>
              <w:textAlignment w:val="auto"/>
              <w:rPr>
                <w:rFonts w:hint="eastAsia"/>
                <w:b/>
                <w:bCs/>
                <w:color w:val="auto"/>
                <w:highlight w:val="none"/>
              </w:rPr>
            </w:pPr>
            <w:r>
              <w:rPr>
                <w:rFonts w:hint="eastAsia"/>
                <w:b/>
                <w:bCs/>
                <w:color w:val="auto"/>
                <w:highlight w:val="none"/>
                <w:lang w:val="en-US" w:eastAsia="zh-CN"/>
              </w:rPr>
              <w:t>二</w:t>
            </w:r>
            <w:r>
              <w:rPr>
                <w:rFonts w:hint="eastAsia"/>
                <w:b/>
                <w:bCs/>
                <w:color w:val="auto"/>
                <w:highlight w:val="none"/>
              </w:rPr>
              <w:t>、</w:t>
            </w:r>
            <w:r>
              <w:rPr>
                <w:rFonts w:hint="eastAsia"/>
                <w:b/>
                <w:bCs/>
                <w:color w:val="auto"/>
                <w:highlight w:val="none"/>
                <w:lang w:val="en-US" w:eastAsia="zh-CN"/>
              </w:rPr>
              <w:t>申请</w:t>
            </w:r>
            <w:r>
              <w:rPr>
                <w:rFonts w:hint="eastAsia"/>
                <w:b/>
                <w:bCs/>
                <w:color w:val="auto"/>
                <w:highlight w:val="none"/>
              </w:rPr>
              <w:t>条件</w:t>
            </w:r>
          </w:p>
          <w:p>
            <w:pPr>
              <w:widowControl/>
              <w:spacing w:line="360" w:lineRule="auto"/>
              <w:ind w:firstLine="420" w:firstLineChars="200"/>
              <w:rPr>
                <w:rFonts w:hint="eastAsia"/>
                <w:color w:val="auto"/>
                <w:highlight w:val="none"/>
                <w:lang w:val="en-US" w:eastAsia="zh-CN"/>
              </w:rPr>
            </w:pPr>
            <w:r>
              <w:rPr>
                <w:rFonts w:hint="eastAsia"/>
                <w:color w:val="auto"/>
                <w:highlight w:val="none"/>
                <w:lang w:val="en-US" w:eastAsia="zh-CN"/>
              </w:rPr>
              <w:t>申请适老化改造对象为横州市户籍老年人，需要满足下列条件：</w:t>
            </w:r>
          </w:p>
          <w:p>
            <w:pPr>
              <w:widowControl/>
              <w:spacing w:line="360" w:lineRule="auto"/>
              <w:ind w:firstLine="420" w:firstLineChars="200"/>
              <w:rPr>
                <w:rFonts w:hint="eastAsia"/>
                <w:color w:val="auto"/>
                <w:highlight w:val="none"/>
                <w:lang w:val="en-US" w:eastAsia="zh-CN"/>
              </w:rPr>
            </w:pPr>
            <w:r>
              <w:rPr>
                <w:rFonts w:hint="eastAsia"/>
                <w:color w:val="auto"/>
                <w:highlight w:val="none"/>
                <w:lang w:val="en-US" w:eastAsia="zh-CN"/>
              </w:rPr>
              <w:t>（一）申请者属于分散供养特困人员家庭或城乡低保对象中的高龄、失能、留守、空巢、残疾老年人家庭和计划生育特殊家庭；</w:t>
            </w:r>
          </w:p>
          <w:p>
            <w:pPr>
              <w:widowControl/>
              <w:spacing w:line="360" w:lineRule="auto"/>
              <w:ind w:firstLine="420" w:firstLineChars="200"/>
              <w:rPr>
                <w:rFonts w:hint="eastAsia"/>
                <w:color w:val="auto"/>
                <w:highlight w:val="none"/>
                <w:lang w:val="en-US" w:eastAsia="zh-CN"/>
              </w:rPr>
            </w:pPr>
            <w:r>
              <w:rPr>
                <w:rFonts w:hint="eastAsia"/>
                <w:color w:val="auto"/>
                <w:highlight w:val="none"/>
                <w:lang w:val="en-US" w:eastAsia="zh-CN"/>
              </w:rPr>
              <w:t>（二）申请居家适老化改造的对象，应对拟申请改造住房拥有产权或者长期使用权，拟申请改造的住房应符合质量安全相关标准、具备基础改造条件，且近期未列入政府征收、拆迁计划范围。同一家庭有2名以上（含）的实施对象老年人，对共同使用的适老化改造设施设备不再重复补助。已纳入过民政、残联或其他政府部门和单位补贴项目，不再重复纳入改造补贴范围。</w:t>
            </w:r>
          </w:p>
          <w:p>
            <w:pPr>
              <w:keepNext w:val="0"/>
              <w:keepLines w:val="0"/>
              <w:pageBreakBefore w:val="0"/>
              <w:kinsoku/>
              <w:wordWrap/>
              <w:overflowPunct/>
              <w:topLinePunct w:val="0"/>
              <w:autoSpaceDE/>
              <w:autoSpaceDN/>
              <w:bidi w:val="0"/>
              <w:adjustRightInd/>
              <w:snapToGrid/>
              <w:spacing w:line="400" w:lineRule="exact"/>
              <w:ind w:firstLine="422" w:firstLineChars="200"/>
              <w:textAlignment w:val="auto"/>
              <w:rPr>
                <w:rFonts w:hint="default"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三、改造</w:t>
            </w:r>
            <w:r>
              <w:rPr>
                <w:rFonts w:hint="eastAsia" w:cs="Times New Roman"/>
                <w:b/>
                <w:bCs/>
                <w:color w:val="auto"/>
                <w:highlight w:val="none"/>
                <w:lang w:val="en-US" w:eastAsia="zh-CN"/>
              </w:rPr>
              <w:t>和服务</w:t>
            </w:r>
            <w:r>
              <w:rPr>
                <w:rFonts w:hint="eastAsia" w:ascii="Times New Roman" w:hAnsi="Times New Roman" w:eastAsia="宋体" w:cs="Times New Roman"/>
                <w:b/>
                <w:bCs/>
                <w:color w:val="auto"/>
                <w:highlight w:val="none"/>
                <w:lang w:val="en-US" w:eastAsia="zh-CN"/>
              </w:rPr>
              <w:t>要求</w:t>
            </w:r>
          </w:p>
          <w:p>
            <w:pPr>
              <w:widowControl/>
              <w:spacing w:line="360" w:lineRule="auto"/>
              <w:ind w:firstLine="420" w:firstLineChars="200"/>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（一）</w:t>
            </w:r>
            <w:r>
              <w:rPr>
                <w:rFonts w:hint="eastAsia" w:ascii="Times New Roman" w:hAnsi="Times New Roman" w:eastAsia="宋体" w:cs="Times New Roman"/>
                <w:color w:val="auto"/>
                <w:highlight w:val="none"/>
                <w:lang w:val="en-US" w:eastAsia="zh-CN"/>
              </w:rPr>
              <w:t>根据民政部、住房和城乡建设部制定的《老年人居家适老化改造项目和老年用品配置推荐清单》（详见附件2），围绕施工改造、设施配备、老年用品配置等方面进行居家适老化改造，各乡（镇）在补贴标准范围内进行适老化改造。</w:t>
            </w:r>
          </w:p>
          <w:p>
            <w:pPr>
              <w:widowControl/>
              <w:spacing w:line="360" w:lineRule="auto"/>
              <w:ind w:firstLine="420" w:firstLineChars="200"/>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（二）</w:t>
            </w:r>
            <w:r>
              <w:rPr>
                <w:rFonts w:hint="eastAsia" w:ascii="Times New Roman" w:hAnsi="Times New Roman" w:eastAsia="宋体" w:cs="Times New Roman"/>
                <w:color w:val="auto"/>
                <w:highlight w:val="none"/>
                <w:lang w:val="en-US" w:eastAsia="zh-CN"/>
              </w:rPr>
              <w:t>适老化改造项目设施、设备，应当以显著方式标明“彩票公益金资助-中国福利彩票和中国体育彩票”标识。</w:t>
            </w:r>
          </w:p>
          <w:p>
            <w:pPr>
              <w:widowControl/>
              <w:spacing w:line="360" w:lineRule="auto"/>
              <w:ind w:firstLine="420" w:firstLineChars="200"/>
              <w:rPr>
                <w:rFonts w:hint="eastAsia" w:cs="Times New Roman"/>
                <w:color w:val="auto"/>
                <w:highlight w:val="none"/>
                <w:lang w:val="en-US" w:eastAsia="zh-CN"/>
              </w:rPr>
            </w:pPr>
            <w:r>
              <w:rPr>
                <w:rFonts w:hint="eastAsia" w:cs="Times New Roman"/>
                <w:color w:val="auto"/>
                <w:highlight w:val="none"/>
                <w:lang w:val="en-US" w:eastAsia="zh-CN"/>
              </w:rPr>
              <w:t>（三）供应商需规范实施。</w:t>
            </w:r>
          </w:p>
          <w:p>
            <w:pPr>
              <w:widowControl/>
              <w:spacing w:line="360" w:lineRule="auto"/>
              <w:ind w:firstLine="420" w:firstLineChars="200"/>
              <w:rPr>
                <w:rFonts w:hint="eastAsia" w:cs="Times New Roman"/>
                <w:color w:val="auto"/>
                <w:highlight w:val="none"/>
                <w:lang w:val="en-US" w:eastAsia="zh-CN"/>
              </w:rPr>
            </w:pPr>
            <w:r>
              <w:rPr>
                <w:rFonts w:hint="eastAsia" w:cs="Times New Roman"/>
                <w:color w:val="auto"/>
                <w:highlight w:val="none"/>
                <w:lang w:val="en-US" w:eastAsia="zh-CN"/>
              </w:rPr>
              <w:t>1.供应商要按照行业标准和规范，与接受项目的老年人或者者其代理人确认改造需求，并按照改造需求评估确认表为老年人开展对应的服务，保证服务质量，维护老年人合法权益。</w:t>
            </w:r>
          </w:p>
          <w:p>
            <w:pPr>
              <w:widowControl/>
              <w:spacing w:line="360" w:lineRule="auto"/>
              <w:ind w:firstLine="420" w:firstLineChars="200"/>
              <w:rPr>
                <w:rFonts w:hint="eastAsia" w:cs="Times New Roman"/>
                <w:color w:val="auto"/>
                <w:highlight w:val="none"/>
                <w:lang w:val="en-US" w:eastAsia="zh-CN"/>
              </w:rPr>
            </w:pPr>
            <w:r>
              <w:rPr>
                <w:rFonts w:hint="eastAsia" w:cs="Times New Roman"/>
                <w:color w:val="auto"/>
                <w:highlight w:val="none"/>
                <w:lang w:val="en-US" w:eastAsia="zh-CN"/>
              </w:rPr>
              <w:t>2.供应商提供的产品需达到采购需求相关要求及国家相关行业标准要求，不使用假冒伪劣产品、以次充好。所有产品报价均包含产品费用、安装费用、培训服务费用等，上门服务期间不得额外收取任何费用。</w:t>
            </w:r>
          </w:p>
          <w:p>
            <w:pPr>
              <w:widowControl/>
              <w:spacing w:line="360" w:lineRule="auto"/>
              <w:ind w:firstLine="420" w:firstLineChars="200"/>
              <w:rPr>
                <w:rFonts w:hint="eastAsia" w:cs="Times New Roman"/>
                <w:color w:val="auto"/>
                <w:highlight w:val="none"/>
                <w:lang w:val="en-US" w:eastAsia="zh-CN"/>
              </w:rPr>
            </w:pPr>
            <w:r>
              <w:rPr>
                <w:rFonts w:hint="eastAsia" w:cs="Times New Roman"/>
                <w:color w:val="auto"/>
                <w:highlight w:val="none"/>
                <w:lang w:val="en-US" w:eastAsia="zh-CN"/>
              </w:rPr>
              <w:t>3.供应商要根据服务对象需求，做好方案、总结及每月计划、进度等工作，按要求报送横州市民政局及所辖乡镇等。</w:t>
            </w:r>
          </w:p>
          <w:p>
            <w:pPr>
              <w:widowControl/>
              <w:spacing w:line="360" w:lineRule="auto"/>
              <w:ind w:firstLine="420" w:firstLineChars="200"/>
              <w:rPr>
                <w:rFonts w:hint="eastAsia" w:cs="Times New Roman"/>
                <w:color w:val="auto"/>
                <w:highlight w:val="none"/>
                <w:lang w:val="en-US" w:eastAsia="zh-CN"/>
              </w:rPr>
            </w:pPr>
            <w:r>
              <w:rPr>
                <w:rFonts w:hint="eastAsia" w:cs="Times New Roman"/>
                <w:color w:val="auto"/>
                <w:highlight w:val="none"/>
                <w:lang w:val="en-US" w:eastAsia="zh-CN"/>
              </w:rPr>
              <w:t>4.供应商开展服务要做到敬老爱老，态度和蔼，尊重服务对象的隐私权、名誉权，根据服务对象意愿填写改造项目申请表，并建立服务对象的台账。</w:t>
            </w:r>
          </w:p>
          <w:p>
            <w:pPr>
              <w:widowControl/>
              <w:spacing w:line="360" w:lineRule="auto"/>
              <w:ind w:firstLine="420" w:firstLineChars="200"/>
              <w:rPr>
                <w:rFonts w:hint="eastAsia" w:cs="Times New Roman"/>
                <w:color w:val="auto"/>
                <w:highlight w:val="none"/>
                <w:lang w:val="en-US" w:eastAsia="zh-CN"/>
              </w:rPr>
            </w:pPr>
            <w:r>
              <w:rPr>
                <w:rFonts w:hint="eastAsia" w:cs="Times New Roman"/>
                <w:color w:val="auto"/>
                <w:highlight w:val="none"/>
                <w:lang w:val="en-US" w:eastAsia="zh-CN"/>
              </w:rPr>
              <w:t>5.供应商应通过工作简报等多种形式定期向横州市民政局及所辖乡镇汇报近期工作情况，并分类保存各阶段推进项目的文本、照片和音像等材料，在项目结束后提交给横州市民政局。</w:t>
            </w:r>
          </w:p>
          <w:p>
            <w:pPr>
              <w:widowControl/>
              <w:spacing w:line="360" w:lineRule="auto"/>
              <w:ind w:firstLine="420" w:firstLineChars="200"/>
              <w:rPr>
                <w:rFonts w:hint="eastAsia" w:cs="Times New Roman"/>
                <w:color w:val="auto"/>
                <w:highlight w:val="none"/>
                <w:lang w:val="en-US" w:eastAsia="zh-CN"/>
              </w:rPr>
            </w:pPr>
            <w:r>
              <w:rPr>
                <w:rFonts w:hint="eastAsia" w:cs="Times New Roman"/>
                <w:color w:val="auto"/>
                <w:highlight w:val="none"/>
                <w:lang w:val="en-US" w:eastAsia="zh-CN"/>
              </w:rPr>
              <w:t>6.供应商不得在提供家庭养老床位建设服务过程中开展非法集资、推销假药、伪劣商品等违法活动。</w:t>
            </w:r>
          </w:p>
          <w:p>
            <w:pPr>
              <w:widowControl/>
              <w:spacing w:line="360" w:lineRule="auto"/>
              <w:ind w:firstLine="420" w:firstLineChars="200"/>
              <w:rPr>
                <w:rFonts w:hint="default" w:cs="Times New Roman"/>
                <w:color w:val="auto"/>
                <w:highlight w:val="none"/>
                <w:lang w:val="en-US" w:eastAsia="zh-CN"/>
              </w:rPr>
            </w:pPr>
            <w:r>
              <w:rPr>
                <w:rFonts w:hint="eastAsia" w:cs="Times New Roman"/>
                <w:color w:val="auto"/>
                <w:highlight w:val="none"/>
                <w:lang w:val="en-US" w:eastAsia="zh-CN"/>
              </w:rPr>
              <w:t>7.严格遵守法律、法规规定以及购买项目要求的其他条件。</w:t>
            </w:r>
          </w:p>
          <w:p>
            <w:pPr>
              <w:keepNext w:val="0"/>
              <w:keepLines w:val="0"/>
              <w:pageBreakBefore w:val="0"/>
              <w:kinsoku/>
              <w:wordWrap/>
              <w:overflowPunct/>
              <w:topLinePunct w:val="0"/>
              <w:autoSpaceDE/>
              <w:autoSpaceDN/>
              <w:bidi w:val="0"/>
              <w:adjustRightInd/>
              <w:snapToGrid/>
              <w:spacing w:line="400" w:lineRule="exact"/>
              <w:ind w:firstLine="422" w:firstLineChars="200"/>
              <w:textAlignment w:val="auto"/>
              <w:rPr>
                <w:rFonts w:hint="eastAsia"/>
                <w:b/>
                <w:bCs/>
                <w:color w:val="auto"/>
                <w:highlight w:val="none"/>
                <w:lang w:val="en-US" w:eastAsia="zh-CN"/>
              </w:rPr>
            </w:pPr>
            <w:r>
              <w:rPr>
                <w:rFonts w:hint="eastAsia"/>
                <w:b/>
                <w:bCs/>
                <w:color w:val="auto"/>
                <w:highlight w:val="none"/>
                <w:lang w:val="en-US" w:eastAsia="zh-CN"/>
              </w:rPr>
              <w:t>四、改造要求</w:t>
            </w:r>
          </w:p>
          <w:p>
            <w:pPr>
              <w:widowControl/>
              <w:spacing w:line="360" w:lineRule="auto"/>
              <w:ind w:firstLine="420" w:firstLineChars="20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对申请2025年居家适老化改造并符合条件的对象家庭，每户补助最高不高于3300元，最低不低于1000元，具体补助金额以实际费用为准。资金从上级下达的中央福彩公益金（因素法）中列支。</w:t>
            </w:r>
          </w:p>
          <w:p>
            <w:pPr>
              <w:keepNext w:val="0"/>
              <w:keepLines w:val="0"/>
              <w:pageBreakBefore w:val="0"/>
              <w:kinsoku/>
              <w:wordWrap/>
              <w:overflowPunct/>
              <w:topLinePunct w:val="0"/>
              <w:autoSpaceDE/>
              <w:autoSpaceDN/>
              <w:bidi w:val="0"/>
              <w:adjustRightInd/>
              <w:snapToGrid/>
              <w:spacing w:line="400" w:lineRule="exact"/>
              <w:ind w:firstLine="422" w:firstLineChars="200"/>
              <w:textAlignment w:val="auto"/>
              <w:rPr>
                <w:rFonts w:hint="eastAsia"/>
                <w:b/>
                <w:bCs/>
                <w:color w:val="auto"/>
                <w:highlight w:val="none"/>
                <w:lang w:val="en-US" w:eastAsia="zh-CN"/>
              </w:rPr>
            </w:pPr>
            <w:r>
              <w:rPr>
                <w:rFonts w:hint="eastAsia"/>
                <w:b/>
                <w:bCs/>
                <w:color w:val="auto"/>
                <w:highlight w:val="none"/>
                <w:lang w:val="en-US" w:eastAsia="zh-CN"/>
              </w:rPr>
              <w:t>五、服务流程</w:t>
            </w:r>
          </w:p>
          <w:p>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（一）</w:t>
            </w:r>
            <w:r>
              <w:rPr>
                <w:rFonts w:hint="eastAsia" w:ascii="宋体" w:hAnsi="宋体" w:eastAsia="宋体" w:cs="宋体"/>
                <w:color w:val="auto"/>
                <w:sz w:val="21"/>
                <w:szCs w:val="21"/>
                <w:highlight w:val="none"/>
                <w:lang w:val="en-US" w:eastAsia="zh-CN"/>
              </w:rPr>
              <w:t>提出申请。以有改造需求的老年人或其监护人自愿申请为前提，填写《横州市特殊困难老年人家庭适老化改造项目申请表》(见附件3)。乡（镇）从老年人申请日起7个工作日内完成审核并将申请表移交至市民政局。市民政局根据实施对象范围，拟定实施对象名单。</w:t>
            </w:r>
          </w:p>
          <w:p>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（二）</w:t>
            </w:r>
            <w:r>
              <w:rPr>
                <w:rFonts w:hint="eastAsia" w:ascii="宋体" w:hAnsi="宋体" w:eastAsia="宋体" w:cs="宋体"/>
                <w:color w:val="auto"/>
                <w:sz w:val="21"/>
                <w:szCs w:val="21"/>
                <w:highlight w:val="none"/>
                <w:lang w:val="en-US" w:eastAsia="zh-CN"/>
              </w:rPr>
              <w:t>调查评估。确定列入实施对象的，由市民政局</w:t>
            </w:r>
            <w:r>
              <w:rPr>
                <w:rFonts w:hint="eastAsia" w:ascii="宋体" w:hAnsi="宋体" w:cs="宋体"/>
                <w:color w:val="auto"/>
                <w:sz w:val="21"/>
                <w:szCs w:val="21"/>
                <w:highlight w:val="none"/>
                <w:lang w:val="en-US" w:eastAsia="zh-CN"/>
              </w:rPr>
              <w:t>委托公司</w:t>
            </w:r>
            <w:r>
              <w:rPr>
                <w:rFonts w:hint="eastAsia" w:ascii="宋体" w:hAnsi="宋体" w:eastAsia="宋体" w:cs="宋体"/>
                <w:color w:val="auto"/>
                <w:sz w:val="21"/>
                <w:szCs w:val="21"/>
                <w:highlight w:val="none"/>
                <w:lang w:val="en-US" w:eastAsia="zh-CN"/>
              </w:rPr>
              <w:t>开展政府采购确定的适老化改造服务机构对老年人身体状况、养老服务需求、居住环境特点和适老化需求等进行综合评估，按照“一户一策”，选择最适合、最迫切的项目进行改造。适老化改造服务机构会商老年人家庭后拟定改造方案并概算所需经费（填写附件4），报市民政局审定。</w:t>
            </w:r>
          </w:p>
          <w:p>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（三）</w:t>
            </w:r>
            <w:r>
              <w:rPr>
                <w:rFonts w:hint="eastAsia" w:ascii="宋体" w:hAnsi="宋体" w:eastAsia="宋体" w:cs="宋体"/>
                <w:color w:val="auto"/>
                <w:sz w:val="21"/>
                <w:szCs w:val="21"/>
                <w:highlight w:val="none"/>
                <w:lang w:val="en-US" w:eastAsia="zh-CN"/>
              </w:rPr>
              <w:t>建设施工。适老化改造服务机构在施工过程中做到文明施工，尽量缩短施工工期，减少对项目对象正常生活的影响。要加强质量监管，施工所需物资、产品、器材等均须符合国家质量标准，并指派专人负责施工管理，进行经常性巡查，发现问题及时整改，确保施工质量。要建立完整的改造档案，留存完整的改造信息，有清晰的改造前后图片资料（填写附件5），并将施工建设资料移交至市民政局。</w:t>
            </w:r>
          </w:p>
          <w:p>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（四）</w:t>
            </w:r>
            <w:r>
              <w:rPr>
                <w:rFonts w:hint="eastAsia" w:ascii="宋体" w:hAnsi="宋体" w:eastAsia="宋体" w:cs="宋体"/>
                <w:color w:val="auto"/>
                <w:sz w:val="21"/>
                <w:szCs w:val="21"/>
                <w:highlight w:val="none"/>
                <w:lang w:val="en-US" w:eastAsia="zh-CN"/>
              </w:rPr>
              <w:t>检查验收。施工完成后，横州市民政局组织人员进行检查验收（填写附件6），如发现存在质量问题，应责令改造施工方限期整改。验收完成后，适老化改造服务机构按“一户一档”整理相关材料移送市民政局归档。</w:t>
            </w:r>
          </w:p>
          <w:p>
            <w:pPr>
              <w:keepNext w:val="0"/>
              <w:keepLines w:val="0"/>
              <w:pageBreakBefore w:val="0"/>
              <w:kinsoku/>
              <w:wordWrap/>
              <w:overflowPunct/>
              <w:topLinePunct w:val="0"/>
              <w:autoSpaceDE/>
              <w:autoSpaceDN/>
              <w:bidi w:val="0"/>
              <w:adjustRightInd/>
              <w:snapToGrid/>
              <w:spacing w:line="400" w:lineRule="exact"/>
              <w:ind w:firstLine="422" w:firstLineChars="200"/>
              <w:textAlignment w:val="auto"/>
              <w:rPr>
                <w:rFonts w:hint="eastAsia"/>
                <w:b/>
                <w:bCs/>
                <w:color w:val="auto"/>
                <w:highlight w:val="none"/>
                <w:lang w:val="en-US" w:eastAsia="zh-CN"/>
              </w:rPr>
            </w:pPr>
            <w:r>
              <w:rPr>
                <w:rFonts w:hint="eastAsia"/>
                <w:b/>
                <w:bCs/>
                <w:color w:val="auto"/>
                <w:highlight w:val="none"/>
                <w:lang w:val="en-US" w:eastAsia="zh-CN"/>
              </w:rPr>
              <w:t>六、法律责任</w:t>
            </w:r>
          </w:p>
          <w:p>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经查证供应商具有下列情形之一的，视为不正常履约，取消其供应商资格并解除合同。涉嫌违法犯罪的，依法移交司法机关处理。</w:t>
            </w:r>
          </w:p>
          <w:p>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（一）不再具备开展工作资格的；</w:t>
            </w:r>
          </w:p>
          <w:p>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（二）有违法违规行为，损害老年人合法权益的；</w:t>
            </w:r>
          </w:p>
          <w:p>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（三）伪造服务记录骗取政府补贴的：</w:t>
            </w:r>
          </w:p>
          <w:p>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（四）签订协议后30日内仍无法开展家庭养老床位建设的；</w:t>
            </w:r>
          </w:p>
          <w:p>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（五）转包转让家庭养老床位建设的；</w:t>
            </w:r>
          </w:p>
          <w:p>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（六）开展家庭养老床位建设过程中出现责任事故，造成服务对象重伤或死亡的；</w:t>
            </w:r>
          </w:p>
          <w:p>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(七）出现其他违反本办法或相关法律法规行为的。</w:t>
            </w:r>
          </w:p>
        </w:tc>
        <w:tc>
          <w:tcPr>
            <w:tcW w:w="136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rFonts w:hint="default" w:ascii="宋体" w:hAnsi="宋体" w:eastAsia="宋体" w:cs="宋体"/>
                <w:color w:val="auto"/>
                <w:sz w:val="21"/>
                <w:szCs w:val="21"/>
                <w:highlight w:val="none"/>
                <w:lang w:val="en-US" w:eastAsia="zh-CN"/>
              </w:rPr>
            </w:pPr>
            <w:bookmarkStart w:id="52" w:name="OLE_LINK20"/>
            <w:r>
              <w:rPr>
                <w:rFonts w:hint="eastAsia" w:ascii="宋体" w:hAnsi="宋体" w:cs="宋体"/>
                <w:color w:val="auto"/>
                <w:szCs w:val="21"/>
                <w:highlight w:val="none"/>
                <w:lang w:val="en-US" w:eastAsia="zh-CN"/>
              </w:rPr>
              <w:t>603900.00</w:t>
            </w:r>
            <w:bookmarkEnd w:id="52"/>
          </w:p>
        </w:tc>
        <w:tc>
          <w:tcPr>
            <w:tcW w:w="1299"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其他未列明行业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27" w:hRule="atLeast"/>
          <w:jc w:val="center"/>
        </w:trPr>
        <w:tc>
          <w:tcPr>
            <w:tcW w:w="545"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hint="eastAsia" w:ascii="宋体" w:hAnsi="宋体" w:eastAsia="宋体" w:cs="宋体"/>
                <w:color w:val="auto"/>
                <w:sz w:val="21"/>
                <w:szCs w:val="21"/>
                <w:highlight w:val="none"/>
              </w:rPr>
            </w:pPr>
          </w:p>
          <w:p>
            <w:pPr>
              <w:spacing w:line="360"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商务条款</w:t>
            </w:r>
          </w:p>
        </w:tc>
        <w:tc>
          <w:tcPr>
            <w:tcW w:w="9936" w:type="dxa"/>
            <w:gridSpan w:val="7"/>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shd w:val="clear" w:color="auto" w:fill="FFFFFF"/>
              <w:kinsoku/>
              <w:wordWrap/>
              <w:overflowPunct/>
              <w:topLinePunct w:val="0"/>
              <w:autoSpaceDE/>
              <w:autoSpaceDN/>
              <w:bidi w:val="0"/>
              <w:adjustRightInd/>
              <w:snapToGrid/>
              <w:spacing w:line="420" w:lineRule="exact"/>
              <w:textAlignment w:val="auto"/>
              <w:rPr>
                <w:rFonts w:hint="default" w:eastAsia="宋体"/>
                <w:color w:val="auto"/>
                <w:sz w:val="21"/>
                <w:szCs w:val="21"/>
                <w:highlight w:val="none"/>
                <w:lang w:val="en-US" w:eastAsia="zh-CN"/>
              </w:rPr>
            </w:pPr>
            <w:r>
              <w:rPr>
                <w:rFonts w:hint="eastAsia"/>
                <w:color w:val="auto"/>
                <w:sz w:val="21"/>
                <w:szCs w:val="21"/>
                <w:highlight w:val="none"/>
              </w:rPr>
              <w:t>▲一、合同签订期：自</w:t>
            </w:r>
            <w:r>
              <w:rPr>
                <w:rFonts w:hint="eastAsia"/>
                <w:color w:val="auto"/>
                <w:sz w:val="21"/>
                <w:szCs w:val="21"/>
                <w:highlight w:val="none"/>
                <w:lang w:val="en-US" w:eastAsia="zh-CN"/>
              </w:rPr>
              <w:t>成交</w:t>
            </w:r>
            <w:r>
              <w:rPr>
                <w:rFonts w:hint="eastAsia"/>
                <w:color w:val="auto"/>
                <w:sz w:val="21"/>
                <w:szCs w:val="21"/>
                <w:highlight w:val="none"/>
              </w:rPr>
              <w:t>通知书发出之日起</w:t>
            </w:r>
            <w:r>
              <w:rPr>
                <w:rFonts w:hint="eastAsia"/>
                <w:color w:val="auto"/>
                <w:sz w:val="21"/>
                <w:szCs w:val="21"/>
                <w:highlight w:val="none"/>
                <w:lang w:val="en-US" w:eastAsia="zh-CN"/>
              </w:rPr>
              <w:t>25</w:t>
            </w:r>
            <w:r>
              <w:rPr>
                <w:rFonts w:hint="eastAsia"/>
                <w:color w:val="auto"/>
                <w:sz w:val="21"/>
                <w:szCs w:val="21"/>
                <w:highlight w:val="none"/>
              </w:rPr>
              <w:t>日内</w:t>
            </w:r>
            <w:r>
              <w:rPr>
                <w:rFonts w:hint="eastAsia"/>
                <w:color w:val="auto"/>
                <w:sz w:val="21"/>
                <w:szCs w:val="21"/>
                <w:highlight w:val="none"/>
                <w:lang w:val="en-US" w:eastAsia="zh-CN"/>
              </w:rPr>
              <w:t>。</w:t>
            </w:r>
          </w:p>
          <w:p>
            <w:pPr>
              <w:keepNext w:val="0"/>
              <w:keepLines w:val="0"/>
              <w:pageBreakBefore w:val="0"/>
              <w:widowControl/>
              <w:numPr>
                <w:ilvl w:val="0"/>
                <w:numId w:val="1"/>
              </w:numPr>
              <w:shd w:val="clear" w:color="auto" w:fill="FFFFFF"/>
              <w:kinsoku/>
              <w:wordWrap/>
              <w:overflowPunct/>
              <w:topLinePunct w:val="0"/>
              <w:autoSpaceDE/>
              <w:autoSpaceDN/>
              <w:bidi w:val="0"/>
              <w:adjustRightInd/>
              <w:snapToGrid/>
              <w:spacing w:line="420" w:lineRule="exact"/>
              <w:textAlignment w:val="auto"/>
              <w:rPr>
                <w:rFonts w:hint="eastAsia" w:ascii="宋体" w:hAnsi="宋体" w:eastAsia="宋体" w:cs="宋体"/>
                <w:color w:val="auto"/>
                <w:sz w:val="21"/>
                <w:szCs w:val="21"/>
                <w:highlight w:val="none"/>
              </w:rPr>
            </w:pPr>
            <w:r>
              <w:rPr>
                <w:rFonts w:hint="eastAsia"/>
                <w:color w:val="auto"/>
                <w:highlight w:val="none"/>
              </w:rPr>
              <w:t>提交服务成果时间</w:t>
            </w:r>
            <w:r>
              <w:rPr>
                <w:rFonts w:hint="eastAsia" w:ascii="宋体" w:hAnsi="宋体" w:eastAsia="宋体" w:cs="宋体"/>
                <w:color w:val="auto"/>
                <w:sz w:val="21"/>
                <w:szCs w:val="21"/>
                <w:highlight w:val="none"/>
              </w:rPr>
              <w:t>：</w:t>
            </w:r>
            <w:r>
              <w:rPr>
                <w:rFonts w:hint="eastAsia" w:ascii="宋体" w:hAnsi="宋体"/>
                <w:color w:val="auto"/>
                <w:szCs w:val="21"/>
                <w:highlight w:val="none"/>
                <w:lang w:eastAsia="zh-CN"/>
              </w:rPr>
              <w:t>自合同签订之日起至项目验收合格之日止</w:t>
            </w:r>
            <w:r>
              <w:rPr>
                <w:rFonts w:hint="eastAsia" w:ascii="宋体" w:hAnsi="宋体" w:eastAsia="宋体" w:cs="Times New Roman"/>
                <w:color w:val="auto"/>
                <w:szCs w:val="21"/>
                <w:highlight w:val="none"/>
                <w:lang w:eastAsia="zh-CN"/>
              </w:rPr>
              <w:t>。</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420" w:lineRule="exact"/>
              <w:textAlignment w:val="auto"/>
              <w:rPr>
                <w:rFonts w:hint="eastAsia"/>
                <w:color w:val="auto"/>
                <w:sz w:val="21"/>
                <w:szCs w:val="21"/>
                <w:highlight w:val="none"/>
              </w:rPr>
            </w:pPr>
            <w:r>
              <w:rPr>
                <w:rFonts w:hint="eastAsia"/>
                <w:color w:val="auto"/>
                <w:sz w:val="21"/>
                <w:szCs w:val="21"/>
                <w:highlight w:val="none"/>
              </w:rPr>
              <w:t>三、</w:t>
            </w:r>
            <w:r>
              <w:rPr>
                <w:rFonts w:hint="eastAsia"/>
                <w:color w:val="auto"/>
                <w:highlight w:val="none"/>
              </w:rPr>
              <w:t>提交服务成果地点</w:t>
            </w:r>
            <w:r>
              <w:rPr>
                <w:rFonts w:hint="eastAsia"/>
                <w:color w:val="auto"/>
                <w:sz w:val="21"/>
                <w:szCs w:val="21"/>
                <w:highlight w:val="none"/>
              </w:rPr>
              <w:t>：</w:t>
            </w:r>
            <w:r>
              <w:rPr>
                <w:rFonts w:hint="eastAsia"/>
                <w:color w:val="auto"/>
                <w:sz w:val="21"/>
                <w:szCs w:val="21"/>
                <w:highlight w:val="none"/>
                <w:lang w:val="en-US" w:eastAsia="zh-CN"/>
              </w:rPr>
              <w:t>采购人指定地点。</w:t>
            </w:r>
            <w:r>
              <w:rPr>
                <w:rFonts w:hint="eastAsia"/>
                <w:color w:val="auto"/>
                <w:sz w:val="21"/>
                <w:szCs w:val="21"/>
                <w:highlight w:val="none"/>
              </w:rPr>
              <w:t xml:space="preserve">  </w:t>
            </w:r>
          </w:p>
          <w:p>
            <w:pPr>
              <w:keepNext w:val="0"/>
              <w:keepLines w:val="0"/>
              <w:pageBreakBefore w:val="0"/>
              <w:widowControl/>
              <w:shd w:val="clear" w:color="auto" w:fill="FFFFFF"/>
              <w:kinsoku/>
              <w:wordWrap/>
              <w:overflowPunct/>
              <w:topLinePunct w:val="0"/>
              <w:autoSpaceDE/>
              <w:autoSpaceDN/>
              <w:bidi w:val="0"/>
              <w:adjustRightInd/>
              <w:snapToGrid/>
              <w:spacing w:line="420" w:lineRule="exact"/>
              <w:textAlignment w:val="auto"/>
              <w:rPr>
                <w:rFonts w:hint="eastAsia"/>
                <w:color w:val="auto"/>
                <w:sz w:val="21"/>
                <w:szCs w:val="21"/>
                <w:highlight w:val="none"/>
                <w:lang w:eastAsia="zh-CN"/>
              </w:rPr>
            </w:pPr>
            <w:r>
              <w:rPr>
                <w:rFonts w:hint="eastAsia"/>
                <w:color w:val="auto"/>
                <w:sz w:val="21"/>
                <w:szCs w:val="21"/>
                <w:highlight w:val="none"/>
              </w:rPr>
              <w:t>四、验收标准、规范：符合相关国家标准及行业标准，并满足本招标采购文件要求</w:t>
            </w:r>
            <w:r>
              <w:rPr>
                <w:rFonts w:hint="eastAsia"/>
                <w:color w:val="auto"/>
                <w:sz w:val="21"/>
                <w:szCs w:val="21"/>
                <w:highlight w:val="none"/>
                <w:lang w:val="en-US" w:eastAsia="zh-CN"/>
              </w:rPr>
              <w:t>。</w:t>
            </w:r>
          </w:p>
          <w:p>
            <w:pPr>
              <w:keepNext w:val="0"/>
              <w:keepLines w:val="0"/>
              <w:pageBreakBefore w:val="0"/>
              <w:widowControl/>
              <w:shd w:val="clear" w:color="auto" w:fill="FFFFFF"/>
              <w:kinsoku/>
              <w:wordWrap/>
              <w:overflowPunct/>
              <w:topLinePunct w:val="0"/>
              <w:autoSpaceDE/>
              <w:autoSpaceDN/>
              <w:bidi w:val="0"/>
              <w:adjustRightInd/>
              <w:snapToGrid/>
              <w:spacing w:line="420" w:lineRule="exact"/>
              <w:textAlignment w:val="auto"/>
              <w:rPr>
                <w:rFonts w:hint="eastAsia"/>
                <w:color w:val="auto"/>
                <w:sz w:val="21"/>
                <w:szCs w:val="21"/>
                <w:highlight w:val="none"/>
              </w:rPr>
            </w:pPr>
            <w:r>
              <w:rPr>
                <w:rFonts w:hint="eastAsia"/>
                <w:color w:val="auto"/>
                <w:sz w:val="21"/>
                <w:szCs w:val="21"/>
                <w:highlight w:val="none"/>
              </w:rPr>
              <w:t>▲ 五、售后服务要求：</w:t>
            </w:r>
          </w:p>
          <w:p>
            <w:pPr>
              <w:keepNext w:val="0"/>
              <w:keepLines w:val="0"/>
              <w:pageBreakBefore w:val="0"/>
              <w:widowControl/>
              <w:kinsoku/>
              <w:wordWrap/>
              <w:overflowPunct/>
              <w:topLinePunct w:val="0"/>
              <w:autoSpaceDE/>
              <w:autoSpaceDN/>
              <w:bidi w:val="0"/>
              <w:adjustRightInd/>
              <w:snapToGrid/>
              <w:spacing w:line="420" w:lineRule="exact"/>
              <w:contextualSpacing/>
              <w:jc w:val="left"/>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1、</w:t>
            </w:r>
            <w:r>
              <w:rPr>
                <w:rFonts w:hint="eastAsia"/>
                <w:color w:val="auto"/>
                <w:sz w:val="21"/>
                <w:szCs w:val="21"/>
                <w:highlight w:val="none"/>
              </w:rPr>
              <w:t>成交供应商应按采购文件规定的服务内容、技术要求、质量标准向采购人提供无瑕疵的服务成果。</w:t>
            </w:r>
            <w:r>
              <w:rPr>
                <w:rFonts w:hint="eastAsia"/>
                <w:color w:val="auto"/>
                <w:sz w:val="21"/>
                <w:szCs w:val="21"/>
                <w:highlight w:val="none"/>
                <w:lang w:eastAsia="zh-CN"/>
              </w:rPr>
              <w:t>质量保证期</w:t>
            </w:r>
            <w:r>
              <w:rPr>
                <w:rFonts w:hint="eastAsia"/>
                <w:color w:val="auto"/>
                <w:sz w:val="21"/>
                <w:szCs w:val="21"/>
                <w:highlight w:val="none"/>
                <w:lang w:val="en-US" w:eastAsia="zh-CN"/>
              </w:rPr>
              <w:t>2年（自交货并验收合格之日起计）。在质保期间内，</w:t>
            </w:r>
            <w:r>
              <w:rPr>
                <w:rFonts w:hint="eastAsia"/>
                <w:color w:val="auto"/>
                <w:sz w:val="21"/>
                <w:szCs w:val="21"/>
                <w:highlight w:val="none"/>
              </w:rPr>
              <w:t>成交供应商对提交的最终货物及服务成果质量负责</w:t>
            </w:r>
            <w:r>
              <w:rPr>
                <w:rFonts w:hint="eastAsia"/>
                <w:color w:val="auto"/>
                <w:sz w:val="21"/>
                <w:szCs w:val="21"/>
                <w:highlight w:val="none"/>
                <w:lang w:eastAsia="zh-CN"/>
              </w:rPr>
              <w:t>，如因成交供应商出现质量问题的，成交供应商应按采购人要求及时更换修复，费用由成交供应商承担。</w:t>
            </w:r>
          </w:p>
          <w:p>
            <w:pPr>
              <w:keepNext w:val="0"/>
              <w:keepLines w:val="0"/>
              <w:pageBreakBefore w:val="0"/>
              <w:widowControl/>
              <w:kinsoku/>
              <w:wordWrap/>
              <w:overflowPunct/>
              <w:topLinePunct w:val="0"/>
              <w:autoSpaceDE/>
              <w:autoSpaceDN/>
              <w:bidi w:val="0"/>
              <w:adjustRightInd/>
              <w:snapToGrid/>
              <w:spacing w:line="420" w:lineRule="exact"/>
              <w:contextualSpacing/>
              <w:jc w:val="left"/>
              <w:textAlignment w:val="auto"/>
              <w:rPr>
                <w:rFonts w:hint="eastAsia"/>
                <w:color w:val="auto"/>
                <w:sz w:val="21"/>
                <w:szCs w:val="21"/>
                <w:highlight w:val="none"/>
              </w:rPr>
            </w:pPr>
            <w:r>
              <w:rPr>
                <w:rFonts w:hint="eastAsia"/>
                <w:color w:val="auto"/>
                <w:sz w:val="21"/>
                <w:szCs w:val="21"/>
                <w:highlight w:val="none"/>
                <w:lang w:val="en-US" w:eastAsia="zh-CN"/>
              </w:rPr>
              <w:t>2、</w:t>
            </w:r>
            <w:r>
              <w:rPr>
                <w:rFonts w:hint="eastAsia"/>
                <w:color w:val="auto"/>
                <w:sz w:val="21"/>
                <w:szCs w:val="21"/>
                <w:highlight w:val="none"/>
              </w:rPr>
              <w:t>服务完成后，如有修改，成交供应商应在规定时间按要求完成修改工作，采购人不另行支付修改费用。</w:t>
            </w:r>
          </w:p>
          <w:p>
            <w:pPr>
              <w:keepNext w:val="0"/>
              <w:keepLines w:val="0"/>
              <w:pageBreakBefore w:val="0"/>
              <w:widowControl/>
              <w:kinsoku/>
              <w:wordWrap/>
              <w:overflowPunct/>
              <w:topLinePunct w:val="0"/>
              <w:autoSpaceDE/>
              <w:autoSpaceDN/>
              <w:bidi w:val="0"/>
              <w:adjustRightInd/>
              <w:snapToGrid/>
              <w:spacing w:line="420" w:lineRule="exact"/>
              <w:contextualSpacing/>
              <w:jc w:val="left"/>
              <w:textAlignment w:val="auto"/>
              <w:rPr>
                <w:rFonts w:hint="eastAsia" w:eastAsia="宋体"/>
                <w:color w:val="auto"/>
                <w:sz w:val="21"/>
                <w:szCs w:val="21"/>
                <w:highlight w:val="none"/>
                <w:lang w:eastAsia="zh-CN"/>
              </w:rPr>
            </w:pPr>
            <w:r>
              <w:rPr>
                <w:rFonts w:hint="eastAsia"/>
                <w:color w:val="auto"/>
                <w:sz w:val="21"/>
                <w:szCs w:val="21"/>
                <w:highlight w:val="none"/>
                <w:lang w:val="en-US" w:eastAsia="zh-CN"/>
              </w:rPr>
              <w:t>3、故障响应时间</w:t>
            </w:r>
            <w:r>
              <w:rPr>
                <w:rFonts w:hint="eastAsia"/>
                <w:color w:val="auto"/>
                <w:sz w:val="21"/>
                <w:szCs w:val="21"/>
                <w:highlight w:val="none"/>
              </w:rPr>
              <w:t>：接到采购人处理问题通知后</w:t>
            </w:r>
            <w:r>
              <w:rPr>
                <w:rFonts w:hint="eastAsia"/>
                <w:color w:val="auto"/>
                <w:sz w:val="21"/>
                <w:szCs w:val="21"/>
                <w:highlight w:val="none"/>
                <w:lang w:val="en-US" w:eastAsia="zh-CN"/>
              </w:rPr>
              <w:t>2</w:t>
            </w:r>
            <w:r>
              <w:rPr>
                <w:rFonts w:hint="eastAsia"/>
                <w:color w:val="auto"/>
                <w:sz w:val="21"/>
                <w:szCs w:val="21"/>
                <w:highlight w:val="none"/>
              </w:rPr>
              <w:t>小时内到达采购人指定现场</w:t>
            </w:r>
            <w:r>
              <w:rPr>
                <w:rFonts w:hint="eastAsia"/>
                <w:color w:val="auto"/>
                <w:sz w:val="21"/>
                <w:szCs w:val="21"/>
                <w:highlight w:val="none"/>
                <w:lang w:eastAsia="zh-CN"/>
              </w:rPr>
              <w:t>。</w:t>
            </w:r>
          </w:p>
          <w:p>
            <w:pPr>
              <w:keepNext w:val="0"/>
              <w:keepLines w:val="0"/>
              <w:pageBreakBefore w:val="0"/>
              <w:kinsoku/>
              <w:wordWrap/>
              <w:overflowPunct/>
              <w:topLinePunct w:val="0"/>
              <w:autoSpaceDE/>
              <w:autoSpaceDN/>
              <w:bidi w:val="0"/>
              <w:adjustRightInd/>
              <w:snapToGrid/>
              <w:spacing w:line="420" w:lineRule="exact"/>
              <w:textAlignment w:val="auto"/>
              <w:rPr>
                <w:rFonts w:hint="eastAsia"/>
                <w:color w:val="auto"/>
                <w:sz w:val="21"/>
                <w:szCs w:val="21"/>
                <w:highlight w:val="none"/>
              </w:rPr>
            </w:pPr>
            <w:r>
              <w:rPr>
                <w:rFonts w:hint="eastAsia"/>
                <w:color w:val="auto"/>
                <w:sz w:val="21"/>
                <w:szCs w:val="21"/>
                <w:highlight w:val="none"/>
              </w:rPr>
              <w:t>六、其他要求：</w:t>
            </w:r>
          </w:p>
          <w:p>
            <w:pPr>
              <w:keepNext w:val="0"/>
              <w:keepLines w:val="0"/>
              <w:pageBreakBefore w:val="0"/>
              <w:kinsoku/>
              <w:wordWrap/>
              <w:overflowPunct/>
              <w:topLinePunct w:val="0"/>
              <w:autoSpaceDE/>
              <w:autoSpaceDN/>
              <w:bidi w:val="0"/>
              <w:adjustRightInd/>
              <w:snapToGrid/>
              <w:spacing w:line="420" w:lineRule="exact"/>
              <w:textAlignment w:val="auto"/>
              <w:rPr>
                <w:rFonts w:hint="eastAsia"/>
                <w:color w:val="auto"/>
                <w:sz w:val="21"/>
                <w:szCs w:val="21"/>
                <w:highlight w:val="none"/>
              </w:rPr>
            </w:pPr>
            <w:r>
              <w:rPr>
                <w:rFonts w:hint="eastAsia"/>
                <w:color w:val="auto"/>
                <w:sz w:val="21"/>
                <w:szCs w:val="21"/>
                <w:highlight w:val="none"/>
              </w:rPr>
              <w:t>1、报价必须</w:t>
            </w:r>
            <w:r>
              <w:rPr>
                <w:rFonts w:hint="eastAsia"/>
                <w:color w:val="auto"/>
                <w:sz w:val="21"/>
                <w:szCs w:val="21"/>
                <w:highlight w:val="none"/>
                <w:lang w:eastAsia="zh-CN"/>
              </w:rPr>
              <w:t>包含</w:t>
            </w:r>
            <w:r>
              <w:rPr>
                <w:rFonts w:hint="eastAsia"/>
                <w:color w:val="auto"/>
                <w:sz w:val="21"/>
                <w:szCs w:val="21"/>
                <w:highlight w:val="none"/>
              </w:rPr>
              <w:t>以下部分，包括：</w:t>
            </w:r>
          </w:p>
          <w:p>
            <w:pPr>
              <w:keepNext w:val="0"/>
              <w:keepLines w:val="0"/>
              <w:pageBreakBefore w:val="0"/>
              <w:kinsoku/>
              <w:wordWrap/>
              <w:overflowPunct/>
              <w:topLinePunct w:val="0"/>
              <w:autoSpaceDE/>
              <w:autoSpaceDN/>
              <w:bidi w:val="0"/>
              <w:adjustRightInd/>
              <w:snapToGrid/>
              <w:spacing w:line="420" w:lineRule="exact"/>
              <w:textAlignment w:val="auto"/>
              <w:rPr>
                <w:rFonts w:hint="eastAsia"/>
                <w:color w:val="auto"/>
                <w:sz w:val="21"/>
                <w:szCs w:val="21"/>
                <w:highlight w:val="none"/>
              </w:rPr>
            </w:pPr>
            <w:r>
              <w:rPr>
                <w:rFonts w:hint="eastAsia"/>
                <w:color w:val="auto"/>
                <w:sz w:val="21"/>
                <w:szCs w:val="21"/>
                <w:highlight w:val="none"/>
              </w:rPr>
              <w:t>（1）服务的价格</w:t>
            </w:r>
            <w:r>
              <w:rPr>
                <w:rFonts w:hint="eastAsia"/>
                <w:color w:val="auto"/>
                <w:sz w:val="21"/>
                <w:szCs w:val="21"/>
                <w:highlight w:val="none"/>
                <w:lang w:eastAsia="zh-CN"/>
              </w:rPr>
              <w:t>（</w:t>
            </w:r>
            <w:r>
              <w:rPr>
                <w:rFonts w:hint="eastAsia"/>
                <w:color w:val="auto"/>
                <w:sz w:val="21"/>
                <w:szCs w:val="21"/>
                <w:highlight w:val="none"/>
                <w:lang w:val="en-US" w:eastAsia="zh-CN"/>
              </w:rPr>
              <w:t>包括但不限于完成本次所采购服务</w:t>
            </w:r>
            <w:r>
              <w:rPr>
                <w:rFonts w:hint="eastAsia" w:ascii="宋体" w:hAnsi="宋体"/>
                <w:color w:val="auto"/>
                <w:sz w:val="21"/>
                <w:szCs w:val="21"/>
                <w:highlight w:val="none"/>
              </w:rPr>
              <w:t>所有工作人员的交通费、食宿费、劳务费、设备物资费</w:t>
            </w:r>
            <w:r>
              <w:rPr>
                <w:rFonts w:hint="eastAsia" w:ascii="宋体" w:hAnsi="宋体"/>
                <w:color w:val="auto"/>
                <w:sz w:val="21"/>
                <w:szCs w:val="21"/>
                <w:highlight w:val="none"/>
                <w:lang w:val="en-US" w:eastAsia="zh-CN"/>
              </w:rPr>
              <w:t>等</w:t>
            </w:r>
            <w:r>
              <w:rPr>
                <w:rFonts w:hint="eastAsia"/>
                <w:color w:val="auto"/>
                <w:sz w:val="21"/>
                <w:szCs w:val="21"/>
                <w:highlight w:val="none"/>
                <w:lang w:eastAsia="zh-CN"/>
              </w:rPr>
              <w:t>）</w:t>
            </w:r>
            <w:r>
              <w:rPr>
                <w:rFonts w:hint="eastAsia"/>
                <w:color w:val="auto"/>
                <w:sz w:val="21"/>
                <w:szCs w:val="21"/>
                <w:highlight w:val="none"/>
              </w:rPr>
              <w:t>；</w:t>
            </w:r>
          </w:p>
          <w:p>
            <w:pPr>
              <w:keepNext w:val="0"/>
              <w:keepLines w:val="0"/>
              <w:pageBreakBefore w:val="0"/>
              <w:kinsoku/>
              <w:wordWrap/>
              <w:overflowPunct/>
              <w:topLinePunct w:val="0"/>
              <w:autoSpaceDE/>
              <w:autoSpaceDN/>
              <w:bidi w:val="0"/>
              <w:adjustRightInd/>
              <w:snapToGrid/>
              <w:spacing w:line="420" w:lineRule="exact"/>
              <w:textAlignment w:val="auto"/>
              <w:rPr>
                <w:rFonts w:hint="eastAsia"/>
                <w:color w:val="auto"/>
                <w:sz w:val="21"/>
                <w:szCs w:val="21"/>
                <w:highlight w:val="none"/>
              </w:rPr>
            </w:pPr>
            <w:r>
              <w:rPr>
                <w:rFonts w:hint="eastAsia"/>
                <w:color w:val="auto"/>
                <w:sz w:val="21"/>
                <w:szCs w:val="21"/>
                <w:highlight w:val="none"/>
              </w:rPr>
              <w:t>（2）必要的保险费用和各项税金；</w:t>
            </w:r>
          </w:p>
          <w:p>
            <w:pPr>
              <w:keepNext w:val="0"/>
              <w:keepLines w:val="0"/>
              <w:pageBreakBefore w:val="0"/>
              <w:tabs>
                <w:tab w:val="left" w:pos="3490"/>
                <w:tab w:val="left" w:pos="3670"/>
                <w:tab w:val="left" w:pos="3895"/>
              </w:tabs>
              <w:kinsoku/>
              <w:wordWrap/>
              <w:overflowPunct/>
              <w:topLinePunct w:val="0"/>
              <w:autoSpaceDE/>
              <w:autoSpaceDN/>
              <w:bidi w:val="0"/>
              <w:adjustRightInd/>
              <w:snapToGrid/>
              <w:spacing w:line="420" w:lineRule="exact"/>
              <w:textAlignment w:val="auto"/>
              <w:rPr>
                <w:rFonts w:hint="eastAsia"/>
                <w:color w:val="auto"/>
                <w:sz w:val="21"/>
                <w:szCs w:val="21"/>
                <w:highlight w:val="none"/>
                <w:lang w:eastAsia="zh-CN"/>
              </w:rPr>
            </w:pPr>
            <w:r>
              <w:rPr>
                <w:rFonts w:hint="eastAsia"/>
                <w:color w:val="auto"/>
                <w:sz w:val="21"/>
                <w:szCs w:val="21"/>
                <w:highlight w:val="none"/>
              </w:rPr>
              <w:t>（3）按规定提取的保险和福利费</w:t>
            </w:r>
            <w:r>
              <w:rPr>
                <w:rFonts w:hint="eastAsia"/>
                <w:color w:val="auto"/>
                <w:sz w:val="21"/>
                <w:szCs w:val="21"/>
                <w:highlight w:val="none"/>
                <w:lang w:eastAsia="zh-CN"/>
              </w:rPr>
              <w:t>、</w:t>
            </w:r>
            <w:r>
              <w:rPr>
                <w:rFonts w:hint="eastAsia"/>
                <w:color w:val="auto"/>
                <w:sz w:val="21"/>
                <w:szCs w:val="21"/>
                <w:highlight w:val="none"/>
              </w:rPr>
              <w:t>日常工作耗用办公材料费用</w:t>
            </w:r>
            <w:r>
              <w:rPr>
                <w:rFonts w:hint="eastAsia"/>
                <w:color w:val="auto"/>
                <w:sz w:val="21"/>
                <w:szCs w:val="21"/>
                <w:highlight w:val="none"/>
                <w:lang w:eastAsia="zh-CN"/>
              </w:rPr>
              <w:t>、</w:t>
            </w:r>
            <w:r>
              <w:rPr>
                <w:rFonts w:hint="eastAsia"/>
                <w:color w:val="auto"/>
                <w:sz w:val="21"/>
                <w:szCs w:val="21"/>
                <w:highlight w:val="none"/>
              </w:rPr>
              <w:t>员工劳动保护用品及工作服装</w:t>
            </w:r>
            <w:r>
              <w:rPr>
                <w:rFonts w:hint="eastAsia"/>
                <w:color w:val="auto"/>
                <w:sz w:val="21"/>
                <w:szCs w:val="21"/>
                <w:highlight w:val="none"/>
                <w:lang w:eastAsia="zh-CN"/>
              </w:rPr>
              <w:t>、</w:t>
            </w:r>
            <w:r>
              <w:rPr>
                <w:rFonts w:hint="eastAsia"/>
                <w:color w:val="auto"/>
                <w:sz w:val="21"/>
                <w:szCs w:val="21"/>
                <w:highlight w:val="none"/>
              </w:rPr>
              <w:t>企业合理利润</w:t>
            </w:r>
            <w:r>
              <w:rPr>
                <w:rFonts w:hint="eastAsia"/>
                <w:color w:val="auto"/>
                <w:sz w:val="21"/>
                <w:szCs w:val="21"/>
                <w:highlight w:val="none"/>
                <w:lang w:val="en-US" w:eastAsia="zh-CN"/>
              </w:rPr>
              <w:t>等；</w:t>
            </w:r>
          </w:p>
          <w:p>
            <w:pPr>
              <w:keepNext w:val="0"/>
              <w:keepLines w:val="0"/>
              <w:pageBreakBefore w:val="0"/>
              <w:tabs>
                <w:tab w:val="left" w:pos="3490"/>
                <w:tab w:val="left" w:pos="3670"/>
                <w:tab w:val="left" w:pos="3895"/>
              </w:tabs>
              <w:kinsoku/>
              <w:wordWrap/>
              <w:overflowPunct/>
              <w:topLinePunct w:val="0"/>
              <w:autoSpaceDE/>
              <w:autoSpaceDN/>
              <w:bidi w:val="0"/>
              <w:adjustRightInd/>
              <w:snapToGrid/>
              <w:spacing w:line="420" w:lineRule="exact"/>
              <w:textAlignment w:val="auto"/>
              <w:rPr>
                <w:rFonts w:hint="eastAsia"/>
                <w:color w:val="auto"/>
                <w:sz w:val="21"/>
                <w:szCs w:val="21"/>
                <w:highlight w:val="none"/>
                <w:lang w:eastAsia="zh-CN"/>
              </w:rPr>
            </w:pPr>
            <w:r>
              <w:rPr>
                <w:rFonts w:hint="eastAsia"/>
                <w:color w:val="auto"/>
                <w:sz w:val="21"/>
                <w:szCs w:val="21"/>
                <w:highlight w:val="none"/>
                <w:lang w:eastAsia="zh-CN"/>
              </w:rPr>
              <w:t>（</w:t>
            </w:r>
            <w:r>
              <w:rPr>
                <w:rFonts w:hint="eastAsia"/>
                <w:color w:val="auto"/>
                <w:sz w:val="21"/>
                <w:szCs w:val="21"/>
                <w:highlight w:val="none"/>
                <w:lang w:val="en-US" w:eastAsia="zh-CN"/>
              </w:rPr>
              <w:t>4</w:t>
            </w:r>
            <w:r>
              <w:rPr>
                <w:rFonts w:hint="eastAsia"/>
                <w:color w:val="auto"/>
                <w:sz w:val="21"/>
                <w:szCs w:val="21"/>
                <w:highlight w:val="none"/>
                <w:lang w:eastAsia="zh-CN"/>
              </w:rPr>
              <w:t>）</w:t>
            </w:r>
            <w:r>
              <w:rPr>
                <w:rFonts w:hint="eastAsia"/>
                <w:color w:val="auto"/>
                <w:sz w:val="21"/>
                <w:szCs w:val="21"/>
                <w:highlight w:val="none"/>
              </w:rPr>
              <w:t>成交后，所发生的一切费用，无论供应商是否在报价中列出相关明细报价，采购人均认为其价格已含在报价中，不得以任何理由向采购人提出增加费用的要求，且不能影响服务质量。</w:t>
            </w:r>
            <w:r>
              <w:rPr>
                <w:rFonts w:hint="eastAsia"/>
                <w:color w:val="auto"/>
                <w:sz w:val="21"/>
                <w:szCs w:val="21"/>
                <w:highlight w:val="none"/>
                <w:lang w:val="en-US" w:eastAsia="zh-CN"/>
              </w:rPr>
              <w:t>采购人</w:t>
            </w:r>
            <w:r>
              <w:rPr>
                <w:rFonts w:hint="eastAsia"/>
                <w:color w:val="auto"/>
                <w:sz w:val="21"/>
                <w:szCs w:val="21"/>
                <w:highlight w:val="none"/>
              </w:rPr>
              <w:t>无需向</w:t>
            </w:r>
            <w:r>
              <w:rPr>
                <w:rFonts w:hint="eastAsia"/>
                <w:color w:val="auto"/>
                <w:sz w:val="21"/>
                <w:szCs w:val="21"/>
                <w:highlight w:val="none"/>
                <w:lang w:val="en-US" w:eastAsia="zh-CN"/>
              </w:rPr>
              <w:t>成交供应商</w:t>
            </w:r>
            <w:r>
              <w:rPr>
                <w:rFonts w:hint="eastAsia"/>
                <w:color w:val="auto"/>
                <w:sz w:val="21"/>
                <w:szCs w:val="21"/>
                <w:highlight w:val="none"/>
              </w:rPr>
              <w:t>再另行支付任何费用。</w:t>
            </w:r>
          </w:p>
          <w:p>
            <w:pPr>
              <w:keepNext w:val="0"/>
              <w:keepLines w:val="0"/>
              <w:pageBreakBefore w:val="0"/>
              <w:kinsoku/>
              <w:wordWrap/>
              <w:overflowPunct/>
              <w:topLinePunct w:val="0"/>
              <w:autoSpaceDE/>
              <w:autoSpaceDN/>
              <w:bidi w:val="0"/>
              <w:adjustRightInd/>
              <w:snapToGrid/>
              <w:spacing w:line="420" w:lineRule="exact"/>
              <w:textAlignment w:val="auto"/>
              <w:rPr>
                <w:rFonts w:hint="eastAsia"/>
                <w:color w:val="auto"/>
                <w:sz w:val="21"/>
                <w:szCs w:val="21"/>
                <w:highlight w:val="none"/>
              </w:rPr>
            </w:pPr>
            <w:r>
              <w:rPr>
                <w:rFonts w:hint="eastAsia"/>
                <w:color w:val="auto"/>
                <w:sz w:val="21"/>
                <w:szCs w:val="21"/>
                <w:highlight w:val="none"/>
              </w:rPr>
              <w:t>▲2、付款方式：</w:t>
            </w:r>
          </w:p>
          <w:p>
            <w:pPr>
              <w:keepNext w:val="0"/>
              <w:keepLines w:val="0"/>
              <w:pageBreakBefore w:val="0"/>
              <w:tabs>
                <w:tab w:val="left" w:pos="3490"/>
                <w:tab w:val="left" w:pos="3670"/>
                <w:tab w:val="left" w:pos="3895"/>
              </w:tabs>
              <w:kinsoku/>
              <w:wordWrap/>
              <w:overflowPunct/>
              <w:topLinePunct w:val="0"/>
              <w:autoSpaceDE/>
              <w:autoSpaceDN/>
              <w:bidi w:val="0"/>
              <w:adjustRightInd/>
              <w:snapToGrid/>
              <w:spacing w:line="420" w:lineRule="exact"/>
              <w:textAlignment w:val="auto"/>
              <w:rPr>
                <w:rFonts w:hint="eastAsia" w:eastAsia="宋体"/>
                <w:color w:val="auto"/>
                <w:sz w:val="21"/>
                <w:szCs w:val="21"/>
                <w:highlight w:val="none"/>
                <w:lang w:val="en-US" w:eastAsia="zh-CN"/>
              </w:rPr>
            </w:pPr>
            <w:r>
              <w:rPr>
                <w:rFonts w:hint="eastAsia" w:eastAsia="宋体"/>
                <w:color w:val="auto"/>
                <w:sz w:val="21"/>
                <w:szCs w:val="21"/>
                <w:highlight w:val="none"/>
                <w:lang w:val="en-US" w:eastAsia="zh-CN"/>
              </w:rPr>
              <w:t>（1）自采购合同签订之日起30日内采购人向</w:t>
            </w:r>
            <w:r>
              <w:rPr>
                <w:rFonts w:hint="eastAsia"/>
                <w:color w:val="auto"/>
                <w:sz w:val="21"/>
                <w:szCs w:val="21"/>
                <w:highlight w:val="none"/>
                <w:lang w:val="en-US" w:eastAsia="zh-CN"/>
              </w:rPr>
              <w:t>市财政局申请合同金额的</w:t>
            </w:r>
            <w:r>
              <w:rPr>
                <w:rFonts w:hint="eastAsia" w:eastAsia="宋体"/>
                <w:color w:val="auto"/>
                <w:sz w:val="21"/>
                <w:szCs w:val="21"/>
                <w:highlight w:val="none"/>
                <w:lang w:val="en-US" w:eastAsia="zh-CN"/>
              </w:rPr>
              <w:t>30%作为预付款；</w:t>
            </w:r>
          </w:p>
          <w:p>
            <w:pPr>
              <w:keepNext w:val="0"/>
              <w:keepLines w:val="0"/>
              <w:pageBreakBefore w:val="0"/>
              <w:tabs>
                <w:tab w:val="left" w:pos="3490"/>
                <w:tab w:val="left" w:pos="3670"/>
                <w:tab w:val="left" w:pos="3895"/>
              </w:tabs>
              <w:kinsoku/>
              <w:wordWrap/>
              <w:overflowPunct/>
              <w:topLinePunct w:val="0"/>
              <w:autoSpaceDE/>
              <w:autoSpaceDN/>
              <w:bidi w:val="0"/>
              <w:adjustRightInd/>
              <w:snapToGrid/>
              <w:spacing w:line="420" w:lineRule="exact"/>
              <w:textAlignment w:val="auto"/>
              <w:rPr>
                <w:rFonts w:hint="eastAsia" w:eastAsia="宋体"/>
                <w:color w:val="auto"/>
                <w:sz w:val="21"/>
                <w:szCs w:val="21"/>
                <w:highlight w:val="none"/>
                <w:lang w:val="en-US" w:eastAsia="zh-CN"/>
              </w:rPr>
            </w:pPr>
            <w:r>
              <w:rPr>
                <w:rFonts w:hint="eastAsia" w:eastAsia="宋体"/>
                <w:color w:val="auto"/>
                <w:sz w:val="21"/>
                <w:szCs w:val="21"/>
                <w:highlight w:val="none"/>
                <w:lang w:val="en-US" w:eastAsia="zh-CN"/>
              </w:rPr>
              <w:t>（2）成交供应商提交所有的服务材料且项目完成验收</w:t>
            </w:r>
            <w:r>
              <w:rPr>
                <w:rFonts w:hint="eastAsia"/>
                <w:color w:val="auto"/>
                <w:sz w:val="21"/>
                <w:szCs w:val="21"/>
                <w:highlight w:val="none"/>
                <w:lang w:val="en-US" w:eastAsia="zh-CN"/>
              </w:rPr>
              <w:t>合格后，</w:t>
            </w:r>
            <w:r>
              <w:rPr>
                <w:rFonts w:hint="eastAsia" w:eastAsia="宋体"/>
                <w:color w:val="auto"/>
                <w:sz w:val="21"/>
                <w:szCs w:val="21"/>
                <w:highlight w:val="none"/>
                <w:lang w:val="en-US" w:eastAsia="zh-CN"/>
              </w:rPr>
              <w:t>1个月内</w:t>
            </w:r>
            <w:r>
              <w:rPr>
                <w:rFonts w:hint="eastAsia"/>
                <w:color w:val="auto"/>
                <w:sz w:val="21"/>
                <w:szCs w:val="21"/>
                <w:highlight w:val="none"/>
                <w:lang w:val="en-US" w:eastAsia="zh-CN"/>
              </w:rPr>
              <w:t>采购人向市财政局申请资金，支付余下项目款项（具体金额以实际费用为准）。</w:t>
            </w:r>
          </w:p>
          <w:p>
            <w:pPr>
              <w:keepNext w:val="0"/>
              <w:keepLines w:val="0"/>
              <w:pageBreakBefore w:val="0"/>
              <w:tabs>
                <w:tab w:val="left" w:pos="3490"/>
                <w:tab w:val="left" w:pos="3670"/>
                <w:tab w:val="left" w:pos="3895"/>
              </w:tabs>
              <w:kinsoku/>
              <w:wordWrap/>
              <w:overflowPunct/>
              <w:topLinePunct w:val="0"/>
              <w:autoSpaceDE/>
              <w:autoSpaceDN/>
              <w:bidi w:val="0"/>
              <w:adjustRightInd/>
              <w:snapToGrid/>
              <w:spacing w:line="420" w:lineRule="exact"/>
              <w:textAlignment w:val="auto"/>
              <w:rPr>
                <w:rFonts w:hint="eastAsia" w:ascii="宋体" w:hAnsi="宋体" w:eastAsia="宋体" w:cs="宋体"/>
                <w:color w:val="auto"/>
                <w:sz w:val="21"/>
                <w:szCs w:val="21"/>
                <w:highlight w:val="none"/>
                <w:lang w:val="en-US" w:eastAsia="zh-CN"/>
              </w:rPr>
            </w:pPr>
            <w:r>
              <w:rPr>
                <w:rFonts w:hint="eastAsia" w:eastAsia="宋体"/>
                <w:color w:val="auto"/>
                <w:sz w:val="21"/>
                <w:szCs w:val="21"/>
                <w:highlight w:val="none"/>
                <w:lang w:val="en-US" w:eastAsia="zh-CN"/>
              </w:rPr>
              <w:t>（3）成交供应商应在采购人</w:t>
            </w:r>
            <w:r>
              <w:rPr>
                <w:rFonts w:hint="eastAsia"/>
                <w:color w:val="auto"/>
                <w:sz w:val="21"/>
                <w:szCs w:val="21"/>
                <w:highlight w:val="none"/>
                <w:lang w:val="en-US" w:eastAsia="zh-CN"/>
              </w:rPr>
              <w:t>申请</w:t>
            </w:r>
            <w:r>
              <w:rPr>
                <w:rFonts w:hint="eastAsia" w:eastAsia="宋体"/>
                <w:color w:val="auto"/>
                <w:sz w:val="21"/>
                <w:szCs w:val="21"/>
                <w:highlight w:val="none"/>
                <w:lang w:val="en-US" w:eastAsia="zh-CN"/>
              </w:rPr>
              <w:t>支付合同款项前，向采购人提供对应金额的完税发票</w:t>
            </w:r>
            <w:r>
              <w:rPr>
                <w:rFonts w:hint="eastAsia"/>
                <w:color w:val="auto"/>
                <w:sz w:val="21"/>
                <w:szCs w:val="21"/>
                <w:highlight w:val="none"/>
                <w:lang w:val="en-US" w:eastAsia="zh-CN"/>
              </w:rPr>
              <w:t>及请款函，采购人将请款材料递交市财政局申请支付有关款项，</w:t>
            </w:r>
            <w:r>
              <w:rPr>
                <w:rFonts w:hint="eastAsia" w:eastAsia="宋体"/>
                <w:color w:val="auto"/>
                <w:sz w:val="21"/>
                <w:szCs w:val="21"/>
                <w:highlight w:val="none"/>
                <w:lang w:val="en-US" w:eastAsia="zh-CN"/>
              </w:rPr>
              <w:t>一切税费均由成交供应商负担。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52" w:hRule="atLeast"/>
          <w:jc w:val="center"/>
        </w:trPr>
        <w:tc>
          <w:tcPr>
            <w:tcW w:w="54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其他说明</w:t>
            </w:r>
          </w:p>
        </w:tc>
        <w:tc>
          <w:tcPr>
            <w:tcW w:w="9936" w:type="dxa"/>
            <w:gridSpan w:val="7"/>
            <w:tcBorders>
              <w:top w:val="single" w:color="auto" w:sz="4" w:space="0"/>
              <w:left w:val="single" w:color="auto" w:sz="4" w:space="0"/>
              <w:bottom w:val="single" w:color="auto" w:sz="4" w:space="0"/>
              <w:right w:val="single" w:color="auto" w:sz="4" w:space="0"/>
            </w:tcBorders>
            <w:noWrap w:val="0"/>
            <w:vAlign w:val="top"/>
          </w:tcPr>
          <w:p>
            <w:pPr>
              <w:widowControl/>
              <w:shd w:val="clear" w:color="auto" w:fill="FFFFFF"/>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一、进口产品说明</w:t>
            </w:r>
          </w:p>
          <w:p>
            <w:pPr>
              <w:widowControl/>
              <w:shd w:val="clear" w:color="auto" w:fill="FFFFFF"/>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本项目服务所涉及的货物不接受进口产品（即通过中国海关报关验放进入中国境内且产自关境外的产品）参与投标，如有进口产品参与投标的作无效标处理。</w:t>
            </w:r>
          </w:p>
          <w:p>
            <w:pPr>
              <w:widowControl/>
              <w:numPr>
                <w:ilvl w:val="0"/>
                <w:numId w:val="2"/>
              </w:numPr>
              <w:shd w:val="clear" w:color="auto" w:fill="FFFFFF"/>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其他</w:t>
            </w:r>
          </w:p>
          <w:p>
            <w:pPr>
              <w:widowControl/>
              <w:shd w:val="clear" w:color="auto" w:fill="FFFFFF"/>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本项目所采购货物如需执行国家相关标准、行业标准、地方标准要求时，应执行相应的标准、规范。如具体采购需求与标准、规范不一致的，高于标准、规范的按具体采购需求执行，低于标准、规范的按标准、规范执行。</w:t>
            </w:r>
          </w:p>
          <w:p>
            <w:pPr>
              <w:widowControl/>
              <w:shd w:val="clear" w:color="auto" w:fill="FFFFFF"/>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、是否进行演示：无。</w:t>
            </w:r>
          </w:p>
          <w:p>
            <w:pPr>
              <w:widowControl/>
              <w:shd w:val="clear" w:color="auto" w:fill="FFFFFF"/>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、是否要求提供样品：无。</w:t>
            </w:r>
          </w:p>
          <w:p>
            <w:pPr>
              <w:widowControl/>
              <w:shd w:val="clear" w:color="auto" w:fill="FFFFFF"/>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、是否现场踏勘：不组织。</w:t>
            </w:r>
          </w:p>
        </w:tc>
      </w:tr>
    </w:tbl>
    <w:p>
      <w:pPr>
        <w:tabs>
          <w:tab w:val="left" w:pos="180"/>
          <w:tab w:val="left" w:pos="1620"/>
        </w:tabs>
        <w:spacing w:line="360" w:lineRule="auto"/>
        <w:ind w:firstLine="422" w:firstLineChars="200"/>
        <w:rPr>
          <w:rFonts w:hint="eastAsia" w:ascii="宋体" w:hAnsi="宋体" w:eastAsia="宋体" w:cs="宋体"/>
          <w:b/>
          <w:bCs/>
          <w:color w:val="auto"/>
          <w:szCs w:val="21"/>
          <w:highlight w:val="none"/>
        </w:rPr>
        <w:sectPr>
          <w:pgSz w:w="11910" w:h="16840"/>
          <w:pgMar w:top="1440" w:right="1080" w:bottom="1440" w:left="1080" w:header="720" w:footer="720" w:gutter="0"/>
          <w:pgNumType w:fmt="decimal"/>
          <w:cols w:space="720" w:num="1"/>
        </w:sectPr>
      </w:pPr>
    </w:p>
    <w:p>
      <w:pPr>
        <w:rPr>
          <w:rFonts w:hint="eastAsia" w:ascii="宋体" w:hAnsi="宋体" w:eastAsia="宋体" w:cs="宋体"/>
          <w:b w:val="0"/>
          <w:bCs w:val="0"/>
          <w:i w:val="0"/>
          <w:color w:val="auto"/>
          <w:kern w:val="0"/>
          <w:sz w:val="32"/>
          <w:szCs w:val="32"/>
          <w:highlight w:val="none"/>
          <w:u w:val="none"/>
          <w:lang w:val="en-US" w:eastAsia="zh-CN" w:bidi="ar"/>
        </w:rPr>
      </w:pPr>
      <w:bookmarkStart w:id="53" w:name="_Toc26790"/>
      <w:r>
        <w:rPr>
          <w:rFonts w:hint="eastAsia" w:ascii="宋体" w:hAnsi="宋体" w:eastAsia="宋体" w:cs="宋体"/>
          <w:b w:val="0"/>
          <w:bCs w:val="0"/>
          <w:i w:val="0"/>
          <w:color w:val="auto"/>
          <w:kern w:val="0"/>
          <w:sz w:val="32"/>
          <w:szCs w:val="32"/>
          <w:highlight w:val="none"/>
          <w:u w:val="none"/>
          <w:lang w:val="en-US" w:eastAsia="zh-CN" w:bidi="ar"/>
        </w:rPr>
        <w:t>附件1</w:t>
      </w:r>
    </w:p>
    <w:p>
      <w:pPr>
        <w:bidi w:val="0"/>
        <w:jc w:val="center"/>
        <w:rPr>
          <w:rFonts w:hint="eastAsia" w:asciiTheme="minorEastAsia" w:hAnsiTheme="minorEastAsia" w:eastAsiaTheme="minorEastAsia" w:cstheme="minorEastAsia"/>
          <w:b/>
          <w:bCs/>
          <w:color w:val="auto"/>
          <w:highlight w:val="none"/>
          <w:lang w:val="en-US" w:eastAsia="zh-CN"/>
        </w:rPr>
      </w:pPr>
      <w:r>
        <w:rPr>
          <w:rFonts w:hint="eastAsia" w:asciiTheme="minorEastAsia" w:hAnsiTheme="minorEastAsia" w:eastAsiaTheme="minorEastAsia" w:cstheme="minorEastAsia"/>
          <w:b/>
          <w:bCs/>
          <w:color w:val="auto"/>
          <w:sz w:val="28"/>
          <w:szCs w:val="28"/>
          <w:highlight w:val="none"/>
          <w:lang w:val="en-US" w:eastAsia="zh-CN"/>
        </w:rPr>
        <w:t>2025年横州市特殊困难老年人家庭适老化改造项目任务分解表</w:t>
      </w:r>
    </w:p>
    <w:tbl>
      <w:tblPr>
        <w:tblStyle w:val="28"/>
        <w:tblW w:w="9475" w:type="dxa"/>
        <w:tblInd w:w="446" w:type="dxa"/>
        <w:tblLayout w:type="fixed"/>
        <w:tblCellMar>
          <w:top w:w="0" w:type="dxa"/>
          <w:left w:w="0" w:type="dxa"/>
          <w:bottom w:w="0" w:type="dxa"/>
          <w:right w:w="0" w:type="dxa"/>
        </w:tblCellMar>
      </w:tblPr>
      <w:tblGrid>
        <w:gridCol w:w="1747"/>
        <w:gridCol w:w="4348"/>
        <w:gridCol w:w="2089"/>
        <w:gridCol w:w="1291"/>
      </w:tblGrid>
      <w:tr>
        <w:tblPrEx>
          <w:tblLayout w:type="fixed"/>
          <w:tblCellMar>
            <w:top w:w="0" w:type="dxa"/>
            <w:left w:w="0" w:type="dxa"/>
            <w:bottom w:w="0" w:type="dxa"/>
            <w:right w:w="0" w:type="dxa"/>
          </w:tblCellMar>
        </w:tblPrEx>
        <w:trPr>
          <w:trHeight w:val="363" w:hRule="exact"/>
        </w:trPr>
        <w:tc>
          <w:tcPr>
            <w:tcW w:w="1747"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color w:val="auto"/>
                <w:sz w:val="28"/>
                <w:szCs w:val="28"/>
                <w:highlight w:val="none"/>
                <w:u w:val="none"/>
              </w:rPr>
            </w:pPr>
            <w:r>
              <w:rPr>
                <w:rFonts w:hint="eastAsia" w:ascii="宋体" w:hAnsi="宋体" w:eastAsia="宋体" w:cs="宋体"/>
                <w:b w:val="0"/>
                <w:bCs w:val="0"/>
                <w:i w:val="0"/>
                <w:color w:val="auto"/>
                <w:kern w:val="0"/>
                <w:sz w:val="28"/>
                <w:szCs w:val="28"/>
                <w:highlight w:val="none"/>
                <w:u w:val="none"/>
                <w:lang w:val="en-US" w:eastAsia="zh-CN" w:bidi="ar"/>
              </w:rPr>
              <w:t>序号</w:t>
            </w:r>
          </w:p>
        </w:tc>
        <w:tc>
          <w:tcPr>
            <w:tcW w:w="4348"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color w:val="auto"/>
                <w:sz w:val="28"/>
                <w:szCs w:val="28"/>
                <w:highlight w:val="none"/>
                <w:u w:val="none"/>
              </w:rPr>
            </w:pPr>
            <w:r>
              <w:rPr>
                <w:rFonts w:hint="eastAsia" w:ascii="宋体" w:hAnsi="宋体" w:eastAsia="宋体" w:cs="宋体"/>
                <w:b w:val="0"/>
                <w:bCs w:val="0"/>
                <w:i w:val="0"/>
                <w:color w:val="auto"/>
                <w:kern w:val="0"/>
                <w:sz w:val="28"/>
                <w:szCs w:val="28"/>
                <w:highlight w:val="none"/>
                <w:u w:val="none"/>
                <w:lang w:val="en-US" w:eastAsia="zh-CN" w:bidi="ar"/>
              </w:rPr>
              <w:t>乡（镇）</w:t>
            </w:r>
          </w:p>
        </w:tc>
        <w:tc>
          <w:tcPr>
            <w:tcW w:w="2089"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color w:val="auto"/>
                <w:sz w:val="28"/>
                <w:szCs w:val="28"/>
                <w:highlight w:val="none"/>
                <w:u w:val="none"/>
              </w:rPr>
            </w:pPr>
            <w:r>
              <w:rPr>
                <w:rFonts w:hint="eastAsia" w:ascii="宋体" w:hAnsi="宋体" w:eastAsia="宋体" w:cs="宋体"/>
                <w:b w:val="0"/>
                <w:bCs w:val="0"/>
                <w:i w:val="0"/>
                <w:color w:val="auto"/>
                <w:kern w:val="0"/>
                <w:sz w:val="28"/>
                <w:szCs w:val="28"/>
                <w:highlight w:val="none"/>
                <w:u w:val="none"/>
                <w:lang w:val="en-US" w:eastAsia="zh-CN" w:bidi="ar"/>
              </w:rPr>
              <w:t>任务数</w:t>
            </w:r>
          </w:p>
        </w:tc>
        <w:tc>
          <w:tcPr>
            <w:tcW w:w="1291" w:type="dxa"/>
            <w:vMerge w:val="restart"/>
            <w:tcBorders>
              <w:top w:val="single" w:color="000000" w:sz="4" w:space="0"/>
              <w:left w:val="nil"/>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color w:val="auto"/>
                <w:sz w:val="28"/>
                <w:szCs w:val="28"/>
                <w:highlight w:val="none"/>
                <w:u w:val="none"/>
              </w:rPr>
            </w:pPr>
            <w:r>
              <w:rPr>
                <w:rFonts w:hint="eastAsia" w:ascii="宋体" w:hAnsi="宋体" w:eastAsia="宋体" w:cs="宋体"/>
                <w:b w:val="0"/>
                <w:bCs w:val="0"/>
                <w:i w:val="0"/>
                <w:color w:val="auto"/>
                <w:kern w:val="0"/>
                <w:sz w:val="28"/>
                <w:szCs w:val="28"/>
                <w:highlight w:val="none"/>
                <w:u w:val="none"/>
                <w:lang w:val="en-US" w:eastAsia="zh-CN" w:bidi="ar"/>
              </w:rPr>
              <w:t>备注</w:t>
            </w:r>
          </w:p>
        </w:tc>
      </w:tr>
      <w:tr>
        <w:tblPrEx>
          <w:tblLayout w:type="fixed"/>
          <w:tblCellMar>
            <w:top w:w="0" w:type="dxa"/>
            <w:left w:w="0" w:type="dxa"/>
            <w:bottom w:w="0" w:type="dxa"/>
            <w:right w:w="0" w:type="dxa"/>
          </w:tblCellMar>
        </w:tblPrEx>
        <w:trPr>
          <w:trHeight w:val="312" w:hRule="exact"/>
        </w:trPr>
        <w:tc>
          <w:tcPr>
            <w:tcW w:w="174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360" w:lineRule="auto"/>
              <w:jc w:val="center"/>
              <w:rPr>
                <w:rFonts w:hint="eastAsia" w:ascii="宋体" w:hAnsi="宋体" w:eastAsia="宋体" w:cs="宋体"/>
                <w:b w:val="0"/>
                <w:bCs w:val="0"/>
                <w:i w:val="0"/>
                <w:color w:val="auto"/>
                <w:sz w:val="28"/>
                <w:szCs w:val="28"/>
                <w:highlight w:val="none"/>
                <w:u w:val="none"/>
              </w:rPr>
            </w:pPr>
          </w:p>
        </w:tc>
        <w:tc>
          <w:tcPr>
            <w:tcW w:w="434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360" w:lineRule="auto"/>
              <w:jc w:val="center"/>
              <w:rPr>
                <w:rFonts w:hint="eastAsia" w:ascii="宋体" w:hAnsi="宋体" w:eastAsia="宋体" w:cs="宋体"/>
                <w:b w:val="0"/>
                <w:bCs w:val="0"/>
                <w:i w:val="0"/>
                <w:color w:val="auto"/>
                <w:sz w:val="28"/>
                <w:szCs w:val="28"/>
                <w:highlight w:val="none"/>
                <w:u w:val="none"/>
              </w:rPr>
            </w:pPr>
          </w:p>
        </w:tc>
        <w:tc>
          <w:tcPr>
            <w:tcW w:w="208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360" w:lineRule="auto"/>
              <w:jc w:val="center"/>
              <w:rPr>
                <w:rFonts w:hint="eastAsia" w:ascii="宋体" w:hAnsi="宋体" w:eastAsia="宋体" w:cs="宋体"/>
                <w:b w:val="0"/>
                <w:bCs w:val="0"/>
                <w:i w:val="0"/>
                <w:color w:val="auto"/>
                <w:sz w:val="28"/>
                <w:szCs w:val="28"/>
                <w:highlight w:val="none"/>
                <w:u w:val="none"/>
              </w:rPr>
            </w:pPr>
          </w:p>
        </w:tc>
        <w:tc>
          <w:tcPr>
            <w:tcW w:w="1291" w:type="dxa"/>
            <w:vMerge w:val="continue"/>
            <w:tcBorders>
              <w:top w:val="single" w:color="000000" w:sz="4" w:space="0"/>
              <w:left w:val="nil"/>
              <w:bottom w:val="single" w:color="000000" w:sz="4" w:space="0"/>
              <w:right w:val="single" w:color="000000" w:sz="4" w:space="0"/>
            </w:tcBorders>
            <w:noWrap w:val="0"/>
            <w:tcMar>
              <w:top w:w="15" w:type="dxa"/>
              <w:left w:w="15" w:type="dxa"/>
              <w:right w:w="15" w:type="dxa"/>
            </w:tcMar>
            <w:vAlign w:val="center"/>
          </w:tcPr>
          <w:p>
            <w:pPr>
              <w:spacing w:line="360" w:lineRule="auto"/>
              <w:jc w:val="center"/>
              <w:rPr>
                <w:rFonts w:hint="eastAsia" w:ascii="宋体" w:hAnsi="宋体" w:eastAsia="宋体" w:cs="宋体"/>
                <w:b w:val="0"/>
                <w:bCs w:val="0"/>
                <w:i w:val="0"/>
                <w:color w:val="auto"/>
                <w:sz w:val="28"/>
                <w:szCs w:val="28"/>
                <w:highlight w:val="none"/>
                <w:u w:val="none"/>
              </w:rPr>
            </w:pPr>
          </w:p>
        </w:tc>
      </w:tr>
      <w:tr>
        <w:tblPrEx>
          <w:tblLayout w:type="fixed"/>
          <w:tblCellMar>
            <w:top w:w="0" w:type="dxa"/>
            <w:left w:w="0" w:type="dxa"/>
            <w:bottom w:w="0" w:type="dxa"/>
            <w:right w:w="0" w:type="dxa"/>
          </w:tblCellMar>
        </w:tblPrEx>
        <w:trPr>
          <w:trHeight w:val="533" w:hRule="exact"/>
        </w:trPr>
        <w:tc>
          <w:tcPr>
            <w:tcW w:w="17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1</w:t>
            </w:r>
          </w:p>
        </w:tc>
        <w:tc>
          <w:tcPr>
            <w:tcW w:w="43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横州镇</w:t>
            </w:r>
          </w:p>
        </w:tc>
        <w:tc>
          <w:tcPr>
            <w:tcW w:w="20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27</w:t>
            </w:r>
          </w:p>
        </w:tc>
        <w:tc>
          <w:tcPr>
            <w:tcW w:w="12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color w:val="auto"/>
                <w:sz w:val="28"/>
                <w:szCs w:val="28"/>
                <w:highlight w:val="none"/>
                <w:u w:val="none"/>
                <w:lang w:val="en-US" w:eastAsia="zh-CN"/>
              </w:rPr>
            </w:pPr>
          </w:p>
        </w:tc>
      </w:tr>
      <w:tr>
        <w:tblPrEx>
          <w:tblLayout w:type="fixed"/>
          <w:tblCellMar>
            <w:top w:w="0" w:type="dxa"/>
            <w:left w:w="0" w:type="dxa"/>
            <w:bottom w:w="0" w:type="dxa"/>
            <w:right w:w="0" w:type="dxa"/>
          </w:tblCellMar>
        </w:tblPrEx>
        <w:trPr>
          <w:trHeight w:val="533" w:hRule="exact"/>
        </w:trPr>
        <w:tc>
          <w:tcPr>
            <w:tcW w:w="17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2</w:t>
            </w:r>
          </w:p>
        </w:tc>
        <w:tc>
          <w:tcPr>
            <w:tcW w:w="43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马山镇</w:t>
            </w:r>
          </w:p>
        </w:tc>
        <w:tc>
          <w:tcPr>
            <w:tcW w:w="20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22</w:t>
            </w:r>
          </w:p>
        </w:tc>
        <w:tc>
          <w:tcPr>
            <w:tcW w:w="12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color w:val="auto"/>
                <w:sz w:val="28"/>
                <w:szCs w:val="28"/>
                <w:highlight w:val="none"/>
                <w:u w:val="none"/>
                <w:lang w:val="en-US" w:eastAsia="zh-CN"/>
              </w:rPr>
            </w:pPr>
          </w:p>
        </w:tc>
      </w:tr>
      <w:tr>
        <w:tblPrEx>
          <w:tblLayout w:type="fixed"/>
          <w:tblCellMar>
            <w:top w:w="0" w:type="dxa"/>
            <w:left w:w="0" w:type="dxa"/>
            <w:bottom w:w="0" w:type="dxa"/>
            <w:right w:w="0" w:type="dxa"/>
          </w:tblCellMar>
        </w:tblPrEx>
        <w:trPr>
          <w:trHeight w:val="533" w:hRule="exact"/>
        </w:trPr>
        <w:tc>
          <w:tcPr>
            <w:tcW w:w="17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3</w:t>
            </w:r>
          </w:p>
        </w:tc>
        <w:tc>
          <w:tcPr>
            <w:tcW w:w="43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百合镇</w:t>
            </w:r>
          </w:p>
        </w:tc>
        <w:tc>
          <w:tcPr>
            <w:tcW w:w="20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38</w:t>
            </w:r>
          </w:p>
        </w:tc>
        <w:tc>
          <w:tcPr>
            <w:tcW w:w="12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color w:val="auto"/>
                <w:sz w:val="28"/>
                <w:szCs w:val="28"/>
                <w:highlight w:val="none"/>
                <w:u w:val="none"/>
                <w:lang w:val="en-US" w:eastAsia="zh-CN"/>
              </w:rPr>
            </w:pPr>
          </w:p>
        </w:tc>
      </w:tr>
      <w:tr>
        <w:tblPrEx>
          <w:tblLayout w:type="fixed"/>
          <w:tblCellMar>
            <w:top w:w="0" w:type="dxa"/>
            <w:left w:w="0" w:type="dxa"/>
            <w:bottom w:w="0" w:type="dxa"/>
            <w:right w:w="0" w:type="dxa"/>
          </w:tblCellMar>
        </w:tblPrEx>
        <w:trPr>
          <w:trHeight w:val="533" w:hRule="exact"/>
        </w:trPr>
        <w:tc>
          <w:tcPr>
            <w:tcW w:w="17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4</w:t>
            </w:r>
          </w:p>
        </w:tc>
        <w:tc>
          <w:tcPr>
            <w:tcW w:w="43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那阳镇</w:t>
            </w:r>
          </w:p>
        </w:tc>
        <w:tc>
          <w:tcPr>
            <w:tcW w:w="20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17</w:t>
            </w:r>
          </w:p>
        </w:tc>
        <w:tc>
          <w:tcPr>
            <w:tcW w:w="12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color w:val="auto"/>
                <w:sz w:val="28"/>
                <w:szCs w:val="28"/>
                <w:highlight w:val="none"/>
                <w:u w:val="none"/>
                <w:lang w:val="en-US" w:eastAsia="zh-CN"/>
              </w:rPr>
            </w:pPr>
          </w:p>
        </w:tc>
      </w:tr>
      <w:tr>
        <w:tblPrEx>
          <w:tblLayout w:type="fixed"/>
          <w:tblCellMar>
            <w:top w:w="0" w:type="dxa"/>
            <w:left w:w="0" w:type="dxa"/>
            <w:bottom w:w="0" w:type="dxa"/>
            <w:right w:w="0" w:type="dxa"/>
          </w:tblCellMar>
        </w:tblPrEx>
        <w:trPr>
          <w:trHeight w:val="533" w:hRule="exact"/>
        </w:trPr>
        <w:tc>
          <w:tcPr>
            <w:tcW w:w="17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5</w:t>
            </w:r>
          </w:p>
        </w:tc>
        <w:tc>
          <w:tcPr>
            <w:tcW w:w="43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南乡镇</w:t>
            </w:r>
          </w:p>
        </w:tc>
        <w:tc>
          <w:tcPr>
            <w:tcW w:w="20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38</w:t>
            </w:r>
          </w:p>
        </w:tc>
        <w:tc>
          <w:tcPr>
            <w:tcW w:w="12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color w:val="auto"/>
                <w:sz w:val="28"/>
                <w:szCs w:val="28"/>
                <w:highlight w:val="none"/>
                <w:u w:val="none"/>
                <w:lang w:val="en-US" w:eastAsia="zh-CN"/>
              </w:rPr>
            </w:pPr>
          </w:p>
        </w:tc>
      </w:tr>
      <w:tr>
        <w:tblPrEx>
          <w:tblLayout w:type="fixed"/>
          <w:tblCellMar>
            <w:top w:w="0" w:type="dxa"/>
            <w:left w:w="0" w:type="dxa"/>
            <w:bottom w:w="0" w:type="dxa"/>
            <w:right w:w="0" w:type="dxa"/>
          </w:tblCellMar>
        </w:tblPrEx>
        <w:trPr>
          <w:trHeight w:val="533" w:hRule="exact"/>
        </w:trPr>
        <w:tc>
          <w:tcPr>
            <w:tcW w:w="17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6</w:t>
            </w:r>
          </w:p>
        </w:tc>
        <w:tc>
          <w:tcPr>
            <w:tcW w:w="43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新福镇</w:t>
            </w:r>
          </w:p>
        </w:tc>
        <w:tc>
          <w:tcPr>
            <w:tcW w:w="20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color w:val="auto"/>
                <w:sz w:val="28"/>
                <w:szCs w:val="28"/>
                <w:highlight w:val="none"/>
                <w:u w:val="none"/>
                <w:lang w:val="en-US" w:eastAsia="zh-CN"/>
              </w:rPr>
            </w:pPr>
            <w:r>
              <w:rPr>
                <w:rFonts w:hint="eastAsia" w:ascii="宋体" w:hAnsi="宋体" w:eastAsia="宋体" w:cs="宋体"/>
                <w:b w:val="0"/>
                <w:bCs w:val="0"/>
                <w:i w:val="0"/>
                <w:color w:val="auto"/>
                <w:sz w:val="28"/>
                <w:szCs w:val="28"/>
                <w:highlight w:val="none"/>
                <w:u w:val="none"/>
                <w:lang w:val="en-US" w:eastAsia="zh-CN"/>
              </w:rPr>
              <w:t>19</w:t>
            </w:r>
          </w:p>
        </w:tc>
        <w:tc>
          <w:tcPr>
            <w:tcW w:w="12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color w:val="auto"/>
                <w:sz w:val="28"/>
                <w:szCs w:val="28"/>
                <w:highlight w:val="none"/>
                <w:u w:val="none"/>
                <w:lang w:val="en-US" w:eastAsia="zh-CN"/>
              </w:rPr>
            </w:pPr>
          </w:p>
        </w:tc>
      </w:tr>
      <w:tr>
        <w:tblPrEx>
          <w:tblLayout w:type="fixed"/>
          <w:tblCellMar>
            <w:top w:w="0" w:type="dxa"/>
            <w:left w:w="0" w:type="dxa"/>
            <w:bottom w:w="0" w:type="dxa"/>
            <w:right w:w="0" w:type="dxa"/>
          </w:tblCellMar>
        </w:tblPrEx>
        <w:trPr>
          <w:trHeight w:val="533" w:hRule="exact"/>
        </w:trPr>
        <w:tc>
          <w:tcPr>
            <w:tcW w:w="17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7</w:t>
            </w:r>
          </w:p>
        </w:tc>
        <w:tc>
          <w:tcPr>
            <w:tcW w:w="43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莲塘镇</w:t>
            </w:r>
          </w:p>
        </w:tc>
        <w:tc>
          <w:tcPr>
            <w:tcW w:w="20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color w:val="auto"/>
                <w:sz w:val="28"/>
                <w:szCs w:val="28"/>
                <w:highlight w:val="none"/>
                <w:u w:val="none"/>
                <w:lang w:val="en-US"/>
              </w:rPr>
            </w:pPr>
            <w:r>
              <w:rPr>
                <w:rFonts w:hint="eastAsia" w:ascii="宋体" w:hAnsi="宋体" w:eastAsia="宋体" w:cs="宋体"/>
                <w:i w:val="0"/>
                <w:iCs w:val="0"/>
                <w:color w:val="auto"/>
                <w:kern w:val="0"/>
                <w:sz w:val="28"/>
                <w:szCs w:val="28"/>
                <w:highlight w:val="none"/>
                <w:u w:val="none"/>
                <w:lang w:val="en-US" w:eastAsia="zh-CN" w:bidi="ar"/>
              </w:rPr>
              <w:t>9</w:t>
            </w:r>
          </w:p>
        </w:tc>
        <w:tc>
          <w:tcPr>
            <w:tcW w:w="12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color w:val="auto"/>
                <w:sz w:val="28"/>
                <w:szCs w:val="28"/>
                <w:highlight w:val="none"/>
                <w:u w:val="none"/>
                <w:lang w:val="en-US" w:eastAsia="zh-CN"/>
              </w:rPr>
            </w:pPr>
          </w:p>
        </w:tc>
      </w:tr>
      <w:tr>
        <w:tblPrEx>
          <w:tblLayout w:type="fixed"/>
          <w:tblCellMar>
            <w:top w:w="0" w:type="dxa"/>
            <w:left w:w="0" w:type="dxa"/>
            <w:bottom w:w="0" w:type="dxa"/>
            <w:right w:w="0" w:type="dxa"/>
          </w:tblCellMar>
        </w:tblPrEx>
        <w:trPr>
          <w:trHeight w:val="533" w:hRule="exact"/>
        </w:trPr>
        <w:tc>
          <w:tcPr>
            <w:tcW w:w="17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8</w:t>
            </w:r>
          </w:p>
        </w:tc>
        <w:tc>
          <w:tcPr>
            <w:tcW w:w="43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平马镇</w:t>
            </w:r>
          </w:p>
        </w:tc>
        <w:tc>
          <w:tcPr>
            <w:tcW w:w="20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color w:val="auto"/>
                <w:sz w:val="28"/>
                <w:szCs w:val="28"/>
                <w:highlight w:val="none"/>
                <w:u w:val="none"/>
                <w:lang w:val="en-US"/>
              </w:rPr>
            </w:pPr>
            <w:r>
              <w:rPr>
                <w:rFonts w:hint="eastAsia" w:ascii="宋体" w:hAnsi="宋体" w:eastAsia="宋体" w:cs="宋体"/>
                <w:i w:val="0"/>
                <w:iCs w:val="0"/>
                <w:color w:val="auto"/>
                <w:kern w:val="0"/>
                <w:sz w:val="28"/>
                <w:szCs w:val="28"/>
                <w:highlight w:val="none"/>
                <w:u w:val="none"/>
                <w:lang w:val="en-US" w:eastAsia="zh-CN" w:bidi="ar"/>
              </w:rPr>
              <w:t>14</w:t>
            </w:r>
          </w:p>
        </w:tc>
        <w:tc>
          <w:tcPr>
            <w:tcW w:w="12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color w:val="auto"/>
                <w:sz w:val="28"/>
                <w:szCs w:val="28"/>
                <w:highlight w:val="none"/>
                <w:u w:val="none"/>
                <w:lang w:val="en-US" w:eastAsia="zh-CN"/>
              </w:rPr>
            </w:pPr>
          </w:p>
        </w:tc>
      </w:tr>
      <w:tr>
        <w:tblPrEx>
          <w:tblLayout w:type="fixed"/>
          <w:tblCellMar>
            <w:top w:w="0" w:type="dxa"/>
            <w:left w:w="0" w:type="dxa"/>
            <w:bottom w:w="0" w:type="dxa"/>
            <w:right w:w="0" w:type="dxa"/>
          </w:tblCellMar>
        </w:tblPrEx>
        <w:trPr>
          <w:trHeight w:val="533" w:hRule="exact"/>
        </w:trPr>
        <w:tc>
          <w:tcPr>
            <w:tcW w:w="17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9</w:t>
            </w:r>
          </w:p>
        </w:tc>
        <w:tc>
          <w:tcPr>
            <w:tcW w:w="43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平朗镇</w:t>
            </w:r>
          </w:p>
        </w:tc>
        <w:tc>
          <w:tcPr>
            <w:tcW w:w="20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color w:val="auto"/>
                <w:sz w:val="28"/>
                <w:szCs w:val="28"/>
                <w:highlight w:val="none"/>
                <w:u w:val="none"/>
                <w:lang w:val="en-US"/>
              </w:rPr>
            </w:pPr>
            <w:r>
              <w:rPr>
                <w:rFonts w:hint="eastAsia" w:ascii="宋体" w:hAnsi="宋体" w:eastAsia="宋体" w:cs="宋体"/>
                <w:i w:val="0"/>
                <w:iCs w:val="0"/>
                <w:color w:val="auto"/>
                <w:kern w:val="0"/>
                <w:sz w:val="28"/>
                <w:szCs w:val="28"/>
                <w:highlight w:val="none"/>
                <w:u w:val="none"/>
                <w:lang w:val="en-US" w:eastAsia="zh-CN" w:bidi="ar"/>
              </w:rPr>
              <w:t>14</w:t>
            </w:r>
          </w:p>
        </w:tc>
        <w:tc>
          <w:tcPr>
            <w:tcW w:w="12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color w:val="auto"/>
                <w:sz w:val="28"/>
                <w:szCs w:val="28"/>
                <w:highlight w:val="none"/>
                <w:u w:val="none"/>
                <w:lang w:val="en-US" w:eastAsia="zh-CN"/>
              </w:rPr>
            </w:pPr>
          </w:p>
        </w:tc>
      </w:tr>
      <w:tr>
        <w:tblPrEx>
          <w:tblLayout w:type="fixed"/>
          <w:tblCellMar>
            <w:top w:w="0" w:type="dxa"/>
            <w:left w:w="0" w:type="dxa"/>
            <w:bottom w:w="0" w:type="dxa"/>
            <w:right w:w="0" w:type="dxa"/>
          </w:tblCellMar>
        </w:tblPrEx>
        <w:trPr>
          <w:trHeight w:val="533" w:hRule="exact"/>
        </w:trPr>
        <w:tc>
          <w:tcPr>
            <w:tcW w:w="17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color w:val="auto"/>
                <w:sz w:val="28"/>
                <w:szCs w:val="28"/>
                <w:highlight w:val="none"/>
                <w:u w:val="none"/>
                <w:lang w:val="en-US"/>
              </w:rPr>
            </w:pPr>
            <w:r>
              <w:rPr>
                <w:rFonts w:hint="eastAsia" w:ascii="宋体" w:hAnsi="宋体" w:eastAsia="宋体" w:cs="宋体"/>
                <w:i w:val="0"/>
                <w:iCs w:val="0"/>
                <w:color w:val="auto"/>
                <w:kern w:val="0"/>
                <w:sz w:val="28"/>
                <w:szCs w:val="28"/>
                <w:highlight w:val="none"/>
                <w:u w:val="none"/>
                <w:lang w:val="en-US" w:eastAsia="zh-CN" w:bidi="ar"/>
              </w:rPr>
              <w:t>10</w:t>
            </w:r>
          </w:p>
        </w:tc>
        <w:tc>
          <w:tcPr>
            <w:tcW w:w="43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峦城镇</w:t>
            </w:r>
          </w:p>
        </w:tc>
        <w:tc>
          <w:tcPr>
            <w:tcW w:w="20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color w:val="auto"/>
                <w:sz w:val="28"/>
                <w:szCs w:val="28"/>
                <w:highlight w:val="none"/>
                <w:u w:val="none"/>
                <w:lang w:val="en-US"/>
              </w:rPr>
            </w:pPr>
            <w:r>
              <w:rPr>
                <w:rFonts w:hint="eastAsia" w:ascii="宋体" w:hAnsi="宋体" w:eastAsia="宋体" w:cs="宋体"/>
                <w:i w:val="0"/>
                <w:iCs w:val="0"/>
                <w:color w:val="auto"/>
                <w:kern w:val="0"/>
                <w:sz w:val="28"/>
                <w:szCs w:val="28"/>
                <w:highlight w:val="none"/>
                <w:u w:val="none"/>
                <w:lang w:val="en-US" w:eastAsia="zh-CN" w:bidi="ar"/>
              </w:rPr>
              <w:t>27</w:t>
            </w:r>
          </w:p>
        </w:tc>
        <w:tc>
          <w:tcPr>
            <w:tcW w:w="12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color w:val="auto"/>
                <w:sz w:val="28"/>
                <w:szCs w:val="28"/>
                <w:highlight w:val="none"/>
                <w:u w:val="none"/>
                <w:lang w:val="en-US" w:eastAsia="zh-CN"/>
              </w:rPr>
            </w:pPr>
          </w:p>
        </w:tc>
      </w:tr>
      <w:tr>
        <w:tblPrEx>
          <w:tblLayout w:type="fixed"/>
          <w:tblCellMar>
            <w:top w:w="0" w:type="dxa"/>
            <w:left w:w="0" w:type="dxa"/>
            <w:bottom w:w="0" w:type="dxa"/>
            <w:right w:w="0" w:type="dxa"/>
          </w:tblCellMar>
        </w:tblPrEx>
        <w:trPr>
          <w:trHeight w:val="533" w:hRule="exact"/>
        </w:trPr>
        <w:tc>
          <w:tcPr>
            <w:tcW w:w="17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color w:val="auto"/>
                <w:sz w:val="28"/>
                <w:szCs w:val="28"/>
                <w:highlight w:val="none"/>
                <w:u w:val="none"/>
                <w:lang w:val="en-US"/>
              </w:rPr>
            </w:pPr>
            <w:r>
              <w:rPr>
                <w:rFonts w:hint="eastAsia" w:ascii="宋体" w:hAnsi="宋体" w:eastAsia="宋体" w:cs="宋体"/>
                <w:i w:val="0"/>
                <w:iCs w:val="0"/>
                <w:color w:val="auto"/>
                <w:kern w:val="0"/>
                <w:sz w:val="28"/>
                <w:szCs w:val="28"/>
                <w:highlight w:val="none"/>
                <w:u w:val="none"/>
                <w:lang w:val="en-US" w:eastAsia="zh-CN" w:bidi="ar"/>
              </w:rPr>
              <w:t>11</w:t>
            </w:r>
          </w:p>
        </w:tc>
        <w:tc>
          <w:tcPr>
            <w:tcW w:w="43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六景镇</w:t>
            </w:r>
          </w:p>
        </w:tc>
        <w:tc>
          <w:tcPr>
            <w:tcW w:w="20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color w:val="auto"/>
                <w:sz w:val="28"/>
                <w:szCs w:val="28"/>
                <w:highlight w:val="none"/>
                <w:u w:val="none"/>
                <w:lang w:val="en-US"/>
              </w:rPr>
            </w:pPr>
            <w:r>
              <w:rPr>
                <w:rFonts w:hint="eastAsia" w:ascii="宋体" w:hAnsi="宋体" w:eastAsia="宋体" w:cs="宋体"/>
                <w:i w:val="0"/>
                <w:iCs w:val="0"/>
                <w:color w:val="auto"/>
                <w:kern w:val="0"/>
                <w:sz w:val="28"/>
                <w:szCs w:val="28"/>
                <w:highlight w:val="none"/>
                <w:u w:val="none"/>
                <w:lang w:val="en-US" w:eastAsia="zh-CN" w:bidi="ar"/>
              </w:rPr>
              <w:t>30</w:t>
            </w:r>
          </w:p>
        </w:tc>
        <w:tc>
          <w:tcPr>
            <w:tcW w:w="12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color w:val="auto"/>
                <w:sz w:val="28"/>
                <w:szCs w:val="28"/>
                <w:highlight w:val="none"/>
                <w:u w:val="none"/>
                <w:lang w:val="en-US" w:eastAsia="zh-CN"/>
              </w:rPr>
            </w:pPr>
          </w:p>
        </w:tc>
      </w:tr>
      <w:tr>
        <w:tblPrEx>
          <w:tblLayout w:type="fixed"/>
          <w:tblCellMar>
            <w:top w:w="0" w:type="dxa"/>
            <w:left w:w="0" w:type="dxa"/>
            <w:bottom w:w="0" w:type="dxa"/>
            <w:right w:w="0" w:type="dxa"/>
          </w:tblCellMar>
        </w:tblPrEx>
        <w:trPr>
          <w:trHeight w:val="533" w:hRule="exact"/>
        </w:trPr>
        <w:tc>
          <w:tcPr>
            <w:tcW w:w="17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color w:val="auto"/>
                <w:sz w:val="28"/>
                <w:szCs w:val="28"/>
                <w:highlight w:val="none"/>
                <w:u w:val="none"/>
                <w:lang w:val="en-US"/>
              </w:rPr>
            </w:pPr>
            <w:r>
              <w:rPr>
                <w:rFonts w:hint="eastAsia" w:ascii="宋体" w:hAnsi="宋体" w:eastAsia="宋体" w:cs="宋体"/>
                <w:i w:val="0"/>
                <w:iCs w:val="0"/>
                <w:color w:val="auto"/>
                <w:kern w:val="0"/>
                <w:sz w:val="28"/>
                <w:szCs w:val="28"/>
                <w:highlight w:val="none"/>
                <w:u w:val="none"/>
                <w:lang w:val="en-US" w:eastAsia="zh-CN" w:bidi="ar"/>
              </w:rPr>
              <w:t>12</w:t>
            </w:r>
          </w:p>
        </w:tc>
        <w:tc>
          <w:tcPr>
            <w:tcW w:w="43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石塘镇</w:t>
            </w:r>
          </w:p>
        </w:tc>
        <w:tc>
          <w:tcPr>
            <w:tcW w:w="20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color w:val="auto"/>
                <w:sz w:val="28"/>
                <w:szCs w:val="28"/>
                <w:highlight w:val="none"/>
                <w:u w:val="none"/>
                <w:lang w:val="en-US"/>
              </w:rPr>
            </w:pPr>
            <w:r>
              <w:rPr>
                <w:rFonts w:hint="eastAsia" w:ascii="宋体" w:hAnsi="宋体" w:eastAsia="宋体" w:cs="宋体"/>
                <w:i w:val="0"/>
                <w:iCs w:val="0"/>
                <w:color w:val="auto"/>
                <w:kern w:val="0"/>
                <w:sz w:val="28"/>
                <w:szCs w:val="28"/>
                <w:highlight w:val="none"/>
                <w:u w:val="none"/>
                <w:lang w:val="en-US" w:eastAsia="zh-CN" w:bidi="ar"/>
              </w:rPr>
              <w:t>27</w:t>
            </w:r>
          </w:p>
        </w:tc>
        <w:tc>
          <w:tcPr>
            <w:tcW w:w="12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color w:val="auto"/>
                <w:sz w:val="28"/>
                <w:szCs w:val="28"/>
                <w:highlight w:val="none"/>
                <w:u w:val="none"/>
                <w:lang w:val="en-US" w:eastAsia="zh-CN"/>
              </w:rPr>
            </w:pPr>
          </w:p>
        </w:tc>
      </w:tr>
      <w:tr>
        <w:tblPrEx>
          <w:tblLayout w:type="fixed"/>
          <w:tblCellMar>
            <w:top w:w="0" w:type="dxa"/>
            <w:left w:w="0" w:type="dxa"/>
            <w:bottom w:w="0" w:type="dxa"/>
            <w:right w:w="0" w:type="dxa"/>
          </w:tblCellMar>
        </w:tblPrEx>
        <w:trPr>
          <w:trHeight w:val="533" w:hRule="exact"/>
        </w:trPr>
        <w:tc>
          <w:tcPr>
            <w:tcW w:w="17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13</w:t>
            </w:r>
          </w:p>
        </w:tc>
        <w:tc>
          <w:tcPr>
            <w:tcW w:w="43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陶圩镇</w:t>
            </w:r>
          </w:p>
        </w:tc>
        <w:tc>
          <w:tcPr>
            <w:tcW w:w="20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kern w:val="0"/>
                <w:sz w:val="28"/>
                <w:szCs w:val="28"/>
                <w:highlight w:val="none"/>
                <w:u w:val="none"/>
                <w:lang w:val="en-US" w:eastAsia="zh-CN" w:bidi="ar"/>
              </w:rPr>
            </w:pPr>
            <w:r>
              <w:rPr>
                <w:rFonts w:hint="eastAsia" w:ascii="宋体" w:hAnsi="宋体" w:eastAsia="宋体" w:cs="宋体"/>
                <w:b w:val="0"/>
                <w:bCs w:val="0"/>
                <w:i w:val="0"/>
                <w:iCs w:val="0"/>
                <w:color w:val="auto"/>
                <w:kern w:val="0"/>
                <w:sz w:val="28"/>
                <w:szCs w:val="28"/>
                <w:highlight w:val="none"/>
                <w:u w:val="none"/>
                <w:lang w:val="en-US" w:eastAsia="zh-CN" w:bidi="ar"/>
              </w:rPr>
              <w:t>29</w:t>
            </w:r>
          </w:p>
        </w:tc>
        <w:tc>
          <w:tcPr>
            <w:tcW w:w="12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color w:val="auto"/>
                <w:sz w:val="28"/>
                <w:szCs w:val="28"/>
                <w:highlight w:val="none"/>
                <w:u w:val="none"/>
                <w:lang w:val="en-US" w:eastAsia="zh-CN"/>
              </w:rPr>
            </w:pPr>
          </w:p>
        </w:tc>
      </w:tr>
      <w:tr>
        <w:tblPrEx>
          <w:tblLayout w:type="fixed"/>
          <w:tblCellMar>
            <w:top w:w="0" w:type="dxa"/>
            <w:left w:w="0" w:type="dxa"/>
            <w:bottom w:w="0" w:type="dxa"/>
            <w:right w:w="0" w:type="dxa"/>
          </w:tblCellMar>
        </w:tblPrEx>
        <w:trPr>
          <w:trHeight w:val="533" w:hRule="exact"/>
        </w:trPr>
        <w:tc>
          <w:tcPr>
            <w:tcW w:w="17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14</w:t>
            </w:r>
          </w:p>
        </w:tc>
        <w:tc>
          <w:tcPr>
            <w:tcW w:w="43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校椅镇</w:t>
            </w:r>
          </w:p>
        </w:tc>
        <w:tc>
          <w:tcPr>
            <w:tcW w:w="20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26</w:t>
            </w:r>
          </w:p>
        </w:tc>
        <w:tc>
          <w:tcPr>
            <w:tcW w:w="12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color w:val="auto"/>
                <w:sz w:val="28"/>
                <w:szCs w:val="28"/>
                <w:highlight w:val="none"/>
                <w:u w:val="none"/>
                <w:lang w:val="en-US" w:eastAsia="zh-CN"/>
              </w:rPr>
            </w:pPr>
          </w:p>
        </w:tc>
      </w:tr>
      <w:tr>
        <w:tblPrEx>
          <w:tblLayout w:type="fixed"/>
          <w:tblCellMar>
            <w:top w:w="0" w:type="dxa"/>
            <w:left w:w="0" w:type="dxa"/>
            <w:bottom w:w="0" w:type="dxa"/>
            <w:right w:w="0" w:type="dxa"/>
          </w:tblCellMar>
        </w:tblPrEx>
        <w:trPr>
          <w:trHeight w:val="533" w:hRule="exact"/>
        </w:trPr>
        <w:tc>
          <w:tcPr>
            <w:tcW w:w="17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15</w:t>
            </w:r>
          </w:p>
        </w:tc>
        <w:tc>
          <w:tcPr>
            <w:tcW w:w="43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云表镇</w:t>
            </w:r>
          </w:p>
        </w:tc>
        <w:tc>
          <w:tcPr>
            <w:tcW w:w="20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25</w:t>
            </w:r>
          </w:p>
        </w:tc>
        <w:tc>
          <w:tcPr>
            <w:tcW w:w="12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96"/>
              <w:spacing w:line="360" w:lineRule="auto"/>
              <w:ind w:left="0" w:leftChars="0" w:firstLine="0" w:firstLineChars="0"/>
              <w:jc w:val="center"/>
              <w:rPr>
                <w:rFonts w:hint="eastAsia" w:ascii="宋体" w:hAnsi="宋体" w:eastAsia="宋体" w:cs="宋体"/>
                <w:color w:val="auto"/>
                <w:sz w:val="28"/>
                <w:szCs w:val="28"/>
                <w:highlight w:val="none"/>
                <w:lang w:val="en-US" w:eastAsia="zh-CN"/>
              </w:rPr>
            </w:pPr>
          </w:p>
        </w:tc>
      </w:tr>
      <w:tr>
        <w:tblPrEx>
          <w:tblLayout w:type="fixed"/>
          <w:tblCellMar>
            <w:top w:w="0" w:type="dxa"/>
            <w:left w:w="0" w:type="dxa"/>
            <w:bottom w:w="0" w:type="dxa"/>
            <w:right w:w="0" w:type="dxa"/>
          </w:tblCellMar>
        </w:tblPrEx>
        <w:trPr>
          <w:trHeight w:val="533" w:hRule="exact"/>
        </w:trPr>
        <w:tc>
          <w:tcPr>
            <w:tcW w:w="17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宋体" w:hAnsi="宋体" w:eastAsia="宋体" w:cs="宋体"/>
                <w:color w:val="auto"/>
                <w:sz w:val="28"/>
                <w:szCs w:val="28"/>
                <w:highlight w:val="none"/>
                <w:lang w:val="en-US" w:eastAsia="zh-CN"/>
              </w:rPr>
            </w:pPr>
            <w:r>
              <w:rPr>
                <w:rFonts w:hint="eastAsia" w:ascii="宋体" w:hAnsi="宋体" w:eastAsia="宋体" w:cs="宋体"/>
                <w:i w:val="0"/>
                <w:iCs w:val="0"/>
                <w:color w:val="auto"/>
                <w:kern w:val="0"/>
                <w:sz w:val="28"/>
                <w:szCs w:val="28"/>
                <w:highlight w:val="none"/>
                <w:u w:val="none"/>
                <w:lang w:val="en-US" w:eastAsia="zh-CN" w:bidi="ar"/>
              </w:rPr>
              <w:t>16</w:t>
            </w:r>
          </w:p>
        </w:tc>
        <w:tc>
          <w:tcPr>
            <w:tcW w:w="43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镇龙乡</w:t>
            </w:r>
          </w:p>
        </w:tc>
        <w:tc>
          <w:tcPr>
            <w:tcW w:w="20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6</w:t>
            </w:r>
          </w:p>
        </w:tc>
        <w:tc>
          <w:tcPr>
            <w:tcW w:w="12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96"/>
              <w:spacing w:line="360" w:lineRule="auto"/>
              <w:ind w:left="0" w:leftChars="0" w:firstLine="0" w:firstLineChars="0"/>
              <w:jc w:val="center"/>
              <w:rPr>
                <w:rFonts w:hint="eastAsia" w:ascii="宋体" w:hAnsi="宋体" w:eastAsia="宋体" w:cs="宋体"/>
                <w:color w:val="auto"/>
                <w:sz w:val="28"/>
                <w:szCs w:val="28"/>
                <w:highlight w:val="none"/>
                <w:lang w:val="en-US" w:eastAsia="zh-CN"/>
              </w:rPr>
            </w:pPr>
          </w:p>
        </w:tc>
      </w:tr>
      <w:tr>
        <w:tblPrEx>
          <w:tblLayout w:type="fixed"/>
          <w:tblCellMar>
            <w:top w:w="0" w:type="dxa"/>
            <w:left w:w="0" w:type="dxa"/>
            <w:bottom w:w="0" w:type="dxa"/>
            <w:right w:w="0" w:type="dxa"/>
          </w:tblCellMar>
        </w:tblPrEx>
        <w:trPr>
          <w:trHeight w:val="533" w:hRule="exact"/>
        </w:trPr>
        <w:tc>
          <w:tcPr>
            <w:tcW w:w="17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宋体" w:hAnsi="宋体" w:eastAsia="宋体" w:cs="宋体"/>
                <w:color w:val="auto"/>
                <w:sz w:val="28"/>
                <w:szCs w:val="28"/>
                <w:highlight w:val="none"/>
                <w:lang w:val="en-US" w:eastAsia="zh-CN"/>
              </w:rPr>
            </w:pPr>
            <w:r>
              <w:rPr>
                <w:rFonts w:hint="eastAsia" w:ascii="宋体" w:hAnsi="宋体" w:eastAsia="宋体" w:cs="宋体"/>
                <w:i w:val="0"/>
                <w:iCs w:val="0"/>
                <w:color w:val="auto"/>
                <w:kern w:val="0"/>
                <w:sz w:val="28"/>
                <w:szCs w:val="28"/>
                <w:highlight w:val="none"/>
                <w:u w:val="none"/>
                <w:lang w:val="en-US" w:eastAsia="zh-CN" w:bidi="ar"/>
              </w:rPr>
              <w:t>17</w:t>
            </w:r>
          </w:p>
        </w:tc>
        <w:tc>
          <w:tcPr>
            <w:tcW w:w="43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马岭镇</w:t>
            </w:r>
          </w:p>
        </w:tc>
        <w:tc>
          <w:tcPr>
            <w:tcW w:w="20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kern w:val="0"/>
                <w:sz w:val="28"/>
                <w:szCs w:val="28"/>
                <w:highlight w:val="none"/>
                <w:u w:val="none"/>
                <w:lang w:val="en-US" w:eastAsia="zh-CN" w:bidi="ar"/>
              </w:rPr>
            </w:pPr>
            <w:r>
              <w:rPr>
                <w:rFonts w:hint="eastAsia" w:ascii="宋体" w:hAnsi="宋体" w:eastAsia="宋体" w:cs="宋体"/>
                <w:b w:val="0"/>
                <w:bCs w:val="0"/>
                <w:i w:val="0"/>
                <w:iCs w:val="0"/>
                <w:color w:val="auto"/>
                <w:kern w:val="0"/>
                <w:sz w:val="28"/>
                <w:szCs w:val="28"/>
                <w:highlight w:val="none"/>
                <w:u w:val="none"/>
                <w:lang w:val="en-US" w:eastAsia="zh-CN" w:bidi="ar"/>
              </w:rPr>
              <w:t>11</w:t>
            </w:r>
          </w:p>
        </w:tc>
        <w:tc>
          <w:tcPr>
            <w:tcW w:w="12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96"/>
              <w:spacing w:line="360" w:lineRule="auto"/>
              <w:ind w:left="0" w:leftChars="0" w:firstLine="0" w:firstLineChars="0"/>
              <w:jc w:val="center"/>
              <w:rPr>
                <w:rFonts w:hint="eastAsia" w:ascii="宋体" w:hAnsi="宋体" w:eastAsia="宋体" w:cs="宋体"/>
                <w:color w:val="auto"/>
                <w:sz w:val="28"/>
                <w:szCs w:val="28"/>
                <w:highlight w:val="none"/>
                <w:lang w:val="en-US" w:eastAsia="zh-CN"/>
              </w:rPr>
            </w:pPr>
          </w:p>
        </w:tc>
      </w:tr>
      <w:tr>
        <w:tblPrEx>
          <w:tblLayout w:type="fixed"/>
          <w:tblCellMar>
            <w:top w:w="0" w:type="dxa"/>
            <w:left w:w="0" w:type="dxa"/>
            <w:bottom w:w="0" w:type="dxa"/>
            <w:right w:w="0" w:type="dxa"/>
          </w:tblCellMar>
        </w:tblPrEx>
        <w:trPr>
          <w:trHeight w:val="533" w:hRule="exact"/>
        </w:trPr>
        <w:tc>
          <w:tcPr>
            <w:tcW w:w="6095"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color w:val="auto"/>
                <w:sz w:val="28"/>
                <w:szCs w:val="28"/>
                <w:highlight w:val="none"/>
                <w:u w:val="none"/>
              </w:rPr>
            </w:pPr>
            <w:r>
              <w:rPr>
                <w:rFonts w:hint="eastAsia" w:ascii="宋体" w:hAnsi="宋体" w:eastAsia="宋体" w:cs="宋体"/>
                <w:b w:val="0"/>
                <w:bCs w:val="0"/>
                <w:i w:val="0"/>
                <w:color w:val="auto"/>
                <w:kern w:val="0"/>
                <w:sz w:val="28"/>
                <w:szCs w:val="28"/>
                <w:highlight w:val="none"/>
                <w:u w:val="none"/>
                <w:lang w:val="en-US" w:eastAsia="zh-CN" w:bidi="ar"/>
              </w:rPr>
              <w:t>合计</w:t>
            </w:r>
          </w:p>
        </w:tc>
        <w:tc>
          <w:tcPr>
            <w:tcW w:w="20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color w:val="auto"/>
                <w:sz w:val="28"/>
                <w:szCs w:val="28"/>
                <w:highlight w:val="none"/>
                <w:u w:val="none"/>
                <w:lang w:val="en-US" w:eastAsia="zh-CN"/>
              </w:rPr>
            </w:pPr>
            <w:r>
              <w:rPr>
                <w:rFonts w:hint="eastAsia" w:ascii="宋体" w:hAnsi="宋体" w:eastAsia="宋体" w:cs="宋体"/>
                <w:b w:val="0"/>
                <w:bCs w:val="0"/>
                <w:i w:val="0"/>
                <w:color w:val="auto"/>
                <w:sz w:val="28"/>
                <w:szCs w:val="28"/>
                <w:highlight w:val="none"/>
                <w:u w:val="none"/>
                <w:lang w:val="en-US" w:eastAsia="zh-CN"/>
              </w:rPr>
              <w:t>379</w:t>
            </w:r>
          </w:p>
        </w:tc>
        <w:tc>
          <w:tcPr>
            <w:tcW w:w="12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360" w:lineRule="auto"/>
              <w:jc w:val="center"/>
              <w:rPr>
                <w:rFonts w:hint="eastAsia" w:ascii="宋体" w:hAnsi="宋体" w:eastAsia="宋体" w:cs="宋体"/>
                <w:b w:val="0"/>
                <w:bCs w:val="0"/>
                <w:i w:val="0"/>
                <w:color w:val="auto"/>
                <w:sz w:val="28"/>
                <w:szCs w:val="28"/>
                <w:highlight w:val="none"/>
                <w:u w:val="none"/>
                <w:lang w:val="en-US" w:eastAsia="zh-CN"/>
              </w:rPr>
            </w:pPr>
          </w:p>
        </w:tc>
      </w:tr>
    </w:tbl>
    <w:p>
      <w:pPr>
        <w:rPr>
          <w:rFonts w:hint="eastAsia" w:ascii="宋体" w:hAnsi="宋体" w:eastAsia="宋体" w:cs="宋体"/>
          <w:i w:val="0"/>
          <w:iCs w:val="0"/>
          <w:color w:val="auto"/>
          <w:kern w:val="0"/>
          <w:sz w:val="28"/>
          <w:szCs w:val="28"/>
          <w:highlight w:val="none"/>
          <w:u w:val="none"/>
          <w:lang w:val="en-US" w:eastAsia="zh-CN" w:bidi="ar"/>
        </w:rPr>
        <w:sectPr>
          <w:headerReference r:id="rId10" w:type="default"/>
          <w:footerReference r:id="rId11" w:type="default"/>
          <w:pgSz w:w="11906" w:h="16838"/>
          <w:pgMar w:top="1440" w:right="1080" w:bottom="1440" w:left="1080" w:header="720" w:footer="720" w:gutter="0"/>
          <w:pgNumType w:fmt="decimal"/>
          <w:cols w:space="720" w:num="1"/>
          <w:docGrid w:type="lines" w:linePitch="331" w:charSpace="0"/>
        </w:sectPr>
      </w:pPr>
      <w:r>
        <w:rPr>
          <w:rFonts w:hint="eastAsia" w:ascii="宋体" w:hAnsi="宋体" w:eastAsia="宋体" w:cs="宋体"/>
          <w:i w:val="0"/>
          <w:iCs w:val="0"/>
          <w:color w:val="auto"/>
          <w:kern w:val="0"/>
          <w:sz w:val="28"/>
          <w:szCs w:val="28"/>
          <w:highlight w:val="none"/>
          <w:u w:val="none"/>
          <w:lang w:val="en-US" w:eastAsia="zh-CN" w:bidi="ar"/>
        </w:rPr>
        <w:t>备注：各乡（镇）任务数根据特殊困难老年人数比例进行分配。</w:t>
      </w:r>
    </w:p>
    <w:p>
      <w:pPr>
        <w:rPr>
          <w:rFonts w:hint="eastAsia" w:ascii="宋体" w:hAnsi="宋体" w:eastAsia="宋体" w:cs="宋体"/>
          <w:b w:val="0"/>
          <w:bCs w:val="0"/>
          <w:i w:val="0"/>
          <w:color w:val="auto"/>
          <w:kern w:val="0"/>
          <w:sz w:val="32"/>
          <w:szCs w:val="32"/>
          <w:highlight w:val="none"/>
          <w:u w:val="none"/>
          <w:lang w:val="en-US" w:eastAsia="zh-CN" w:bidi="ar"/>
        </w:rPr>
      </w:pPr>
      <w:r>
        <w:rPr>
          <w:rFonts w:hint="eastAsia" w:ascii="宋体" w:hAnsi="宋体" w:eastAsia="宋体" w:cs="宋体"/>
          <w:b w:val="0"/>
          <w:bCs w:val="0"/>
          <w:i w:val="0"/>
          <w:color w:val="auto"/>
          <w:kern w:val="0"/>
          <w:sz w:val="32"/>
          <w:szCs w:val="32"/>
          <w:highlight w:val="none"/>
          <w:u w:val="none"/>
          <w:lang w:val="en-US" w:eastAsia="zh-CN" w:bidi="ar"/>
        </w:rPr>
        <w:t>附件2</w:t>
      </w:r>
    </w:p>
    <w:p>
      <w:pPr>
        <w:jc w:val="center"/>
        <w:rPr>
          <w:rFonts w:ascii="仿宋" w:hAnsi="仿宋" w:eastAsia="仿宋" w:cs="仿宋"/>
          <w:color w:val="auto"/>
          <w:sz w:val="28"/>
          <w:szCs w:val="28"/>
          <w:highlight w:val="none"/>
        </w:rPr>
      </w:pPr>
      <w:r>
        <w:rPr>
          <w:rFonts w:hint="eastAsia" w:asciiTheme="minorEastAsia" w:hAnsiTheme="minorEastAsia" w:eastAsiaTheme="minorEastAsia" w:cstheme="minorEastAsia"/>
          <w:b/>
          <w:bCs/>
          <w:color w:val="auto"/>
          <w:sz w:val="28"/>
          <w:szCs w:val="28"/>
          <w:highlight w:val="none"/>
          <w:lang w:val="en-US" w:eastAsia="zh-CN"/>
        </w:rPr>
        <w:t>老年人居家适老化改造项目和老年用品配置推荐清单</w:t>
      </w:r>
    </w:p>
    <w:tbl>
      <w:tblPr>
        <w:tblStyle w:val="29"/>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2"/>
        <w:gridCol w:w="690"/>
        <w:gridCol w:w="1135"/>
        <w:gridCol w:w="158"/>
        <w:gridCol w:w="1062"/>
        <w:gridCol w:w="231"/>
        <w:gridCol w:w="1293"/>
        <w:gridCol w:w="5918"/>
        <w:gridCol w:w="799"/>
        <w:gridCol w:w="898"/>
        <w:gridCol w:w="773"/>
        <w:gridCol w:w="6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1" w:hRule="atLeast"/>
        </w:trPr>
        <w:tc>
          <w:tcPr>
            <w:tcW w:w="612" w:type="dxa"/>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序号</w:t>
            </w:r>
          </w:p>
        </w:tc>
        <w:tc>
          <w:tcPr>
            <w:tcW w:w="690" w:type="dxa"/>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种类</w:t>
            </w:r>
          </w:p>
        </w:tc>
        <w:tc>
          <w:tcPr>
            <w:tcW w:w="1135" w:type="dxa"/>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内容</w:t>
            </w:r>
          </w:p>
        </w:tc>
        <w:tc>
          <w:tcPr>
            <w:tcW w:w="1220" w:type="dxa"/>
            <w:gridSpan w:val="2"/>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产品</w:t>
            </w:r>
          </w:p>
        </w:tc>
        <w:tc>
          <w:tcPr>
            <w:tcW w:w="1524" w:type="dxa"/>
            <w:gridSpan w:val="2"/>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功能</w:t>
            </w:r>
          </w:p>
        </w:tc>
        <w:tc>
          <w:tcPr>
            <w:tcW w:w="5918" w:type="dxa"/>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基本参数</w:t>
            </w:r>
          </w:p>
        </w:tc>
        <w:tc>
          <w:tcPr>
            <w:tcW w:w="799" w:type="dxa"/>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单位</w:t>
            </w:r>
          </w:p>
        </w:tc>
        <w:tc>
          <w:tcPr>
            <w:tcW w:w="1671" w:type="dxa"/>
            <w:gridSpan w:val="2"/>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限价范围/元</w:t>
            </w:r>
          </w:p>
        </w:tc>
        <w:tc>
          <w:tcPr>
            <w:tcW w:w="605" w:type="dxa"/>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cs="宋体"/>
                <w:color w:val="auto"/>
                <w:sz w:val="18"/>
                <w:szCs w:val="18"/>
                <w:highlight w:val="none"/>
                <w:vertAlign w:val="baseline"/>
                <w:lang w:val="en-US" w:eastAsia="zh-CN"/>
              </w:rPr>
              <w:t>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trPr>
        <w:tc>
          <w:tcPr>
            <w:tcW w:w="612" w:type="dxa"/>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1</w:t>
            </w:r>
          </w:p>
        </w:tc>
        <w:tc>
          <w:tcPr>
            <w:tcW w:w="690" w:type="dxa"/>
            <w:vMerge w:val="restart"/>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rPr>
              <w:t>地面改造</w:t>
            </w:r>
          </w:p>
        </w:tc>
        <w:tc>
          <w:tcPr>
            <w:tcW w:w="1135" w:type="dxa"/>
            <w:vMerge w:val="restart"/>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rPr>
              <w:t>防滑处理</w:t>
            </w:r>
          </w:p>
        </w:tc>
        <w:tc>
          <w:tcPr>
            <w:tcW w:w="1220" w:type="dxa"/>
            <w:gridSpan w:val="2"/>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防滑砖</w:t>
            </w:r>
          </w:p>
        </w:tc>
        <w:tc>
          <w:tcPr>
            <w:tcW w:w="1524" w:type="dxa"/>
            <w:gridSpan w:val="2"/>
            <w:vMerge w:val="restart"/>
            <w:vAlign w:val="center"/>
          </w:tcPr>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在卫生间、厨房、卧室等区域铺设，避免老年人滑倒，提高安全性。</w:t>
            </w:r>
          </w:p>
        </w:tc>
        <w:tc>
          <w:tcPr>
            <w:tcW w:w="5918" w:type="dxa"/>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防滑设计，超强耐磨，防滑力强。</w:t>
            </w:r>
          </w:p>
        </w:tc>
        <w:tc>
          <w:tcPr>
            <w:tcW w:w="799" w:type="dxa"/>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平方米</w:t>
            </w:r>
          </w:p>
        </w:tc>
        <w:tc>
          <w:tcPr>
            <w:tcW w:w="1671" w:type="dxa"/>
            <w:gridSpan w:val="2"/>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200.00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2</w:t>
            </w:r>
          </w:p>
        </w:tc>
        <w:tc>
          <w:tcPr>
            <w:tcW w:w="690" w:type="dxa"/>
            <w:vMerge w:val="continue"/>
            <w:vAlign w:val="center"/>
          </w:tcPr>
          <w:p>
            <w:pPr>
              <w:jc w:val="center"/>
              <w:rPr>
                <w:rFonts w:hint="eastAsia" w:ascii="宋体" w:hAnsi="宋体" w:eastAsia="宋体" w:cs="宋体"/>
                <w:color w:val="auto"/>
                <w:sz w:val="18"/>
                <w:szCs w:val="18"/>
                <w:highlight w:val="none"/>
                <w:vertAlign w:val="baseline"/>
              </w:rPr>
            </w:pPr>
          </w:p>
        </w:tc>
        <w:tc>
          <w:tcPr>
            <w:tcW w:w="1135" w:type="dxa"/>
            <w:vMerge w:val="continue"/>
            <w:vAlign w:val="center"/>
          </w:tcPr>
          <w:p>
            <w:pPr>
              <w:jc w:val="center"/>
              <w:rPr>
                <w:rFonts w:hint="eastAsia" w:ascii="宋体" w:hAnsi="宋体" w:eastAsia="宋体" w:cs="宋体"/>
                <w:color w:val="auto"/>
                <w:sz w:val="18"/>
                <w:szCs w:val="18"/>
                <w:highlight w:val="none"/>
                <w:vertAlign w:val="baseline"/>
              </w:rPr>
            </w:pPr>
          </w:p>
        </w:tc>
        <w:tc>
          <w:tcPr>
            <w:tcW w:w="1220" w:type="dxa"/>
            <w:gridSpan w:val="2"/>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防滑地胶</w:t>
            </w:r>
          </w:p>
        </w:tc>
        <w:tc>
          <w:tcPr>
            <w:tcW w:w="1524" w:type="dxa"/>
            <w:gridSpan w:val="2"/>
            <w:vMerge w:val="continue"/>
            <w:vAlign w:val="center"/>
          </w:tcPr>
          <w:p>
            <w:pPr>
              <w:jc w:val="center"/>
              <w:rPr>
                <w:rFonts w:hint="eastAsia" w:ascii="宋体" w:hAnsi="宋体" w:eastAsia="宋体" w:cs="宋体"/>
                <w:color w:val="auto"/>
                <w:sz w:val="18"/>
                <w:szCs w:val="18"/>
                <w:highlight w:val="none"/>
                <w:vertAlign w:val="baseline"/>
              </w:rPr>
            </w:pPr>
          </w:p>
        </w:tc>
        <w:tc>
          <w:tcPr>
            <w:tcW w:w="5918" w:type="dxa"/>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防滑、质地柔软有弹性，脚感舒适、超强耐磨。</w:t>
            </w:r>
          </w:p>
        </w:tc>
        <w:tc>
          <w:tcPr>
            <w:tcW w:w="799" w:type="dxa"/>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平方米</w:t>
            </w:r>
          </w:p>
        </w:tc>
        <w:tc>
          <w:tcPr>
            <w:tcW w:w="1671" w:type="dxa"/>
            <w:gridSpan w:val="2"/>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220.00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0" w:hRule="atLeast"/>
        </w:trPr>
        <w:tc>
          <w:tcPr>
            <w:tcW w:w="612" w:type="dxa"/>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3</w:t>
            </w:r>
          </w:p>
        </w:tc>
        <w:tc>
          <w:tcPr>
            <w:tcW w:w="690" w:type="dxa"/>
            <w:vMerge w:val="continue"/>
            <w:vAlign w:val="center"/>
          </w:tcPr>
          <w:p>
            <w:pPr>
              <w:jc w:val="center"/>
              <w:rPr>
                <w:rFonts w:hint="eastAsia" w:ascii="宋体" w:hAnsi="宋体" w:eastAsia="宋体" w:cs="宋体"/>
                <w:color w:val="auto"/>
                <w:sz w:val="18"/>
                <w:szCs w:val="18"/>
                <w:highlight w:val="none"/>
                <w:vertAlign w:val="baseline"/>
              </w:rPr>
            </w:pPr>
          </w:p>
        </w:tc>
        <w:tc>
          <w:tcPr>
            <w:tcW w:w="1135" w:type="dxa"/>
            <w:vMerge w:val="continue"/>
            <w:vAlign w:val="center"/>
          </w:tcPr>
          <w:p>
            <w:pPr>
              <w:jc w:val="center"/>
              <w:rPr>
                <w:rFonts w:hint="eastAsia" w:ascii="宋体" w:hAnsi="宋体" w:eastAsia="宋体" w:cs="宋体"/>
                <w:color w:val="auto"/>
                <w:sz w:val="18"/>
                <w:szCs w:val="18"/>
                <w:highlight w:val="none"/>
                <w:vertAlign w:val="baseline"/>
              </w:rPr>
            </w:pPr>
          </w:p>
        </w:tc>
        <w:tc>
          <w:tcPr>
            <w:tcW w:w="1220" w:type="dxa"/>
            <w:gridSpan w:val="2"/>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防滑地垫</w:t>
            </w:r>
          </w:p>
        </w:tc>
        <w:tc>
          <w:tcPr>
            <w:tcW w:w="1524" w:type="dxa"/>
            <w:gridSpan w:val="2"/>
            <w:vMerge w:val="continue"/>
            <w:vAlign w:val="center"/>
          </w:tcPr>
          <w:p>
            <w:pPr>
              <w:jc w:val="center"/>
              <w:rPr>
                <w:rFonts w:hint="eastAsia" w:ascii="宋体" w:hAnsi="宋体" w:eastAsia="宋体" w:cs="宋体"/>
                <w:color w:val="auto"/>
                <w:sz w:val="18"/>
                <w:szCs w:val="18"/>
                <w:highlight w:val="none"/>
                <w:vertAlign w:val="baseline"/>
              </w:rPr>
            </w:pPr>
          </w:p>
        </w:tc>
        <w:tc>
          <w:tcPr>
            <w:tcW w:w="5918" w:type="dxa"/>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PVC 材质；正面小圆点按摩，真空吸盘可轻松吸附于光滑地面，不会偏移；吸附力强，透水快。</w:t>
            </w:r>
          </w:p>
        </w:tc>
        <w:tc>
          <w:tcPr>
            <w:tcW w:w="799" w:type="dxa"/>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张</w:t>
            </w:r>
          </w:p>
        </w:tc>
        <w:tc>
          <w:tcPr>
            <w:tcW w:w="1671" w:type="dxa"/>
            <w:gridSpan w:val="2"/>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85.00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trPr>
        <w:tc>
          <w:tcPr>
            <w:tcW w:w="612" w:type="dxa"/>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4</w:t>
            </w:r>
          </w:p>
        </w:tc>
        <w:tc>
          <w:tcPr>
            <w:tcW w:w="690" w:type="dxa"/>
            <w:vMerge w:val="continue"/>
            <w:vAlign w:val="center"/>
          </w:tcPr>
          <w:p>
            <w:pPr>
              <w:jc w:val="center"/>
              <w:rPr>
                <w:rFonts w:hint="eastAsia" w:ascii="宋体" w:hAnsi="宋体" w:eastAsia="宋体" w:cs="宋体"/>
                <w:color w:val="auto"/>
                <w:sz w:val="18"/>
                <w:szCs w:val="18"/>
                <w:highlight w:val="none"/>
                <w:vertAlign w:val="baseline"/>
              </w:rPr>
            </w:pPr>
          </w:p>
        </w:tc>
        <w:tc>
          <w:tcPr>
            <w:tcW w:w="1135" w:type="dxa"/>
            <w:vMerge w:val="restart"/>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高差处理</w:t>
            </w:r>
          </w:p>
        </w:tc>
        <w:tc>
          <w:tcPr>
            <w:tcW w:w="1220" w:type="dxa"/>
            <w:gridSpan w:val="2"/>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水泥坡道</w:t>
            </w:r>
          </w:p>
        </w:tc>
        <w:tc>
          <w:tcPr>
            <w:tcW w:w="1524" w:type="dxa"/>
            <w:gridSpan w:val="2"/>
            <w:vMerge w:val="restart"/>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保证路面平滑、无高差障碍，方便轮椅进出。</w:t>
            </w:r>
          </w:p>
        </w:tc>
        <w:tc>
          <w:tcPr>
            <w:tcW w:w="5918" w:type="dxa"/>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台阶改坡道，铺设水泥坡道，坡道可采用带防滑纹水泥为材料，增加地面摩擦系数。</w:t>
            </w:r>
          </w:p>
        </w:tc>
        <w:tc>
          <w:tcPr>
            <w:tcW w:w="799" w:type="dxa"/>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平方米</w:t>
            </w:r>
          </w:p>
        </w:tc>
        <w:tc>
          <w:tcPr>
            <w:tcW w:w="1671" w:type="dxa"/>
            <w:gridSpan w:val="2"/>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360.00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5</w:t>
            </w:r>
          </w:p>
        </w:tc>
        <w:tc>
          <w:tcPr>
            <w:tcW w:w="690" w:type="dxa"/>
            <w:vMerge w:val="continue"/>
            <w:vAlign w:val="center"/>
          </w:tcPr>
          <w:p>
            <w:pPr>
              <w:jc w:val="center"/>
              <w:rPr>
                <w:rFonts w:hint="eastAsia" w:ascii="宋体" w:hAnsi="宋体" w:eastAsia="宋体" w:cs="宋体"/>
                <w:color w:val="auto"/>
                <w:sz w:val="18"/>
                <w:szCs w:val="18"/>
                <w:highlight w:val="none"/>
                <w:vertAlign w:val="baseline"/>
              </w:rPr>
            </w:pPr>
          </w:p>
        </w:tc>
        <w:tc>
          <w:tcPr>
            <w:tcW w:w="1135" w:type="dxa"/>
            <w:vMerge w:val="continue"/>
            <w:vAlign w:val="center"/>
          </w:tcPr>
          <w:p>
            <w:pPr>
              <w:jc w:val="center"/>
              <w:rPr>
                <w:rFonts w:hint="eastAsia" w:ascii="宋体" w:hAnsi="宋体" w:eastAsia="宋体" w:cs="宋体"/>
                <w:color w:val="auto"/>
                <w:sz w:val="18"/>
                <w:szCs w:val="18"/>
                <w:highlight w:val="none"/>
                <w:vertAlign w:val="baseline"/>
              </w:rPr>
            </w:pPr>
          </w:p>
        </w:tc>
        <w:tc>
          <w:tcPr>
            <w:tcW w:w="1220" w:type="dxa"/>
            <w:gridSpan w:val="2"/>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橡胶坡道</w:t>
            </w:r>
          </w:p>
        </w:tc>
        <w:tc>
          <w:tcPr>
            <w:tcW w:w="1524" w:type="dxa"/>
            <w:gridSpan w:val="2"/>
            <w:vMerge w:val="continue"/>
            <w:vAlign w:val="center"/>
          </w:tcPr>
          <w:p>
            <w:pPr>
              <w:jc w:val="center"/>
              <w:rPr>
                <w:rFonts w:hint="eastAsia" w:ascii="宋体" w:hAnsi="宋体" w:eastAsia="宋体" w:cs="宋体"/>
                <w:color w:val="auto"/>
                <w:sz w:val="18"/>
                <w:szCs w:val="18"/>
                <w:highlight w:val="none"/>
                <w:vertAlign w:val="baseline"/>
              </w:rPr>
            </w:pPr>
          </w:p>
        </w:tc>
        <w:tc>
          <w:tcPr>
            <w:tcW w:w="5918" w:type="dxa"/>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 xml:space="preserve">天然橡胶材质，耐水防滑、承重力高达 500kg；产品稳定性高，长期使 </w:t>
            </w:r>
          </w:p>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用不变形；表面凹凸条纹防滑设计，防滑性强。</w:t>
            </w:r>
          </w:p>
        </w:tc>
        <w:tc>
          <w:tcPr>
            <w:tcW w:w="799" w:type="dxa"/>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平方米</w:t>
            </w:r>
          </w:p>
        </w:tc>
        <w:tc>
          <w:tcPr>
            <w:tcW w:w="1671" w:type="dxa"/>
            <w:gridSpan w:val="2"/>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260.00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6</w:t>
            </w:r>
          </w:p>
        </w:tc>
        <w:tc>
          <w:tcPr>
            <w:tcW w:w="690" w:type="dxa"/>
            <w:vMerge w:val="continue"/>
            <w:vAlign w:val="center"/>
          </w:tcPr>
          <w:p>
            <w:pPr>
              <w:jc w:val="center"/>
              <w:rPr>
                <w:rFonts w:hint="eastAsia" w:ascii="宋体" w:hAnsi="宋体" w:eastAsia="宋体" w:cs="宋体"/>
                <w:color w:val="auto"/>
                <w:sz w:val="18"/>
                <w:szCs w:val="18"/>
                <w:highlight w:val="none"/>
                <w:vertAlign w:val="baseline"/>
              </w:rPr>
            </w:pPr>
          </w:p>
        </w:tc>
        <w:tc>
          <w:tcPr>
            <w:tcW w:w="2355" w:type="dxa"/>
            <w:gridSpan w:val="3"/>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平整硬化</w:t>
            </w:r>
          </w:p>
        </w:tc>
        <w:tc>
          <w:tcPr>
            <w:tcW w:w="7442" w:type="dxa"/>
            <w:gridSpan w:val="3"/>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 xml:space="preserve">原地面清理，局部凿除，混泥土砂浆找平≦30mm、收光处理，含拆除、混泥土砂浆、辅材 </w:t>
            </w:r>
          </w:p>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及人工安装费。以方便轮椅通过。</w:t>
            </w:r>
          </w:p>
        </w:tc>
        <w:tc>
          <w:tcPr>
            <w:tcW w:w="799" w:type="dxa"/>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平方米</w:t>
            </w:r>
          </w:p>
        </w:tc>
        <w:tc>
          <w:tcPr>
            <w:tcW w:w="1671" w:type="dxa"/>
            <w:gridSpan w:val="2"/>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250.00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7</w:t>
            </w:r>
          </w:p>
        </w:tc>
        <w:tc>
          <w:tcPr>
            <w:tcW w:w="690" w:type="dxa"/>
            <w:vMerge w:val="restart"/>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门改造</w:t>
            </w:r>
          </w:p>
        </w:tc>
        <w:tc>
          <w:tcPr>
            <w:tcW w:w="2355" w:type="dxa"/>
            <w:gridSpan w:val="3"/>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门槛移除</w:t>
            </w:r>
          </w:p>
        </w:tc>
        <w:tc>
          <w:tcPr>
            <w:tcW w:w="7442" w:type="dxa"/>
            <w:gridSpan w:val="3"/>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拆除门槛，清理现场，两侧地面找平保证老年人进门无障碍，方便轮椅进出。</w:t>
            </w:r>
          </w:p>
        </w:tc>
        <w:tc>
          <w:tcPr>
            <w:tcW w:w="799" w:type="dxa"/>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项</w:t>
            </w:r>
          </w:p>
        </w:tc>
        <w:tc>
          <w:tcPr>
            <w:tcW w:w="1671" w:type="dxa"/>
            <w:gridSpan w:val="2"/>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300.00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8</w:t>
            </w:r>
          </w:p>
        </w:tc>
        <w:tc>
          <w:tcPr>
            <w:tcW w:w="690" w:type="dxa"/>
            <w:vMerge w:val="continue"/>
            <w:vAlign w:val="center"/>
          </w:tcPr>
          <w:p>
            <w:pPr>
              <w:jc w:val="center"/>
              <w:rPr>
                <w:rFonts w:hint="eastAsia" w:ascii="宋体" w:hAnsi="宋体" w:eastAsia="宋体" w:cs="宋体"/>
                <w:color w:val="auto"/>
                <w:sz w:val="18"/>
                <w:szCs w:val="18"/>
                <w:highlight w:val="none"/>
                <w:vertAlign w:val="baseline"/>
              </w:rPr>
            </w:pPr>
          </w:p>
        </w:tc>
        <w:tc>
          <w:tcPr>
            <w:tcW w:w="2355" w:type="dxa"/>
            <w:gridSpan w:val="3"/>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平开门改推拉门</w:t>
            </w:r>
          </w:p>
        </w:tc>
        <w:tc>
          <w:tcPr>
            <w:tcW w:w="7442" w:type="dxa"/>
            <w:gridSpan w:val="3"/>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方便开启，增加通行宽度和辅助操作空间。</w:t>
            </w:r>
          </w:p>
        </w:tc>
        <w:tc>
          <w:tcPr>
            <w:tcW w:w="799" w:type="dxa"/>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项</w:t>
            </w:r>
          </w:p>
        </w:tc>
        <w:tc>
          <w:tcPr>
            <w:tcW w:w="1671" w:type="dxa"/>
            <w:gridSpan w:val="2"/>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2000.00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9</w:t>
            </w:r>
          </w:p>
        </w:tc>
        <w:tc>
          <w:tcPr>
            <w:tcW w:w="690" w:type="dxa"/>
            <w:vMerge w:val="continue"/>
            <w:vAlign w:val="center"/>
          </w:tcPr>
          <w:p>
            <w:pPr>
              <w:jc w:val="center"/>
              <w:rPr>
                <w:rFonts w:hint="eastAsia" w:ascii="宋体" w:hAnsi="宋体" w:eastAsia="宋体" w:cs="宋体"/>
                <w:color w:val="auto"/>
                <w:sz w:val="18"/>
                <w:szCs w:val="18"/>
                <w:highlight w:val="none"/>
                <w:vertAlign w:val="baseline"/>
              </w:rPr>
            </w:pPr>
          </w:p>
        </w:tc>
        <w:tc>
          <w:tcPr>
            <w:tcW w:w="2355" w:type="dxa"/>
            <w:gridSpan w:val="3"/>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房门拓宽</w:t>
            </w:r>
          </w:p>
        </w:tc>
        <w:tc>
          <w:tcPr>
            <w:tcW w:w="7442" w:type="dxa"/>
            <w:gridSpan w:val="3"/>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 xml:space="preserve">对卫生间、厨房等空间较窄的门洞影响轮椅通行的狭窄门洞进行扩宽，门净宽度必须≥80cm； </w:t>
            </w:r>
          </w:p>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方便轮椅进出。</w:t>
            </w:r>
          </w:p>
        </w:tc>
        <w:tc>
          <w:tcPr>
            <w:tcW w:w="799" w:type="dxa"/>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项</w:t>
            </w:r>
          </w:p>
        </w:tc>
        <w:tc>
          <w:tcPr>
            <w:tcW w:w="1671" w:type="dxa"/>
            <w:gridSpan w:val="2"/>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800.00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10</w:t>
            </w:r>
          </w:p>
        </w:tc>
        <w:tc>
          <w:tcPr>
            <w:tcW w:w="690" w:type="dxa"/>
            <w:vMerge w:val="continue"/>
            <w:vAlign w:val="center"/>
          </w:tcPr>
          <w:p>
            <w:pPr>
              <w:jc w:val="center"/>
              <w:rPr>
                <w:rFonts w:hint="eastAsia" w:ascii="宋体" w:hAnsi="宋体" w:eastAsia="宋体" w:cs="宋体"/>
                <w:color w:val="auto"/>
                <w:sz w:val="18"/>
                <w:szCs w:val="18"/>
                <w:highlight w:val="none"/>
                <w:vertAlign w:val="baseline"/>
              </w:rPr>
            </w:pPr>
          </w:p>
        </w:tc>
        <w:tc>
          <w:tcPr>
            <w:tcW w:w="2355" w:type="dxa"/>
            <w:gridSpan w:val="3"/>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下压式门把手改造</w:t>
            </w:r>
          </w:p>
        </w:tc>
        <w:tc>
          <w:tcPr>
            <w:tcW w:w="7442" w:type="dxa"/>
            <w:gridSpan w:val="3"/>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T 型，不锈钢材质；可用单手手掌或者手指轻松操作，增加摩擦力和稳定性，方便老年人开门。</w:t>
            </w:r>
          </w:p>
        </w:tc>
        <w:tc>
          <w:tcPr>
            <w:tcW w:w="799" w:type="dxa"/>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项</w:t>
            </w:r>
          </w:p>
        </w:tc>
        <w:tc>
          <w:tcPr>
            <w:tcW w:w="1671" w:type="dxa"/>
            <w:gridSpan w:val="2"/>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280.00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11</w:t>
            </w:r>
          </w:p>
        </w:tc>
        <w:tc>
          <w:tcPr>
            <w:tcW w:w="690" w:type="dxa"/>
            <w:vMerge w:val="continue"/>
            <w:vAlign w:val="center"/>
          </w:tcPr>
          <w:p>
            <w:pPr>
              <w:jc w:val="center"/>
              <w:rPr>
                <w:rFonts w:hint="eastAsia" w:ascii="宋体" w:hAnsi="宋体" w:eastAsia="宋体" w:cs="宋体"/>
                <w:color w:val="auto"/>
                <w:sz w:val="18"/>
                <w:szCs w:val="18"/>
                <w:highlight w:val="none"/>
                <w:vertAlign w:val="baseline"/>
              </w:rPr>
            </w:pPr>
          </w:p>
        </w:tc>
        <w:tc>
          <w:tcPr>
            <w:tcW w:w="2355" w:type="dxa"/>
            <w:gridSpan w:val="3"/>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安装闪光振动门铃</w:t>
            </w:r>
          </w:p>
        </w:tc>
        <w:tc>
          <w:tcPr>
            <w:tcW w:w="7442" w:type="dxa"/>
            <w:gridSpan w:val="3"/>
            <w:vAlign w:val="center"/>
          </w:tcPr>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 xml:space="preserve">具备提示铃声，不少于20首铃声可选； </w:t>
            </w:r>
          </w:p>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 xml:space="preserve">提示铃声音量不少于4档可调； </w:t>
            </w:r>
          </w:p>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功能选择键具备七彩闪光、铃声、震动提示模式(初始模式)；同时需配接收器和发射器。</w:t>
            </w:r>
          </w:p>
        </w:tc>
        <w:tc>
          <w:tcPr>
            <w:tcW w:w="799" w:type="dxa"/>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个</w:t>
            </w:r>
          </w:p>
        </w:tc>
        <w:tc>
          <w:tcPr>
            <w:tcW w:w="1671" w:type="dxa"/>
            <w:gridSpan w:val="2"/>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220.00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12</w:t>
            </w:r>
          </w:p>
        </w:tc>
        <w:tc>
          <w:tcPr>
            <w:tcW w:w="690" w:type="dxa"/>
            <w:vMerge w:val="restart"/>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 xml:space="preserve">卧室 </w:t>
            </w:r>
          </w:p>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改造</w:t>
            </w:r>
          </w:p>
        </w:tc>
        <w:tc>
          <w:tcPr>
            <w:tcW w:w="2355" w:type="dxa"/>
            <w:gridSpan w:val="3"/>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配置护理床</w:t>
            </w:r>
          </w:p>
        </w:tc>
        <w:tc>
          <w:tcPr>
            <w:tcW w:w="1524" w:type="dxa"/>
            <w:gridSpan w:val="2"/>
            <w:vAlign w:val="center"/>
          </w:tcPr>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帮助失能老年人完成起身、侧翻、上下床、吃饭等动作，辅助喂食、处理排泄物等。</w:t>
            </w:r>
          </w:p>
        </w:tc>
        <w:tc>
          <w:tcPr>
            <w:tcW w:w="5918" w:type="dxa"/>
            <w:vAlign w:val="center"/>
          </w:tcPr>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 xml:space="preserve">1.产品外形尺寸：长:2050mm、宽:960mm、高:500mm； </w:t>
            </w:r>
          </w:p>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 xml:space="preserve">背部倾斜角度 0～75°,腿部倾斜角度：0～40°可任意调节； </w:t>
            </w:r>
          </w:p>
          <w:p>
            <w:pPr>
              <w:numPr>
                <w:ilvl w:val="0"/>
                <w:numId w:val="0"/>
              </w:num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2.床体静态可承载 240Kg、动态可承载 200Kg；（需提供第三方机构检测报告）； </w:t>
            </w:r>
          </w:p>
          <w:p>
            <w:pPr>
              <w:numPr>
                <w:ilvl w:val="0"/>
                <w:numId w:val="0"/>
              </w:num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 xml:space="preserve">3.线型欧版床头尾板采用ABS强化塑胶材料，一次成形，无缝隙，易清洁，不变形，暗藏锁定开关，稳定可靠。床体采用优质冷轧碳素钢管 80×40×1.0mm，床腿为优质冷轧碳素钢管 40×40×1.0mm。床板采用条形冷轧钢板冲压成型厚度 1.0mm，提高床板强度，受力均衡，抗压力强；下面焊接钢管加强，坚实耐用； </w:t>
            </w:r>
          </w:p>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4.两组摇杆；摇手采用不锈钢把手，隐藏式设计，使操作一目了然；床帮两侧设有输液架孔，含 6cm 棕棉床垫；</w:t>
            </w:r>
          </w:p>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5.整床采用双重磷化+静电粉体涂装处理。床体涂料采用抗菌涂料，防菌抗菌，抗酸碱腐蚀，耐裉色，无毒无害，有效延长使用寿命。（需提供第三方机构检测报告）。</w:t>
            </w:r>
          </w:p>
        </w:tc>
        <w:tc>
          <w:tcPr>
            <w:tcW w:w="799" w:type="dxa"/>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张</w:t>
            </w:r>
          </w:p>
        </w:tc>
        <w:tc>
          <w:tcPr>
            <w:tcW w:w="1671" w:type="dxa"/>
            <w:gridSpan w:val="2"/>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2100.00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13</w:t>
            </w:r>
          </w:p>
        </w:tc>
        <w:tc>
          <w:tcPr>
            <w:tcW w:w="690" w:type="dxa"/>
            <w:vMerge w:val="continue"/>
            <w:vAlign w:val="center"/>
          </w:tcPr>
          <w:p>
            <w:pPr>
              <w:jc w:val="center"/>
              <w:rPr>
                <w:rFonts w:hint="eastAsia" w:ascii="宋体" w:hAnsi="宋体" w:eastAsia="宋体" w:cs="宋体"/>
                <w:color w:val="auto"/>
                <w:sz w:val="18"/>
                <w:szCs w:val="18"/>
                <w:highlight w:val="none"/>
                <w:vertAlign w:val="baseline"/>
              </w:rPr>
            </w:pPr>
          </w:p>
        </w:tc>
        <w:tc>
          <w:tcPr>
            <w:tcW w:w="2355" w:type="dxa"/>
            <w:gridSpan w:val="3"/>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移动式床边抓杆</w:t>
            </w:r>
          </w:p>
        </w:tc>
        <w:tc>
          <w:tcPr>
            <w:tcW w:w="1524" w:type="dxa"/>
            <w:gridSpan w:val="2"/>
            <w:vAlign w:val="center"/>
          </w:tcPr>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辅助老年人起身、上下床，防止翻身滚下床，保证老 年人睡眠和活动安全。</w:t>
            </w:r>
          </w:p>
        </w:tc>
        <w:tc>
          <w:tcPr>
            <w:tcW w:w="5918" w:type="dxa"/>
            <w:vAlign w:val="center"/>
          </w:tcPr>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rPr>
              <w:t>1</w:t>
            </w:r>
            <w:r>
              <w:rPr>
                <w:rFonts w:hint="eastAsia" w:ascii="宋体" w:hAnsi="宋体" w:eastAsia="宋体" w:cs="宋体"/>
                <w:color w:val="auto"/>
                <w:sz w:val="18"/>
                <w:szCs w:val="18"/>
                <w:highlight w:val="none"/>
                <w:vertAlign w:val="baseline"/>
                <w:lang w:eastAsia="zh-CN"/>
              </w:rPr>
              <w:t>.</w:t>
            </w:r>
            <w:r>
              <w:rPr>
                <w:rFonts w:hint="eastAsia" w:ascii="宋体" w:hAnsi="宋体" w:eastAsia="宋体" w:cs="宋体"/>
                <w:color w:val="auto"/>
                <w:sz w:val="18"/>
                <w:szCs w:val="18"/>
                <w:highlight w:val="none"/>
                <w:vertAlign w:val="baseline"/>
              </w:rPr>
              <w:t>扶手采用无凉感的材质，底座采用稳固钢板材料，产品净重需满足≥20KG，确保扶手整体的稳定性；</w:t>
            </w:r>
          </w:p>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rPr>
              <w:t>2</w:t>
            </w:r>
            <w:r>
              <w:rPr>
                <w:rFonts w:hint="eastAsia" w:ascii="宋体" w:hAnsi="宋体" w:eastAsia="宋体" w:cs="宋体"/>
                <w:color w:val="auto"/>
                <w:sz w:val="18"/>
                <w:szCs w:val="18"/>
                <w:highlight w:val="none"/>
                <w:vertAlign w:val="baseline"/>
                <w:lang w:eastAsia="zh-CN"/>
              </w:rPr>
              <w:t>.</w:t>
            </w:r>
            <w:r>
              <w:rPr>
                <w:rFonts w:hint="eastAsia" w:ascii="宋体" w:hAnsi="宋体" w:eastAsia="宋体" w:cs="宋体"/>
                <w:color w:val="auto"/>
                <w:sz w:val="18"/>
                <w:szCs w:val="18"/>
                <w:highlight w:val="none"/>
                <w:vertAlign w:val="baseline"/>
              </w:rPr>
              <w:t>高度符合人体工学且不低于6挡可调；材料采用钢管材质，扶手套采用高密度橡塑 NBR 海绵套管，确保舒适防滑抓握；</w:t>
            </w:r>
          </w:p>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rPr>
              <w:t>3</w:t>
            </w:r>
            <w:r>
              <w:rPr>
                <w:rFonts w:hint="eastAsia" w:ascii="宋体" w:hAnsi="宋体" w:eastAsia="宋体" w:cs="宋体"/>
                <w:color w:val="auto"/>
                <w:sz w:val="18"/>
                <w:szCs w:val="18"/>
                <w:highlight w:val="none"/>
                <w:vertAlign w:val="baseline"/>
                <w:lang w:eastAsia="zh-CN"/>
              </w:rPr>
              <w:t>.</w:t>
            </w:r>
            <w:r>
              <w:rPr>
                <w:rFonts w:hint="eastAsia" w:ascii="宋体" w:hAnsi="宋体" w:eastAsia="宋体" w:cs="宋体"/>
                <w:color w:val="auto"/>
                <w:sz w:val="18"/>
                <w:szCs w:val="18"/>
                <w:highlight w:val="none"/>
                <w:vertAlign w:val="baseline"/>
              </w:rPr>
              <w:t>底座采用厚钢板，表面烤漆橡胶条包边处理，确保稳固安全。</w:t>
            </w:r>
          </w:p>
        </w:tc>
        <w:tc>
          <w:tcPr>
            <w:tcW w:w="799" w:type="dxa"/>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个</w:t>
            </w:r>
          </w:p>
        </w:tc>
        <w:tc>
          <w:tcPr>
            <w:tcW w:w="1671" w:type="dxa"/>
            <w:gridSpan w:val="2"/>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600.00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14</w:t>
            </w:r>
          </w:p>
        </w:tc>
        <w:tc>
          <w:tcPr>
            <w:tcW w:w="690" w:type="dxa"/>
            <w:vMerge w:val="continue"/>
            <w:vAlign w:val="center"/>
          </w:tcPr>
          <w:p>
            <w:pPr>
              <w:jc w:val="center"/>
              <w:rPr>
                <w:rFonts w:hint="eastAsia" w:ascii="宋体" w:hAnsi="宋体" w:eastAsia="宋体" w:cs="宋体"/>
                <w:color w:val="auto"/>
                <w:sz w:val="18"/>
                <w:szCs w:val="18"/>
                <w:highlight w:val="none"/>
                <w:vertAlign w:val="baseline"/>
              </w:rPr>
            </w:pPr>
          </w:p>
        </w:tc>
        <w:tc>
          <w:tcPr>
            <w:tcW w:w="2355" w:type="dxa"/>
            <w:gridSpan w:val="3"/>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rPr>
              <w:t>固定式床边抓杆</w:t>
            </w:r>
          </w:p>
        </w:tc>
        <w:tc>
          <w:tcPr>
            <w:tcW w:w="1524" w:type="dxa"/>
            <w:gridSpan w:val="2"/>
            <w:vMerge w:val="restart"/>
            <w:vAlign w:val="center"/>
          </w:tcPr>
          <w:p>
            <w:pPr>
              <w:jc w:val="center"/>
              <w:rPr>
                <w:rFonts w:hint="eastAsia" w:ascii="宋体" w:hAnsi="宋体" w:eastAsia="宋体" w:cs="宋体"/>
                <w:color w:val="auto"/>
                <w:sz w:val="18"/>
                <w:szCs w:val="18"/>
                <w:highlight w:val="none"/>
                <w:vertAlign w:val="baseline"/>
              </w:rPr>
            </w:pPr>
          </w:p>
        </w:tc>
        <w:tc>
          <w:tcPr>
            <w:tcW w:w="5918" w:type="dxa"/>
            <w:vAlign w:val="center"/>
          </w:tcPr>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 xml:space="preserve">1.扶手可固定、防侧翻、无凉感，整体表面采用无凉感磨砂材质； </w:t>
            </w:r>
          </w:p>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 xml:space="preserve">2.底座采用稳固钢板材料； </w:t>
            </w:r>
          </w:p>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 xml:space="preserve">3.高度&gt;800mm；横杆间距(从上到下)：250-320mm；立杆间距≥300mm； </w:t>
            </w:r>
          </w:p>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4.扶手采用钢管材质，扶手套采用高密度橡塑NBR海绵套管。</w:t>
            </w:r>
          </w:p>
        </w:tc>
        <w:tc>
          <w:tcPr>
            <w:tcW w:w="799" w:type="dxa"/>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个</w:t>
            </w:r>
          </w:p>
        </w:tc>
        <w:tc>
          <w:tcPr>
            <w:tcW w:w="1671" w:type="dxa"/>
            <w:gridSpan w:val="2"/>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460.00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15</w:t>
            </w:r>
          </w:p>
        </w:tc>
        <w:tc>
          <w:tcPr>
            <w:tcW w:w="690" w:type="dxa"/>
            <w:vMerge w:val="continue"/>
            <w:vAlign w:val="center"/>
          </w:tcPr>
          <w:p>
            <w:pPr>
              <w:jc w:val="center"/>
              <w:rPr>
                <w:rFonts w:hint="eastAsia" w:ascii="宋体" w:hAnsi="宋体" w:eastAsia="宋体" w:cs="宋体"/>
                <w:color w:val="auto"/>
                <w:sz w:val="18"/>
                <w:szCs w:val="18"/>
                <w:highlight w:val="none"/>
                <w:vertAlign w:val="baseline"/>
              </w:rPr>
            </w:pPr>
          </w:p>
        </w:tc>
        <w:tc>
          <w:tcPr>
            <w:tcW w:w="2355" w:type="dxa"/>
            <w:gridSpan w:val="3"/>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床边护栏</w:t>
            </w:r>
          </w:p>
        </w:tc>
        <w:tc>
          <w:tcPr>
            <w:tcW w:w="1524" w:type="dxa"/>
            <w:gridSpan w:val="2"/>
            <w:vMerge w:val="continue"/>
            <w:vAlign w:val="center"/>
          </w:tcPr>
          <w:p>
            <w:pPr>
              <w:jc w:val="center"/>
              <w:rPr>
                <w:rFonts w:hint="eastAsia" w:ascii="宋体" w:hAnsi="宋体" w:eastAsia="宋体" w:cs="宋体"/>
                <w:color w:val="auto"/>
                <w:sz w:val="18"/>
                <w:szCs w:val="18"/>
                <w:highlight w:val="none"/>
                <w:vertAlign w:val="baseline"/>
              </w:rPr>
            </w:pPr>
          </w:p>
        </w:tc>
        <w:tc>
          <w:tcPr>
            <w:tcW w:w="5918" w:type="dxa"/>
            <w:vAlign w:val="center"/>
          </w:tcPr>
          <w:p>
            <w:pPr>
              <w:jc w:val="both"/>
              <w:rPr>
                <w:rFonts w:hint="eastAsia" w:ascii="宋体" w:hAnsi="宋体" w:eastAsia="宋体" w:cs="宋体"/>
                <w:color w:val="auto"/>
                <w:sz w:val="18"/>
                <w:szCs w:val="18"/>
                <w:highlight w:val="none"/>
                <w:vertAlign w:val="baseline"/>
                <w:lang w:eastAsia="zh-CN"/>
              </w:rPr>
            </w:pPr>
            <w:r>
              <w:rPr>
                <w:rFonts w:hint="eastAsia" w:ascii="宋体" w:hAnsi="宋体" w:eastAsia="宋体" w:cs="宋体"/>
                <w:color w:val="auto"/>
                <w:sz w:val="18"/>
                <w:szCs w:val="18"/>
                <w:highlight w:val="none"/>
                <w:vertAlign w:val="baseline"/>
              </w:rPr>
              <w:t>1</w:t>
            </w:r>
            <w:r>
              <w:rPr>
                <w:rFonts w:hint="eastAsia" w:ascii="宋体" w:hAnsi="宋体" w:eastAsia="宋体" w:cs="宋体"/>
                <w:color w:val="auto"/>
                <w:sz w:val="18"/>
                <w:szCs w:val="18"/>
                <w:highlight w:val="none"/>
                <w:vertAlign w:val="baseline"/>
                <w:lang w:eastAsia="zh-CN"/>
              </w:rPr>
              <w:t>.</w:t>
            </w:r>
            <w:r>
              <w:rPr>
                <w:rFonts w:hint="eastAsia" w:ascii="宋体" w:hAnsi="宋体" w:eastAsia="宋体" w:cs="宋体"/>
                <w:color w:val="auto"/>
                <w:sz w:val="18"/>
                <w:szCs w:val="18"/>
                <w:highlight w:val="none"/>
                <w:vertAlign w:val="baseline"/>
              </w:rPr>
              <w:t>可360度旋转，每90度一个卡位</w:t>
            </w:r>
            <w:r>
              <w:rPr>
                <w:rFonts w:hint="eastAsia" w:ascii="宋体" w:hAnsi="宋体" w:eastAsia="宋体" w:cs="宋体"/>
                <w:color w:val="auto"/>
                <w:sz w:val="18"/>
                <w:szCs w:val="18"/>
                <w:highlight w:val="none"/>
                <w:vertAlign w:val="baseline"/>
                <w:lang w:eastAsia="zh-CN"/>
              </w:rPr>
              <w:t>；</w:t>
            </w:r>
          </w:p>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rPr>
              <w:t>2</w:t>
            </w:r>
            <w:r>
              <w:rPr>
                <w:rFonts w:hint="eastAsia" w:ascii="宋体" w:hAnsi="宋体" w:eastAsia="宋体" w:cs="宋体"/>
                <w:color w:val="auto"/>
                <w:sz w:val="18"/>
                <w:szCs w:val="18"/>
                <w:highlight w:val="none"/>
                <w:vertAlign w:val="baseline"/>
                <w:lang w:eastAsia="zh-CN"/>
              </w:rPr>
              <w:t>.</w:t>
            </w:r>
            <w:r>
              <w:rPr>
                <w:rFonts w:hint="eastAsia" w:ascii="宋体" w:hAnsi="宋体" w:eastAsia="宋体" w:cs="宋体"/>
                <w:color w:val="auto"/>
                <w:sz w:val="18"/>
                <w:szCs w:val="18"/>
                <w:highlight w:val="none"/>
                <w:vertAlign w:val="baseline"/>
              </w:rPr>
              <w:t>总宽&gt;35CM；下半部分支架高度＜40CM；</w:t>
            </w:r>
          </w:p>
          <w:p>
            <w:pPr>
              <w:jc w:val="both"/>
              <w:rPr>
                <w:rFonts w:hint="eastAsia" w:ascii="宋体" w:hAnsi="宋体" w:eastAsia="宋体" w:cs="宋体"/>
                <w:color w:val="auto"/>
                <w:sz w:val="18"/>
                <w:szCs w:val="18"/>
                <w:highlight w:val="none"/>
                <w:vertAlign w:val="baseline"/>
                <w:lang w:eastAsia="zh-CN"/>
              </w:rPr>
            </w:pPr>
            <w:r>
              <w:rPr>
                <w:rFonts w:hint="eastAsia" w:ascii="宋体" w:hAnsi="宋体" w:eastAsia="宋体" w:cs="宋体"/>
                <w:color w:val="auto"/>
                <w:sz w:val="18"/>
                <w:szCs w:val="18"/>
                <w:highlight w:val="none"/>
                <w:vertAlign w:val="baseline"/>
              </w:rPr>
              <w:t>3</w:t>
            </w:r>
            <w:r>
              <w:rPr>
                <w:rFonts w:hint="eastAsia" w:ascii="宋体" w:hAnsi="宋体" w:eastAsia="宋体" w:cs="宋体"/>
                <w:color w:val="auto"/>
                <w:sz w:val="18"/>
                <w:szCs w:val="18"/>
                <w:highlight w:val="none"/>
                <w:vertAlign w:val="baseline"/>
                <w:lang w:eastAsia="zh-CN"/>
              </w:rPr>
              <w:t>.</w:t>
            </w:r>
            <w:r>
              <w:rPr>
                <w:rFonts w:hint="eastAsia" w:ascii="宋体" w:hAnsi="宋体" w:eastAsia="宋体" w:cs="宋体"/>
                <w:color w:val="auto"/>
                <w:sz w:val="18"/>
                <w:szCs w:val="18"/>
                <w:highlight w:val="none"/>
                <w:vertAlign w:val="baseline"/>
              </w:rPr>
              <w:t>插入床垫部分可固定</w:t>
            </w:r>
            <w:r>
              <w:rPr>
                <w:rFonts w:hint="eastAsia" w:ascii="宋体" w:hAnsi="宋体" w:eastAsia="宋体" w:cs="宋体"/>
                <w:color w:val="auto"/>
                <w:sz w:val="18"/>
                <w:szCs w:val="18"/>
                <w:highlight w:val="none"/>
                <w:vertAlign w:val="baseline"/>
                <w:lang w:eastAsia="zh-CN"/>
              </w:rPr>
              <w:t>。</w:t>
            </w:r>
          </w:p>
        </w:tc>
        <w:tc>
          <w:tcPr>
            <w:tcW w:w="799" w:type="dxa"/>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个</w:t>
            </w:r>
          </w:p>
        </w:tc>
        <w:tc>
          <w:tcPr>
            <w:tcW w:w="1671" w:type="dxa"/>
            <w:gridSpan w:val="2"/>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290.00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16</w:t>
            </w:r>
          </w:p>
        </w:tc>
        <w:tc>
          <w:tcPr>
            <w:tcW w:w="690" w:type="dxa"/>
            <w:vMerge w:val="restart"/>
            <w:vAlign w:val="center"/>
          </w:tcPr>
          <w:p>
            <w:pPr>
              <w:jc w:val="center"/>
              <w:rPr>
                <w:rFonts w:hint="eastAsia" w:ascii="宋体" w:hAnsi="宋体" w:eastAsia="宋体" w:cs="宋体"/>
                <w:color w:val="auto"/>
                <w:sz w:val="18"/>
                <w:szCs w:val="18"/>
                <w:highlight w:val="none"/>
                <w:vertAlign w:val="baseline"/>
              </w:rPr>
            </w:pPr>
          </w:p>
        </w:tc>
        <w:tc>
          <w:tcPr>
            <w:tcW w:w="1135" w:type="dxa"/>
            <w:vMerge w:val="restart"/>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配置</w:t>
            </w:r>
          </w:p>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防压</w:t>
            </w:r>
          </w:p>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疮垫</w:t>
            </w:r>
          </w:p>
        </w:tc>
        <w:tc>
          <w:tcPr>
            <w:tcW w:w="1220" w:type="dxa"/>
            <w:gridSpan w:val="2"/>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防压疮坐垫</w:t>
            </w:r>
          </w:p>
        </w:tc>
        <w:tc>
          <w:tcPr>
            <w:tcW w:w="1524" w:type="dxa"/>
            <w:gridSpan w:val="2"/>
            <w:vMerge w:val="restart"/>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避免长期乘坐轮 椅或卧床的老年 人发生严重压疮</w:t>
            </w:r>
          </w:p>
        </w:tc>
        <w:tc>
          <w:tcPr>
            <w:tcW w:w="5918" w:type="dxa"/>
            <w:vAlign w:val="center"/>
          </w:tcPr>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 xml:space="preserve">1.优质 PVC 材质，轻巧耐拉伸，承重效果佳； </w:t>
            </w:r>
          </w:p>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 xml:space="preserve">2.满足透气性，确保不少于25个均匀分布的内径小孔，与气室交错形成波浪凹凸表层，分散臀部、腿部的压力，更加透气；承重需≥100kg； </w:t>
            </w:r>
          </w:p>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3.配备专用打气筒。</w:t>
            </w:r>
          </w:p>
        </w:tc>
        <w:tc>
          <w:tcPr>
            <w:tcW w:w="799" w:type="dxa"/>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个</w:t>
            </w:r>
          </w:p>
        </w:tc>
        <w:tc>
          <w:tcPr>
            <w:tcW w:w="1671" w:type="dxa"/>
            <w:gridSpan w:val="2"/>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35.00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17</w:t>
            </w:r>
          </w:p>
        </w:tc>
        <w:tc>
          <w:tcPr>
            <w:tcW w:w="690" w:type="dxa"/>
            <w:vMerge w:val="continue"/>
            <w:vAlign w:val="center"/>
          </w:tcPr>
          <w:p>
            <w:pPr>
              <w:jc w:val="center"/>
              <w:rPr>
                <w:rFonts w:hint="eastAsia" w:ascii="宋体" w:hAnsi="宋体" w:eastAsia="宋体" w:cs="宋体"/>
                <w:color w:val="auto"/>
                <w:sz w:val="18"/>
                <w:szCs w:val="18"/>
                <w:highlight w:val="none"/>
                <w:vertAlign w:val="baseline"/>
              </w:rPr>
            </w:pPr>
          </w:p>
        </w:tc>
        <w:tc>
          <w:tcPr>
            <w:tcW w:w="1135" w:type="dxa"/>
            <w:vMerge w:val="continue"/>
            <w:vAlign w:val="center"/>
          </w:tcPr>
          <w:p>
            <w:pPr>
              <w:jc w:val="center"/>
              <w:rPr>
                <w:rFonts w:hint="eastAsia" w:ascii="宋体" w:hAnsi="宋体" w:eastAsia="宋体" w:cs="宋体"/>
                <w:color w:val="auto"/>
                <w:sz w:val="18"/>
                <w:szCs w:val="18"/>
                <w:highlight w:val="none"/>
                <w:vertAlign w:val="baseline"/>
              </w:rPr>
            </w:pPr>
          </w:p>
        </w:tc>
        <w:tc>
          <w:tcPr>
            <w:tcW w:w="1220" w:type="dxa"/>
            <w:gridSpan w:val="2"/>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靠垫</w:t>
            </w:r>
          </w:p>
        </w:tc>
        <w:tc>
          <w:tcPr>
            <w:tcW w:w="1524" w:type="dxa"/>
            <w:gridSpan w:val="2"/>
            <w:vMerge w:val="continue"/>
            <w:vAlign w:val="center"/>
          </w:tcPr>
          <w:p>
            <w:pPr>
              <w:jc w:val="center"/>
              <w:rPr>
                <w:rFonts w:hint="eastAsia" w:ascii="宋体" w:hAnsi="宋体" w:eastAsia="宋体" w:cs="宋体"/>
                <w:color w:val="auto"/>
                <w:sz w:val="18"/>
                <w:szCs w:val="18"/>
                <w:highlight w:val="none"/>
                <w:vertAlign w:val="baseline"/>
              </w:rPr>
            </w:pPr>
          </w:p>
        </w:tc>
        <w:tc>
          <w:tcPr>
            <w:tcW w:w="5918" w:type="dxa"/>
            <w:vAlign w:val="center"/>
          </w:tcPr>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 xml:space="preserve">骨架为不锈钢材质； </w:t>
            </w:r>
          </w:p>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靠背角度不少于五档调节，折叠设计，承重&gt;130 公斤以上。</w:t>
            </w:r>
          </w:p>
        </w:tc>
        <w:tc>
          <w:tcPr>
            <w:tcW w:w="799" w:type="dxa"/>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个</w:t>
            </w:r>
          </w:p>
        </w:tc>
        <w:tc>
          <w:tcPr>
            <w:tcW w:w="1671" w:type="dxa"/>
            <w:gridSpan w:val="2"/>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250.00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18</w:t>
            </w:r>
          </w:p>
        </w:tc>
        <w:tc>
          <w:tcPr>
            <w:tcW w:w="690" w:type="dxa"/>
            <w:vMerge w:val="continue"/>
            <w:vAlign w:val="center"/>
          </w:tcPr>
          <w:p>
            <w:pPr>
              <w:jc w:val="center"/>
              <w:rPr>
                <w:rFonts w:hint="eastAsia" w:ascii="宋体" w:hAnsi="宋体" w:eastAsia="宋体" w:cs="宋体"/>
                <w:color w:val="auto"/>
                <w:sz w:val="18"/>
                <w:szCs w:val="18"/>
                <w:highlight w:val="none"/>
                <w:vertAlign w:val="baseline"/>
              </w:rPr>
            </w:pPr>
          </w:p>
        </w:tc>
        <w:tc>
          <w:tcPr>
            <w:tcW w:w="1135" w:type="dxa"/>
            <w:vMerge w:val="continue"/>
            <w:vAlign w:val="center"/>
          </w:tcPr>
          <w:p>
            <w:pPr>
              <w:jc w:val="center"/>
              <w:rPr>
                <w:rFonts w:hint="eastAsia" w:ascii="宋体" w:hAnsi="宋体" w:eastAsia="宋体" w:cs="宋体"/>
                <w:color w:val="auto"/>
                <w:sz w:val="18"/>
                <w:szCs w:val="18"/>
                <w:highlight w:val="none"/>
                <w:vertAlign w:val="baseline"/>
              </w:rPr>
            </w:pPr>
          </w:p>
        </w:tc>
        <w:tc>
          <w:tcPr>
            <w:tcW w:w="1220" w:type="dxa"/>
            <w:gridSpan w:val="2"/>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防褥疮床垫</w:t>
            </w:r>
          </w:p>
        </w:tc>
        <w:tc>
          <w:tcPr>
            <w:tcW w:w="1524" w:type="dxa"/>
            <w:gridSpan w:val="2"/>
            <w:vMerge w:val="continue"/>
            <w:vAlign w:val="center"/>
          </w:tcPr>
          <w:p>
            <w:pPr>
              <w:jc w:val="center"/>
              <w:rPr>
                <w:rFonts w:hint="eastAsia" w:ascii="宋体" w:hAnsi="宋体" w:eastAsia="宋体" w:cs="宋体"/>
                <w:color w:val="auto"/>
                <w:sz w:val="18"/>
                <w:szCs w:val="18"/>
                <w:highlight w:val="none"/>
                <w:vertAlign w:val="baseline"/>
              </w:rPr>
            </w:pPr>
          </w:p>
        </w:tc>
        <w:tc>
          <w:tcPr>
            <w:tcW w:w="5918" w:type="dxa"/>
            <w:vAlign w:val="center"/>
          </w:tcPr>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 xml:space="preserve">PVC 材质，配合护理床使用； </w:t>
            </w:r>
          </w:p>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 xml:space="preserve">设计有波动档，可条形波动；带有微型喷气孔，间隔管可交替充气； </w:t>
            </w:r>
          </w:p>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低噪音设计，不大于20分贝；气条可单独拆卸，方便更换。</w:t>
            </w:r>
          </w:p>
        </w:tc>
        <w:tc>
          <w:tcPr>
            <w:tcW w:w="799" w:type="dxa"/>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个</w:t>
            </w:r>
          </w:p>
        </w:tc>
        <w:tc>
          <w:tcPr>
            <w:tcW w:w="1671" w:type="dxa"/>
            <w:gridSpan w:val="2"/>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600.00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19</w:t>
            </w:r>
          </w:p>
        </w:tc>
        <w:tc>
          <w:tcPr>
            <w:tcW w:w="690" w:type="dxa"/>
            <w:vMerge w:val="continue"/>
            <w:vAlign w:val="center"/>
          </w:tcPr>
          <w:p>
            <w:pPr>
              <w:jc w:val="center"/>
              <w:rPr>
                <w:rFonts w:hint="eastAsia" w:ascii="宋体" w:hAnsi="宋体" w:eastAsia="宋体" w:cs="宋体"/>
                <w:color w:val="auto"/>
                <w:sz w:val="18"/>
                <w:szCs w:val="18"/>
                <w:highlight w:val="none"/>
                <w:vertAlign w:val="baseline"/>
              </w:rPr>
            </w:pPr>
          </w:p>
        </w:tc>
        <w:tc>
          <w:tcPr>
            <w:tcW w:w="1135" w:type="dxa"/>
            <w:vMerge w:val="continue"/>
            <w:vAlign w:val="center"/>
          </w:tcPr>
          <w:p>
            <w:pPr>
              <w:jc w:val="center"/>
              <w:rPr>
                <w:rFonts w:hint="eastAsia" w:ascii="宋体" w:hAnsi="宋体" w:eastAsia="宋体" w:cs="宋体"/>
                <w:color w:val="auto"/>
                <w:sz w:val="18"/>
                <w:szCs w:val="18"/>
                <w:highlight w:val="none"/>
                <w:vertAlign w:val="baseline"/>
              </w:rPr>
            </w:pPr>
          </w:p>
        </w:tc>
        <w:tc>
          <w:tcPr>
            <w:tcW w:w="1220" w:type="dxa"/>
            <w:gridSpan w:val="2"/>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3D 防褥 </w:t>
            </w:r>
          </w:p>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疮床垫</w:t>
            </w:r>
          </w:p>
        </w:tc>
        <w:tc>
          <w:tcPr>
            <w:tcW w:w="1524" w:type="dxa"/>
            <w:gridSpan w:val="2"/>
            <w:vMerge w:val="continue"/>
            <w:vAlign w:val="center"/>
          </w:tcPr>
          <w:p>
            <w:pPr>
              <w:jc w:val="center"/>
              <w:rPr>
                <w:rFonts w:hint="eastAsia" w:ascii="宋体" w:hAnsi="宋体" w:eastAsia="宋体" w:cs="宋体"/>
                <w:color w:val="auto"/>
                <w:sz w:val="18"/>
                <w:szCs w:val="18"/>
                <w:highlight w:val="none"/>
                <w:vertAlign w:val="baseline"/>
              </w:rPr>
            </w:pPr>
          </w:p>
        </w:tc>
        <w:tc>
          <w:tcPr>
            <w:tcW w:w="5918" w:type="dxa"/>
            <w:vAlign w:val="center"/>
          </w:tcPr>
          <w:p>
            <w:pPr>
              <w:jc w:val="both"/>
              <w:rPr>
                <w:rFonts w:hint="default" w:ascii="宋体" w:hAnsi="宋体" w:eastAsia="宋体" w:cs="宋体"/>
                <w:color w:val="auto"/>
                <w:sz w:val="18"/>
                <w:szCs w:val="18"/>
                <w:highlight w:val="none"/>
                <w:vertAlign w:val="baseline"/>
                <w:lang w:val="en-US"/>
              </w:rPr>
            </w:pPr>
            <w:r>
              <w:rPr>
                <w:rFonts w:hint="eastAsia" w:ascii="宋体" w:hAnsi="宋体" w:eastAsia="宋体" w:cs="宋体"/>
                <w:color w:val="auto"/>
                <w:sz w:val="18"/>
                <w:szCs w:val="18"/>
                <w:highlight w:val="none"/>
                <w:vertAlign w:val="baseline"/>
                <w:lang w:val="en-US" w:eastAsia="zh-CN"/>
              </w:rPr>
              <w:t>1.长度不低于 1900mm，宽度不低于 1500mm；密度不低于60kg/m³；</w:t>
            </w:r>
          </w:p>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 xml:space="preserve">2.面料网眼布(涤纶)，内芯树脂纤维芯材，确保透气性、舒适性； </w:t>
            </w:r>
          </w:p>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3.可冲洗，阴凉速干。</w:t>
            </w:r>
          </w:p>
        </w:tc>
        <w:tc>
          <w:tcPr>
            <w:tcW w:w="799" w:type="dxa"/>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个</w:t>
            </w:r>
          </w:p>
        </w:tc>
        <w:tc>
          <w:tcPr>
            <w:tcW w:w="1671" w:type="dxa"/>
            <w:gridSpan w:val="2"/>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980.00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20</w:t>
            </w:r>
          </w:p>
        </w:tc>
        <w:tc>
          <w:tcPr>
            <w:tcW w:w="690" w:type="dxa"/>
            <w:vMerge w:val="restart"/>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 xml:space="preserve">如厕 </w:t>
            </w:r>
          </w:p>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 xml:space="preserve">洗浴 </w:t>
            </w:r>
          </w:p>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 xml:space="preserve">设备 </w:t>
            </w:r>
          </w:p>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改造</w:t>
            </w:r>
          </w:p>
        </w:tc>
        <w:tc>
          <w:tcPr>
            <w:tcW w:w="1135" w:type="dxa"/>
            <w:vMerge w:val="restart"/>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安装扶手</w:t>
            </w:r>
          </w:p>
        </w:tc>
        <w:tc>
          <w:tcPr>
            <w:tcW w:w="1220" w:type="dxa"/>
            <w:gridSpan w:val="2"/>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一字型扶手</w:t>
            </w:r>
          </w:p>
        </w:tc>
        <w:tc>
          <w:tcPr>
            <w:tcW w:w="1524" w:type="dxa"/>
            <w:gridSpan w:val="2"/>
            <w:vMerge w:val="restart"/>
            <w:vAlign w:val="center"/>
          </w:tcPr>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在如厕区或者洗 浴区安装扶手，辅助老年人起身、站立、转身和坐下。</w:t>
            </w:r>
          </w:p>
        </w:tc>
        <w:tc>
          <w:tcPr>
            <w:tcW w:w="5918" w:type="dxa"/>
            <w:vAlign w:val="center"/>
          </w:tcPr>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 xml:space="preserve">外径 38mm </w:t>
            </w:r>
          </w:p>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 xml:space="preserve">1.材质握杆外层为弹性 TPE 材料；芯材为高强度铝合金；弯头连接件采用 ABS 注塑成型； </w:t>
            </w:r>
          </w:p>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 xml:space="preserve">2.扶手防转动、符合人体工学环状凹凸握手纹设计，皮纹表层，安全防滑； </w:t>
            </w:r>
          </w:p>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3.扶手承重力≥200kg ；</w:t>
            </w:r>
          </w:p>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4.扶手握杆使用环保标准、抗老化、耐腐蚀弹性材料。</w:t>
            </w:r>
          </w:p>
        </w:tc>
        <w:tc>
          <w:tcPr>
            <w:tcW w:w="799" w:type="dxa"/>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个</w:t>
            </w:r>
          </w:p>
        </w:tc>
        <w:tc>
          <w:tcPr>
            <w:tcW w:w="1671" w:type="dxa"/>
            <w:gridSpan w:val="2"/>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170.00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21</w:t>
            </w:r>
          </w:p>
        </w:tc>
        <w:tc>
          <w:tcPr>
            <w:tcW w:w="690" w:type="dxa"/>
            <w:vMerge w:val="continue"/>
            <w:vAlign w:val="center"/>
          </w:tcPr>
          <w:p>
            <w:pPr>
              <w:jc w:val="center"/>
              <w:rPr>
                <w:rFonts w:hint="eastAsia" w:ascii="宋体" w:hAnsi="宋体" w:eastAsia="宋体" w:cs="宋体"/>
                <w:color w:val="auto"/>
                <w:sz w:val="18"/>
                <w:szCs w:val="18"/>
                <w:highlight w:val="none"/>
                <w:vertAlign w:val="baseline"/>
              </w:rPr>
            </w:pPr>
          </w:p>
        </w:tc>
        <w:tc>
          <w:tcPr>
            <w:tcW w:w="1135" w:type="dxa"/>
            <w:vMerge w:val="continue"/>
            <w:vAlign w:val="center"/>
          </w:tcPr>
          <w:p>
            <w:pPr>
              <w:jc w:val="center"/>
              <w:rPr>
                <w:rFonts w:hint="eastAsia" w:ascii="宋体" w:hAnsi="宋体" w:eastAsia="宋体" w:cs="宋体"/>
                <w:color w:val="auto"/>
                <w:sz w:val="18"/>
                <w:szCs w:val="18"/>
                <w:highlight w:val="none"/>
                <w:vertAlign w:val="baseline"/>
              </w:rPr>
            </w:pPr>
          </w:p>
        </w:tc>
        <w:tc>
          <w:tcPr>
            <w:tcW w:w="1220" w:type="dxa"/>
            <w:gridSpan w:val="2"/>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U 型扶手</w:t>
            </w:r>
          </w:p>
        </w:tc>
        <w:tc>
          <w:tcPr>
            <w:tcW w:w="1524" w:type="dxa"/>
            <w:gridSpan w:val="2"/>
            <w:vMerge w:val="continue"/>
            <w:vAlign w:val="center"/>
          </w:tcPr>
          <w:p>
            <w:pPr>
              <w:jc w:val="center"/>
              <w:rPr>
                <w:rFonts w:hint="eastAsia" w:ascii="宋体" w:hAnsi="宋体" w:eastAsia="宋体" w:cs="宋体"/>
                <w:color w:val="auto"/>
                <w:sz w:val="18"/>
                <w:szCs w:val="18"/>
                <w:highlight w:val="none"/>
                <w:vertAlign w:val="baseline"/>
              </w:rPr>
            </w:pPr>
          </w:p>
        </w:tc>
        <w:tc>
          <w:tcPr>
            <w:tcW w:w="5918" w:type="dxa"/>
            <w:vAlign w:val="center"/>
          </w:tcPr>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 xml:space="preserve">外径 38mm </w:t>
            </w:r>
          </w:p>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 xml:space="preserve">1.握杆外层为弹性TPE；芯材为高强度铝合金； </w:t>
            </w:r>
          </w:p>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 xml:space="preserve">2.弯头连接件采用ABS两次注塑成型扶手防转动、符合人体工学环状凹凸握手纹设计，皮纹表层，安全防滑； </w:t>
            </w:r>
          </w:p>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3.扶手承重力≥200kg ；</w:t>
            </w:r>
          </w:p>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4.扶手握杆使用环保标准、抗老化、耐腐蚀弹性材料。</w:t>
            </w:r>
          </w:p>
        </w:tc>
        <w:tc>
          <w:tcPr>
            <w:tcW w:w="799" w:type="dxa"/>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个</w:t>
            </w:r>
          </w:p>
        </w:tc>
        <w:tc>
          <w:tcPr>
            <w:tcW w:w="1671" w:type="dxa"/>
            <w:gridSpan w:val="2"/>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468.00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22</w:t>
            </w:r>
          </w:p>
        </w:tc>
        <w:tc>
          <w:tcPr>
            <w:tcW w:w="690" w:type="dxa"/>
            <w:vMerge w:val="continue"/>
            <w:vAlign w:val="center"/>
          </w:tcPr>
          <w:p>
            <w:pPr>
              <w:jc w:val="center"/>
              <w:rPr>
                <w:rFonts w:hint="eastAsia" w:ascii="宋体" w:hAnsi="宋体" w:eastAsia="宋体" w:cs="宋体"/>
                <w:color w:val="auto"/>
                <w:sz w:val="18"/>
                <w:szCs w:val="18"/>
                <w:highlight w:val="none"/>
                <w:vertAlign w:val="baseline"/>
              </w:rPr>
            </w:pPr>
          </w:p>
        </w:tc>
        <w:tc>
          <w:tcPr>
            <w:tcW w:w="1135" w:type="dxa"/>
            <w:vMerge w:val="continue"/>
            <w:vAlign w:val="center"/>
          </w:tcPr>
          <w:p>
            <w:pPr>
              <w:jc w:val="center"/>
              <w:rPr>
                <w:rFonts w:hint="eastAsia" w:ascii="宋体" w:hAnsi="宋体" w:eastAsia="宋体" w:cs="宋体"/>
                <w:color w:val="auto"/>
                <w:sz w:val="18"/>
                <w:szCs w:val="18"/>
                <w:highlight w:val="none"/>
                <w:vertAlign w:val="baseline"/>
              </w:rPr>
            </w:pPr>
          </w:p>
        </w:tc>
        <w:tc>
          <w:tcPr>
            <w:tcW w:w="1220" w:type="dxa"/>
            <w:gridSpan w:val="2"/>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L 型扶手</w:t>
            </w:r>
          </w:p>
        </w:tc>
        <w:tc>
          <w:tcPr>
            <w:tcW w:w="1524" w:type="dxa"/>
            <w:gridSpan w:val="2"/>
            <w:vMerge w:val="continue"/>
            <w:vAlign w:val="center"/>
          </w:tcPr>
          <w:p>
            <w:pPr>
              <w:jc w:val="center"/>
              <w:rPr>
                <w:rFonts w:hint="eastAsia" w:ascii="宋体" w:hAnsi="宋体" w:eastAsia="宋体" w:cs="宋体"/>
                <w:color w:val="auto"/>
                <w:sz w:val="18"/>
                <w:szCs w:val="18"/>
                <w:highlight w:val="none"/>
                <w:vertAlign w:val="baseline"/>
              </w:rPr>
            </w:pPr>
          </w:p>
        </w:tc>
        <w:tc>
          <w:tcPr>
            <w:tcW w:w="5918" w:type="dxa"/>
            <w:vAlign w:val="center"/>
          </w:tcPr>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 xml:space="preserve">外径 38mm </w:t>
            </w:r>
          </w:p>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 xml:space="preserve">1.握杆外层为弹性TPE；芯材为高强度铝合金； </w:t>
            </w:r>
          </w:p>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2.弯头连接件采用ABS两次注塑成型扶手防转动、符合人体工学环状凹凸握手纹设计，皮纹表层，安全防滑 ；</w:t>
            </w:r>
          </w:p>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 xml:space="preserve">3.扶手承重力≥200kg； </w:t>
            </w:r>
          </w:p>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4.扶手握杆使用环保标准、抗老化、耐腐蚀弹性材料。</w:t>
            </w:r>
          </w:p>
        </w:tc>
        <w:tc>
          <w:tcPr>
            <w:tcW w:w="799" w:type="dxa"/>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个</w:t>
            </w:r>
          </w:p>
        </w:tc>
        <w:tc>
          <w:tcPr>
            <w:tcW w:w="1671" w:type="dxa"/>
            <w:gridSpan w:val="2"/>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390.00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23</w:t>
            </w:r>
          </w:p>
        </w:tc>
        <w:tc>
          <w:tcPr>
            <w:tcW w:w="690" w:type="dxa"/>
            <w:vMerge w:val="continue"/>
            <w:vAlign w:val="center"/>
          </w:tcPr>
          <w:p>
            <w:pPr>
              <w:jc w:val="center"/>
              <w:rPr>
                <w:rFonts w:hint="eastAsia" w:ascii="宋体" w:hAnsi="宋体" w:eastAsia="宋体" w:cs="宋体"/>
                <w:color w:val="auto"/>
                <w:sz w:val="18"/>
                <w:szCs w:val="18"/>
                <w:highlight w:val="none"/>
                <w:vertAlign w:val="baseline"/>
              </w:rPr>
            </w:pPr>
          </w:p>
        </w:tc>
        <w:tc>
          <w:tcPr>
            <w:tcW w:w="1135" w:type="dxa"/>
            <w:vMerge w:val="continue"/>
            <w:vAlign w:val="center"/>
          </w:tcPr>
          <w:p>
            <w:pPr>
              <w:jc w:val="center"/>
              <w:rPr>
                <w:rFonts w:hint="eastAsia" w:ascii="宋体" w:hAnsi="宋体" w:eastAsia="宋体" w:cs="宋体"/>
                <w:color w:val="auto"/>
                <w:sz w:val="18"/>
                <w:szCs w:val="18"/>
                <w:highlight w:val="none"/>
                <w:vertAlign w:val="baseline"/>
              </w:rPr>
            </w:pPr>
          </w:p>
        </w:tc>
        <w:tc>
          <w:tcPr>
            <w:tcW w:w="1220" w:type="dxa"/>
            <w:gridSpan w:val="2"/>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135°扶手</w:t>
            </w:r>
          </w:p>
        </w:tc>
        <w:tc>
          <w:tcPr>
            <w:tcW w:w="1524" w:type="dxa"/>
            <w:gridSpan w:val="2"/>
            <w:vMerge w:val="continue"/>
            <w:vAlign w:val="center"/>
          </w:tcPr>
          <w:p>
            <w:pPr>
              <w:jc w:val="center"/>
              <w:rPr>
                <w:rFonts w:hint="eastAsia" w:ascii="宋体" w:hAnsi="宋体" w:eastAsia="宋体" w:cs="宋体"/>
                <w:color w:val="auto"/>
                <w:sz w:val="18"/>
                <w:szCs w:val="18"/>
                <w:highlight w:val="none"/>
                <w:vertAlign w:val="baseline"/>
              </w:rPr>
            </w:pPr>
          </w:p>
        </w:tc>
        <w:tc>
          <w:tcPr>
            <w:tcW w:w="5918" w:type="dxa"/>
            <w:vAlign w:val="center"/>
          </w:tcPr>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 xml:space="preserve">外径 38mm </w:t>
            </w:r>
          </w:p>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 xml:space="preserve">1.握杆外层为弹性TPE；芯材为高强度铝合金； </w:t>
            </w:r>
          </w:p>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2.弯头连接件采用ABS两次注塑成型扶手防转动、符合人体工学环状凹凸握手纹设计，皮纹表层，安全防滑 ；</w:t>
            </w:r>
          </w:p>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3.扶手承重力≥200kg ；</w:t>
            </w:r>
          </w:p>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4.扶手握杆使用环保标准、抗老化、耐腐蚀弹性材料。</w:t>
            </w:r>
          </w:p>
        </w:tc>
        <w:tc>
          <w:tcPr>
            <w:tcW w:w="799" w:type="dxa"/>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个</w:t>
            </w:r>
          </w:p>
        </w:tc>
        <w:tc>
          <w:tcPr>
            <w:tcW w:w="1671" w:type="dxa"/>
            <w:gridSpan w:val="2"/>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360.00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24</w:t>
            </w:r>
          </w:p>
        </w:tc>
        <w:tc>
          <w:tcPr>
            <w:tcW w:w="690" w:type="dxa"/>
            <w:vMerge w:val="continue"/>
            <w:vAlign w:val="center"/>
          </w:tcPr>
          <w:p>
            <w:pPr>
              <w:jc w:val="center"/>
              <w:rPr>
                <w:rFonts w:hint="eastAsia" w:ascii="宋体" w:hAnsi="宋体" w:eastAsia="宋体" w:cs="宋体"/>
                <w:color w:val="auto"/>
                <w:sz w:val="18"/>
                <w:szCs w:val="18"/>
                <w:highlight w:val="none"/>
                <w:vertAlign w:val="baseline"/>
              </w:rPr>
            </w:pPr>
          </w:p>
        </w:tc>
        <w:tc>
          <w:tcPr>
            <w:tcW w:w="1135" w:type="dxa"/>
            <w:vMerge w:val="continue"/>
            <w:vAlign w:val="center"/>
          </w:tcPr>
          <w:p>
            <w:pPr>
              <w:jc w:val="center"/>
              <w:rPr>
                <w:rFonts w:hint="eastAsia" w:ascii="宋体" w:hAnsi="宋体" w:eastAsia="宋体" w:cs="宋体"/>
                <w:color w:val="auto"/>
                <w:sz w:val="18"/>
                <w:szCs w:val="18"/>
                <w:highlight w:val="none"/>
                <w:vertAlign w:val="baseline"/>
              </w:rPr>
            </w:pPr>
          </w:p>
        </w:tc>
        <w:tc>
          <w:tcPr>
            <w:tcW w:w="1220" w:type="dxa"/>
            <w:gridSpan w:val="2"/>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T 型扶手</w:t>
            </w:r>
          </w:p>
        </w:tc>
        <w:tc>
          <w:tcPr>
            <w:tcW w:w="1524" w:type="dxa"/>
            <w:gridSpan w:val="2"/>
            <w:vMerge w:val="continue"/>
            <w:vAlign w:val="center"/>
          </w:tcPr>
          <w:p>
            <w:pPr>
              <w:jc w:val="center"/>
              <w:rPr>
                <w:rFonts w:hint="eastAsia" w:ascii="宋体" w:hAnsi="宋体" w:eastAsia="宋体" w:cs="宋体"/>
                <w:color w:val="auto"/>
                <w:sz w:val="18"/>
                <w:szCs w:val="18"/>
                <w:highlight w:val="none"/>
                <w:vertAlign w:val="baseline"/>
              </w:rPr>
            </w:pPr>
          </w:p>
        </w:tc>
        <w:tc>
          <w:tcPr>
            <w:tcW w:w="5918" w:type="dxa"/>
            <w:vAlign w:val="center"/>
          </w:tcPr>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 xml:space="preserve">外径 38mm </w:t>
            </w:r>
          </w:p>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 xml:space="preserve">1.握杆外层为弹性TPE；芯材为高强度铝合金； </w:t>
            </w:r>
          </w:p>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 xml:space="preserve">2.弯头连接件采用ABS两次注塑成型扶手防转动、符合人体工学环状凹凸握手纹设计，皮纹表层，安全防滑； </w:t>
            </w:r>
          </w:p>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3.扶手承重力≥200kg ；</w:t>
            </w:r>
          </w:p>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4.扶手握杆使用环保标准、抗老化、耐腐蚀弹性材料。</w:t>
            </w:r>
          </w:p>
        </w:tc>
        <w:tc>
          <w:tcPr>
            <w:tcW w:w="799" w:type="dxa"/>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个</w:t>
            </w:r>
          </w:p>
        </w:tc>
        <w:tc>
          <w:tcPr>
            <w:tcW w:w="1671" w:type="dxa"/>
            <w:gridSpan w:val="2"/>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400.00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25</w:t>
            </w:r>
          </w:p>
        </w:tc>
        <w:tc>
          <w:tcPr>
            <w:tcW w:w="690" w:type="dxa"/>
            <w:vMerge w:val="continue"/>
            <w:vAlign w:val="center"/>
          </w:tcPr>
          <w:p>
            <w:pPr>
              <w:jc w:val="center"/>
              <w:rPr>
                <w:rFonts w:hint="eastAsia" w:ascii="宋体" w:hAnsi="宋体" w:eastAsia="宋体" w:cs="宋体"/>
                <w:color w:val="auto"/>
                <w:sz w:val="18"/>
                <w:szCs w:val="18"/>
                <w:highlight w:val="none"/>
                <w:vertAlign w:val="baseline"/>
              </w:rPr>
            </w:pPr>
          </w:p>
        </w:tc>
        <w:tc>
          <w:tcPr>
            <w:tcW w:w="1135" w:type="dxa"/>
            <w:vMerge w:val="continue"/>
            <w:vAlign w:val="center"/>
          </w:tcPr>
          <w:p>
            <w:pPr>
              <w:jc w:val="center"/>
              <w:rPr>
                <w:rFonts w:hint="eastAsia" w:ascii="宋体" w:hAnsi="宋体" w:eastAsia="宋体" w:cs="宋体"/>
                <w:color w:val="auto"/>
                <w:sz w:val="18"/>
                <w:szCs w:val="18"/>
                <w:highlight w:val="none"/>
                <w:vertAlign w:val="baseline"/>
              </w:rPr>
            </w:pPr>
          </w:p>
        </w:tc>
        <w:tc>
          <w:tcPr>
            <w:tcW w:w="1220" w:type="dxa"/>
            <w:gridSpan w:val="2"/>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马桶扶手</w:t>
            </w:r>
          </w:p>
        </w:tc>
        <w:tc>
          <w:tcPr>
            <w:tcW w:w="1524" w:type="dxa"/>
            <w:gridSpan w:val="2"/>
            <w:vMerge w:val="continue"/>
            <w:vAlign w:val="center"/>
          </w:tcPr>
          <w:p>
            <w:pPr>
              <w:jc w:val="center"/>
              <w:rPr>
                <w:rFonts w:hint="eastAsia" w:ascii="宋体" w:hAnsi="宋体" w:eastAsia="宋体" w:cs="宋体"/>
                <w:color w:val="auto"/>
                <w:sz w:val="18"/>
                <w:szCs w:val="18"/>
                <w:highlight w:val="none"/>
                <w:vertAlign w:val="baseline"/>
              </w:rPr>
            </w:pPr>
          </w:p>
        </w:tc>
        <w:tc>
          <w:tcPr>
            <w:tcW w:w="5918" w:type="dxa"/>
            <w:vAlign w:val="center"/>
          </w:tcPr>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1.材质为 PP+碳钢+TPE；</w:t>
            </w:r>
          </w:p>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 xml:space="preserve">2.适配马桶缸体座高 370~440mm； </w:t>
            </w:r>
          </w:p>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3.可上翻，扶手部位采用柔性防滑材质；体积轻巧，曲线设计，无需打孔安装，产品直接安装在坐便器与坐便器盖板之间。</w:t>
            </w:r>
          </w:p>
        </w:tc>
        <w:tc>
          <w:tcPr>
            <w:tcW w:w="799" w:type="dxa"/>
            <w:tcBorders>
              <w:bottom w:val="single" w:color="auto" w:sz="4" w:space="0"/>
            </w:tcBorders>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个</w:t>
            </w:r>
          </w:p>
        </w:tc>
        <w:tc>
          <w:tcPr>
            <w:tcW w:w="1671" w:type="dxa"/>
            <w:gridSpan w:val="2"/>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600.00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87" w:hRule="atLeast"/>
        </w:trPr>
        <w:tc>
          <w:tcPr>
            <w:tcW w:w="612" w:type="dxa"/>
            <w:vMerge w:val="restart"/>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26</w:t>
            </w:r>
          </w:p>
        </w:tc>
        <w:tc>
          <w:tcPr>
            <w:tcW w:w="690" w:type="dxa"/>
            <w:vMerge w:val="continue"/>
            <w:vAlign w:val="center"/>
          </w:tcPr>
          <w:p>
            <w:pPr>
              <w:jc w:val="center"/>
              <w:rPr>
                <w:rFonts w:hint="eastAsia" w:ascii="宋体" w:hAnsi="宋体" w:eastAsia="宋体" w:cs="宋体"/>
                <w:color w:val="auto"/>
                <w:sz w:val="18"/>
                <w:szCs w:val="18"/>
                <w:highlight w:val="none"/>
                <w:vertAlign w:val="baseline"/>
              </w:rPr>
            </w:pPr>
          </w:p>
        </w:tc>
        <w:tc>
          <w:tcPr>
            <w:tcW w:w="1135" w:type="dxa"/>
            <w:vMerge w:val="restart"/>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 xml:space="preserve">蹲便器改座 </w:t>
            </w:r>
          </w:p>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 xml:space="preserve">便器 </w:t>
            </w:r>
          </w:p>
          <w:p>
            <w:pPr>
              <w:jc w:val="both"/>
              <w:rPr>
                <w:rFonts w:hint="eastAsia" w:ascii="宋体" w:hAnsi="宋体" w:eastAsia="宋体" w:cs="宋体"/>
                <w:color w:val="auto"/>
                <w:sz w:val="18"/>
                <w:szCs w:val="18"/>
                <w:highlight w:val="none"/>
                <w:vertAlign w:val="baseline"/>
              </w:rPr>
            </w:pPr>
          </w:p>
        </w:tc>
        <w:tc>
          <w:tcPr>
            <w:tcW w:w="1220" w:type="dxa"/>
            <w:gridSpan w:val="2"/>
            <w:vAlign w:val="center"/>
          </w:tcPr>
          <w:p>
            <w:pPr>
              <w:jc w:val="center"/>
              <w:rPr>
                <w:rFonts w:hint="eastAsia" w:ascii="宋体" w:hAnsi="宋体" w:eastAsia="宋体" w:cs="宋体"/>
                <w:color w:val="auto"/>
                <w:sz w:val="18"/>
                <w:szCs w:val="18"/>
                <w:highlight w:val="none"/>
                <w:vertAlign w:val="baseline"/>
              </w:rPr>
            </w:pPr>
            <w:r>
              <w:rPr>
                <w:rFonts w:hint="eastAsia" w:ascii="宋体" w:hAnsi="宋体" w:cs="宋体"/>
                <w:color w:val="auto"/>
                <w:sz w:val="18"/>
                <w:szCs w:val="18"/>
                <w:highlight w:val="none"/>
                <w:vertAlign w:val="baseline"/>
                <w:lang w:val="en-US" w:eastAsia="zh-CN"/>
              </w:rPr>
              <w:t>蹲便器改坐便器</w:t>
            </w:r>
          </w:p>
        </w:tc>
        <w:tc>
          <w:tcPr>
            <w:tcW w:w="7442" w:type="dxa"/>
            <w:gridSpan w:val="3"/>
            <w:tcBorders>
              <w:right w:val="single" w:color="auto" w:sz="4" w:space="0"/>
            </w:tcBorders>
            <w:vAlign w:val="center"/>
          </w:tcPr>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拆除(地 台)蹲坑接排污管，水泥砂浆抹平，防水处理，垃圾清运，安装好。</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cs="宋体"/>
                <w:color w:val="auto"/>
                <w:sz w:val="18"/>
                <w:szCs w:val="18"/>
                <w:highlight w:val="none"/>
                <w:vertAlign w:val="baseline"/>
                <w:lang w:val="en-US" w:eastAsia="zh-CN"/>
              </w:rPr>
              <w:t>采用国产品牌高温烧制瓷体座便器，缓降静音 PP盖板，虹吸式出水高压，排污管道内壁≥50mm</w:t>
            </w:r>
          </w:p>
        </w:tc>
        <w:tc>
          <w:tcPr>
            <w:tcW w:w="799"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个/项</w:t>
            </w:r>
          </w:p>
        </w:tc>
        <w:tc>
          <w:tcPr>
            <w:tcW w:w="898" w:type="dxa"/>
            <w:tcBorders>
              <w:left w:val="single" w:color="auto" w:sz="4" w:space="0"/>
            </w:tcBorders>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cs="宋体"/>
                <w:color w:val="auto"/>
                <w:sz w:val="18"/>
                <w:szCs w:val="18"/>
                <w:highlight w:val="none"/>
                <w:vertAlign w:val="baseline"/>
                <w:lang w:val="en-US" w:eastAsia="zh-CN"/>
              </w:rPr>
              <w:t>3000</w:t>
            </w:r>
            <w:r>
              <w:rPr>
                <w:rFonts w:hint="eastAsia" w:ascii="宋体" w:hAnsi="宋体" w:eastAsia="宋体" w:cs="宋体"/>
                <w:color w:val="auto"/>
                <w:sz w:val="18"/>
                <w:szCs w:val="18"/>
                <w:highlight w:val="none"/>
                <w:vertAlign w:val="baseline"/>
                <w:lang w:val="en-US" w:eastAsia="zh-CN"/>
              </w:rPr>
              <w:t>.00</w:t>
            </w:r>
          </w:p>
        </w:tc>
        <w:tc>
          <w:tcPr>
            <w:tcW w:w="773" w:type="dxa"/>
            <w:vAlign w:val="center"/>
          </w:tcPr>
          <w:p>
            <w:pPr>
              <w:jc w:val="center"/>
              <w:rPr>
                <w:rFonts w:hint="eastAsia" w:ascii="宋体" w:hAnsi="宋体" w:eastAsia="宋体" w:cs="宋体"/>
                <w:color w:val="auto"/>
                <w:sz w:val="18"/>
                <w:szCs w:val="18"/>
                <w:highlight w:val="none"/>
                <w:vertAlign w:val="baseline"/>
              </w:rPr>
            </w:pPr>
          </w:p>
        </w:tc>
        <w:tc>
          <w:tcPr>
            <w:tcW w:w="605" w:type="dxa"/>
            <w:vAlign w:val="center"/>
          </w:tcPr>
          <w:p>
            <w:pPr>
              <w:jc w:val="center"/>
              <w:rPr>
                <w:rFonts w:hint="eastAsia" w:ascii="宋体" w:hAnsi="宋体" w:eastAsia="宋体" w:cs="宋体"/>
                <w:color w:val="auto"/>
                <w:sz w:val="18"/>
                <w:szCs w:val="18"/>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690" w:type="dxa"/>
            <w:vMerge w:val="continue"/>
            <w:vAlign w:val="center"/>
          </w:tcPr>
          <w:p>
            <w:pPr>
              <w:jc w:val="center"/>
              <w:rPr>
                <w:rFonts w:hint="eastAsia" w:ascii="宋体" w:hAnsi="宋体" w:eastAsia="宋体" w:cs="宋体"/>
                <w:color w:val="auto"/>
                <w:sz w:val="18"/>
                <w:szCs w:val="18"/>
                <w:highlight w:val="none"/>
                <w:vertAlign w:val="baseline"/>
              </w:rPr>
            </w:pPr>
          </w:p>
        </w:tc>
        <w:tc>
          <w:tcPr>
            <w:tcW w:w="1135" w:type="dxa"/>
            <w:vMerge w:val="continue"/>
            <w:vAlign w:val="center"/>
          </w:tcPr>
          <w:p>
            <w:pPr>
              <w:jc w:val="both"/>
              <w:rPr>
                <w:rFonts w:hint="eastAsia" w:ascii="宋体" w:hAnsi="宋体" w:eastAsia="宋体" w:cs="宋体"/>
                <w:color w:val="auto"/>
                <w:sz w:val="18"/>
                <w:szCs w:val="18"/>
                <w:highlight w:val="none"/>
                <w:vertAlign w:val="baseline"/>
                <w:lang w:val="en-US" w:eastAsia="zh-CN"/>
              </w:rPr>
            </w:pPr>
          </w:p>
        </w:tc>
        <w:tc>
          <w:tcPr>
            <w:tcW w:w="1220" w:type="dxa"/>
            <w:gridSpan w:val="2"/>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可移动坐便器</w:t>
            </w:r>
          </w:p>
        </w:tc>
        <w:tc>
          <w:tcPr>
            <w:tcW w:w="7442" w:type="dxa"/>
            <w:gridSpan w:val="3"/>
            <w:tcBorders>
              <w:right w:val="single" w:color="auto" w:sz="4" w:space="0"/>
            </w:tcBorders>
            <w:vAlign w:val="center"/>
          </w:tcPr>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规格约:长590*宽560*总高520mm，*坐高400mm，坐宽 400mm</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材质:PP 材料:</w:t>
            </w:r>
          </w:p>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适用于蹲坑或房间使用，两侧可放纸中盒，里外双盖防异味。</w:t>
            </w:r>
          </w:p>
        </w:tc>
        <w:tc>
          <w:tcPr>
            <w:tcW w:w="799"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18"/>
                <w:szCs w:val="18"/>
                <w:highlight w:val="none"/>
                <w:vertAlign w:val="baseline"/>
              </w:rPr>
            </w:pPr>
          </w:p>
        </w:tc>
        <w:tc>
          <w:tcPr>
            <w:tcW w:w="898" w:type="dxa"/>
            <w:tcBorders>
              <w:left w:val="single" w:color="auto" w:sz="4" w:space="0"/>
            </w:tcBorders>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500.00</w:t>
            </w:r>
          </w:p>
        </w:tc>
        <w:tc>
          <w:tcPr>
            <w:tcW w:w="773" w:type="dxa"/>
            <w:vAlign w:val="center"/>
          </w:tcPr>
          <w:p>
            <w:pPr>
              <w:jc w:val="center"/>
              <w:rPr>
                <w:rFonts w:hint="eastAsia" w:ascii="宋体" w:hAnsi="宋体" w:eastAsia="宋体" w:cs="宋体"/>
                <w:color w:val="auto"/>
                <w:sz w:val="18"/>
                <w:szCs w:val="18"/>
                <w:highlight w:val="none"/>
                <w:vertAlign w:val="baseline"/>
              </w:rPr>
            </w:pPr>
          </w:p>
        </w:tc>
        <w:tc>
          <w:tcPr>
            <w:tcW w:w="605" w:type="dxa"/>
            <w:vAlign w:val="center"/>
          </w:tcPr>
          <w:p>
            <w:pPr>
              <w:jc w:val="center"/>
              <w:rPr>
                <w:rFonts w:hint="eastAsia" w:ascii="宋体" w:hAnsi="宋体" w:eastAsia="宋体" w:cs="宋体"/>
                <w:color w:val="auto"/>
                <w:sz w:val="18"/>
                <w:szCs w:val="18"/>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27</w:t>
            </w:r>
          </w:p>
        </w:tc>
        <w:tc>
          <w:tcPr>
            <w:tcW w:w="690" w:type="dxa"/>
            <w:vMerge w:val="continue"/>
            <w:vAlign w:val="center"/>
          </w:tcPr>
          <w:p>
            <w:pPr>
              <w:jc w:val="center"/>
              <w:rPr>
                <w:rFonts w:hint="eastAsia" w:ascii="宋体" w:hAnsi="宋体" w:eastAsia="宋体" w:cs="宋体"/>
                <w:color w:val="auto"/>
                <w:sz w:val="18"/>
                <w:szCs w:val="18"/>
                <w:highlight w:val="none"/>
                <w:vertAlign w:val="baseline"/>
              </w:rPr>
            </w:pPr>
          </w:p>
        </w:tc>
        <w:tc>
          <w:tcPr>
            <w:tcW w:w="1135" w:type="dxa"/>
            <w:vMerge w:val="restart"/>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水龙头改造</w:t>
            </w:r>
          </w:p>
        </w:tc>
        <w:tc>
          <w:tcPr>
            <w:tcW w:w="1220" w:type="dxa"/>
            <w:gridSpan w:val="2"/>
            <w:vAlign w:val="center"/>
          </w:tcPr>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拨杆式台盆 抽拉水龙头</w:t>
            </w:r>
          </w:p>
        </w:tc>
        <w:tc>
          <w:tcPr>
            <w:tcW w:w="1524" w:type="dxa"/>
            <w:gridSpan w:val="2"/>
            <w:vMerge w:val="restart"/>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方便老年人开关水阀</w:t>
            </w:r>
          </w:p>
        </w:tc>
        <w:tc>
          <w:tcPr>
            <w:tcW w:w="5918" w:type="dxa"/>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不锈钢编织软管和抽拉头；304 不锈钢材质；表面拉丝处理。</w:t>
            </w:r>
          </w:p>
        </w:tc>
        <w:tc>
          <w:tcPr>
            <w:tcW w:w="1697" w:type="dxa"/>
            <w:gridSpan w:val="2"/>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个</w:t>
            </w:r>
          </w:p>
        </w:tc>
        <w:tc>
          <w:tcPr>
            <w:tcW w:w="773"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399.00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28</w:t>
            </w:r>
          </w:p>
        </w:tc>
        <w:tc>
          <w:tcPr>
            <w:tcW w:w="690" w:type="dxa"/>
            <w:vMerge w:val="continue"/>
            <w:vAlign w:val="center"/>
          </w:tcPr>
          <w:p>
            <w:pPr>
              <w:jc w:val="center"/>
              <w:rPr>
                <w:rFonts w:hint="eastAsia" w:ascii="宋体" w:hAnsi="宋体" w:eastAsia="宋体" w:cs="宋体"/>
                <w:color w:val="auto"/>
                <w:sz w:val="18"/>
                <w:szCs w:val="18"/>
                <w:highlight w:val="none"/>
                <w:vertAlign w:val="baseline"/>
              </w:rPr>
            </w:pPr>
          </w:p>
        </w:tc>
        <w:tc>
          <w:tcPr>
            <w:tcW w:w="1135" w:type="dxa"/>
            <w:vMerge w:val="continue"/>
            <w:vAlign w:val="center"/>
          </w:tcPr>
          <w:p>
            <w:pPr>
              <w:jc w:val="center"/>
              <w:rPr>
                <w:rFonts w:hint="eastAsia" w:ascii="宋体" w:hAnsi="宋体" w:eastAsia="宋体" w:cs="宋体"/>
                <w:color w:val="auto"/>
                <w:sz w:val="18"/>
                <w:szCs w:val="18"/>
                <w:highlight w:val="none"/>
                <w:vertAlign w:val="baseline"/>
              </w:rPr>
            </w:pPr>
          </w:p>
        </w:tc>
        <w:tc>
          <w:tcPr>
            <w:tcW w:w="1220" w:type="dxa"/>
            <w:gridSpan w:val="2"/>
            <w:vAlign w:val="center"/>
          </w:tcPr>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拨杆式厨房抽拉水龙头</w:t>
            </w:r>
          </w:p>
        </w:tc>
        <w:tc>
          <w:tcPr>
            <w:tcW w:w="1524" w:type="dxa"/>
            <w:gridSpan w:val="2"/>
            <w:vMerge w:val="continue"/>
            <w:vAlign w:val="center"/>
          </w:tcPr>
          <w:p>
            <w:pPr>
              <w:jc w:val="center"/>
              <w:rPr>
                <w:rFonts w:hint="eastAsia" w:ascii="宋体" w:hAnsi="宋体" w:eastAsia="宋体" w:cs="宋体"/>
                <w:color w:val="auto"/>
                <w:sz w:val="18"/>
                <w:szCs w:val="18"/>
                <w:highlight w:val="none"/>
                <w:vertAlign w:val="baseline"/>
              </w:rPr>
            </w:pPr>
          </w:p>
        </w:tc>
        <w:tc>
          <w:tcPr>
            <w:tcW w:w="5918" w:type="dxa"/>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可旋转出水管；不锈钢编织软管；表面拉丝处理。</w:t>
            </w:r>
          </w:p>
        </w:tc>
        <w:tc>
          <w:tcPr>
            <w:tcW w:w="1697" w:type="dxa"/>
            <w:gridSpan w:val="2"/>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个</w:t>
            </w:r>
          </w:p>
        </w:tc>
        <w:tc>
          <w:tcPr>
            <w:tcW w:w="773"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399.00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29</w:t>
            </w:r>
          </w:p>
        </w:tc>
        <w:tc>
          <w:tcPr>
            <w:tcW w:w="690" w:type="dxa"/>
            <w:vMerge w:val="continue"/>
            <w:vAlign w:val="center"/>
          </w:tcPr>
          <w:p>
            <w:pPr>
              <w:jc w:val="center"/>
              <w:rPr>
                <w:rFonts w:hint="eastAsia" w:ascii="宋体" w:hAnsi="宋体" w:eastAsia="宋体" w:cs="宋体"/>
                <w:color w:val="auto"/>
                <w:sz w:val="18"/>
                <w:szCs w:val="18"/>
                <w:highlight w:val="none"/>
                <w:vertAlign w:val="baseline"/>
              </w:rPr>
            </w:pPr>
          </w:p>
        </w:tc>
        <w:tc>
          <w:tcPr>
            <w:tcW w:w="1135" w:type="dxa"/>
            <w:vAlign w:val="center"/>
          </w:tcPr>
          <w:p>
            <w:pPr>
              <w:jc w:val="center"/>
              <w:rPr>
                <w:rFonts w:hint="eastAsia" w:ascii="宋体" w:hAnsi="宋体" w:eastAsia="宋体" w:cs="宋体"/>
                <w:color w:val="auto"/>
                <w:sz w:val="18"/>
                <w:szCs w:val="18"/>
                <w:highlight w:val="none"/>
                <w:vertAlign w:val="baseline"/>
              </w:rPr>
            </w:pPr>
          </w:p>
        </w:tc>
        <w:tc>
          <w:tcPr>
            <w:tcW w:w="1220" w:type="dxa"/>
            <w:gridSpan w:val="2"/>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感应水龙头</w:t>
            </w:r>
          </w:p>
        </w:tc>
        <w:tc>
          <w:tcPr>
            <w:tcW w:w="1524" w:type="dxa"/>
            <w:gridSpan w:val="2"/>
            <w:vAlign w:val="center"/>
          </w:tcPr>
          <w:p>
            <w:pPr>
              <w:jc w:val="center"/>
              <w:rPr>
                <w:rFonts w:hint="eastAsia" w:ascii="宋体" w:hAnsi="宋体" w:eastAsia="宋体" w:cs="宋体"/>
                <w:color w:val="auto"/>
                <w:sz w:val="18"/>
                <w:szCs w:val="18"/>
                <w:highlight w:val="none"/>
                <w:vertAlign w:val="baseline"/>
              </w:rPr>
            </w:pPr>
          </w:p>
        </w:tc>
        <w:tc>
          <w:tcPr>
            <w:tcW w:w="5918" w:type="dxa"/>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感应出水，智能感应龙头</w:t>
            </w:r>
          </w:p>
        </w:tc>
        <w:tc>
          <w:tcPr>
            <w:tcW w:w="1697" w:type="dxa"/>
            <w:gridSpan w:val="2"/>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个</w:t>
            </w:r>
          </w:p>
        </w:tc>
        <w:tc>
          <w:tcPr>
            <w:tcW w:w="773"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650.00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30</w:t>
            </w:r>
          </w:p>
        </w:tc>
        <w:tc>
          <w:tcPr>
            <w:tcW w:w="690" w:type="dxa"/>
            <w:vMerge w:val="continue"/>
            <w:vAlign w:val="center"/>
          </w:tcPr>
          <w:p>
            <w:pPr>
              <w:jc w:val="center"/>
              <w:rPr>
                <w:rFonts w:hint="eastAsia" w:ascii="宋体" w:hAnsi="宋体" w:eastAsia="宋体" w:cs="宋体"/>
                <w:color w:val="auto"/>
                <w:sz w:val="18"/>
                <w:szCs w:val="18"/>
                <w:highlight w:val="none"/>
                <w:vertAlign w:val="baseline"/>
              </w:rPr>
            </w:pPr>
          </w:p>
        </w:tc>
        <w:tc>
          <w:tcPr>
            <w:tcW w:w="2355" w:type="dxa"/>
            <w:gridSpan w:val="3"/>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浴缸改淋浴</w:t>
            </w:r>
          </w:p>
        </w:tc>
        <w:tc>
          <w:tcPr>
            <w:tcW w:w="1524" w:type="dxa"/>
            <w:gridSpan w:val="2"/>
            <w:vAlign w:val="center"/>
          </w:tcPr>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增加淋浴空间，方便照护人员辅助老年人洗浴</w:t>
            </w:r>
          </w:p>
        </w:tc>
        <w:tc>
          <w:tcPr>
            <w:tcW w:w="5918" w:type="dxa"/>
            <w:vAlign w:val="center"/>
          </w:tcPr>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拆除浴缸/淋浴房，更换浴帘、浴杆、花洒（套）。拆除浴缸及周围台面，墙面及地面找平，防水处理，补瓷砖，安装地漏。</w:t>
            </w:r>
          </w:p>
        </w:tc>
        <w:tc>
          <w:tcPr>
            <w:tcW w:w="1697" w:type="dxa"/>
            <w:gridSpan w:val="2"/>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项</w:t>
            </w:r>
          </w:p>
        </w:tc>
        <w:tc>
          <w:tcPr>
            <w:tcW w:w="773"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2800.00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31</w:t>
            </w:r>
          </w:p>
        </w:tc>
        <w:tc>
          <w:tcPr>
            <w:tcW w:w="690" w:type="dxa"/>
            <w:vMerge w:val="continue"/>
            <w:vAlign w:val="center"/>
          </w:tcPr>
          <w:p>
            <w:pPr>
              <w:jc w:val="center"/>
              <w:rPr>
                <w:rFonts w:hint="eastAsia" w:ascii="宋体" w:hAnsi="宋体" w:eastAsia="宋体" w:cs="宋体"/>
                <w:color w:val="auto"/>
                <w:sz w:val="18"/>
                <w:szCs w:val="18"/>
                <w:highlight w:val="none"/>
                <w:vertAlign w:val="baseline"/>
              </w:rPr>
            </w:pPr>
          </w:p>
        </w:tc>
        <w:tc>
          <w:tcPr>
            <w:tcW w:w="1135" w:type="dxa"/>
            <w:vMerge w:val="restart"/>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助浴设备</w:t>
            </w:r>
          </w:p>
        </w:tc>
        <w:tc>
          <w:tcPr>
            <w:tcW w:w="1220" w:type="dxa"/>
            <w:gridSpan w:val="2"/>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折叠淋浴椅</w:t>
            </w:r>
          </w:p>
        </w:tc>
        <w:tc>
          <w:tcPr>
            <w:tcW w:w="1524" w:type="dxa"/>
            <w:gridSpan w:val="2"/>
            <w:vMerge w:val="restart"/>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辅助老年人洗澡用，避免老年人滑倒，提高安全性。</w:t>
            </w:r>
          </w:p>
        </w:tc>
        <w:tc>
          <w:tcPr>
            <w:tcW w:w="6717" w:type="dxa"/>
            <w:gridSpan w:val="2"/>
            <w:vAlign w:val="center"/>
          </w:tcPr>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 xml:space="preserve">1.椅架高强度铝合金，喷粉处理； </w:t>
            </w:r>
          </w:p>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 xml:space="preserve">2.坐板吹塑件，材质HDPE； </w:t>
            </w:r>
          </w:p>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 xml:space="preserve">3.扶手PP材质；坐垫、靠背EVA材质，符合SGS环保要求； </w:t>
            </w:r>
          </w:p>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 xml:space="preserve">4.防霉防滑EOE材质脚垫； </w:t>
            </w:r>
          </w:p>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 xml:space="preserve">5.高度不低于5档调节； </w:t>
            </w:r>
          </w:p>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6.承重≥100KG。</w:t>
            </w:r>
          </w:p>
        </w:tc>
        <w:tc>
          <w:tcPr>
            <w:tcW w:w="898" w:type="dxa"/>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张</w:t>
            </w:r>
          </w:p>
        </w:tc>
        <w:tc>
          <w:tcPr>
            <w:tcW w:w="773"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600.00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32</w:t>
            </w:r>
          </w:p>
        </w:tc>
        <w:tc>
          <w:tcPr>
            <w:tcW w:w="690" w:type="dxa"/>
            <w:vMerge w:val="continue"/>
            <w:vAlign w:val="center"/>
          </w:tcPr>
          <w:p>
            <w:pPr>
              <w:jc w:val="center"/>
              <w:rPr>
                <w:rFonts w:hint="eastAsia" w:ascii="宋体" w:hAnsi="宋体" w:eastAsia="宋体" w:cs="宋体"/>
                <w:color w:val="auto"/>
                <w:sz w:val="18"/>
                <w:szCs w:val="18"/>
                <w:highlight w:val="none"/>
                <w:vertAlign w:val="baseline"/>
              </w:rPr>
            </w:pPr>
          </w:p>
        </w:tc>
        <w:tc>
          <w:tcPr>
            <w:tcW w:w="1135" w:type="dxa"/>
            <w:vMerge w:val="continue"/>
            <w:vAlign w:val="center"/>
          </w:tcPr>
          <w:p>
            <w:pPr>
              <w:jc w:val="center"/>
              <w:rPr>
                <w:rFonts w:hint="eastAsia" w:ascii="宋体" w:hAnsi="宋体" w:eastAsia="宋体" w:cs="宋体"/>
                <w:color w:val="auto"/>
                <w:sz w:val="18"/>
                <w:szCs w:val="18"/>
                <w:highlight w:val="none"/>
                <w:vertAlign w:val="baseline"/>
              </w:rPr>
            </w:pPr>
          </w:p>
        </w:tc>
        <w:tc>
          <w:tcPr>
            <w:tcW w:w="1220" w:type="dxa"/>
            <w:gridSpan w:val="2"/>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固定淋浴椅</w:t>
            </w:r>
          </w:p>
        </w:tc>
        <w:tc>
          <w:tcPr>
            <w:tcW w:w="1524" w:type="dxa"/>
            <w:gridSpan w:val="2"/>
            <w:vMerge w:val="continue"/>
            <w:vAlign w:val="center"/>
          </w:tcPr>
          <w:p>
            <w:pPr>
              <w:jc w:val="center"/>
              <w:rPr>
                <w:rFonts w:hint="eastAsia" w:ascii="宋体" w:hAnsi="宋体" w:eastAsia="宋体" w:cs="宋体"/>
                <w:color w:val="auto"/>
                <w:sz w:val="18"/>
                <w:szCs w:val="18"/>
                <w:highlight w:val="none"/>
                <w:vertAlign w:val="baseline"/>
              </w:rPr>
            </w:pPr>
          </w:p>
        </w:tc>
        <w:tc>
          <w:tcPr>
            <w:tcW w:w="6717" w:type="dxa"/>
            <w:gridSpan w:val="2"/>
            <w:vAlign w:val="center"/>
          </w:tcPr>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 xml:space="preserve">1.承重≥100KG； </w:t>
            </w:r>
          </w:p>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 xml:space="preserve">2.主架由高强度铝合金管材组成； </w:t>
            </w:r>
          </w:p>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 xml:space="preserve">3.坐板和靠背板是采用的PE吹塑成型； </w:t>
            </w:r>
          </w:p>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 xml:space="preserve">4.扶手采用焊接拆装，表面安装泡沫棉，防滑耐用； </w:t>
            </w:r>
          </w:p>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5.脚腿高度不低于5档可调节。</w:t>
            </w:r>
          </w:p>
        </w:tc>
        <w:tc>
          <w:tcPr>
            <w:tcW w:w="898" w:type="dxa"/>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张</w:t>
            </w:r>
          </w:p>
        </w:tc>
        <w:tc>
          <w:tcPr>
            <w:tcW w:w="773"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240.00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33</w:t>
            </w:r>
          </w:p>
        </w:tc>
        <w:tc>
          <w:tcPr>
            <w:tcW w:w="690" w:type="dxa"/>
            <w:vMerge w:val="continue"/>
            <w:vAlign w:val="center"/>
          </w:tcPr>
          <w:p>
            <w:pPr>
              <w:jc w:val="center"/>
              <w:rPr>
                <w:rFonts w:hint="eastAsia" w:ascii="宋体" w:hAnsi="宋体" w:eastAsia="宋体" w:cs="宋体"/>
                <w:color w:val="auto"/>
                <w:sz w:val="18"/>
                <w:szCs w:val="18"/>
                <w:highlight w:val="none"/>
                <w:vertAlign w:val="baseline"/>
              </w:rPr>
            </w:pPr>
          </w:p>
        </w:tc>
        <w:tc>
          <w:tcPr>
            <w:tcW w:w="1135" w:type="dxa"/>
            <w:vMerge w:val="continue"/>
            <w:vAlign w:val="center"/>
          </w:tcPr>
          <w:p>
            <w:pPr>
              <w:jc w:val="center"/>
              <w:rPr>
                <w:rFonts w:hint="eastAsia" w:ascii="宋体" w:hAnsi="宋体" w:eastAsia="宋体" w:cs="宋体"/>
                <w:color w:val="auto"/>
                <w:sz w:val="18"/>
                <w:szCs w:val="18"/>
                <w:highlight w:val="none"/>
                <w:vertAlign w:val="baseline"/>
              </w:rPr>
            </w:pPr>
          </w:p>
        </w:tc>
        <w:tc>
          <w:tcPr>
            <w:tcW w:w="1220" w:type="dxa"/>
            <w:gridSpan w:val="2"/>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挂墙式助浴椅</w:t>
            </w:r>
          </w:p>
        </w:tc>
        <w:tc>
          <w:tcPr>
            <w:tcW w:w="1524" w:type="dxa"/>
            <w:gridSpan w:val="2"/>
            <w:vMerge w:val="continue"/>
            <w:vAlign w:val="center"/>
          </w:tcPr>
          <w:p>
            <w:pPr>
              <w:jc w:val="center"/>
              <w:rPr>
                <w:rFonts w:hint="eastAsia" w:ascii="宋体" w:hAnsi="宋体" w:eastAsia="宋体" w:cs="宋体"/>
                <w:color w:val="auto"/>
                <w:sz w:val="18"/>
                <w:szCs w:val="18"/>
                <w:highlight w:val="none"/>
                <w:vertAlign w:val="baseline"/>
              </w:rPr>
            </w:pPr>
          </w:p>
        </w:tc>
        <w:tc>
          <w:tcPr>
            <w:tcW w:w="6717" w:type="dxa"/>
            <w:gridSpan w:val="2"/>
            <w:vAlign w:val="center"/>
          </w:tcPr>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 xml:space="preserve">1.座板宽≥380MM，水平座板垂直地面的距离可调；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2.高强度铝合金框架，环保工程塑料座板，防滑设计，设计漏水孔，PU 回弹坐垫； </w:t>
            </w:r>
          </w:p>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 xml:space="preserve">3.高级TPR橡胶脚，防滑静音； </w:t>
            </w:r>
          </w:p>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4.安全承重≥190公斤。</w:t>
            </w:r>
          </w:p>
        </w:tc>
        <w:tc>
          <w:tcPr>
            <w:tcW w:w="898" w:type="dxa"/>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张</w:t>
            </w:r>
          </w:p>
        </w:tc>
        <w:tc>
          <w:tcPr>
            <w:tcW w:w="773"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480.00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34</w:t>
            </w:r>
          </w:p>
        </w:tc>
        <w:tc>
          <w:tcPr>
            <w:tcW w:w="690" w:type="dxa"/>
            <w:vMerge w:val="restart"/>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 xml:space="preserve">厨房 </w:t>
            </w:r>
          </w:p>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 xml:space="preserve">设备 </w:t>
            </w:r>
          </w:p>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改造</w:t>
            </w:r>
          </w:p>
        </w:tc>
        <w:tc>
          <w:tcPr>
            <w:tcW w:w="2355" w:type="dxa"/>
            <w:gridSpan w:val="3"/>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台面改造</w:t>
            </w:r>
          </w:p>
        </w:tc>
        <w:tc>
          <w:tcPr>
            <w:tcW w:w="8241" w:type="dxa"/>
            <w:gridSpan w:val="4"/>
            <w:vAlign w:val="center"/>
          </w:tcPr>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降低操作台、灶台、洗菜池高度或者在其下方留出容膝空间，方便乘轮椅或者体形矮小老年人操作。</w:t>
            </w:r>
          </w:p>
        </w:tc>
        <w:tc>
          <w:tcPr>
            <w:tcW w:w="898" w:type="dxa"/>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米</w:t>
            </w:r>
          </w:p>
        </w:tc>
        <w:tc>
          <w:tcPr>
            <w:tcW w:w="773"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1</w:t>
            </w:r>
            <w:r>
              <w:rPr>
                <w:rFonts w:hint="eastAsia" w:ascii="宋体" w:hAnsi="宋体" w:cs="宋体"/>
                <w:color w:val="auto"/>
                <w:sz w:val="18"/>
                <w:szCs w:val="18"/>
                <w:highlight w:val="none"/>
                <w:vertAlign w:val="baseline"/>
                <w:lang w:val="en-US" w:eastAsia="zh-CN"/>
              </w:rPr>
              <w:t>3</w:t>
            </w:r>
            <w:r>
              <w:rPr>
                <w:rFonts w:hint="eastAsia" w:ascii="宋体" w:hAnsi="宋体" w:eastAsia="宋体" w:cs="宋体"/>
                <w:color w:val="auto"/>
                <w:sz w:val="18"/>
                <w:szCs w:val="18"/>
                <w:highlight w:val="none"/>
                <w:vertAlign w:val="baseline"/>
                <w:lang w:val="en-US" w:eastAsia="zh-CN"/>
              </w:rPr>
              <w:t>00.00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35</w:t>
            </w:r>
          </w:p>
        </w:tc>
        <w:tc>
          <w:tcPr>
            <w:tcW w:w="690" w:type="dxa"/>
            <w:vMerge w:val="continue"/>
            <w:vAlign w:val="center"/>
          </w:tcPr>
          <w:p>
            <w:pPr>
              <w:jc w:val="center"/>
              <w:rPr>
                <w:rFonts w:hint="eastAsia" w:ascii="宋体" w:hAnsi="宋体" w:eastAsia="宋体" w:cs="宋体"/>
                <w:color w:val="auto"/>
                <w:sz w:val="18"/>
                <w:szCs w:val="18"/>
                <w:highlight w:val="none"/>
                <w:vertAlign w:val="baseline"/>
              </w:rPr>
            </w:pPr>
          </w:p>
        </w:tc>
        <w:tc>
          <w:tcPr>
            <w:tcW w:w="3879" w:type="dxa"/>
            <w:gridSpan w:val="5"/>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不锈钢操作台</w:t>
            </w:r>
          </w:p>
        </w:tc>
        <w:tc>
          <w:tcPr>
            <w:tcW w:w="6717" w:type="dxa"/>
            <w:gridSpan w:val="2"/>
            <w:vAlign w:val="center"/>
          </w:tcPr>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 xml:space="preserve">1.优质不锈钢拼装式，可固定，防侧翻、安全性佳； </w:t>
            </w:r>
          </w:p>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2.配有可调子弹脚，立柱脚高度可调节，长边单侧应圆弧形。</w:t>
            </w:r>
          </w:p>
        </w:tc>
        <w:tc>
          <w:tcPr>
            <w:tcW w:w="898" w:type="dxa"/>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个</w:t>
            </w:r>
          </w:p>
        </w:tc>
        <w:tc>
          <w:tcPr>
            <w:tcW w:w="773"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cs="宋体"/>
                <w:color w:val="auto"/>
                <w:sz w:val="18"/>
                <w:szCs w:val="18"/>
                <w:highlight w:val="none"/>
                <w:vertAlign w:val="baseline"/>
                <w:lang w:val="en-US" w:eastAsia="zh-CN"/>
              </w:rPr>
              <w:t>800</w:t>
            </w:r>
            <w:r>
              <w:rPr>
                <w:rFonts w:hint="eastAsia" w:ascii="宋体" w:hAnsi="宋体" w:eastAsia="宋体" w:cs="宋体"/>
                <w:color w:val="auto"/>
                <w:sz w:val="18"/>
                <w:szCs w:val="18"/>
                <w:highlight w:val="none"/>
                <w:vertAlign w:val="baseline"/>
                <w:lang w:val="en-US" w:eastAsia="zh-CN"/>
              </w:rPr>
              <w:t>.00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36</w:t>
            </w:r>
          </w:p>
        </w:tc>
        <w:tc>
          <w:tcPr>
            <w:tcW w:w="690" w:type="dxa"/>
            <w:vMerge w:val="continue"/>
            <w:vAlign w:val="center"/>
          </w:tcPr>
          <w:p>
            <w:pPr>
              <w:jc w:val="center"/>
              <w:rPr>
                <w:rFonts w:hint="eastAsia" w:ascii="宋体" w:hAnsi="宋体" w:eastAsia="宋体" w:cs="宋体"/>
                <w:color w:val="auto"/>
                <w:sz w:val="18"/>
                <w:szCs w:val="18"/>
                <w:highlight w:val="none"/>
                <w:vertAlign w:val="baseline"/>
              </w:rPr>
            </w:pPr>
          </w:p>
        </w:tc>
        <w:tc>
          <w:tcPr>
            <w:tcW w:w="3879" w:type="dxa"/>
            <w:gridSpan w:val="5"/>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不锈钢洗漱池</w:t>
            </w:r>
          </w:p>
        </w:tc>
        <w:tc>
          <w:tcPr>
            <w:tcW w:w="6717" w:type="dxa"/>
            <w:gridSpan w:val="2"/>
            <w:vAlign w:val="center"/>
          </w:tcPr>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采用优质不锈钢板制作，可调节重力子弹脚，配优质落水器。(含下水软管)。</w:t>
            </w:r>
          </w:p>
        </w:tc>
        <w:tc>
          <w:tcPr>
            <w:tcW w:w="898" w:type="dxa"/>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个</w:t>
            </w:r>
          </w:p>
        </w:tc>
        <w:tc>
          <w:tcPr>
            <w:tcW w:w="773"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cs="宋体"/>
                <w:color w:val="auto"/>
                <w:sz w:val="18"/>
                <w:szCs w:val="18"/>
                <w:highlight w:val="none"/>
                <w:vertAlign w:val="baseline"/>
                <w:lang w:val="en-US" w:eastAsia="zh-CN"/>
              </w:rPr>
              <w:t>600</w:t>
            </w:r>
            <w:r>
              <w:rPr>
                <w:rFonts w:hint="eastAsia" w:ascii="宋体" w:hAnsi="宋体" w:eastAsia="宋体" w:cs="宋体"/>
                <w:color w:val="auto"/>
                <w:sz w:val="18"/>
                <w:szCs w:val="18"/>
                <w:highlight w:val="none"/>
                <w:vertAlign w:val="baseline"/>
                <w:lang w:val="en-US" w:eastAsia="zh-CN"/>
              </w:rPr>
              <w:t>.00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37</w:t>
            </w:r>
          </w:p>
        </w:tc>
        <w:tc>
          <w:tcPr>
            <w:tcW w:w="690" w:type="dxa"/>
            <w:vMerge w:val="continue"/>
            <w:vAlign w:val="center"/>
          </w:tcPr>
          <w:p>
            <w:pPr>
              <w:jc w:val="center"/>
              <w:rPr>
                <w:rFonts w:hint="eastAsia" w:ascii="宋体" w:hAnsi="宋体" w:eastAsia="宋体" w:cs="宋体"/>
                <w:color w:val="auto"/>
                <w:sz w:val="18"/>
                <w:szCs w:val="18"/>
                <w:highlight w:val="none"/>
                <w:vertAlign w:val="baseline"/>
              </w:rPr>
            </w:pPr>
          </w:p>
        </w:tc>
        <w:tc>
          <w:tcPr>
            <w:tcW w:w="3879" w:type="dxa"/>
            <w:gridSpan w:val="5"/>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加设中部柜</w:t>
            </w:r>
          </w:p>
        </w:tc>
        <w:tc>
          <w:tcPr>
            <w:tcW w:w="6717" w:type="dxa"/>
            <w:gridSpan w:val="2"/>
            <w:vAlign w:val="center"/>
          </w:tcPr>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在吊柜下方设置开敞式中部柜、中部架，方便老年人取放物品，柜体长度不低于 1.2M。</w:t>
            </w:r>
          </w:p>
        </w:tc>
        <w:tc>
          <w:tcPr>
            <w:tcW w:w="898" w:type="dxa"/>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个</w:t>
            </w:r>
          </w:p>
        </w:tc>
        <w:tc>
          <w:tcPr>
            <w:tcW w:w="773" w:type="dxa"/>
            <w:vAlign w:val="center"/>
          </w:tcPr>
          <w:p>
            <w:pPr>
              <w:jc w:val="center"/>
              <w:rPr>
                <w:rFonts w:hint="eastAsia" w:ascii="宋体" w:hAnsi="宋体" w:eastAsia="宋体" w:cs="宋体"/>
                <w:color w:val="auto"/>
                <w:sz w:val="18"/>
                <w:szCs w:val="18"/>
                <w:highlight w:val="none"/>
                <w:vertAlign w:val="baseline"/>
              </w:rPr>
            </w:pPr>
            <w:r>
              <w:rPr>
                <w:rFonts w:hint="eastAsia" w:ascii="宋体" w:hAnsi="宋体" w:cs="宋体"/>
                <w:color w:val="auto"/>
                <w:sz w:val="18"/>
                <w:szCs w:val="18"/>
                <w:highlight w:val="none"/>
                <w:vertAlign w:val="baseline"/>
                <w:lang w:val="en-US" w:eastAsia="zh-CN"/>
              </w:rPr>
              <w:t>600</w:t>
            </w:r>
            <w:r>
              <w:rPr>
                <w:rFonts w:hint="eastAsia" w:ascii="宋体" w:hAnsi="宋体" w:eastAsia="宋体" w:cs="宋体"/>
                <w:color w:val="auto"/>
                <w:sz w:val="18"/>
                <w:szCs w:val="18"/>
                <w:highlight w:val="none"/>
                <w:vertAlign w:val="baseline"/>
                <w:lang w:val="en-US" w:eastAsia="zh-CN"/>
              </w:rPr>
              <w:t>.00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38</w:t>
            </w:r>
          </w:p>
        </w:tc>
        <w:tc>
          <w:tcPr>
            <w:tcW w:w="690" w:type="dxa"/>
            <w:vMerge w:val="restart"/>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物理</w:t>
            </w:r>
          </w:p>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环境</w:t>
            </w:r>
          </w:p>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改造</w:t>
            </w:r>
          </w:p>
        </w:tc>
        <w:tc>
          <w:tcPr>
            <w:tcW w:w="1293" w:type="dxa"/>
            <w:gridSpan w:val="2"/>
            <w:vMerge w:val="restart"/>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安装灯具</w:t>
            </w:r>
          </w:p>
        </w:tc>
        <w:tc>
          <w:tcPr>
            <w:tcW w:w="1293" w:type="dxa"/>
            <w:gridSpan w:val="2"/>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吸顶灯</w:t>
            </w:r>
          </w:p>
        </w:tc>
        <w:tc>
          <w:tcPr>
            <w:tcW w:w="1293" w:type="dxa"/>
            <w:vMerge w:val="restart"/>
            <w:vAlign w:val="center"/>
          </w:tcPr>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避免直射光源、强刺激性光源，人走灯灭，辅助老年人起夜使用。</w:t>
            </w:r>
          </w:p>
        </w:tc>
        <w:tc>
          <w:tcPr>
            <w:tcW w:w="6717" w:type="dxa"/>
            <w:gridSpan w:val="2"/>
            <w:vAlign w:val="center"/>
          </w:tcPr>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1.额定功率≥18W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2.额定电压 AC220-240V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3.LED 色温≥6500K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4.颜色材质 PVC+冷轧钢；</w:t>
            </w:r>
          </w:p>
        </w:tc>
        <w:tc>
          <w:tcPr>
            <w:tcW w:w="898" w:type="dxa"/>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个</w:t>
            </w:r>
          </w:p>
        </w:tc>
        <w:tc>
          <w:tcPr>
            <w:tcW w:w="773"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120.00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39</w:t>
            </w:r>
          </w:p>
        </w:tc>
        <w:tc>
          <w:tcPr>
            <w:tcW w:w="690"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1293" w:type="dxa"/>
            <w:gridSpan w:val="2"/>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1293" w:type="dxa"/>
            <w:gridSpan w:val="2"/>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小夜灯</w:t>
            </w:r>
          </w:p>
        </w:tc>
        <w:tc>
          <w:tcPr>
            <w:tcW w:w="1293"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6717" w:type="dxa"/>
            <w:gridSpan w:val="2"/>
            <w:vAlign w:val="center"/>
          </w:tcPr>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1.材质 ABS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2.带 led 灯珠、内置锂电池，保持暖光；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3.感应距离 3 米以内，天黑在感应范围自动亮起，人离开感应范围自动熄灭。</w:t>
            </w:r>
          </w:p>
        </w:tc>
        <w:tc>
          <w:tcPr>
            <w:tcW w:w="898" w:type="dxa"/>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个</w:t>
            </w:r>
          </w:p>
        </w:tc>
        <w:tc>
          <w:tcPr>
            <w:tcW w:w="773"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60.00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40</w:t>
            </w:r>
          </w:p>
        </w:tc>
        <w:tc>
          <w:tcPr>
            <w:tcW w:w="690"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1293" w:type="dxa"/>
            <w:gridSpan w:val="2"/>
            <w:vMerge w:val="restart"/>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电源插座及开关改造</w:t>
            </w:r>
          </w:p>
        </w:tc>
        <w:tc>
          <w:tcPr>
            <w:tcW w:w="1293" w:type="dxa"/>
            <w:gridSpan w:val="2"/>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电路改造</w:t>
            </w:r>
          </w:p>
        </w:tc>
        <w:tc>
          <w:tcPr>
            <w:tcW w:w="1293" w:type="dxa"/>
            <w:vMerge w:val="restart"/>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视情进行高 /低位改造，避免老年人下蹲或弯腰，方便老年人插拔电源和使用开关。</w:t>
            </w:r>
          </w:p>
        </w:tc>
        <w:tc>
          <w:tcPr>
            <w:tcW w:w="6717" w:type="dxa"/>
            <w:gridSpan w:val="2"/>
            <w:vAlign w:val="center"/>
          </w:tcPr>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1.根据现场条件确认施工方案，成品保护，明管敷设，铺设新线，接入原有线路；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2.布线横平竖直，穿线采用PVC套管，原老旧线路拆除，包工包料。</w:t>
            </w:r>
          </w:p>
        </w:tc>
        <w:tc>
          <w:tcPr>
            <w:tcW w:w="898" w:type="dxa"/>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米</w:t>
            </w:r>
          </w:p>
        </w:tc>
        <w:tc>
          <w:tcPr>
            <w:tcW w:w="773"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95.00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41</w:t>
            </w:r>
          </w:p>
        </w:tc>
        <w:tc>
          <w:tcPr>
            <w:tcW w:w="690"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1293" w:type="dxa"/>
            <w:gridSpan w:val="2"/>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1293" w:type="dxa"/>
            <w:gridSpan w:val="2"/>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更换成套电箱</w:t>
            </w:r>
          </w:p>
        </w:tc>
        <w:tc>
          <w:tcPr>
            <w:tcW w:w="1293"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6717" w:type="dxa"/>
            <w:gridSpan w:val="2"/>
            <w:vAlign w:val="center"/>
          </w:tcPr>
          <w:p>
            <w:pPr>
              <w:numPr>
                <w:ilvl w:val="0"/>
                <w:numId w:val="0"/>
              </w:num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1.拆入户线，换电箱、总开漏保、各路空开，闭合电闸；</w:t>
            </w:r>
          </w:p>
          <w:p>
            <w:pPr>
              <w:numPr>
                <w:ilvl w:val="0"/>
                <w:numId w:val="0"/>
              </w:num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2.总漏保不低于C60，插座漏保不低于C20，开关漏保不低于 C16，空调漏保不低于C32。</w:t>
            </w:r>
          </w:p>
        </w:tc>
        <w:tc>
          <w:tcPr>
            <w:tcW w:w="898" w:type="dxa"/>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项</w:t>
            </w:r>
          </w:p>
        </w:tc>
        <w:tc>
          <w:tcPr>
            <w:tcW w:w="773"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700.00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42</w:t>
            </w:r>
          </w:p>
        </w:tc>
        <w:tc>
          <w:tcPr>
            <w:tcW w:w="690"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1293" w:type="dxa"/>
            <w:gridSpan w:val="2"/>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1293" w:type="dxa"/>
            <w:gridSpan w:val="2"/>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更换总开、 漏保、空开</w:t>
            </w:r>
          </w:p>
        </w:tc>
        <w:tc>
          <w:tcPr>
            <w:tcW w:w="1293"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6717" w:type="dxa"/>
            <w:gridSpan w:val="2"/>
            <w:vAlign w:val="center"/>
          </w:tcPr>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1.断闸，更换总开漏保、各路空开，三次短暂试推，闭合电闸；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2.空开大小不能低于家中总电器功率、且次分路空开大小不小于C20。</w:t>
            </w:r>
          </w:p>
        </w:tc>
        <w:tc>
          <w:tcPr>
            <w:tcW w:w="898" w:type="dxa"/>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个</w:t>
            </w:r>
          </w:p>
        </w:tc>
        <w:tc>
          <w:tcPr>
            <w:tcW w:w="773"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130.00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43</w:t>
            </w:r>
          </w:p>
        </w:tc>
        <w:tc>
          <w:tcPr>
            <w:tcW w:w="690"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1293" w:type="dxa"/>
            <w:gridSpan w:val="2"/>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1293" w:type="dxa"/>
            <w:gridSpan w:val="2"/>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单开面板</w:t>
            </w:r>
          </w:p>
        </w:tc>
        <w:tc>
          <w:tcPr>
            <w:tcW w:w="1293"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6717" w:type="dxa"/>
            <w:gridSpan w:val="2"/>
            <w:vAlign w:val="center"/>
          </w:tcPr>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1.银镍合金触点、国产 PC 料额定电流 10A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2.额定电压：250V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3.额定功率：2500W。</w:t>
            </w:r>
          </w:p>
        </w:tc>
        <w:tc>
          <w:tcPr>
            <w:tcW w:w="898" w:type="dxa"/>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个</w:t>
            </w:r>
          </w:p>
        </w:tc>
        <w:tc>
          <w:tcPr>
            <w:tcW w:w="773"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50.00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44</w:t>
            </w:r>
          </w:p>
        </w:tc>
        <w:tc>
          <w:tcPr>
            <w:tcW w:w="690"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1293" w:type="dxa"/>
            <w:gridSpan w:val="2"/>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1293" w:type="dxa"/>
            <w:gridSpan w:val="2"/>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双开面板</w:t>
            </w:r>
          </w:p>
        </w:tc>
        <w:tc>
          <w:tcPr>
            <w:tcW w:w="1293"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6717" w:type="dxa"/>
            <w:gridSpan w:val="2"/>
            <w:vAlign w:val="center"/>
          </w:tcPr>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1.银镍合金触点、国产 PC 料额定电流：10A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2.额定电压：250V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3.额定功率：2500W。</w:t>
            </w:r>
          </w:p>
        </w:tc>
        <w:tc>
          <w:tcPr>
            <w:tcW w:w="898" w:type="dxa"/>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个</w:t>
            </w:r>
          </w:p>
        </w:tc>
        <w:tc>
          <w:tcPr>
            <w:tcW w:w="773"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50.00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45</w:t>
            </w:r>
          </w:p>
        </w:tc>
        <w:tc>
          <w:tcPr>
            <w:tcW w:w="690"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1293" w:type="dxa"/>
            <w:gridSpan w:val="2"/>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1293" w:type="dxa"/>
            <w:gridSpan w:val="2"/>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一开五孔</w:t>
            </w:r>
          </w:p>
        </w:tc>
        <w:tc>
          <w:tcPr>
            <w:tcW w:w="1293"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6717" w:type="dxa"/>
            <w:gridSpan w:val="2"/>
            <w:vAlign w:val="center"/>
          </w:tcPr>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1.国产 PC 料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2.额定电流：10A/16A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3.额定电压：250V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4.额定功率：2500W。</w:t>
            </w:r>
          </w:p>
        </w:tc>
        <w:tc>
          <w:tcPr>
            <w:tcW w:w="898" w:type="dxa"/>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个</w:t>
            </w:r>
          </w:p>
        </w:tc>
        <w:tc>
          <w:tcPr>
            <w:tcW w:w="773"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50.00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46</w:t>
            </w:r>
          </w:p>
        </w:tc>
        <w:tc>
          <w:tcPr>
            <w:tcW w:w="690"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1293" w:type="dxa"/>
            <w:gridSpan w:val="2"/>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1293" w:type="dxa"/>
            <w:gridSpan w:val="2"/>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五孔插座</w:t>
            </w:r>
          </w:p>
        </w:tc>
        <w:tc>
          <w:tcPr>
            <w:tcW w:w="1293"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6717" w:type="dxa"/>
            <w:gridSpan w:val="2"/>
            <w:vAlign w:val="center"/>
          </w:tcPr>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1.国产 PC 料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2.额定电流：10A/16A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3.额定电压：250V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4.额定功率：2500W。</w:t>
            </w:r>
          </w:p>
        </w:tc>
        <w:tc>
          <w:tcPr>
            <w:tcW w:w="898" w:type="dxa"/>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个</w:t>
            </w:r>
          </w:p>
        </w:tc>
        <w:tc>
          <w:tcPr>
            <w:tcW w:w="773"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50.00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4" w:hRule="atLeast"/>
        </w:trPr>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47</w:t>
            </w:r>
          </w:p>
        </w:tc>
        <w:tc>
          <w:tcPr>
            <w:tcW w:w="690"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1293" w:type="dxa"/>
            <w:gridSpan w:val="2"/>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1293" w:type="dxa"/>
            <w:gridSpan w:val="2"/>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15孔排插</w:t>
            </w:r>
          </w:p>
        </w:tc>
        <w:tc>
          <w:tcPr>
            <w:tcW w:w="1293" w:type="dxa"/>
            <w:vAlign w:val="center"/>
          </w:tcPr>
          <w:p>
            <w:pPr>
              <w:jc w:val="center"/>
              <w:rPr>
                <w:rFonts w:hint="eastAsia" w:ascii="宋体" w:hAnsi="宋体" w:eastAsia="宋体" w:cs="宋体"/>
                <w:color w:val="auto"/>
                <w:sz w:val="18"/>
                <w:szCs w:val="18"/>
                <w:highlight w:val="none"/>
                <w:vertAlign w:val="baseline"/>
                <w:lang w:val="en-US" w:eastAsia="zh-CN"/>
              </w:rPr>
            </w:pPr>
          </w:p>
        </w:tc>
        <w:tc>
          <w:tcPr>
            <w:tcW w:w="6717" w:type="dxa"/>
            <w:gridSpan w:val="2"/>
            <w:vAlign w:val="center"/>
          </w:tcPr>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1.线 3-5 米长，采用阻燃材质，防止老化开裂；</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2.防单极插入保护，更安全用于智能设备及网络连接用电。</w:t>
            </w:r>
          </w:p>
        </w:tc>
        <w:tc>
          <w:tcPr>
            <w:tcW w:w="898" w:type="dxa"/>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个</w:t>
            </w:r>
          </w:p>
        </w:tc>
        <w:tc>
          <w:tcPr>
            <w:tcW w:w="773"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50.00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9" w:hRule="atLeast"/>
        </w:trPr>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48</w:t>
            </w:r>
          </w:p>
        </w:tc>
        <w:tc>
          <w:tcPr>
            <w:tcW w:w="690"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2586" w:type="dxa"/>
            <w:gridSpan w:val="4"/>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安装防撞护角</w:t>
            </w:r>
          </w:p>
        </w:tc>
        <w:tc>
          <w:tcPr>
            <w:tcW w:w="1293" w:type="dxa"/>
            <w:vMerge w:val="restart"/>
            <w:vAlign w:val="center"/>
          </w:tcPr>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在家具尖角或墙角安装 防撞护角或 者防撞条，避免老年人磕碰划伤，必 要时粘贴防滑条、警示条等符合相关标准和老年人认知特点的提示标识。</w:t>
            </w:r>
          </w:p>
        </w:tc>
        <w:tc>
          <w:tcPr>
            <w:tcW w:w="6717" w:type="dxa"/>
            <w:gridSpan w:val="2"/>
            <w:vAlign w:val="center"/>
          </w:tcPr>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1.材质 NBR，防水耐油；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2.加厚，无残留。</w:t>
            </w:r>
          </w:p>
        </w:tc>
        <w:tc>
          <w:tcPr>
            <w:tcW w:w="898" w:type="dxa"/>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个</w:t>
            </w:r>
          </w:p>
        </w:tc>
        <w:tc>
          <w:tcPr>
            <w:tcW w:w="773"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5.00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4" w:hRule="atLeast"/>
        </w:trPr>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49</w:t>
            </w:r>
          </w:p>
        </w:tc>
        <w:tc>
          <w:tcPr>
            <w:tcW w:w="690"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2586" w:type="dxa"/>
            <w:gridSpan w:val="4"/>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安装防撞条</w:t>
            </w:r>
          </w:p>
        </w:tc>
        <w:tc>
          <w:tcPr>
            <w:tcW w:w="1293"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6717" w:type="dxa"/>
            <w:gridSpan w:val="2"/>
            <w:vAlign w:val="center"/>
          </w:tcPr>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1.材质pvc；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2.双面胶/免钉胶防火阻燃，不含甲醛。</w:t>
            </w:r>
          </w:p>
        </w:tc>
        <w:tc>
          <w:tcPr>
            <w:tcW w:w="898"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米</w:t>
            </w:r>
          </w:p>
        </w:tc>
        <w:tc>
          <w:tcPr>
            <w:tcW w:w="773"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40.00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50</w:t>
            </w:r>
          </w:p>
        </w:tc>
        <w:tc>
          <w:tcPr>
            <w:tcW w:w="690"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2586" w:type="dxa"/>
            <w:gridSpan w:val="4"/>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安装提示标识</w:t>
            </w:r>
          </w:p>
        </w:tc>
        <w:tc>
          <w:tcPr>
            <w:tcW w:w="1293"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6717" w:type="dxa"/>
            <w:gridSpan w:val="2"/>
            <w:vAlign w:val="center"/>
          </w:tcPr>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粘贴在墙角或家具尖角附近，起警示作用。</w:t>
            </w:r>
          </w:p>
        </w:tc>
        <w:tc>
          <w:tcPr>
            <w:tcW w:w="898"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组</w:t>
            </w:r>
          </w:p>
        </w:tc>
        <w:tc>
          <w:tcPr>
            <w:tcW w:w="773"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15.00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51</w:t>
            </w:r>
          </w:p>
        </w:tc>
        <w:tc>
          <w:tcPr>
            <w:tcW w:w="690" w:type="dxa"/>
            <w:vMerge w:val="restart"/>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老年</w:t>
            </w:r>
          </w:p>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用品</w:t>
            </w:r>
          </w:p>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配置</w:t>
            </w:r>
          </w:p>
          <w:p>
            <w:pPr>
              <w:jc w:val="center"/>
              <w:rPr>
                <w:rFonts w:hint="eastAsia" w:ascii="宋体" w:hAnsi="宋体" w:eastAsia="宋体" w:cs="宋体"/>
                <w:color w:val="auto"/>
                <w:sz w:val="18"/>
                <w:szCs w:val="18"/>
                <w:highlight w:val="none"/>
                <w:vertAlign w:val="baseline"/>
                <w:lang w:val="en-US" w:eastAsia="zh-CN"/>
              </w:rPr>
            </w:pPr>
          </w:p>
        </w:tc>
        <w:tc>
          <w:tcPr>
            <w:tcW w:w="2586" w:type="dxa"/>
            <w:gridSpan w:val="4"/>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适老桌</w:t>
            </w:r>
          </w:p>
        </w:tc>
        <w:tc>
          <w:tcPr>
            <w:tcW w:w="1293" w:type="dxa"/>
            <w:vMerge w:val="restart"/>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比如换鞋凳、适老椅、电动升降晾衣架等。</w:t>
            </w:r>
          </w:p>
        </w:tc>
        <w:tc>
          <w:tcPr>
            <w:tcW w:w="6717" w:type="dxa"/>
            <w:gridSpan w:val="2"/>
            <w:vAlign w:val="center"/>
          </w:tcPr>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1.采用优质橡胶木实木；台面采用优质E1级实木多层板贴水曲柳实木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木皮，设计安全角，无缝拼接边角处采用倒圆工艺；</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2.油漆采用国内环保油漆，成品纹理清晰、表层饱满、光泽润亮。涂装无桔皮、发白、流挂、泪油现象。</w:t>
            </w:r>
          </w:p>
        </w:tc>
        <w:tc>
          <w:tcPr>
            <w:tcW w:w="898" w:type="dxa"/>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张</w:t>
            </w:r>
          </w:p>
        </w:tc>
        <w:tc>
          <w:tcPr>
            <w:tcW w:w="773"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900.00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52</w:t>
            </w:r>
          </w:p>
        </w:tc>
        <w:tc>
          <w:tcPr>
            <w:tcW w:w="690"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2586" w:type="dxa"/>
            <w:gridSpan w:val="4"/>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换鞋凳</w:t>
            </w:r>
          </w:p>
        </w:tc>
        <w:tc>
          <w:tcPr>
            <w:tcW w:w="1293"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6717" w:type="dxa"/>
            <w:gridSpan w:val="2"/>
            <w:vAlign w:val="center"/>
          </w:tcPr>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1.框架采用优质橡胶木实木；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2.环保油漆，成品纹理清晰、表层饱满、光泽润亮；软包优质油科技布。</w:t>
            </w:r>
          </w:p>
        </w:tc>
        <w:tc>
          <w:tcPr>
            <w:tcW w:w="898" w:type="dxa"/>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张</w:t>
            </w:r>
          </w:p>
        </w:tc>
        <w:tc>
          <w:tcPr>
            <w:tcW w:w="773"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399.00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53</w:t>
            </w:r>
          </w:p>
        </w:tc>
        <w:tc>
          <w:tcPr>
            <w:tcW w:w="690"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2586" w:type="dxa"/>
            <w:gridSpan w:val="4"/>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适老椅</w:t>
            </w:r>
          </w:p>
        </w:tc>
        <w:tc>
          <w:tcPr>
            <w:tcW w:w="1293"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6717" w:type="dxa"/>
            <w:gridSpan w:val="2"/>
            <w:vAlign w:val="center"/>
          </w:tcPr>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1.框架弯曲木，靠背外框+扶手+前后脚为完整件，无榫接、胶粘等组装方式，具有较良好的强度性能和抗震力；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2.采用高弹海绵；采用优质科技布；采用环保油漆，成品纹理清晰、表层饱满、光泽润亮。</w:t>
            </w:r>
          </w:p>
        </w:tc>
        <w:tc>
          <w:tcPr>
            <w:tcW w:w="898" w:type="dxa"/>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张</w:t>
            </w:r>
          </w:p>
        </w:tc>
        <w:tc>
          <w:tcPr>
            <w:tcW w:w="773"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380.00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54</w:t>
            </w:r>
          </w:p>
        </w:tc>
        <w:tc>
          <w:tcPr>
            <w:tcW w:w="690"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2586" w:type="dxa"/>
            <w:gridSpan w:val="4"/>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电动晾衣架</w:t>
            </w:r>
          </w:p>
        </w:tc>
        <w:tc>
          <w:tcPr>
            <w:tcW w:w="1293"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6717" w:type="dxa"/>
            <w:gridSpan w:val="2"/>
            <w:vAlign w:val="center"/>
          </w:tcPr>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1.晾杆尺寸≧1000mm，展开：≧2000mm；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2.晾杆间距≧450mm；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3.挂孔数量≧20 个；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4.具备照明升降功能；噪音≤55 分贝。</w:t>
            </w:r>
          </w:p>
        </w:tc>
        <w:tc>
          <w:tcPr>
            <w:tcW w:w="898" w:type="dxa"/>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个</w:t>
            </w:r>
          </w:p>
        </w:tc>
        <w:tc>
          <w:tcPr>
            <w:tcW w:w="773"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1788.00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55</w:t>
            </w:r>
          </w:p>
        </w:tc>
        <w:tc>
          <w:tcPr>
            <w:tcW w:w="690"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2586" w:type="dxa"/>
            <w:gridSpan w:val="4"/>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手动晾衣架</w:t>
            </w:r>
          </w:p>
        </w:tc>
        <w:tc>
          <w:tcPr>
            <w:tcW w:w="1293"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6717" w:type="dxa"/>
            <w:gridSpan w:val="2"/>
            <w:vAlign w:val="center"/>
          </w:tcPr>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1.三杆手摇升降；单杆承重≧35KG；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2.晾衣杆尺寸≧200CM；主要材质铝合金/复合材料；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3.单杆孔数≧12 孔。</w:t>
            </w:r>
          </w:p>
        </w:tc>
        <w:tc>
          <w:tcPr>
            <w:tcW w:w="898" w:type="dxa"/>
            <w:vAlign w:val="center"/>
          </w:tcPr>
          <w:p>
            <w:pPr>
              <w:jc w:val="center"/>
              <w:rPr>
                <w:rFonts w:hint="eastAsia" w:ascii="宋体" w:hAnsi="宋体" w:eastAsia="宋体" w:cs="宋体"/>
                <w:color w:val="auto"/>
                <w:sz w:val="18"/>
                <w:szCs w:val="18"/>
                <w:highlight w:val="none"/>
                <w:vertAlign w:val="baseline"/>
                <w:lang w:val="en-US" w:eastAsia="zh-CN"/>
              </w:rPr>
            </w:pPr>
            <w:bookmarkStart w:id="54" w:name="OLE_LINK8"/>
            <w:r>
              <w:rPr>
                <w:rFonts w:hint="eastAsia" w:ascii="宋体" w:hAnsi="宋体" w:eastAsia="宋体" w:cs="宋体"/>
                <w:color w:val="auto"/>
                <w:sz w:val="18"/>
                <w:szCs w:val="18"/>
                <w:highlight w:val="none"/>
                <w:vertAlign w:val="baseline"/>
                <w:lang w:val="en-US" w:eastAsia="zh-CN"/>
              </w:rPr>
              <w:t>个</w:t>
            </w:r>
            <w:bookmarkEnd w:id="54"/>
          </w:p>
        </w:tc>
        <w:tc>
          <w:tcPr>
            <w:tcW w:w="773"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698.00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56</w:t>
            </w:r>
          </w:p>
        </w:tc>
        <w:tc>
          <w:tcPr>
            <w:tcW w:w="690"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1293" w:type="dxa"/>
            <w:gridSpan w:val="2"/>
            <w:vMerge w:val="restart"/>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手杖</w:t>
            </w:r>
          </w:p>
        </w:tc>
        <w:tc>
          <w:tcPr>
            <w:tcW w:w="1293" w:type="dxa"/>
            <w:gridSpan w:val="2"/>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单脚手杖</w:t>
            </w:r>
          </w:p>
        </w:tc>
        <w:tc>
          <w:tcPr>
            <w:tcW w:w="1293" w:type="dxa"/>
            <w:vMerge w:val="restart"/>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辅助腿脚不便的老人日常步行；高度可调，满足不同身高老人的需求；底部防滑，更安全。</w:t>
            </w:r>
          </w:p>
        </w:tc>
        <w:tc>
          <w:tcPr>
            <w:tcW w:w="6717" w:type="dxa"/>
            <w:gridSpan w:val="2"/>
            <w:vAlign w:val="center"/>
          </w:tcPr>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1.材质环保塑胶、铝合金，上支和下支：铝；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2.T 型拐杖头：塑料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3.挽手带绳；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4.塑料十字塞；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5.高度可调范围 70-90CM。</w:t>
            </w:r>
          </w:p>
        </w:tc>
        <w:tc>
          <w:tcPr>
            <w:tcW w:w="898"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把</w:t>
            </w:r>
          </w:p>
        </w:tc>
        <w:tc>
          <w:tcPr>
            <w:tcW w:w="773"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80.00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57</w:t>
            </w:r>
          </w:p>
        </w:tc>
        <w:tc>
          <w:tcPr>
            <w:tcW w:w="690"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1293" w:type="dxa"/>
            <w:gridSpan w:val="2"/>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1293" w:type="dxa"/>
            <w:gridSpan w:val="2"/>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四脚手杖</w:t>
            </w:r>
          </w:p>
        </w:tc>
        <w:tc>
          <w:tcPr>
            <w:tcW w:w="1293"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6717" w:type="dxa"/>
            <w:gridSpan w:val="2"/>
            <w:vAlign w:val="center"/>
          </w:tcPr>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1.上支和下支：铝；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2.T 型拐杖头：塑料；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3.挽手带绳；塑料十字塞；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4.可调高度范围 70-90CM。 </w:t>
            </w:r>
          </w:p>
        </w:tc>
        <w:tc>
          <w:tcPr>
            <w:tcW w:w="898" w:type="dxa"/>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把</w:t>
            </w:r>
          </w:p>
        </w:tc>
        <w:tc>
          <w:tcPr>
            <w:tcW w:w="773"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96.00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58</w:t>
            </w:r>
          </w:p>
        </w:tc>
        <w:tc>
          <w:tcPr>
            <w:tcW w:w="690"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1293" w:type="dxa"/>
            <w:gridSpan w:val="2"/>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1293" w:type="dxa"/>
            <w:gridSpan w:val="2"/>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凳拐</w:t>
            </w:r>
          </w:p>
        </w:tc>
        <w:tc>
          <w:tcPr>
            <w:tcW w:w="1293"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6717" w:type="dxa"/>
            <w:gridSpan w:val="2"/>
            <w:vAlign w:val="center"/>
          </w:tcPr>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1.凳面座板：PVC材质；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2.带LED照明灯；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3.铝合金 ABS 塑料；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4.承重≧200 斤。</w:t>
            </w:r>
          </w:p>
        </w:tc>
        <w:tc>
          <w:tcPr>
            <w:tcW w:w="898" w:type="dxa"/>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个</w:t>
            </w:r>
          </w:p>
        </w:tc>
        <w:tc>
          <w:tcPr>
            <w:tcW w:w="773"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120.00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59</w:t>
            </w:r>
          </w:p>
        </w:tc>
        <w:tc>
          <w:tcPr>
            <w:tcW w:w="690"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1293" w:type="dxa"/>
            <w:gridSpan w:val="2"/>
            <w:vMerge w:val="restart"/>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助视</w:t>
            </w:r>
          </w:p>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设备</w:t>
            </w:r>
          </w:p>
        </w:tc>
        <w:tc>
          <w:tcPr>
            <w:tcW w:w="1293" w:type="dxa"/>
            <w:gridSpan w:val="2"/>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手持放大镜</w:t>
            </w:r>
          </w:p>
        </w:tc>
        <w:tc>
          <w:tcPr>
            <w:tcW w:w="1293" w:type="dxa"/>
            <w:vMerge w:val="restart"/>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视力障碍的老年人使用，针对视力障碍、颜色识别障碍的老年人，提供助视功能，方便老年人阅读。</w:t>
            </w:r>
          </w:p>
        </w:tc>
        <w:tc>
          <w:tcPr>
            <w:tcW w:w="6717" w:type="dxa"/>
            <w:gridSpan w:val="2"/>
            <w:vAlign w:val="center"/>
          </w:tcPr>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1.放大倍率≧3 倍；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2.光源白色 LED 灯≧6 个；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3.手持+固焦；充电锂电池。</w:t>
            </w:r>
          </w:p>
        </w:tc>
        <w:tc>
          <w:tcPr>
            <w:tcW w:w="898" w:type="dxa"/>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个</w:t>
            </w:r>
          </w:p>
        </w:tc>
        <w:tc>
          <w:tcPr>
            <w:tcW w:w="773"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190.00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60</w:t>
            </w:r>
          </w:p>
        </w:tc>
        <w:tc>
          <w:tcPr>
            <w:tcW w:w="690"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1293" w:type="dxa"/>
            <w:gridSpan w:val="2"/>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1293" w:type="dxa"/>
            <w:gridSpan w:val="2"/>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电子放大镜</w:t>
            </w:r>
          </w:p>
        </w:tc>
        <w:tc>
          <w:tcPr>
            <w:tcW w:w="1293"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6717" w:type="dxa"/>
            <w:gridSpan w:val="2"/>
            <w:vAlign w:val="center"/>
          </w:tcPr>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1.材质亚克力/K9 玻璃；采用≧5 倍定焦设计；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2.柔和 LED 光源，按压式开关设计，黑暗环境也可以方便使用。</w:t>
            </w:r>
          </w:p>
        </w:tc>
        <w:tc>
          <w:tcPr>
            <w:tcW w:w="898" w:type="dxa"/>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个</w:t>
            </w:r>
          </w:p>
        </w:tc>
        <w:tc>
          <w:tcPr>
            <w:tcW w:w="773"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199.00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61</w:t>
            </w:r>
          </w:p>
        </w:tc>
        <w:tc>
          <w:tcPr>
            <w:tcW w:w="690"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2586" w:type="dxa"/>
            <w:gridSpan w:val="4"/>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轮 椅 (不 带 座 便 )</w:t>
            </w:r>
          </w:p>
        </w:tc>
        <w:tc>
          <w:tcPr>
            <w:tcW w:w="1293" w:type="dxa"/>
            <w:vMerge w:val="restart"/>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辅助家人、照护人员推行、帮助老年人站立行走，扩大老年人活动空间，通过髋关节运动助力，辅助老人行走，纠正代偿性异常步态</w:t>
            </w:r>
          </w:p>
        </w:tc>
        <w:tc>
          <w:tcPr>
            <w:tcW w:w="6717" w:type="dxa"/>
            <w:gridSpan w:val="2"/>
            <w:vAlign w:val="center"/>
          </w:tcPr>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1.车架选用航钛高强度钢焊接而成，表面经喷漆处理；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2.座垫/靠垫采用牛津尼龙布料做成，质地柔软、透气防滑；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3.固定斜扶手架，坚固耐用，方便使用者站立时辅助；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4.固定式拆脚、操作简易，脚踏板采用塑料脚踏板，高度可调；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5.≧8 英寸(20cm)PVC 前轮，配高强度塑料轮毂,坚固耐用，实心轮耐磨；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6.≧24 英寸(60cm)实心胎后轮，耐磨不用充气，具备减震功能，配工程塑料手轮装置。</w:t>
            </w:r>
          </w:p>
        </w:tc>
        <w:tc>
          <w:tcPr>
            <w:tcW w:w="898"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张</w:t>
            </w:r>
          </w:p>
        </w:tc>
        <w:tc>
          <w:tcPr>
            <w:tcW w:w="773"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680.00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62</w:t>
            </w:r>
          </w:p>
        </w:tc>
        <w:tc>
          <w:tcPr>
            <w:tcW w:w="690"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2586" w:type="dxa"/>
            <w:gridSpan w:val="4"/>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带座便轮椅</w:t>
            </w:r>
          </w:p>
        </w:tc>
        <w:tc>
          <w:tcPr>
            <w:tcW w:w="1293"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6717" w:type="dxa"/>
            <w:gridSpan w:val="2"/>
            <w:vAlign w:val="center"/>
          </w:tcPr>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1.车架采用高强度钢焊接而成，电镀抗老化，防锈能力强；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2.靠背角度完全按人体腰部生理弯曲度来设计，为人体提供最佳支撑；</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3.座垫表面采用人造皮革料内部添加加厚海绵软座垫:面开长方形开口厕孔,根据人体坐姿设计，为用户提供最佳的方便位置；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4.配有大容量 PVC 光面方厕桶,具有防水、容易清洁的特质，方便用户灵活安装和抽出厕桶；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5.扶手可后翻且可拆卸；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6.可拆脚托，同时脚踏板采用偏心装置锁紧，方便高低调节；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7.不小于 8 英寸(20cm)PU 万向前轮；不小于 24 英寸(61cm)免充气式 后轮，减震，配手轮装置(手直接驱动轮椅时使用)；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8.刹车采用肘节式刹车装置，刹车装置制动后低于座位面，方便快捷安全；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9.可折叠式车型，方便携带出行，节省占用空间位置。</w:t>
            </w:r>
          </w:p>
        </w:tc>
        <w:tc>
          <w:tcPr>
            <w:tcW w:w="898" w:type="dxa"/>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张</w:t>
            </w:r>
          </w:p>
        </w:tc>
        <w:tc>
          <w:tcPr>
            <w:tcW w:w="773"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990.00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63</w:t>
            </w:r>
          </w:p>
        </w:tc>
        <w:tc>
          <w:tcPr>
            <w:tcW w:w="690"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2586" w:type="dxa"/>
            <w:gridSpan w:val="4"/>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带凳助行器</w:t>
            </w:r>
          </w:p>
        </w:tc>
        <w:tc>
          <w:tcPr>
            <w:tcW w:w="1293"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6717" w:type="dxa"/>
            <w:gridSpan w:val="2"/>
            <w:vAlign w:val="center"/>
          </w:tcPr>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1.车架选用航钛高强度特种铝型材焊接而成；具有强度高；重量轻的特性，表面经喷涂处理后具有不掉色，抗老化、不生锈的特质；</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2.车架四脚配有伸缩管，可供用户随意调节适用高度。也适用于不同高度人群使用；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3.座垫采用加厚海绵人造皮革,耐用、防水；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4.PVC把手，前置2个不小于5英寸的PVC轮；后配防滑耐磨胶脚，能让用户轻松安全方便前行；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5.可折叠式车型，折叠轻便、操作方便、结构可靠的优点,能节省占用空间位置。 </w:t>
            </w:r>
          </w:p>
        </w:tc>
        <w:tc>
          <w:tcPr>
            <w:tcW w:w="898" w:type="dxa"/>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个</w:t>
            </w:r>
          </w:p>
        </w:tc>
        <w:tc>
          <w:tcPr>
            <w:tcW w:w="773"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390.00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64</w:t>
            </w:r>
          </w:p>
        </w:tc>
        <w:tc>
          <w:tcPr>
            <w:tcW w:w="690"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2586" w:type="dxa"/>
            <w:gridSpan w:val="4"/>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步行辅助器</w:t>
            </w:r>
          </w:p>
        </w:tc>
        <w:tc>
          <w:tcPr>
            <w:tcW w:w="1293"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6717" w:type="dxa"/>
            <w:gridSpan w:val="2"/>
            <w:vAlign w:val="center"/>
          </w:tcPr>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1.铝合金材质，不会划伤表面，永不生锈；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2.安全承重≧150kg；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3.腿部高度可调，适合不同身高；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4.把手采用高密度 PVC 材质，防滑不断裂；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5.双把手设计，适用不同环境使用；加大加厚天然橡胶脚垫，更耐用、更防滑；内藏金属垫片，加强其耐用性。</w:t>
            </w:r>
          </w:p>
        </w:tc>
        <w:tc>
          <w:tcPr>
            <w:tcW w:w="898" w:type="dxa"/>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个</w:t>
            </w:r>
          </w:p>
        </w:tc>
        <w:tc>
          <w:tcPr>
            <w:tcW w:w="773"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280.00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65</w:t>
            </w:r>
          </w:p>
        </w:tc>
        <w:tc>
          <w:tcPr>
            <w:tcW w:w="690"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1293" w:type="dxa"/>
            <w:gridSpan w:val="2"/>
            <w:vMerge w:val="restart"/>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助听器</w:t>
            </w:r>
          </w:p>
        </w:tc>
        <w:tc>
          <w:tcPr>
            <w:tcW w:w="1293" w:type="dxa"/>
            <w:gridSpan w:val="2"/>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盒子助听器</w:t>
            </w:r>
          </w:p>
        </w:tc>
        <w:tc>
          <w:tcPr>
            <w:tcW w:w="1293" w:type="dxa"/>
            <w:vMerge w:val="restart"/>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帮助老年人听清声音来源，增加与周围的交流</w:t>
            </w:r>
          </w:p>
        </w:tc>
        <w:tc>
          <w:tcPr>
            <w:tcW w:w="6717" w:type="dxa"/>
            <w:gridSpan w:val="2"/>
            <w:vAlign w:val="center"/>
          </w:tcPr>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1.具备电视、通话等多种开关模式选择；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2.适配 115dB 以下听力损失；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3.音量可调节；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4.具备双声道立体声；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5.可更换7号电池。</w:t>
            </w:r>
          </w:p>
        </w:tc>
        <w:tc>
          <w:tcPr>
            <w:tcW w:w="898" w:type="dxa"/>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个</w:t>
            </w:r>
          </w:p>
        </w:tc>
        <w:tc>
          <w:tcPr>
            <w:tcW w:w="773"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800.00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66</w:t>
            </w:r>
          </w:p>
        </w:tc>
        <w:tc>
          <w:tcPr>
            <w:tcW w:w="690"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1293" w:type="dxa"/>
            <w:gridSpan w:val="2"/>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1293" w:type="dxa"/>
            <w:gridSpan w:val="2"/>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耳背助听器</w:t>
            </w:r>
          </w:p>
        </w:tc>
        <w:tc>
          <w:tcPr>
            <w:tcW w:w="1293"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6717" w:type="dxa"/>
            <w:gridSpan w:val="2"/>
            <w:vAlign w:val="center"/>
          </w:tcPr>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1.全数字信号处理，专业噪音过滤系统；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2.至少 8 频段数字处理，内置高保真反馈抑制系统，有效防止啸叫，使用更舒适；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3.4个调节程序，满足不同的听力补偿需求适用范围：确保中、重度听力残疾老年人听清声音来源。</w:t>
            </w:r>
          </w:p>
        </w:tc>
        <w:tc>
          <w:tcPr>
            <w:tcW w:w="898" w:type="dxa"/>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个</w:t>
            </w:r>
          </w:p>
        </w:tc>
        <w:tc>
          <w:tcPr>
            <w:tcW w:w="773"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800.00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67</w:t>
            </w:r>
          </w:p>
        </w:tc>
        <w:tc>
          <w:tcPr>
            <w:tcW w:w="690"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1293" w:type="dxa"/>
            <w:gridSpan w:val="2"/>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1293" w:type="dxa"/>
            <w:gridSpan w:val="2"/>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耳内助听器</w:t>
            </w:r>
          </w:p>
        </w:tc>
        <w:tc>
          <w:tcPr>
            <w:tcW w:w="1293"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6717" w:type="dxa"/>
            <w:gridSpan w:val="2"/>
            <w:vAlign w:val="center"/>
          </w:tcPr>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1.可充电；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2.续航≧24 小时；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3.频率响应范围 400Hz—5000Hz。</w:t>
            </w:r>
          </w:p>
        </w:tc>
        <w:tc>
          <w:tcPr>
            <w:tcW w:w="898" w:type="dxa"/>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个</w:t>
            </w:r>
          </w:p>
        </w:tc>
        <w:tc>
          <w:tcPr>
            <w:tcW w:w="773"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800.00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68</w:t>
            </w:r>
          </w:p>
        </w:tc>
        <w:tc>
          <w:tcPr>
            <w:tcW w:w="690"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1293" w:type="dxa"/>
            <w:gridSpan w:val="2"/>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1293" w:type="dxa"/>
            <w:gridSpan w:val="2"/>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骨导助听器</w:t>
            </w:r>
          </w:p>
        </w:tc>
        <w:tc>
          <w:tcPr>
            <w:tcW w:w="1293"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6717" w:type="dxa"/>
            <w:gridSpan w:val="2"/>
            <w:vAlign w:val="center"/>
          </w:tcPr>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1.频响范围：20-20KHZ；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2.声音灵敏度：54+0.3小时；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3.额定工作时间：10+0.3小时；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4.待机时间：＞60 天。</w:t>
            </w:r>
          </w:p>
        </w:tc>
        <w:tc>
          <w:tcPr>
            <w:tcW w:w="898" w:type="dxa"/>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个</w:t>
            </w:r>
          </w:p>
        </w:tc>
        <w:tc>
          <w:tcPr>
            <w:tcW w:w="773"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600.00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69</w:t>
            </w:r>
          </w:p>
        </w:tc>
        <w:tc>
          <w:tcPr>
            <w:tcW w:w="690"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1293" w:type="dxa"/>
            <w:gridSpan w:val="2"/>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自助进 </w:t>
            </w:r>
          </w:p>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食器具</w:t>
            </w:r>
          </w:p>
        </w:tc>
        <w:tc>
          <w:tcPr>
            <w:tcW w:w="1293" w:type="dxa"/>
            <w:gridSpan w:val="2"/>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防洒碗 (盘)</w:t>
            </w:r>
          </w:p>
        </w:tc>
        <w:tc>
          <w:tcPr>
            <w:tcW w:w="1293" w:type="dxa"/>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辅助老年人进食</w:t>
            </w:r>
          </w:p>
        </w:tc>
        <w:tc>
          <w:tcPr>
            <w:tcW w:w="6717" w:type="dxa"/>
            <w:gridSpan w:val="2"/>
            <w:vAlign w:val="center"/>
          </w:tcPr>
          <w:p>
            <w:pPr>
              <w:numPr>
                <w:ilvl w:val="0"/>
                <w:numId w:val="3"/>
              </w:num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助食碗和防洒盘底部带有吸盘，吸附力持久，防止碗滑动；碗口一侧 为屋檐式设计，防止食物遗洒；</w:t>
            </w:r>
          </w:p>
          <w:p>
            <w:pPr>
              <w:numPr>
                <w:ilvl w:val="0"/>
                <w:numId w:val="0"/>
              </w:num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2.碗体为食品级 PP 塑料，吸盘为无毒级硅胶。</w:t>
            </w:r>
          </w:p>
        </w:tc>
        <w:tc>
          <w:tcPr>
            <w:tcW w:w="898" w:type="dxa"/>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个</w:t>
            </w:r>
          </w:p>
        </w:tc>
        <w:tc>
          <w:tcPr>
            <w:tcW w:w="773"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160.00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70</w:t>
            </w:r>
          </w:p>
        </w:tc>
        <w:tc>
          <w:tcPr>
            <w:tcW w:w="690"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1293" w:type="dxa"/>
            <w:gridSpan w:val="2"/>
            <w:vMerge w:val="restart"/>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健康检查产品</w:t>
            </w:r>
          </w:p>
        </w:tc>
        <w:tc>
          <w:tcPr>
            <w:tcW w:w="1293" w:type="dxa"/>
            <w:gridSpan w:val="2"/>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助食筷</w:t>
            </w:r>
          </w:p>
        </w:tc>
        <w:tc>
          <w:tcPr>
            <w:tcW w:w="1293" w:type="dxa"/>
            <w:vMerge w:val="restart"/>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便捷家庭老人检查身体 </w:t>
            </w:r>
          </w:p>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情况，如血压、血糖、血 </w:t>
            </w:r>
          </w:p>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氧及体温等</w:t>
            </w:r>
          </w:p>
        </w:tc>
        <w:tc>
          <w:tcPr>
            <w:tcW w:w="6717" w:type="dxa"/>
            <w:gridSpan w:val="2"/>
            <w:vAlign w:val="center"/>
          </w:tcPr>
          <w:p>
            <w:pPr>
              <w:numPr>
                <w:ilvl w:val="0"/>
                <w:numId w:val="0"/>
              </w:num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1.帮助一些手部僵硬、中风、挛缩的病人，自主进食；</w:t>
            </w:r>
          </w:p>
          <w:p>
            <w:pPr>
              <w:numPr>
                <w:ilvl w:val="0"/>
                <w:numId w:val="0"/>
              </w:num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2.在使用过程中，因手部问题造成的不稳现象，可较为轻松的夹起食物。</w:t>
            </w:r>
          </w:p>
        </w:tc>
        <w:tc>
          <w:tcPr>
            <w:tcW w:w="898"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双</w:t>
            </w:r>
          </w:p>
        </w:tc>
        <w:tc>
          <w:tcPr>
            <w:tcW w:w="773"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60.00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71</w:t>
            </w:r>
          </w:p>
        </w:tc>
        <w:tc>
          <w:tcPr>
            <w:tcW w:w="690"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1293" w:type="dxa"/>
            <w:gridSpan w:val="2"/>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1293" w:type="dxa"/>
            <w:gridSpan w:val="2"/>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弯柄勺 (叉)</w:t>
            </w:r>
          </w:p>
        </w:tc>
        <w:tc>
          <w:tcPr>
            <w:tcW w:w="1293"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6717" w:type="dxa"/>
            <w:gridSpan w:val="2"/>
            <w:vAlign w:val="center"/>
          </w:tcPr>
          <w:p>
            <w:pPr>
              <w:numPr>
                <w:ilvl w:val="0"/>
                <w:numId w:val="4"/>
              </w:num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助食勺和助食叉能在水平 140°、轴向旋转 360°的空间范围内 任意调整及锁定位置，并保持其状态；</w:t>
            </w:r>
          </w:p>
          <w:p>
            <w:pPr>
              <w:numPr>
                <w:ilvl w:val="0"/>
                <w:numId w:val="0"/>
              </w:num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2.手柄位置带有橡胶皮带可 按手的大小，调整松紧。手柄内部空间放置配重，满足用户的使用 习惯及特殊需要。</w:t>
            </w:r>
          </w:p>
        </w:tc>
        <w:tc>
          <w:tcPr>
            <w:tcW w:w="898"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把</w:t>
            </w:r>
          </w:p>
        </w:tc>
        <w:tc>
          <w:tcPr>
            <w:tcW w:w="773"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160.00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72</w:t>
            </w:r>
          </w:p>
        </w:tc>
        <w:tc>
          <w:tcPr>
            <w:tcW w:w="690"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1293" w:type="dxa"/>
            <w:gridSpan w:val="2"/>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1293" w:type="dxa"/>
            <w:gridSpan w:val="2"/>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饮水杯(壶)</w:t>
            </w:r>
          </w:p>
        </w:tc>
        <w:tc>
          <w:tcPr>
            <w:tcW w:w="1293"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6717" w:type="dxa"/>
            <w:gridSpan w:val="2"/>
            <w:vAlign w:val="center"/>
          </w:tcPr>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1.杯体：食品级 PP；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2.内胆：食品级 304 不锈钢；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3.杯口广口设计；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4.安全防溢漏，碰倒也不会溢出。</w:t>
            </w:r>
          </w:p>
        </w:tc>
        <w:tc>
          <w:tcPr>
            <w:tcW w:w="898" w:type="dxa"/>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个</w:t>
            </w:r>
          </w:p>
        </w:tc>
        <w:tc>
          <w:tcPr>
            <w:tcW w:w="773"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70.00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73</w:t>
            </w:r>
          </w:p>
        </w:tc>
        <w:tc>
          <w:tcPr>
            <w:tcW w:w="690"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1293" w:type="dxa"/>
            <w:gridSpan w:val="2"/>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1293" w:type="dxa"/>
            <w:gridSpan w:val="2"/>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电子测压仪</w:t>
            </w:r>
          </w:p>
        </w:tc>
        <w:tc>
          <w:tcPr>
            <w:tcW w:w="1293"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6717" w:type="dxa"/>
            <w:gridSpan w:val="2"/>
            <w:vAlign w:val="center"/>
          </w:tcPr>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1.可蓝牙传输数据，智能语音播报；</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2.支持一键测量血压；</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3.支持：心律测量，高血压报警（低压、正常、高压）+多电源支持使用简单便捷，测量结果语音播报给长者，数据可以对接到健康档案数据库。</w:t>
            </w:r>
          </w:p>
        </w:tc>
        <w:tc>
          <w:tcPr>
            <w:tcW w:w="898" w:type="dxa"/>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个</w:t>
            </w:r>
          </w:p>
        </w:tc>
        <w:tc>
          <w:tcPr>
            <w:tcW w:w="773"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460.00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74</w:t>
            </w:r>
          </w:p>
        </w:tc>
        <w:tc>
          <w:tcPr>
            <w:tcW w:w="690"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1293" w:type="dxa"/>
            <w:gridSpan w:val="2"/>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1293" w:type="dxa"/>
            <w:gridSpan w:val="2"/>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智能血糖仪</w:t>
            </w:r>
          </w:p>
        </w:tc>
        <w:tc>
          <w:tcPr>
            <w:tcW w:w="1293"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6717" w:type="dxa"/>
            <w:gridSpan w:val="2"/>
            <w:vAlign w:val="center"/>
          </w:tcPr>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1.支持不操作自动关机，0.8 微升采血量，5 秒立出结果；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2.采用电池供电；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3.含采血针和 50 片试纸测量长者血糖，数据可以对接到健康数据库。</w:t>
            </w:r>
          </w:p>
        </w:tc>
        <w:tc>
          <w:tcPr>
            <w:tcW w:w="898" w:type="dxa"/>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个</w:t>
            </w:r>
          </w:p>
        </w:tc>
        <w:tc>
          <w:tcPr>
            <w:tcW w:w="773"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350.00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75</w:t>
            </w:r>
          </w:p>
        </w:tc>
        <w:tc>
          <w:tcPr>
            <w:tcW w:w="690"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1293" w:type="dxa"/>
            <w:gridSpan w:val="2"/>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1293" w:type="dxa"/>
            <w:gridSpan w:val="2"/>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额温枪</w:t>
            </w:r>
          </w:p>
        </w:tc>
        <w:tc>
          <w:tcPr>
            <w:tcW w:w="1293"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6717" w:type="dxa"/>
            <w:gridSpan w:val="2"/>
            <w:vAlign w:val="center"/>
          </w:tcPr>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1.支持报警模式：设低烧和高烧区间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2.支持测量方式：耳温、额温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3.记忆储存≥ 35 组数据方便测量长者体温。</w:t>
            </w:r>
          </w:p>
        </w:tc>
        <w:tc>
          <w:tcPr>
            <w:tcW w:w="898" w:type="dxa"/>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个</w:t>
            </w:r>
          </w:p>
        </w:tc>
        <w:tc>
          <w:tcPr>
            <w:tcW w:w="773"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170.00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76</w:t>
            </w:r>
          </w:p>
        </w:tc>
        <w:tc>
          <w:tcPr>
            <w:tcW w:w="690"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1293" w:type="dxa"/>
            <w:gridSpan w:val="2"/>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1293" w:type="dxa"/>
            <w:gridSpan w:val="2"/>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智能血氧仪</w:t>
            </w:r>
          </w:p>
        </w:tc>
        <w:tc>
          <w:tcPr>
            <w:tcW w:w="1293"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6717" w:type="dxa"/>
            <w:gridSpan w:val="2"/>
            <w:vAlign w:val="center"/>
          </w:tcPr>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1.显示方式：OLED；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2.血氧饱和度显示：70～100%；血氧准确度：±2%；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3.脉率显示:25～250BPM；脉率精确度:±1%；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血氧监测主要可以有效的测出体内血氧的情况，是通过手指部位来进行测量的。</w:t>
            </w:r>
          </w:p>
        </w:tc>
        <w:tc>
          <w:tcPr>
            <w:tcW w:w="898" w:type="dxa"/>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个</w:t>
            </w:r>
          </w:p>
        </w:tc>
        <w:tc>
          <w:tcPr>
            <w:tcW w:w="773"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120.00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bl>
    <w:p>
      <w:pPr>
        <w:rPr>
          <w:rFonts w:hint="eastAsia" w:ascii="宋体" w:hAnsi="宋体" w:eastAsia="宋体" w:cs="宋体"/>
          <w:b w:val="0"/>
          <w:bCs w:val="0"/>
          <w:i w:val="0"/>
          <w:color w:val="auto"/>
          <w:kern w:val="0"/>
          <w:sz w:val="32"/>
          <w:szCs w:val="32"/>
          <w:highlight w:val="none"/>
          <w:u w:val="none"/>
          <w:lang w:val="en-US" w:eastAsia="zh-CN" w:bidi="ar"/>
        </w:rPr>
        <w:sectPr>
          <w:pgSz w:w="16838" w:h="11906" w:orient="landscape"/>
          <w:pgMar w:top="1080" w:right="1440" w:bottom="1080" w:left="1440" w:header="720" w:footer="720" w:gutter="0"/>
          <w:pgNumType w:fmt="decimal"/>
          <w:cols w:space="720" w:num="1"/>
          <w:docGrid w:type="lines" w:linePitch="331" w:charSpace="0"/>
        </w:sectPr>
      </w:pPr>
    </w:p>
    <w:p>
      <w:pPr>
        <w:rPr>
          <w:rFonts w:hint="eastAsia" w:ascii="宋体" w:hAnsi="宋体" w:eastAsia="宋体" w:cs="宋体"/>
          <w:b w:val="0"/>
          <w:bCs w:val="0"/>
          <w:i w:val="0"/>
          <w:color w:val="auto"/>
          <w:kern w:val="0"/>
          <w:sz w:val="32"/>
          <w:szCs w:val="32"/>
          <w:highlight w:val="none"/>
          <w:u w:val="none"/>
          <w:lang w:val="en-US" w:eastAsia="zh-CN" w:bidi="ar"/>
        </w:rPr>
      </w:pPr>
      <w:r>
        <w:rPr>
          <w:rFonts w:hint="eastAsia" w:ascii="宋体" w:hAnsi="宋体" w:eastAsia="宋体" w:cs="宋体"/>
          <w:b w:val="0"/>
          <w:bCs w:val="0"/>
          <w:i w:val="0"/>
          <w:color w:val="auto"/>
          <w:kern w:val="0"/>
          <w:sz w:val="32"/>
          <w:szCs w:val="32"/>
          <w:highlight w:val="none"/>
          <w:u w:val="none"/>
          <w:lang w:val="en-US" w:eastAsia="zh-CN" w:bidi="ar"/>
        </w:rPr>
        <w:t>附件3</w:t>
      </w:r>
    </w:p>
    <w:p>
      <w:pPr>
        <w:bidi w:val="0"/>
        <w:jc w:val="center"/>
        <w:rPr>
          <w:rFonts w:hint="eastAsia" w:ascii="Times New Roman" w:hAnsi="Times New Roman" w:cs="Times New Roman"/>
          <w:b/>
          <w:bCs/>
          <w:color w:val="auto"/>
          <w:sz w:val="24"/>
          <w:highlight w:val="none"/>
          <w:lang w:val="en-US" w:eastAsia="zh-CN"/>
        </w:rPr>
      </w:pPr>
      <w:r>
        <w:rPr>
          <w:rFonts w:hint="eastAsia" w:asciiTheme="minorEastAsia" w:hAnsiTheme="minorEastAsia" w:eastAsiaTheme="minorEastAsia" w:cstheme="minorEastAsia"/>
          <w:b/>
          <w:bCs/>
          <w:color w:val="auto"/>
          <w:sz w:val="28"/>
          <w:szCs w:val="28"/>
          <w:highlight w:val="none"/>
          <w:lang w:val="en-US" w:eastAsia="zh-CN"/>
        </w:rPr>
        <w:t>横州市特殊困难老年人家庭适老化改造项目申请表</w:t>
      </w:r>
      <w:r>
        <w:rPr>
          <w:rFonts w:hint="eastAsia" w:ascii="Times New Roman" w:hAnsi="Times New Roman" w:cs="Times New Roman"/>
          <w:b/>
          <w:bCs/>
          <w:color w:val="auto"/>
          <w:sz w:val="24"/>
          <w:highlight w:val="none"/>
          <w:lang w:val="en-US" w:eastAsia="zh-CN"/>
        </w:rPr>
        <w:t xml:space="preserve">     </w:t>
      </w:r>
    </w:p>
    <w:tbl>
      <w:tblPr>
        <w:tblStyle w:val="28"/>
        <w:tblW w:w="9632"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99"/>
        <w:gridCol w:w="1890"/>
        <w:gridCol w:w="851"/>
        <w:gridCol w:w="990"/>
        <w:gridCol w:w="1134"/>
        <w:gridCol w:w="33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454" w:hRule="atLeast"/>
          <w:jc w:val="center"/>
        </w:trPr>
        <w:tc>
          <w:tcPr>
            <w:tcW w:w="1399" w:type="dxa"/>
            <w:noWrap w:val="0"/>
            <w:vAlign w:val="center"/>
          </w:tcPr>
          <w:p>
            <w:pPr>
              <w:widowControl/>
              <w:overflowPunct w:val="0"/>
              <w:adjustRightInd w:val="0"/>
              <w:snapToGrid w:val="0"/>
              <w:spacing w:line="280" w:lineRule="exact"/>
              <w:jc w:val="center"/>
              <w:rPr>
                <w:rFonts w:hint="eastAsia" w:ascii="宋体" w:hAnsi="宋体" w:eastAsia="宋体" w:cs="宋体"/>
                <w:snapToGrid w:val="0"/>
                <w:color w:val="auto"/>
                <w:kern w:val="0"/>
                <w:sz w:val="44"/>
                <w:szCs w:val="44"/>
                <w:highlight w:val="none"/>
              </w:rPr>
            </w:pPr>
            <w:r>
              <w:rPr>
                <w:rFonts w:hint="eastAsia" w:ascii="宋体" w:hAnsi="宋体" w:eastAsia="宋体" w:cs="宋体"/>
                <w:snapToGrid w:val="0"/>
                <w:color w:val="auto"/>
                <w:kern w:val="0"/>
                <w:sz w:val="18"/>
                <w:szCs w:val="18"/>
                <w:highlight w:val="none"/>
              </w:rPr>
              <w:t>老年人姓名</w:t>
            </w:r>
          </w:p>
        </w:tc>
        <w:tc>
          <w:tcPr>
            <w:tcW w:w="1890" w:type="dxa"/>
            <w:tcBorders>
              <w:right w:val="single" w:color="auto" w:sz="4" w:space="0"/>
            </w:tcBorders>
            <w:noWrap w:val="0"/>
            <w:vAlign w:val="center"/>
          </w:tcPr>
          <w:p>
            <w:pPr>
              <w:widowControl/>
              <w:overflowPunct w:val="0"/>
              <w:adjustRightInd w:val="0"/>
              <w:snapToGrid w:val="0"/>
              <w:spacing w:line="280" w:lineRule="exact"/>
              <w:jc w:val="center"/>
              <w:rPr>
                <w:rFonts w:hint="eastAsia" w:ascii="宋体" w:hAnsi="宋体" w:eastAsia="宋体" w:cs="宋体"/>
                <w:snapToGrid w:val="0"/>
                <w:color w:val="auto"/>
                <w:kern w:val="0"/>
                <w:sz w:val="44"/>
                <w:szCs w:val="44"/>
                <w:highlight w:val="none"/>
              </w:rPr>
            </w:pPr>
          </w:p>
        </w:tc>
        <w:tc>
          <w:tcPr>
            <w:tcW w:w="851" w:type="dxa"/>
            <w:tcBorders>
              <w:left w:val="single" w:color="auto" w:sz="4" w:space="0"/>
              <w:right w:val="single" w:color="auto" w:sz="4" w:space="0"/>
            </w:tcBorders>
            <w:noWrap w:val="0"/>
            <w:vAlign w:val="center"/>
          </w:tcPr>
          <w:p>
            <w:pPr>
              <w:widowControl/>
              <w:overflowPunct w:val="0"/>
              <w:adjustRightInd w:val="0"/>
              <w:snapToGrid w:val="0"/>
              <w:spacing w:line="280" w:lineRule="exact"/>
              <w:jc w:val="center"/>
              <w:rPr>
                <w:rFonts w:hint="eastAsia" w:ascii="宋体" w:hAnsi="宋体" w:eastAsia="宋体" w:cs="宋体"/>
                <w:snapToGrid w:val="0"/>
                <w:color w:val="auto"/>
                <w:kern w:val="0"/>
                <w:sz w:val="44"/>
                <w:szCs w:val="44"/>
                <w:highlight w:val="none"/>
              </w:rPr>
            </w:pPr>
            <w:r>
              <w:rPr>
                <w:rFonts w:hint="eastAsia" w:ascii="宋体" w:hAnsi="宋体" w:eastAsia="宋体" w:cs="宋体"/>
                <w:snapToGrid w:val="0"/>
                <w:color w:val="auto"/>
                <w:kern w:val="0"/>
                <w:sz w:val="18"/>
                <w:szCs w:val="18"/>
                <w:highlight w:val="none"/>
              </w:rPr>
              <w:t>性别</w:t>
            </w:r>
          </w:p>
        </w:tc>
        <w:tc>
          <w:tcPr>
            <w:tcW w:w="990" w:type="dxa"/>
            <w:tcBorders>
              <w:left w:val="single" w:color="auto" w:sz="4" w:space="0"/>
            </w:tcBorders>
            <w:noWrap w:val="0"/>
            <w:vAlign w:val="center"/>
          </w:tcPr>
          <w:p>
            <w:pPr>
              <w:widowControl/>
              <w:overflowPunct w:val="0"/>
              <w:adjustRightInd w:val="0"/>
              <w:snapToGrid w:val="0"/>
              <w:spacing w:line="280" w:lineRule="exact"/>
              <w:jc w:val="center"/>
              <w:rPr>
                <w:rFonts w:hint="eastAsia" w:ascii="宋体" w:hAnsi="宋体" w:eastAsia="宋体" w:cs="宋体"/>
                <w:snapToGrid w:val="0"/>
                <w:color w:val="auto"/>
                <w:kern w:val="0"/>
                <w:sz w:val="44"/>
                <w:szCs w:val="44"/>
                <w:highlight w:val="none"/>
              </w:rPr>
            </w:pPr>
          </w:p>
        </w:tc>
        <w:tc>
          <w:tcPr>
            <w:tcW w:w="1134" w:type="dxa"/>
            <w:noWrap w:val="0"/>
            <w:vAlign w:val="center"/>
          </w:tcPr>
          <w:p>
            <w:pPr>
              <w:widowControl/>
              <w:overflowPunct w:val="0"/>
              <w:adjustRightInd w:val="0"/>
              <w:snapToGrid w:val="0"/>
              <w:spacing w:line="280" w:lineRule="exact"/>
              <w:jc w:val="center"/>
              <w:rPr>
                <w:rFonts w:hint="eastAsia" w:ascii="宋体" w:hAnsi="宋体" w:eastAsia="宋体" w:cs="宋体"/>
                <w:snapToGrid w:val="0"/>
                <w:color w:val="auto"/>
                <w:kern w:val="0"/>
                <w:sz w:val="44"/>
                <w:szCs w:val="44"/>
                <w:highlight w:val="none"/>
              </w:rPr>
            </w:pPr>
            <w:r>
              <w:rPr>
                <w:rFonts w:hint="eastAsia" w:ascii="宋体" w:hAnsi="宋体" w:eastAsia="宋体" w:cs="宋体"/>
                <w:snapToGrid w:val="0"/>
                <w:color w:val="auto"/>
                <w:kern w:val="0"/>
                <w:sz w:val="18"/>
                <w:szCs w:val="18"/>
                <w:highlight w:val="none"/>
              </w:rPr>
              <w:t>身份证号</w:t>
            </w:r>
          </w:p>
        </w:tc>
        <w:tc>
          <w:tcPr>
            <w:tcW w:w="3368" w:type="dxa"/>
            <w:noWrap w:val="0"/>
            <w:vAlign w:val="center"/>
          </w:tcPr>
          <w:p>
            <w:pPr>
              <w:widowControl/>
              <w:overflowPunct w:val="0"/>
              <w:adjustRightInd w:val="0"/>
              <w:snapToGrid w:val="0"/>
              <w:spacing w:line="280" w:lineRule="exact"/>
              <w:jc w:val="center"/>
              <w:rPr>
                <w:rFonts w:hint="eastAsia" w:ascii="宋体" w:hAnsi="宋体" w:eastAsia="宋体" w:cs="宋体"/>
                <w:snapToGrid w:val="0"/>
                <w:color w:val="auto"/>
                <w:kern w:val="0"/>
                <w:sz w:val="44"/>
                <w:szCs w:val="4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454" w:hRule="atLeast"/>
          <w:jc w:val="center"/>
        </w:trPr>
        <w:tc>
          <w:tcPr>
            <w:tcW w:w="1399" w:type="dxa"/>
            <w:noWrap w:val="0"/>
            <w:vAlign w:val="center"/>
          </w:tcPr>
          <w:p>
            <w:pPr>
              <w:widowControl/>
              <w:overflowPunct w:val="0"/>
              <w:adjustRightInd w:val="0"/>
              <w:snapToGrid w:val="0"/>
              <w:spacing w:line="280" w:lineRule="exact"/>
              <w:jc w:val="center"/>
              <w:rPr>
                <w:rFonts w:hint="eastAsia" w:ascii="宋体" w:hAnsi="宋体" w:eastAsia="宋体" w:cs="宋体"/>
                <w:snapToGrid w:val="0"/>
                <w:color w:val="auto"/>
                <w:kern w:val="0"/>
                <w:sz w:val="44"/>
                <w:szCs w:val="44"/>
                <w:highlight w:val="none"/>
              </w:rPr>
            </w:pPr>
            <w:r>
              <w:rPr>
                <w:rFonts w:hint="eastAsia" w:ascii="宋体" w:hAnsi="宋体" w:eastAsia="宋体" w:cs="宋体"/>
                <w:snapToGrid w:val="0"/>
                <w:color w:val="auto"/>
                <w:kern w:val="0"/>
                <w:sz w:val="18"/>
                <w:szCs w:val="18"/>
                <w:highlight w:val="none"/>
              </w:rPr>
              <w:t>户籍所在地</w:t>
            </w:r>
          </w:p>
        </w:tc>
        <w:tc>
          <w:tcPr>
            <w:tcW w:w="8233" w:type="dxa"/>
            <w:gridSpan w:val="5"/>
            <w:noWrap w:val="0"/>
            <w:vAlign w:val="center"/>
          </w:tcPr>
          <w:p>
            <w:pPr>
              <w:widowControl/>
              <w:overflowPunct w:val="0"/>
              <w:adjustRightInd w:val="0"/>
              <w:snapToGrid w:val="0"/>
              <w:spacing w:line="280" w:lineRule="exact"/>
              <w:jc w:val="center"/>
              <w:rPr>
                <w:rFonts w:hint="eastAsia" w:ascii="宋体" w:hAnsi="宋体" w:eastAsia="宋体" w:cs="宋体"/>
                <w:snapToGrid w:val="0"/>
                <w:color w:val="auto"/>
                <w:kern w:val="0"/>
                <w:sz w:val="44"/>
                <w:szCs w:val="4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454" w:hRule="atLeast"/>
          <w:jc w:val="center"/>
        </w:trPr>
        <w:tc>
          <w:tcPr>
            <w:tcW w:w="1399" w:type="dxa"/>
            <w:noWrap w:val="0"/>
            <w:vAlign w:val="center"/>
          </w:tcPr>
          <w:p>
            <w:pPr>
              <w:widowControl/>
              <w:overflowPunct w:val="0"/>
              <w:adjustRightInd w:val="0"/>
              <w:snapToGrid w:val="0"/>
              <w:spacing w:line="28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18"/>
                <w:szCs w:val="18"/>
                <w:highlight w:val="none"/>
              </w:rPr>
              <w:t>申请改造</w:t>
            </w:r>
          </w:p>
          <w:p>
            <w:pPr>
              <w:widowControl/>
              <w:overflowPunct w:val="0"/>
              <w:adjustRightInd w:val="0"/>
              <w:snapToGrid w:val="0"/>
              <w:spacing w:line="280" w:lineRule="exact"/>
              <w:jc w:val="center"/>
              <w:rPr>
                <w:rFonts w:hint="eastAsia" w:ascii="宋体" w:hAnsi="宋体" w:eastAsia="宋体" w:cs="宋体"/>
                <w:snapToGrid w:val="0"/>
                <w:color w:val="auto"/>
                <w:kern w:val="0"/>
                <w:sz w:val="44"/>
                <w:szCs w:val="44"/>
                <w:highlight w:val="none"/>
              </w:rPr>
            </w:pPr>
            <w:r>
              <w:rPr>
                <w:rFonts w:hint="eastAsia" w:ascii="宋体" w:hAnsi="宋体" w:eastAsia="宋体" w:cs="宋体"/>
                <w:snapToGrid w:val="0"/>
                <w:color w:val="auto"/>
                <w:kern w:val="0"/>
                <w:sz w:val="18"/>
                <w:szCs w:val="18"/>
                <w:highlight w:val="none"/>
              </w:rPr>
              <w:t>家庭住址</w:t>
            </w:r>
          </w:p>
        </w:tc>
        <w:tc>
          <w:tcPr>
            <w:tcW w:w="8233" w:type="dxa"/>
            <w:gridSpan w:val="5"/>
            <w:noWrap w:val="0"/>
            <w:vAlign w:val="center"/>
          </w:tcPr>
          <w:p>
            <w:pPr>
              <w:widowControl/>
              <w:overflowPunct w:val="0"/>
              <w:adjustRightInd w:val="0"/>
              <w:snapToGrid w:val="0"/>
              <w:spacing w:line="280" w:lineRule="exact"/>
              <w:rPr>
                <w:rFonts w:hint="eastAsia" w:ascii="宋体" w:hAnsi="宋体" w:eastAsia="宋体" w:cs="宋体"/>
                <w:snapToGrid w:val="0"/>
                <w:color w:val="auto"/>
                <w:kern w:val="0"/>
                <w:sz w:val="44"/>
                <w:szCs w:val="44"/>
                <w:highlight w:val="none"/>
              </w:rPr>
            </w:pPr>
            <w:r>
              <w:rPr>
                <w:rFonts w:hint="eastAsia" w:ascii="宋体" w:hAnsi="宋体" w:eastAsia="宋体" w:cs="宋体"/>
                <w:snapToGrid w:val="0"/>
                <w:color w:val="auto"/>
                <w:kern w:val="0"/>
                <w:sz w:val="18"/>
                <w:szCs w:val="18"/>
                <w:highlight w:val="none"/>
              </w:rPr>
              <w:t>（详细地址）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454" w:hRule="atLeast"/>
          <w:jc w:val="center"/>
        </w:trPr>
        <w:tc>
          <w:tcPr>
            <w:tcW w:w="1399" w:type="dxa"/>
            <w:noWrap w:val="0"/>
            <w:vAlign w:val="center"/>
          </w:tcPr>
          <w:p>
            <w:pPr>
              <w:widowControl/>
              <w:overflowPunct w:val="0"/>
              <w:adjustRightInd w:val="0"/>
              <w:snapToGrid w:val="0"/>
              <w:spacing w:line="28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18"/>
                <w:szCs w:val="18"/>
                <w:highlight w:val="none"/>
              </w:rPr>
              <w:t>住宅情况</w:t>
            </w:r>
          </w:p>
        </w:tc>
        <w:tc>
          <w:tcPr>
            <w:tcW w:w="3731" w:type="dxa"/>
            <w:gridSpan w:val="3"/>
            <w:noWrap w:val="0"/>
            <w:vAlign w:val="center"/>
          </w:tcPr>
          <w:p>
            <w:pPr>
              <w:widowControl/>
              <w:overflowPunct w:val="0"/>
              <w:adjustRightInd w:val="0"/>
              <w:snapToGrid w:val="0"/>
              <w:spacing w:line="28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18"/>
                <w:szCs w:val="18"/>
                <w:highlight w:val="none"/>
              </w:rPr>
              <w:sym w:font="Wingdings 2" w:char="00A3"/>
            </w:r>
            <w:r>
              <w:rPr>
                <w:rFonts w:hint="eastAsia" w:ascii="宋体" w:hAnsi="宋体" w:eastAsia="宋体" w:cs="宋体"/>
                <w:snapToGrid w:val="0"/>
                <w:color w:val="auto"/>
                <w:kern w:val="0"/>
                <w:sz w:val="18"/>
                <w:szCs w:val="18"/>
                <w:highlight w:val="none"/>
              </w:rPr>
              <w:t>自有</w:t>
            </w:r>
            <w:r>
              <w:rPr>
                <w:rFonts w:hint="eastAsia" w:ascii="宋体" w:hAnsi="宋体" w:eastAsia="宋体" w:cs="宋体"/>
                <w:snapToGrid w:val="0"/>
                <w:color w:val="auto"/>
                <w:kern w:val="0"/>
                <w:sz w:val="18"/>
                <w:szCs w:val="18"/>
                <w:highlight w:val="none"/>
                <w:lang w:val="en-US" w:eastAsia="zh-CN"/>
              </w:rPr>
              <w:t xml:space="preserve">   </w:t>
            </w:r>
            <w:r>
              <w:rPr>
                <w:rFonts w:hint="eastAsia" w:ascii="宋体" w:hAnsi="宋体" w:eastAsia="宋体" w:cs="宋体"/>
                <w:snapToGrid w:val="0"/>
                <w:color w:val="auto"/>
                <w:kern w:val="0"/>
                <w:sz w:val="18"/>
                <w:szCs w:val="18"/>
                <w:highlight w:val="none"/>
              </w:rPr>
              <w:t> □非自有</w:t>
            </w:r>
          </w:p>
        </w:tc>
        <w:tc>
          <w:tcPr>
            <w:tcW w:w="1134" w:type="dxa"/>
            <w:noWrap w:val="0"/>
            <w:vAlign w:val="center"/>
          </w:tcPr>
          <w:p>
            <w:pPr>
              <w:widowControl/>
              <w:overflowPunct w:val="0"/>
              <w:adjustRightInd w:val="0"/>
              <w:snapToGrid w:val="0"/>
              <w:spacing w:line="28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18"/>
                <w:szCs w:val="18"/>
                <w:highlight w:val="none"/>
              </w:rPr>
              <w:t>家庭人数</w:t>
            </w:r>
          </w:p>
        </w:tc>
        <w:tc>
          <w:tcPr>
            <w:tcW w:w="3368" w:type="dxa"/>
            <w:noWrap w:val="0"/>
            <w:vAlign w:val="center"/>
          </w:tcPr>
          <w:p>
            <w:pPr>
              <w:widowControl/>
              <w:overflowPunct w:val="0"/>
              <w:adjustRightInd w:val="0"/>
              <w:snapToGrid w:val="0"/>
              <w:spacing w:line="280" w:lineRule="exact"/>
              <w:jc w:val="center"/>
              <w:rPr>
                <w:rFonts w:hint="eastAsia" w:ascii="宋体" w:hAnsi="宋体" w:eastAsia="宋体" w:cs="宋体"/>
                <w:snapToGrid w:val="0"/>
                <w:color w:val="auto"/>
                <w:kern w:val="0"/>
                <w:sz w:val="44"/>
                <w:szCs w:val="4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454" w:hRule="atLeast"/>
          <w:jc w:val="center"/>
        </w:trPr>
        <w:tc>
          <w:tcPr>
            <w:tcW w:w="1399" w:type="dxa"/>
            <w:noWrap w:val="0"/>
            <w:vAlign w:val="center"/>
          </w:tcPr>
          <w:p>
            <w:pPr>
              <w:widowControl/>
              <w:overflowPunct w:val="0"/>
              <w:adjustRightInd w:val="0"/>
              <w:snapToGrid w:val="0"/>
              <w:spacing w:line="28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18"/>
                <w:szCs w:val="18"/>
                <w:highlight w:val="none"/>
              </w:rPr>
              <w:t>家庭联系人</w:t>
            </w:r>
          </w:p>
        </w:tc>
        <w:tc>
          <w:tcPr>
            <w:tcW w:w="3731" w:type="dxa"/>
            <w:gridSpan w:val="3"/>
            <w:noWrap w:val="0"/>
            <w:vAlign w:val="center"/>
          </w:tcPr>
          <w:p>
            <w:pPr>
              <w:widowControl/>
              <w:overflowPunct w:val="0"/>
              <w:adjustRightInd w:val="0"/>
              <w:snapToGrid w:val="0"/>
              <w:spacing w:line="280" w:lineRule="exact"/>
              <w:jc w:val="center"/>
              <w:rPr>
                <w:rFonts w:hint="eastAsia" w:ascii="宋体" w:hAnsi="宋体" w:eastAsia="宋体" w:cs="宋体"/>
                <w:snapToGrid w:val="0"/>
                <w:color w:val="auto"/>
                <w:kern w:val="0"/>
                <w:sz w:val="24"/>
                <w:szCs w:val="24"/>
                <w:highlight w:val="none"/>
              </w:rPr>
            </w:pPr>
          </w:p>
        </w:tc>
        <w:tc>
          <w:tcPr>
            <w:tcW w:w="1134" w:type="dxa"/>
            <w:noWrap w:val="0"/>
            <w:vAlign w:val="center"/>
          </w:tcPr>
          <w:p>
            <w:pPr>
              <w:widowControl/>
              <w:overflowPunct w:val="0"/>
              <w:adjustRightInd w:val="0"/>
              <w:snapToGrid w:val="0"/>
              <w:spacing w:line="28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18"/>
                <w:szCs w:val="18"/>
                <w:highlight w:val="none"/>
              </w:rPr>
              <w:t>联系电话</w:t>
            </w:r>
          </w:p>
        </w:tc>
        <w:tc>
          <w:tcPr>
            <w:tcW w:w="3368" w:type="dxa"/>
            <w:noWrap w:val="0"/>
            <w:vAlign w:val="center"/>
          </w:tcPr>
          <w:p>
            <w:pPr>
              <w:widowControl/>
              <w:overflowPunct w:val="0"/>
              <w:adjustRightInd w:val="0"/>
              <w:snapToGrid w:val="0"/>
              <w:spacing w:line="280" w:lineRule="exact"/>
              <w:jc w:val="center"/>
              <w:rPr>
                <w:rFonts w:hint="eastAsia" w:ascii="宋体" w:hAnsi="宋体" w:eastAsia="宋体" w:cs="宋体"/>
                <w:snapToGrid w:val="0"/>
                <w:color w:val="auto"/>
                <w:kern w:val="0"/>
                <w:sz w:val="44"/>
                <w:szCs w:val="4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399" w:type="dxa"/>
            <w:noWrap w:val="0"/>
            <w:vAlign w:val="center"/>
          </w:tcPr>
          <w:p>
            <w:pPr>
              <w:widowControl/>
              <w:overflowPunct w:val="0"/>
              <w:adjustRightInd w:val="0"/>
              <w:snapToGrid w:val="0"/>
              <w:spacing w:line="280" w:lineRule="exact"/>
              <w:jc w:val="center"/>
              <w:rPr>
                <w:rFonts w:hint="eastAsia" w:ascii="宋体" w:hAnsi="宋体" w:eastAsia="宋体" w:cs="宋体"/>
                <w:snapToGrid w:val="0"/>
                <w:color w:val="auto"/>
                <w:kern w:val="0"/>
                <w:sz w:val="18"/>
                <w:szCs w:val="18"/>
                <w:highlight w:val="none"/>
              </w:rPr>
            </w:pPr>
            <w:r>
              <w:rPr>
                <w:rFonts w:hint="eastAsia" w:ascii="宋体" w:hAnsi="宋体" w:eastAsia="宋体" w:cs="宋体"/>
                <w:snapToGrid w:val="0"/>
                <w:color w:val="auto"/>
                <w:kern w:val="0"/>
                <w:sz w:val="18"/>
                <w:szCs w:val="18"/>
                <w:highlight w:val="none"/>
              </w:rPr>
              <w:t>身份特征</w:t>
            </w:r>
          </w:p>
        </w:tc>
        <w:tc>
          <w:tcPr>
            <w:tcW w:w="8233" w:type="dxa"/>
            <w:gridSpan w:val="5"/>
            <w:noWrap w:val="0"/>
            <w:vAlign w:val="top"/>
          </w:tcPr>
          <w:p>
            <w:pPr>
              <w:widowControl/>
              <w:overflowPunct w:val="0"/>
              <w:adjustRightInd w:val="0"/>
              <w:snapToGrid w:val="0"/>
              <w:spacing w:line="280" w:lineRule="exact"/>
              <w:ind w:left="63"/>
              <w:jc w:val="left"/>
              <w:rPr>
                <w:rFonts w:hint="eastAsia" w:ascii="宋体" w:hAnsi="宋体" w:eastAsia="宋体" w:cs="宋体"/>
                <w:snapToGrid w:val="0"/>
                <w:color w:val="auto"/>
                <w:kern w:val="0"/>
                <w:sz w:val="18"/>
                <w:szCs w:val="18"/>
                <w:highlight w:val="none"/>
              </w:rPr>
            </w:pPr>
            <w:r>
              <w:rPr>
                <w:rFonts w:hint="eastAsia" w:ascii="宋体" w:hAnsi="宋体" w:eastAsia="宋体" w:cs="宋体"/>
                <w:snapToGrid w:val="0"/>
                <w:color w:val="auto"/>
                <w:kern w:val="0"/>
                <w:sz w:val="18"/>
                <w:szCs w:val="18"/>
                <w:highlight w:val="none"/>
                <w:lang w:eastAsia="zh-CN"/>
              </w:rPr>
              <w:t>□</w:t>
            </w:r>
            <w:r>
              <w:rPr>
                <w:rFonts w:hint="eastAsia" w:ascii="宋体" w:hAnsi="宋体" w:eastAsia="宋体" w:cs="宋体"/>
                <w:snapToGrid w:val="0"/>
                <w:color w:val="auto"/>
                <w:kern w:val="0"/>
                <w:sz w:val="18"/>
                <w:szCs w:val="18"/>
                <w:highlight w:val="none"/>
              </w:rPr>
              <w:t>分散供养特困老年人；</w:t>
            </w:r>
          </w:p>
          <w:p>
            <w:pPr>
              <w:widowControl/>
              <w:overflowPunct w:val="0"/>
              <w:adjustRightInd w:val="0"/>
              <w:snapToGrid w:val="0"/>
              <w:spacing w:line="280" w:lineRule="exact"/>
              <w:ind w:left="63"/>
              <w:jc w:val="left"/>
              <w:rPr>
                <w:rFonts w:hint="eastAsia" w:ascii="宋体" w:hAnsi="宋体" w:eastAsia="宋体" w:cs="宋体"/>
                <w:snapToGrid w:val="0"/>
                <w:color w:val="auto"/>
                <w:kern w:val="0"/>
                <w:sz w:val="18"/>
                <w:szCs w:val="18"/>
                <w:highlight w:val="none"/>
              </w:rPr>
            </w:pPr>
            <w:r>
              <w:rPr>
                <w:rFonts w:hint="eastAsia" w:ascii="宋体" w:hAnsi="宋体" w:eastAsia="宋体" w:cs="宋体"/>
                <w:snapToGrid w:val="0"/>
                <w:color w:val="auto"/>
                <w:kern w:val="0"/>
                <w:sz w:val="18"/>
                <w:szCs w:val="18"/>
                <w:highlight w:val="none"/>
              </w:rPr>
              <w:t>□城乡低保对象中的高龄、失能、留守、空巢、残疾老年人家庭；</w:t>
            </w:r>
          </w:p>
          <w:p>
            <w:pPr>
              <w:widowControl/>
              <w:overflowPunct w:val="0"/>
              <w:adjustRightInd w:val="0"/>
              <w:snapToGrid w:val="0"/>
              <w:spacing w:line="280" w:lineRule="exact"/>
              <w:ind w:left="63"/>
              <w:jc w:val="left"/>
              <w:rPr>
                <w:rFonts w:hint="eastAsia" w:ascii="宋体" w:hAnsi="宋体" w:eastAsia="宋体" w:cs="宋体"/>
                <w:snapToGrid w:val="0"/>
                <w:color w:val="auto"/>
                <w:kern w:val="0"/>
                <w:sz w:val="18"/>
                <w:szCs w:val="18"/>
                <w:highlight w:val="none"/>
              </w:rPr>
            </w:pPr>
            <w:r>
              <w:rPr>
                <w:rFonts w:hint="eastAsia" w:ascii="宋体" w:hAnsi="宋体" w:eastAsia="宋体" w:cs="宋体"/>
                <w:snapToGrid w:val="0"/>
                <w:color w:val="auto"/>
                <w:kern w:val="0"/>
                <w:sz w:val="18"/>
                <w:szCs w:val="18"/>
                <w:highlight w:val="none"/>
              </w:rPr>
              <w:t>□计划生育特殊家庭；</w:t>
            </w:r>
          </w:p>
          <w:p>
            <w:pPr>
              <w:widowControl/>
              <w:overflowPunct w:val="0"/>
              <w:adjustRightInd w:val="0"/>
              <w:snapToGrid w:val="0"/>
              <w:spacing w:line="280" w:lineRule="exact"/>
              <w:ind w:left="63"/>
              <w:jc w:val="left"/>
              <w:rPr>
                <w:rFonts w:hint="eastAsia" w:ascii="宋体" w:hAnsi="宋体" w:eastAsia="宋体" w:cs="宋体"/>
                <w:snapToGrid w:val="0"/>
                <w:color w:val="auto"/>
                <w:kern w:val="0"/>
                <w:sz w:val="18"/>
                <w:szCs w:val="18"/>
                <w:highlight w:val="none"/>
              </w:rPr>
            </w:pPr>
            <w:r>
              <w:rPr>
                <w:rFonts w:hint="eastAsia" w:ascii="宋体" w:hAnsi="宋体" w:eastAsia="宋体" w:cs="宋体"/>
                <w:snapToGrid w:val="0"/>
                <w:color w:val="auto"/>
                <w:kern w:val="0"/>
                <w:sz w:val="18"/>
                <w:szCs w:val="18"/>
                <w:highlight w:val="none"/>
              </w:rPr>
              <w:t>□其他 </w:t>
            </w:r>
          </w:p>
          <w:p>
            <w:pPr>
              <w:widowControl/>
              <w:overflowPunct w:val="0"/>
              <w:adjustRightInd w:val="0"/>
              <w:snapToGrid w:val="0"/>
              <w:spacing w:line="280" w:lineRule="exact"/>
              <w:ind w:left="63"/>
              <w:jc w:val="left"/>
              <w:rPr>
                <w:rFonts w:hint="eastAsia" w:ascii="宋体" w:hAnsi="宋体" w:eastAsia="宋体" w:cs="宋体"/>
                <w:snapToGrid w:val="0"/>
                <w:color w:val="auto"/>
                <w:kern w:val="0"/>
                <w:sz w:val="44"/>
                <w:szCs w:val="44"/>
                <w:highlight w:val="none"/>
              </w:rPr>
            </w:pPr>
            <w:r>
              <w:rPr>
                <w:rFonts w:hint="eastAsia" w:ascii="宋体" w:hAnsi="宋体" w:eastAsia="宋体" w:cs="宋体"/>
                <w:snapToGrid w:val="0"/>
                <w:color w:val="auto"/>
                <w:kern w:val="0"/>
                <w:sz w:val="18"/>
                <w:szCs w:val="18"/>
                <w:highlight w:val="none"/>
              </w:rPr>
              <w:t>（在所选项后□内划“√”，并附相关证明材料）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54" w:hRule="atLeast"/>
          <w:jc w:val="center"/>
        </w:trPr>
        <w:tc>
          <w:tcPr>
            <w:tcW w:w="1399" w:type="dxa"/>
            <w:noWrap w:val="0"/>
            <w:vAlign w:val="center"/>
          </w:tcPr>
          <w:p>
            <w:pPr>
              <w:widowControl/>
              <w:overflowPunct w:val="0"/>
              <w:adjustRightInd w:val="0"/>
              <w:snapToGrid w:val="0"/>
              <w:spacing w:line="280" w:lineRule="exact"/>
              <w:jc w:val="center"/>
              <w:rPr>
                <w:rFonts w:hint="eastAsia" w:ascii="宋体" w:hAnsi="宋体" w:eastAsia="宋体" w:cs="宋体"/>
                <w:snapToGrid w:val="0"/>
                <w:color w:val="auto"/>
                <w:kern w:val="0"/>
                <w:sz w:val="18"/>
                <w:szCs w:val="18"/>
                <w:highlight w:val="none"/>
              </w:rPr>
            </w:pPr>
            <w:r>
              <w:rPr>
                <w:rFonts w:hint="eastAsia" w:ascii="宋体" w:hAnsi="宋体" w:eastAsia="宋体" w:cs="宋体"/>
                <w:snapToGrid w:val="0"/>
                <w:color w:val="auto"/>
                <w:kern w:val="0"/>
                <w:sz w:val="18"/>
                <w:szCs w:val="18"/>
                <w:highlight w:val="none"/>
              </w:rPr>
              <w:t>申请改造</w:t>
            </w:r>
          </w:p>
          <w:p>
            <w:pPr>
              <w:widowControl/>
              <w:overflowPunct w:val="0"/>
              <w:adjustRightInd w:val="0"/>
              <w:snapToGrid w:val="0"/>
              <w:spacing w:line="280" w:lineRule="exact"/>
              <w:jc w:val="center"/>
              <w:rPr>
                <w:rFonts w:hint="eastAsia" w:ascii="宋体" w:hAnsi="宋体" w:eastAsia="宋体" w:cs="宋体"/>
                <w:snapToGrid w:val="0"/>
                <w:color w:val="auto"/>
                <w:kern w:val="0"/>
                <w:sz w:val="18"/>
                <w:szCs w:val="18"/>
                <w:highlight w:val="none"/>
              </w:rPr>
            </w:pPr>
            <w:r>
              <w:rPr>
                <w:rFonts w:hint="eastAsia" w:ascii="宋体" w:hAnsi="宋体" w:eastAsia="宋体" w:cs="宋体"/>
                <w:snapToGrid w:val="0"/>
                <w:color w:val="auto"/>
                <w:kern w:val="0"/>
                <w:sz w:val="18"/>
                <w:szCs w:val="18"/>
                <w:highlight w:val="none"/>
              </w:rPr>
              <w:t>项目</w:t>
            </w:r>
          </w:p>
        </w:tc>
        <w:tc>
          <w:tcPr>
            <w:tcW w:w="8233" w:type="dxa"/>
            <w:gridSpan w:val="5"/>
            <w:noWrap w:val="0"/>
            <w:vAlign w:val="top"/>
          </w:tcPr>
          <w:p>
            <w:pPr>
              <w:widowControl/>
              <w:overflowPunct w:val="0"/>
              <w:adjustRightInd w:val="0"/>
              <w:snapToGrid w:val="0"/>
              <w:spacing w:line="280" w:lineRule="exact"/>
              <w:jc w:val="left"/>
              <w:rPr>
                <w:rFonts w:hint="eastAsia" w:ascii="宋体" w:hAnsi="宋体" w:eastAsia="宋体" w:cs="宋体"/>
                <w:snapToGrid w:val="0"/>
                <w:color w:val="auto"/>
                <w:kern w:val="0"/>
                <w:sz w:val="18"/>
                <w:szCs w:val="18"/>
                <w:highlight w:val="none"/>
                <w:lang w:val="en-US" w:eastAsia="zh-CN"/>
              </w:rPr>
            </w:pPr>
            <w:r>
              <w:rPr>
                <w:rFonts w:hint="eastAsia" w:ascii="宋体" w:hAnsi="宋体" w:eastAsia="宋体" w:cs="宋体"/>
                <w:snapToGrid w:val="0"/>
                <w:color w:val="auto"/>
                <w:kern w:val="0"/>
                <w:sz w:val="18"/>
                <w:szCs w:val="18"/>
                <w:highlight w:val="none"/>
              </w:rPr>
              <w:t>（一）地面改造</w:t>
            </w:r>
            <w:r>
              <w:rPr>
                <w:rFonts w:hint="eastAsia" w:ascii="宋体" w:hAnsi="宋体" w:eastAsia="宋体" w:cs="宋体"/>
                <w:snapToGrid w:val="0"/>
                <w:color w:val="auto"/>
                <w:kern w:val="0"/>
                <w:sz w:val="18"/>
                <w:szCs w:val="18"/>
                <w:highlight w:val="none"/>
                <w:lang w:eastAsia="zh-CN"/>
              </w:rPr>
              <w:t>：</w:t>
            </w:r>
            <w:r>
              <w:rPr>
                <w:rFonts w:hint="eastAsia" w:ascii="宋体" w:hAnsi="宋体" w:eastAsia="宋体" w:cs="宋体"/>
                <w:snapToGrid w:val="0"/>
                <w:color w:val="auto"/>
                <w:kern w:val="0"/>
                <w:sz w:val="18"/>
                <w:szCs w:val="18"/>
                <w:highlight w:val="none"/>
              </w:rPr>
              <w:t>□防滑处理  □高差处理  □平整硬化</w:t>
            </w:r>
            <w:r>
              <w:rPr>
                <w:rFonts w:hint="eastAsia" w:ascii="宋体" w:hAnsi="宋体" w:eastAsia="宋体" w:cs="宋体"/>
                <w:snapToGrid w:val="0"/>
                <w:color w:val="auto"/>
                <w:kern w:val="0"/>
                <w:sz w:val="18"/>
                <w:szCs w:val="18"/>
                <w:highlight w:val="none"/>
                <w:lang w:val="en-US" w:eastAsia="zh-CN"/>
              </w:rPr>
              <w:t xml:space="preserve">  </w:t>
            </w:r>
            <w:r>
              <w:rPr>
                <w:rFonts w:hint="eastAsia" w:ascii="宋体" w:hAnsi="宋体" w:eastAsia="宋体" w:cs="宋体"/>
                <w:snapToGrid w:val="0"/>
                <w:color w:val="auto"/>
                <w:kern w:val="0"/>
                <w:sz w:val="18"/>
                <w:szCs w:val="18"/>
                <w:highlight w:val="none"/>
                <w:lang w:eastAsia="zh-CN"/>
              </w:rPr>
              <w:t>□安装扶手</w:t>
            </w:r>
            <w:r>
              <w:rPr>
                <w:rFonts w:hint="eastAsia" w:ascii="宋体" w:hAnsi="宋体" w:eastAsia="宋体" w:cs="宋体"/>
                <w:snapToGrid w:val="0"/>
                <w:color w:val="auto"/>
                <w:kern w:val="0"/>
                <w:sz w:val="18"/>
                <w:szCs w:val="18"/>
                <w:highlight w:val="none"/>
                <w:lang w:val="en-US" w:eastAsia="zh-CN"/>
              </w:rPr>
              <w:t xml:space="preserve">  </w:t>
            </w:r>
          </w:p>
          <w:p>
            <w:pPr>
              <w:widowControl/>
              <w:numPr>
                <w:ilvl w:val="0"/>
                <w:numId w:val="0"/>
              </w:numPr>
              <w:overflowPunct w:val="0"/>
              <w:adjustRightInd w:val="0"/>
              <w:snapToGrid w:val="0"/>
              <w:spacing w:line="280" w:lineRule="exact"/>
              <w:ind w:left="1440" w:hanging="1440" w:hangingChars="800"/>
              <w:jc w:val="left"/>
              <w:rPr>
                <w:rFonts w:hint="eastAsia" w:ascii="宋体" w:hAnsi="宋体" w:eastAsia="宋体" w:cs="宋体"/>
                <w:snapToGrid w:val="0"/>
                <w:color w:val="auto"/>
                <w:kern w:val="0"/>
                <w:sz w:val="18"/>
                <w:szCs w:val="18"/>
                <w:highlight w:val="none"/>
                <w:lang w:val="en-US" w:eastAsia="zh-CN"/>
              </w:rPr>
            </w:pPr>
            <w:r>
              <w:rPr>
                <w:rFonts w:hint="eastAsia" w:ascii="宋体" w:hAnsi="宋体" w:eastAsia="宋体" w:cs="宋体"/>
                <w:snapToGrid w:val="0"/>
                <w:color w:val="auto"/>
                <w:kern w:val="0"/>
                <w:sz w:val="18"/>
                <w:szCs w:val="18"/>
                <w:highlight w:val="none"/>
                <w:lang w:val="en-US" w:eastAsia="zh-CN" w:bidi="ar-SA"/>
              </w:rPr>
              <w:t>（二）</w:t>
            </w:r>
            <w:r>
              <w:rPr>
                <w:rFonts w:hint="eastAsia" w:ascii="宋体" w:hAnsi="宋体" w:eastAsia="宋体" w:cs="宋体"/>
                <w:snapToGrid w:val="0"/>
                <w:color w:val="auto"/>
                <w:kern w:val="0"/>
                <w:sz w:val="18"/>
                <w:szCs w:val="18"/>
                <w:highlight w:val="none"/>
                <w:lang w:val="en-US" w:eastAsia="zh-CN"/>
              </w:rPr>
              <w:t>门改造：</w:t>
            </w:r>
            <w:r>
              <w:rPr>
                <w:rFonts w:hint="eastAsia" w:ascii="宋体" w:hAnsi="宋体" w:eastAsia="宋体" w:cs="宋体"/>
                <w:snapToGrid w:val="0"/>
                <w:color w:val="auto"/>
                <w:kern w:val="0"/>
                <w:sz w:val="18"/>
                <w:szCs w:val="18"/>
                <w:highlight w:val="none"/>
                <w:lang w:eastAsia="zh-CN"/>
              </w:rPr>
              <w:t>□</w:t>
            </w:r>
            <w:r>
              <w:rPr>
                <w:rFonts w:hint="eastAsia" w:ascii="宋体" w:hAnsi="宋体" w:eastAsia="宋体" w:cs="宋体"/>
                <w:snapToGrid w:val="0"/>
                <w:color w:val="auto"/>
                <w:kern w:val="0"/>
                <w:sz w:val="18"/>
                <w:szCs w:val="18"/>
                <w:highlight w:val="none"/>
              </w:rPr>
              <w:t>门槛移除</w:t>
            </w:r>
            <w:r>
              <w:rPr>
                <w:rFonts w:hint="eastAsia" w:ascii="宋体" w:hAnsi="宋体" w:eastAsia="宋体" w:cs="宋体"/>
                <w:snapToGrid w:val="0"/>
                <w:color w:val="auto"/>
                <w:kern w:val="0"/>
                <w:sz w:val="18"/>
                <w:szCs w:val="18"/>
                <w:highlight w:val="none"/>
                <w:lang w:val="en-US" w:eastAsia="zh-CN"/>
              </w:rPr>
              <w:t xml:space="preserve">  </w:t>
            </w:r>
            <w:r>
              <w:rPr>
                <w:rFonts w:hint="eastAsia" w:ascii="宋体" w:hAnsi="宋体" w:eastAsia="宋体" w:cs="宋体"/>
                <w:snapToGrid w:val="0"/>
                <w:color w:val="auto"/>
                <w:kern w:val="0"/>
                <w:sz w:val="18"/>
                <w:szCs w:val="18"/>
                <w:highlight w:val="none"/>
                <w:lang w:eastAsia="zh-CN"/>
              </w:rPr>
              <w:t>□平开门改为推拉门</w:t>
            </w:r>
            <w:r>
              <w:rPr>
                <w:rFonts w:hint="eastAsia" w:ascii="宋体" w:hAnsi="宋体" w:eastAsia="宋体" w:cs="宋体"/>
                <w:snapToGrid w:val="0"/>
                <w:color w:val="auto"/>
                <w:kern w:val="0"/>
                <w:sz w:val="18"/>
                <w:szCs w:val="18"/>
                <w:highlight w:val="none"/>
                <w:lang w:val="en-US" w:eastAsia="zh-CN"/>
              </w:rPr>
              <w:t xml:space="preserve">  </w:t>
            </w:r>
            <w:r>
              <w:rPr>
                <w:rFonts w:hint="eastAsia" w:ascii="宋体" w:hAnsi="宋体" w:eastAsia="宋体" w:cs="宋体"/>
                <w:snapToGrid w:val="0"/>
                <w:color w:val="auto"/>
                <w:kern w:val="0"/>
                <w:sz w:val="18"/>
                <w:szCs w:val="18"/>
                <w:highlight w:val="none"/>
                <w:lang w:eastAsia="zh-CN"/>
              </w:rPr>
              <w:t>□房门拓宽</w:t>
            </w:r>
            <w:r>
              <w:rPr>
                <w:rFonts w:hint="eastAsia" w:ascii="宋体" w:hAnsi="宋体" w:eastAsia="宋体" w:cs="宋体"/>
                <w:snapToGrid w:val="0"/>
                <w:color w:val="auto"/>
                <w:kern w:val="0"/>
                <w:sz w:val="18"/>
                <w:szCs w:val="18"/>
                <w:highlight w:val="none"/>
                <w:lang w:val="en-US" w:eastAsia="zh-CN"/>
              </w:rPr>
              <w:t xml:space="preserve">  </w:t>
            </w:r>
            <w:r>
              <w:rPr>
                <w:rFonts w:hint="eastAsia" w:ascii="宋体" w:hAnsi="宋体" w:eastAsia="宋体" w:cs="宋体"/>
                <w:snapToGrid w:val="0"/>
                <w:color w:val="auto"/>
                <w:kern w:val="0"/>
                <w:sz w:val="18"/>
                <w:szCs w:val="18"/>
                <w:highlight w:val="none"/>
                <w:lang w:eastAsia="zh-CN"/>
              </w:rPr>
              <w:t>□下压式门把手改造</w:t>
            </w:r>
            <w:r>
              <w:rPr>
                <w:rFonts w:hint="eastAsia" w:ascii="宋体" w:hAnsi="宋体" w:eastAsia="宋体" w:cs="宋体"/>
                <w:snapToGrid w:val="0"/>
                <w:color w:val="auto"/>
                <w:kern w:val="0"/>
                <w:sz w:val="18"/>
                <w:szCs w:val="18"/>
                <w:highlight w:val="none"/>
                <w:lang w:val="en-US" w:eastAsia="zh-CN"/>
              </w:rPr>
              <w:t xml:space="preserve">  </w:t>
            </w:r>
            <w:r>
              <w:rPr>
                <w:rFonts w:hint="eastAsia" w:ascii="宋体" w:hAnsi="宋体" w:eastAsia="宋体" w:cs="宋体"/>
                <w:snapToGrid w:val="0"/>
                <w:color w:val="auto"/>
                <w:kern w:val="0"/>
                <w:sz w:val="18"/>
                <w:szCs w:val="18"/>
                <w:highlight w:val="none"/>
                <w:lang w:eastAsia="zh-CN"/>
              </w:rPr>
              <w:t>□安装闪光振动门铃</w:t>
            </w:r>
            <w:r>
              <w:rPr>
                <w:rFonts w:hint="eastAsia" w:ascii="宋体" w:hAnsi="宋体" w:eastAsia="宋体" w:cs="宋体"/>
                <w:snapToGrid w:val="0"/>
                <w:color w:val="auto"/>
                <w:kern w:val="0"/>
                <w:sz w:val="18"/>
                <w:szCs w:val="18"/>
                <w:highlight w:val="none"/>
                <w:lang w:val="en-US" w:eastAsia="zh-CN"/>
              </w:rPr>
              <w:t xml:space="preserve">  </w:t>
            </w:r>
          </w:p>
          <w:p>
            <w:pPr>
              <w:widowControl/>
              <w:numPr>
                <w:ilvl w:val="0"/>
                <w:numId w:val="0"/>
              </w:numPr>
              <w:overflowPunct w:val="0"/>
              <w:adjustRightInd w:val="0"/>
              <w:snapToGrid w:val="0"/>
              <w:spacing w:line="280" w:lineRule="exact"/>
              <w:jc w:val="left"/>
              <w:rPr>
                <w:rFonts w:hint="eastAsia" w:ascii="宋体" w:hAnsi="宋体" w:eastAsia="宋体" w:cs="宋体"/>
                <w:snapToGrid w:val="0"/>
                <w:color w:val="auto"/>
                <w:kern w:val="0"/>
                <w:sz w:val="18"/>
                <w:szCs w:val="18"/>
                <w:highlight w:val="none"/>
                <w:lang w:val="en-US" w:eastAsia="zh-CN"/>
              </w:rPr>
            </w:pPr>
            <w:r>
              <w:rPr>
                <w:rFonts w:hint="eastAsia" w:ascii="宋体" w:hAnsi="宋体" w:eastAsia="宋体" w:cs="宋体"/>
                <w:snapToGrid w:val="0"/>
                <w:color w:val="auto"/>
                <w:kern w:val="0"/>
                <w:sz w:val="18"/>
                <w:szCs w:val="18"/>
                <w:highlight w:val="none"/>
                <w:lang w:val="en-US" w:eastAsia="zh-CN"/>
              </w:rPr>
              <w:t>（三）</w:t>
            </w:r>
            <w:r>
              <w:rPr>
                <w:rFonts w:hint="eastAsia" w:ascii="宋体" w:hAnsi="宋体" w:eastAsia="宋体" w:cs="宋体"/>
                <w:snapToGrid w:val="0"/>
                <w:color w:val="auto"/>
                <w:kern w:val="0"/>
                <w:sz w:val="18"/>
                <w:szCs w:val="18"/>
                <w:highlight w:val="none"/>
                <w:lang w:eastAsia="zh-CN"/>
              </w:rPr>
              <w:t>卧室改造：□配置护理床</w:t>
            </w:r>
            <w:r>
              <w:rPr>
                <w:rFonts w:hint="eastAsia" w:ascii="宋体" w:hAnsi="宋体" w:eastAsia="宋体" w:cs="宋体"/>
                <w:snapToGrid w:val="0"/>
                <w:color w:val="auto"/>
                <w:kern w:val="0"/>
                <w:sz w:val="18"/>
                <w:szCs w:val="18"/>
                <w:highlight w:val="none"/>
                <w:lang w:val="en-US" w:eastAsia="zh-CN"/>
              </w:rPr>
              <w:t xml:space="preserve">  </w:t>
            </w:r>
            <w:r>
              <w:rPr>
                <w:rFonts w:hint="eastAsia" w:ascii="宋体" w:hAnsi="宋体" w:eastAsia="宋体" w:cs="宋体"/>
                <w:snapToGrid w:val="0"/>
                <w:color w:val="auto"/>
                <w:kern w:val="0"/>
                <w:sz w:val="18"/>
                <w:szCs w:val="18"/>
                <w:highlight w:val="none"/>
                <w:lang w:eastAsia="zh-CN"/>
              </w:rPr>
              <w:t>□</w:t>
            </w:r>
            <w:r>
              <w:rPr>
                <w:rFonts w:hint="eastAsia" w:ascii="宋体" w:hAnsi="宋体" w:eastAsia="宋体" w:cs="宋体"/>
                <w:snapToGrid w:val="0"/>
                <w:color w:val="auto"/>
                <w:kern w:val="0"/>
                <w:sz w:val="18"/>
                <w:szCs w:val="18"/>
                <w:highlight w:val="none"/>
              </w:rPr>
              <w:t>安装床边护栏（抓杆） □配置防压疮垫</w:t>
            </w:r>
            <w:r>
              <w:rPr>
                <w:rFonts w:hint="eastAsia" w:ascii="宋体" w:hAnsi="宋体" w:eastAsia="宋体" w:cs="宋体"/>
                <w:snapToGrid w:val="0"/>
                <w:color w:val="auto"/>
                <w:kern w:val="0"/>
                <w:sz w:val="18"/>
                <w:szCs w:val="18"/>
                <w:highlight w:val="none"/>
                <w:lang w:val="en-US" w:eastAsia="zh-CN"/>
              </w:rPr>
              <w:t xml:space="preserve">  </w:t>
            </w:r>
          </w:p>
          <w:p>
            <w:pPr>
              <w:widowControl/>
              <w:numPr>
                <w:ilvl w:val="0"/>
                <w:numId w:val="0"/>
              </w:numPr>
              <w:overflowPunct w:val="0"/>
              <w:adjustRightInd w:val="0"/>
              <w:snapToGrid w:val="0"/>
              <w:spacing w:line="280" w:lineRule="exact"/>
              <w:ind w:left="2160" w:hanging="2160" w:hangingChars="1200"/>
              <w:jc w:val="left"/>
              <w:rPr>
                <w:rFonts w:hint="eastAsia" w:ascii="宋体" w:hAnsi="宋体" w:eastAsia="宋体" w:cs="宋体"/>
                <w:snapToGrid w:val="0"/>
                <w:color w:val="auto"/>
                <w:kern w:val="0"/>
                <w:sz w:val="18"/>
                <w:szCs w:val="18"/>
                <w:highlight w:val="none"/>
                <w:lang w:val="en-US" w:eastAsia="zh-CN"/>
              </w:rPr>
            </w:pPr>
            <w:r>
              <w:rPr>
                <w:rFonts w:hint="eastAsia" w:ascii="宋体" w:hAnsi="宋体" w:eastAsia="宋体" w:cs="宋体"/>
                <w:snapToGrid w:val="0"/>
                <w:color w:val="auto"/>
                <w:kern w:val="0"/>
                <w:sz w:val="18"/>
                <w:szCs w:val="18"/>
                <w:highlight w:val="none"/>
                <w:lang w:eastAsia="zh-CN"/>
              </w:rPr>
              <w:t>（四）如厕洗浴设备改造：□</w:t>
            </w:r>
            <w:r>
              <w:rPr>
                <w:rFonts w:hint="eastAsia" w:ascii="宋体" w:hAnsi="宋体" w:eastAsia="宋体" w:cs="宋体"/>
                <w:snapToGrid w:val="0"/>
                <w:color w:val="auto"/>
                <w:kern w:val="0"/>
                <w:sz w:val="18"/>
                <w:szCs w:val="18"/>
                <w:highlight w:val="none"/>
              </w:rPr>
              <w:t>安装扶手</w:t>
            </w:r>
            <w:r>
              <w:rPr>
                <w:rFonts w:hint="eastAsia" w:ascii="宋体" w:hAnsi="宋体" w:eastAsia="宋体" w:cs="宋体"/>
                <w:snapToGrid w:val="0"/>
                <w:color w:val="auto"/>
                <w:kern w:val="0"/>
                <w:sz w:val="18"/>
                <w:szCs w:val="18"/>
                <w:highlight w:val="none"/>
                <w:lang w:val="en-US" w:eastAsia="zh-CN"/>
              </w:rPr>
              <w:t xml:space="preserve">  </w:t>
            </w:r>
            <w:r>
              <w:rPr>
                <w:rFonts w:hint="eastAsia" w:ascii="宋体" w:hAnsi="宋体" w:eastAsia="宋体" w:cs="宋体"/>
                <w:snapToGrid w:val="0"/>
                <w:color w:val="auto"/>
                <w:kern w:val="0"/>
                <w:sz w:val="18"/>
                <w:szCs w:val="18"/>
                <w:highlight w:val="none"/>
              </w:rPr>
              <w:t>□蹲便器改坐便器</w:t>
            </w:r>
            <w:r>
              <w:rPr>
                <w:rFonts w:hint="eastAsia" w:ascii="宋体" w:hAnsi="宋体" w:eastAsia="宋体" w:cs="宋体"/>
                <w:snapToGrid w:val="0"/>
                <w:color w:val="auto"/>
                <w:kern w:val="0"/>
                <w:sz w:val="18"/>
                <w:szCs w:val="18"/>
                <w:highlight w:val="none"/>
                <w:lang w:val="en-US" w:eastAsia="zh-CN"/>
              </w:rPr>
              <w:t xml:space="preserve">  </w:t>
            </w:r>
            <w:r>
              <w:rPr>
                <w:rFonts w:hint="eastAsia" w:ascii="宋体" w:hAnsi="宋体" w:eastAsia="宋体" w:cs="宋体"/>
                <w:snapToGrid w:val="0"/>
                <w:color w:val="auto"/>
                <w:kern w:val="0"/>
                <w:sz w:val="18"/>
                <w:szCs w:val="18"/>
                <w:highlight w:val="none"/>
              </w:rPr>
              <w:t>□水龙头改造</w:t>
            </w:r>
            <w:r>
              <w:rPr>
                <w:rFonts w:hint="eastAsia" w:ascii="宋体" w:hAnsi="宋体" w:eastAsia="宋体" w:cs="宋体"/>
                <w:snapToGrid w:val="0"/>
                <w:color w:val="auto"/>
                <w:kern w:val="0"/>
                <w:sz w:val="18"/>
                <w:szCs w:val="18"/>
                <w:highlight w:val="none"/>
                <w:lang w:val="en-US" w:eastAsia="zh-CN"/>
              </w:rPr>
              <w:t xml:space="preserve">  </w:t>
            </w:r>
            <w:r>
              <w:rPr>
                <w:rFonts w:hint="eastAsia" w:ascii="宋体" w:hAnsi="宋体" w:eastAsia="宋体" w:cs="宋体"/>
                <w:snapToGrid w:val="0"/>
                <w:color w:val="auto"/>
                <w:kern w:val="0"/>
                <w:sz w:val="18"/>
                <w:szCs w:val="18"/>
                <w:highlight w:val="none"/>
              </w:rPr>
              <w:t>□浴缸/淋浴房改造</w:t>
            </w:r>
            <w:r>
              <w:rPr>
                <w:rFonts w:hint="eastAsia" w:ascii="宋体" w:hAnsi="宋体" w:eastAsia="宋体" w:cs="宋体"/>
                <w:snapToGrid w:val="0"/>
                <w:color w:val="auto"/>
                <w:kern w:val="0"/>
                <w:sz w:val="18"/>
                <w:szCs w:val="18"/>
                <w:highlight w:val="none"/>
                <w:lang w:val="en-US" w:eastAsia="zh-CN"/>
              </w:rPr>
              <w:t xml:space="preserve">  </w:t>
            </w:r>
            <w:r>
              <w:rPr>
                <w:rFonts w:hint="eastAsia" w:ascii="宋体" w:hAnsi="宋体" w:eastAsia="宋体" w:cs="宋体"/>
                <w:snapToGrid w:val="0"/>
                <w:color w:val="auto"/>
                <w:kern w:val="0"/>
                <w:sz w:val="18"/>
                <w:szCs w:val="18"/>
                <w:highlight w:val="none"/>
                <w:lang w:eastAsia="zh-CN"/>
              </w:rPr>
              <w:t>□</w:t>
            </w:r>
            <w:r>
              <w:rPr>
                <w:rFonts w:hint="eastAsia" w:ascii="宋体" w:hAnsi="宋体" w:eastAsia="宋体" w:cs="宋体"/>
                <w:snapToGrid w:val="0"/>
                <w:color w:val="auto"/>
                <w:kern w:val="0"/>
                <w:sz w:val="18"/>
                <w:szCs w:val="18"/>
                <w:highlight w:val="none"/>
              </w:rPr>
              <w:t>配置淋浴椅</w:t>
            </w:r>
            <w:r>
              <w:rPr>
                <w:rFonts w:hint="eastAsia" w:ascii="宋体" w:hAnsi="宋体" w:eastAsia="宋体" w:cs="宋体"/>
                <w:snapToGrid w:val="0"/>
                <w:color w:val="auto"/>
                <w:kern w:val="0"/>
                <w:sz w:val="18"/>
                <w:szCs w:val="18"/>
                <w:highlight w:val="none"/>
                <w:lang w:val="en-US" w:eastAsia="zh-CN"/>
              </w:rPr>
              <w:t xml:space="preserve">  </w:t>
            </w:r>
          </w:p>
          <w:p>
            <w:pPr>
              <w:widowControl/>
              <w:numPr>
                <w:ilvl w:val="0"/>
                <w:numId w:val="0"/>
              </w:numPr>
              <w:overflowPunct w:val="0"/>
              <w:adjustRightInd w:val="0"/>
              <w:snapToGrid w:val="0"/>
              <w:spacing w:line="280" w:lineRule="exact"/>
              <w:jc w:val="left"/>
              <w:rPr>
                <w:rFonts w:hint="eastAsia" w:ascii="宋体" w:hAnsi="宋体" w:eastAsia="宋体" w:cs="宋体"/>
                <w:snapToGrid w:val="0"/>
                <w:color w:val="auto"/>
                <w:kern w:val="0"/>
                <w:sz w:val="18"/>
                <w:szCs w:val="18"/>
                <w:highlight w:val="none"/>
                <w:lang w:val="en-US" w:eastAsia="zh-CN"/>
              </w:rPr>
            </w:pPr>
            <w:r>
              <w:rPr>
                <w:rFonts w:hint="eastAsia" w:ascii="宋体" w:hAnsi="宋体" w:eastAsia="宋体" w:cs="宋体"/>
                <w:snapToGrid w:val="0"/>
                <w:color w:val="auto"/>
                <w:kern w:val="0"/>
                <w:sz w:val="18"/>
                <w:szCs w:val="18"/>
                <w:highlight w:val="none"/>
              </w:rPr>
              <w:t>（五）厨房设备改造</w:t>
            </w:r>
            <w:r>
              <w:rPr>
                <w:rFonts w:hint="eastAsia" w:ascii="宋体" w:hAnsi="宋体" w:eastAsia="宋体" w:cs="宋体"/>
                <w:snapToGrid w:val="0"/>
                <w:color w:val="auto"/>
                <w:kern w:val="0"/>
                <w:sz w:val="18"/>
                <w:szCs w:val="18"/>
                <w:highlight w:val="none"/>
                <w:lang w:eastAsia="zh-CN"/>
              </w:rPr>
              <w:t>：</w:t>
            </w:r>
            <w:r>
              <w:rPr>
                <w:rFonts w:hint="eastAsia" w:ascii="宋体" w:hAnsi="宋体" w:eastAsia="宋体" w:cs="宋体"/>
                <w:snapToGrid w:val="0"/>
                <w:color w:val="auto"/>
                <w:kern w:val="0"/>
                <w:sz w:val="18"/>
                <w:szCs w:val="18"/>
                <w:highlight w:val="none"/>
              </w:rPr>
              <w:t>□台面改造</w:t>
            </w:r>
            <w:r>
              <w:rPr>
                <w:rFonts w:hint="eastAsia" w:ascii="宋体" w:hAnsi="宋体" w:eastAsia="宋体" w:cs="宋体"/>
                <w:snapToGrid w:val="0"/>
                <w:color w:val="auto"/>
                <w:kern w:val="0"/>
                <w:sz w:val="18"/>
                <w:szCs w:val="18"/>
                <w:highlight w:val="none"/>
                <w:lang w:val="en-US" w:eastAsia="zh-CN"/>
              </w:rPr>
              <w:t xml:space="preserve">  </w:t>
            </w:r>
            <w:r>
              <w:rPr>
                <w:rFonts w:hint="eastAsia" w:ascii="宋体" w:hAnsi="宋体" w:eastAsia="宋体" w:cs="宋体"/>
                <w:snapToGrid w:val="0"/>
                <w:color w:val="auto"/>
                <w:kern w:val="0"/>
                <w:sz w:val="18"/>
                <w:szCs w:val="18"/>
                <w:highlight w:val="none"/>
              </w:rPr>
              <w:t>□加设中部柜</w:t>
            </w:r>
            <w:r>
              <w:rPr>
                <w:rFonts w:hint="eastAsia" w:ascii="宋体" w:hAnsi="宋体" w:eastAsia="宋体" w:cs="宋体"/>
                <w:snapToGrid w:val="0"/>
                <w:color w:val="auto"/>
                <w:kern w:val="0"/>
                <w:sz w:val="18"/>
                <w:szCs w:val="18"/>
                <w:highlight w:val="none"/>
                <w:lang w:val="en-US" w:eastAsia="zh-CN"/>
              </w:rPr>
              <w:t xml:space="preserve"> </w:t>
            </w:r>
          </w:p>
          <w:p>
            <w:pPr>
              <w:widowControl/>
              <w:numPr>
                <w:ilvl w:val="0"/>
                <w:numId w:val="0"/>
              </w:numPr>
              <w:overflowPunct w:val="0"/>
              <w:adjustRightInd w:val="0"/>
              <w:snapToGrid w:val="0"/>
              <w:spacing w:line="280" w:lineRule="exact"/>
              <w:ind w:left="1800" w:hanging="1800" w:hangingChars="1000"/>
              <w:jc w:val="left"/>
              <w:rPr>
                <w:rFonts w:hint="eastAsia" w:ascii="宋体" w:hAnsi="宋体" w:eastAsia="宋体" w:cs="宋体"/>
                <w:snapToGrid w:val="0"/>
                <w:color w:val="auto"/>
                <w:kern w:val="0"/>
                <w:sz w:val="18"/>
                <w:szCs w:val="18"/>
                <w:highlight w:val="none"/>
              </w:rPr>
            </w:pPr>
            <w:r>
              <w:rPr>
                <w:rFonts w:hint="eastAsia" w:ascii="宋体" w:hAnsi="宋体" w:eastAsia="宋体" w:cs="宋体"/>
                <w:snapToGrid w:val="0"/>
                <w:color w:val="auto"/>
                <w:kern w:val="0"/>
                <w:sz w:val="18"/>
                <w:szCs w:val="18"/>
                <w:highlight w:val="none"/>
              </w:rPr>
              <w:t>（六）物理环境改造</w:t>
            </w:r>
            <w:r>
              <w:rPr>
                <w:rFonts w:hint="eastAsia" w:ascii="宋体" w:hAnsi="宋体" w:eastAsia="宋体" w:cs="宋体"/>
                <w:snapToGrid w:val="0"/>
                <w:color w:val="auto"/>
                <w:kern w:val="0"/>
                <w:sz w:val="18"/>
                <w:szCs w:val="18"/>
                <w:highlight w:val="none"/>
                <w:lang w:eastAsia="zh-CN"/>
              </w:rPr>
              <w:t>：</w:t>
            </w:r>
            <w:r>
              <w:rPr>
                <w:rFonts w:hint="eastAsia" w:ascii="宋体" w:hAnsi="宋体" w:eastAsia="宋体" w:cs="宋体"/>
                <w:snapToGrid w:val="0"/>
                <w:color w:val="auto"/>
                <w:kern w:val="0"/>
                <w:sz w:val="18"/>
                <w:szCs w:val="18"/>
                <w:highlight w:val="none"/>
              </w:rPr>
              <w:t>□安装自动感应灯具</w:t>
            </w:r>
            <w:r>
              <w:rPr>
                <w:rFonts w:hint="eastAsia" w:ascii="宋体" w:hAnsi="宋体" w:eastAsia="宋体" w:cs="宋体"/>
                <w:snapToGrid w:val="0"/>
                <w:color w:val="auto"/>
                <w:kern w:val="0"/>
                <w:sz w:val="18"/>
                <w:szCs w:val="18"/>
                <w:highlight w:val="none"/>
                <w:lang w:val="en-US" w:eastAsia="zh-CN"/>
              </w:rPr>
              <w:t xml:space="preserve">  </w:t>
            </w:r>
            <w:r>
              <w:rPr>
                <w:rFonts w:hint="eastAsia" w:ascii="宋体" w:hAnsi="宋体" w:eastAsia="宋体" w:cs="宋体"/>
                <w:snapToGrid w:val="0"/>
                <w:color w:val="auto"/>
                <w:kern w:val="0"/>
                <w:sz w:val="18"/>
                <w:szCs w:val="18"/>
                <w:highlight w:val="none"/>
              </w:rPr>
              <w:t>□电源插座及开关改造</w:t>
            </w:r>
            <w:r>
              <w:rPr>
                <w:rFonts w:hint="eastAsia" w:ascii="宋体" w:hAnsi="宋体" w:eastAsia="宋体" w:cs="宋体"/>
                <w:snapToGrid w:val="0"/>
                <w:color w:val="auto"/>
                <w:kern w:val="0"/>
                <w:sz w:val="18"/>
                <w:szCs w:val="18"/>
                <w:highlight w:val="none"/>
                <w:lang w:val="en-US" w:eastAsia="zh-CN"/>
              </w:rPr>
              <w:t xml:space="preserve">  </w:t>
            </w:r>
            <w:r>
              <w:rPr>
                <w:rFonts w:hint="eastAsia" w:ascii="宋体" w:hAnsi="宋体" w:eastAsia="宋体" w:cs="宋体"/>
                <w:snapToGrid w:val="0"/>
                <w:color w:val="auto"/>
                <w:kern w:val="0"/>
                <w:sz w:val="18"/>
                <w:szCs w:val="18"/>
                <w:highlight w:val="none"/>
              </w:rPr>
              <w:t>□安装防撞护角/防撞条、提示标识</w:t>
            </w:r>
            <w:r>
              <w:rPr>
                <w:rFonts w:hint="eastAsia" w:ascii="宋体" w:hAnsi="宋体" w:eastAsia="宋体" w:cs="宋体"/>
                <w:snapToGrid w:val="0"/>
                <w:color w:val="auto"/>
                <w:kern w:val="0"/>
                <w:sz w:val="18"/>
                <w:szCs w:val="18"/>
                <w:highlight w:val="none"/>
                <w:lang w:val="en-US" w:eastAsia="zh-CN"/>
              </w:rPr>
              <w:t xml:space="preserve">  </w:t>
            </w:r>
            <w:r>
              <w:rPr>
                <w:rFonts w:hint="eastAsia" w:ascii="宋体" w:hAnsi="宋体" w:eastAsia="宋体" w:cs="宋体"/>
                <w:snapToGrid w:val="0"/>
                <w:color w:val="auto"/>
                <w:kern w:val="0"/>
                <w:sz w:val="18"/>
                <w:szCs w:val="18"/>
                <w:highlight w:val="none"/>
              </w:rPr>
              <w:t>□适老家具配置</w:t>
            </w:r>
            <w:r>
              <w:rPr>
                <w:rFonts w:hint="eastAsia" w:ascii="宋体" w:hAnsi="宋体" w:eastAsia="宋体" w:cs="宋体"/>
                <w:snapToGrid w:val="0"/>
                <w:color w:val="auto"/>
                <w:kern w:val="0"/>
                <w:sz w:val="18"/>
                <w:szCs w:val="18"/>
                <w:highlight w:val="none"/>
                <w:lang w:val="en-US" w:eastAsia="zh-CN"/>
              </w:rPr>
              <w:t xml:space="preserve">  </w:t>
            </w:r>
            <w:r>
              <w:rPr>
                <w:rFonts w:hint="eastAsia" w:ascii="宋体" w:hAnsi="宋体" w:eastAsia="宋体" w:cs="宋体"/>
                <w:snapToGrid w:val="0"/>
                <w:color w:val="auto"/>
                <w:kern w:val="0"/>
                <w:sz w:val="18"/>
                <w:szCs w:val="18"/>
                <w:highlight w:val="none"/>
              </w:rPr>
              <w:t xml:space="preserve"> </w:t>
            </w:r>
          </w:p>
          <w:p>
            <w:pPr>
              <w:widowControl/>
              <w:numPr>
                <w:ilvl w:val="0"/>
                <w:numId w:val="0"/>
              </w:numPr>
              <w:overflowPunct w:val="0"/>
              <w:adjustRightInd w:val="0"/>
              <w:snapToGrid w:val="0"/>
              <w:spacing w:line="280" w:lineRule="exact"/>
              <w:jc w:val="left"/>
              <w:rPr>
                <w:rFonts w:hint="eastAsia" w:ascii="宋体" w:hAnsi="宋体" w:eastAsia="宋体" w:cs="宋体"/>
                <w:snapToGrid w:val="0"/>
                <w:color w:val="auto"/>
                <w:kern w:val="0"/>
                <w:sz w:val="18"/>
                <w:szCs w:val="18"/>
                <w:highlight w:val="none"/>
                <w:lang w:val="en-US" w:eastAsia="zh-CN"/>
              </w:rPr>
            </w:pPr>
            <w:r>
              <w:rPr>
                <w:rFonts w:hint="eastAsia" w:ascii="宋体" w:hAnsi="宋体" w:eastAsia="宋体" w:cs="宋体"/>
                <w:snapToGrid w:val="0"/>
                <w:color w:val="auto"/>
                <w:kern w:val="0"/>
                <w:sz w:val="18"/>
                <w:szCs w:val="18"/>
                <w:highlight w:val="none"/>
                <w:lang w:eastAsia="zh-CN"/>
              </w:rPr>
              <w:t>（七）老年用品配置：□</w:t>
            </w:r>
            <w:r>
              <w:rPr>
                <w:rFonts w:hint="eastAsia" w:ascii="宋体" w:hAnsi="宋体" w:eastAsia="宋体" w:cs="宋体"/>
                <w:snapToGrid w:val="0"/>
                <w:color w:val="auto"/>
                <w:kern w:val="0"/>
                <w:sz w:val="18"/>
                <w:szCs w:val="18"/>
                <w:highlight w:val="none"/>
              </w:rPr>
              <w:t>手杖</w:t>
            </w:r>
            <w:r>
              <w:rPr>
                <w:rFonts w:hint="eastAsia" w:ascii="宋体" w:hAnsi="宋体" w:eastAsia="宋体" w:cs="宋体"/>
                <w:snapToGrid w:val="0"/>
                <w:color w:val="auto"/>
                <w:kern w:val="0"/>
                <w:sz w:val="18"/>
                <w:szCs w:val="18"/>
                <w:highlight w:val="none"/>
                <w:lang w:val="en-US" w:eastAsia="zh-CN"/>
              </w:rPr>
              <w:t xml:space="preserve">  </w:t>
            </w:r>
            <w:r>
              <w:rPr>
                <w:rFonts w:hint="eastAsia" w:ascii="宋体" w:hAnsi="宋体" w:eastAsia="宋体" w:cs="宋体"/>
                <w:snapToGrid w:val="0"/>
                <w:color w:val="auto"/>
                <w:kern w:val="0"/>
                <w:sz w:val="18"/>
                <w:szCs w:val="18"/>
                <w:highlight w:val="none"/>
              </w:rPr>
              <w:t>□轮椅/助行器</w:t>
            </w:r>
            <w:r>
              <w:rPr>
                <w:rFonts w:hint="eastAsia" w:ascii="宋体" w:hAnsi="宋体" w:eastAsia="宋体" w:cs="宋体"/>
                <w:snapToGrid w:val="0"/>
                <w:color w:val="auto"/>
                <w:kern w:val="0"/>
                <w:sz w:val="18"/>
                <w:szCs w:val="18"/>
                <w:highlight w:val="none"/>
                <w:lang w:val="en-US" w:eastAsia="zh-CN"/>
              </w:rPr>
              <w:t xml:space="preserve">  </w:t>
            </w:r>
            <w:r>
              <w:rPr>
                <w:rFonts w:hint="eastAsia" w:ascii="宋体" w:hAnsi="宋体" w:eastAsia="宋体" w:cs="宋体"/>
                <w:snapToGrid w:val="0"/>
                <w:color w:val="auto"/>
                <w:kern w:val="0"/>
                <w:sz w:val="18"/>
                <w:szCs w:val="18"/>
                <w:highlight w:val="none"/>
              </w:rPr>
              <w:t>□放大装置</w:t>
            </w:r>
            <w:r>
              <w:rPr>
                <w:rFonts w:hint="eastAsia" w:ascii="宋体" w:hAnsi="宋体" w:eastAsia="宋体" w:cs="宋体"/>
                <w:snapToGrid w:val="0"/>
                <w:color w:val="auto"/>
                <w:kern w:val="0"/>
                <w:sz w:val="18"/>
                <w:szCs w:val="18"/>
                <w:highlight w:val="none"/>
                <w:lang w:val="en-US" w:eastAsia="zh-CN"/>
              </w:rPr>
              <w:t xml:space="preserve">  </w:t>
            </w:r>
            <w:r>
              <w:rPr>
                <w:rFonts w:hint="eastAsia" w:ascii="宋体" w:hAnsi="宋体" w:eastAsia="宋体" w:cs="宋体"/>
                <w:snapToGrid w:val="0"/>
                <w:color w:val="auto"/>
                <w:kern w:val="0"/>
                <w:sz w:val="18"/>
                <w:szCs w:val="18"/>
                <w:highlight w:val="none"/>
              </w:rPr>
              <w:t>□助听器</w:t>
            </w:r>
            <w:r>
              <w:rPr>
                <w:rFonts w:hint="eastAsia" w:ascii="宋体" w:hAnsi="宋体" w:eastAsia="宋体" w:cs="宋体"/>
                <w:snapToGrid w:val="0"/>
                <w:color w:val="auto"/>
                <w:kern w:val="0"/>
                <w:sz w:val="18"/>
                <w:szCs w:val="18"/>
                <w:highlight w:val="none"/>
                <w:lang w:val="en-US" w:eastAsia="zh-CN"/>
              </w:rPr>
              <w:t xml:space="preserve">  </w:t>
            </w:r>
            <w:r>
              <w:rPr>
                <w:rFonts w:hint="eastAsia" w:ascii="宋体" w:hAnsi="宋体" w:eastAsia="宋体" w:cs="宋体"/>
                <w:snapToGrid w:val="0"/>
                <w:color w:val="auto"/>
                <w:kern w:val="0"/>
                <w:sz w:val="18"/>
                <w:szCs w:val="18"/>
                <w:highlight w:val="none"/>
              </w:rPr>
              <w:t>□自助进食器具</w:t>
            </w:r>
            <w:r>
              <w:rPr>
                <w:rFonts w:hint="eastAsia" w:ascii="宋体" w:hAnsi="宋体" w:eastAsia="宋体" w:cs="宋体"/>
                <w:snapToGrid w:val="0"/>
                <w:color w:val="auto"/>
                <w:kern w:val="0"/>
                <w:sz w:val="18"/>
                <w:szCs w:val="18"/>
                <w:highlight w:val="none"/>
                <w:lang w:val="en-US" w:eastAsia="zh-CN"/>
              </w:rPr>
              <w:t xml:space="preserve">  </w:t>
            </w:r>
          </w:p>
          <w:p>
            <w:pPr>
              <w:widowControl/>
              <w:numPr>
                <w:ilvl w:val="0"/>
                <w:numId w:val="0"/>
              </w:numPr>
              <w:overflowPunct w:val="0"/>
              <w:adjustRightInd w:val="0"/>
              <w:snapToGrid w:val="0"/>
              <w:spacing w:line="280" w:lineRule="exact"/>
              <w:ind w:firstLine="1800" w:firstLineChars="1000"/>
              <w:jc w:val="lef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18"/>
                <w:szCs w:val="18"/>
                <w:highlight w:val="none"/>
              </w:rPr>
              <w:t>□防走失装置</w:t>
            </w:r>
            <w:r>
              <w:rPr>
                <w:rFonts w:hint="eastAsia" w:ascii="宋体" w:hAnsi="宋体" w:eastAsia="宋体" w:cs="宋体"/>
                <w:snapToGrid w:val="0"/>
                <w:color w:val="auto"/>
                <w:kern w:val="0"/>
                <w:sz w:val="18"/>
                <w:szCs w:val="18"/>
                <w:highlight w:val="none"/>
                <w:lang w:val="en-US" w:eastAsia="zh-CN"/>
              </w:rPr>
              <w:t xml:space="preserve">  </w:t>
            </w:r>
            <w:r>
              <w:rPr>
                <w:rFonts w:hint="eastAsia" w:ascii="宋体" w:hAnsi="宋体" w:eastAsia="宋体" w:cs="宋体"/>
                <w:snapToGrid w:val="0"/>
                <w:color w:val="auto"/>
                <w:kern w:val="0"/>
                <w:sz w:val="18"/>
                <w:szCs w:val="18"/>
                <w:highlight w:val="none"/>
              </w:rPr>
              <w:t>□安全监控装置</w:t>
            </w:r>
          </w:p>
          <w:p>
            <w:pPr>
              <w:widowControl/>
              <w:overflowPunct w:val="0"/>
              <w:adjustRightInd w:val="0"/>
              <w:snapToGrid w:val="0"/>
              <w:spacing w:line="280" w:lineRule="exact"/>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18"/>
                <w:szCs w:val="18"/>
                <w:highlight w:val="none"/>
              </w:rPr>
              <w:t>              </w:t>
            </w:r>
          </w:p>
          <w:p>
            <w:pPr>
              <w:widowControl/>
              <w:overflowPunct w:val="0"/>
              <w:adjustRightInd w:val="0"/>
              <w:snapToGrid w:val="0"/>
              <w:spacing w:line="280" w:lineRule="exact"/>
              <w:jc w:val="left"/>
              <w:rPr>
                <w:rFonts w:hint="eastAsia" w:ascii="宋体" w:hAnsi="宋体" w:eastAsia="宋体" w:cs="宋体"/>
                <w:snapToGrid w:val="0"/>
                <w:color w:val="auto"/>
                <w:kern w:val="0"/>
                <w:sz w:val="44"/>
                <w:szCs w:val="44"/>
                <w:highlight w:val="none"/>
              </w:rPr>
            </w:pPr>
            <w:r>
              <w:rPr>
                <w:rFonts w:hint="eastAsia" w:ascii="宋体" w:hAnsi="宋体" w:eastAsia="宋体" w:cs="宋体"/>
                <w:snapToGrid w:val="0"/>
                <w:color w:val="auto"/>
                <w:kern w:val="0"/>
                <w:sz w:val="18"/>
                <w:szCs w:val="18"/>
                <w:highlight w:val="none"/>
              </w:rPr>
              <w:t>申请人签字：               年   月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283" w:hRule="atLeast"/>
          <w:jc w:val="center"/>
        </w:trPr>
        <w:tc>
          <w:tcPr>
            <w:tcW w:w="1399" w:type="dxa"/>
            <w:noWrap w:val="0"/>
            <w:vAlign w:val="center"/>
          </w:tcPr>
          <w:p>
            <w:pPr>
              <w:widowControl/>
              <w:overflowPunct w:val="0"/>
              <w:adjustRightInd w:val="0"/>
              <w:snapToGrid w:val="0"/>
              <w:spacing w:line="280" w:lineRule="exact"/>
              <w:jc w:val="center"/>
              <w:rPr>
                <w:rFonts w:hint="eastAsia" w:ascii="宋体" w:hAnsi="宋体" w:eastAsia="宋体" w:cs="宋体"/>
                <w:snapToGrid w:val="0"/>
                <w:color w:val="auto"/>
                <w:kern w:val="0"/>
                <w:sz w:val="18"/>
                <w:szCs w:val="18"/>
                <w:highlight w:val="none"/>
              </w:rPr>
            </w:pPr>
            <w:r>
              <w:rPr>
                <w:rFonts w:hint="eastAsia" w:ascii="宋体" w:hAnsi="宋体" w:eastAsia="宋体" w:cs="宋体"/>
                <w:snapToGrid w:val="0"/>
                <w:color w:val="auto"/>
                <w:kern w:val="0"/>
                <w:sz w:val="18"/>
                <w:szCs w:val="18"/>
                <w:highlight w:val="none"/>
              </w:rPr>
              <w:t>社区（村）</w:t>
            </w:r>
          </w:p>
          <w:p>
            <w:pPr>
              <w:widowControl/>
              <w:overflowPunct w:val="0"/>
              <w:adjustRightInd w:val="0"/>
              <w:snapToGrid w:val="0"/>
              <w:spacing w:line="280" w:lineRule="exact"/>
              <w:jc w:val="center"/>
              <w:rPr>
                <w:rFonts w:hint="eastAsia" w:ascii="宋体" w:hAnsi="宋体" w:eastAsia="宋体" w:cs="宋体"/>
                <w:snapToGrid w:val="0"/>
                <w:color w:val="auto"/>
                <w:kern w:val="0"/>
                <w:sz w:val="18"/>
                <w:szCs w:val="18"/>
                <w:highlight w:val="none"/>
              </w:rPr>
            </w:pPr>
            <w:r>
              <w:rPr>
                <w:rFonts w:hint="eastAsia" w:ascii="宋体" w:hAnsi="宋体" w:eastAsia="宋体" w:cs="宋体"/>
                <w:snapToGrid w:val="0"/>
                <w:color w:val="auto"/>
                <w:kern w:val="0"/>
                <w:sz w:val="18"/>
                <w:szCs w:val="18"/>
                <w:highlight w:val="none"/>
              </w:rPr>
              <w:t>意见</w:t>
            </w:r>
          </w:p>
        </w:tc>
        <w:tc>
          <w:tcPr>
            <w:tcW w:w="8233" w:type="dxa"/>
            <w:gridSpan w:val="5"/>
            <w:noWrap w:val="0"/>
            <w:vAlign w:val="center"/>
          </w:tcPr>
          <w:p>
            <w:pPr>
              <w:widowControl/>
              <w:overflowPunct w:val="0"/>
              <w:adjustRightInd w:val="0"/>
              <w:snapToGrid w:val="0"/>
              <w:spacing w:line="280" w:lineRule="exact"/>
              <w:rPr>
                <w:rFonts w:hint="eastAsia" w:ascii="宋体" w:hAnsi="宋体" w:eastAsia="宋体" w:cs="宋体"/>
                <w:snapToGrid w:val="0"/>
                <w:color w:val="auto"/>
                <w:kern w:val="0"/>
                <w:sz w:val="18"/>
                <w:szCs w:val="18"/>
                <w:highlight w:val="none"/>
              </w:rPr>
            </w:pPr>
          </w:p>
          <w:p>
            <w:pPr>
              <w:widowControl/>
              <w:overflowPunct w:val="0"/>
              <w:adjustRightInd w:val="0"/>
              <w:snapToGrid w:val="0"/>
              <w:spacing w:line="280" w:lineRule="exact"/>
              <w:rPr>
                <w:rFonts w:hint="eastAsia" w:ascii="宋体" w:hAnsi="宋体" w:eastAsia="宋体" w:cs="宋体"/>
                <w:snapToGrid w:val="0"/>
                <w:color w:val="auto"/>
                <w:kern w:val="0"/>
                <w:sz w:val="18"/>
                <w:szCs w:val="18"/>
                <w:highlight w:val="none"/>
              </w:rPr>
            </w:pPr>
          </w:p>
          <w:p>
            <w:pPr>
              <w:widowControl/>
              <w:overflowPunct w:val="0"/>
              <w:adjustRightInd w:val="0"/>
              <w:snapToGrid w:val="0"/>
              <w:spacing w:line="280" w:lineRule="exact"/>
              <w:rPr>
                <w:rFonts w:hint="eastAsia" w:ascii="宋体" w:hAnsi="宋体" w:eastAsia="宋体" w:cs="宋体"/>
                <w:snapToGrid w:val="0"/>
                <w:color w:val="auto"/>
                <w:kern w:val="0"/>
                <w:sz w:val="18"/>
                <w:szCs w:val="18"/>
                <w:highlight w:val="none"/>
              </w:rPr>
            </w:pPr>
          </w:p>
          <w:p>
            <w:pPr>
              <w:widowControl/>
              <w:overflowPunct w:val="0"/>
              <w:adjustRightInd w:val="0"/>
              <w:snapToGrid w:val="0"/>
              <w:spacing w:line="280" w:lineRule="exact"/>
              <w:rPr>
                <w:rFonts w:hint="eastAsia" w:ascii="宋体" w:hAnsi="宋体" w:eastAsia="宋体" w:cs="宋体"/>
                <w:snapToGrid w:val="0"/>
                <w:color w:val="auto"/>
                <w:kern w:val="0"/>
                <w:sz w:val="18"/>
                <w:szCs w:val="18"/>
                <w:highlight w:val="none"/>
              </w:rPr>
            </w:pPr>
            <w:r>
              <w:rPr>
                <w:rFonts w:hint="eastAsia" w:ascii="宋体" w:hAnsi="宋体" w:eastAsia="宋体" w:cs="宋体"/>
                <w:snapToGrid w:val="0"/>
                <w:color w:val="auto"/>
                <w:kern w:val="0"/>
                <w:sz w:val="18"/>
                <w:szCs w:val="18"/>
                <w:highlight w:val="none"/>
              </w:rPr>
              <w:t>初审人签字：               初审单位（盖章）：</w:t>
            </w:r>
          </w:p>
          <w:p>
            <w:pPr>
              <w:widowControl/>
              <w:overflowPunct w:val="0"/>
              <w:adjustRightInd w:val="0"/>
              <w:snapToGrid w:val="0"/>
              <w:spacing w:line="280" w:lineRule="exact"/>
              <w:rPr>
                <w:rFonts w:hint="eastAsia" w:ascii="宋体" w:hAnsi="宋体" w:eastAsia="宋体" w:cs="宋体"/>
                <w:snapToGrid w:val="0"/>
                <w:color w:val="auto"/>
                <w:kern w:val="0"/>
                <w:sz w:val="44"/>
                <w:szCs w:val="44"/>
                <w:highlight w:val="none"/>
              </w:rPr>
            </w:pPr>
            <w:r>
              <w:rPr>
                <w:rFonts w:hint="eastAsia" w:ascii="宋体" w:hAnsi="宋体" w:eastAsia="宋体" w:cs="宋体"/>
                <w:snapToGrid w:val="0"/>
                <w:color w:val="auto"/>
                <w:kern w:val="0"/>
                <w:sz w:val="18"/>
                <w:szCs w:val="18"/>
                <w:highlight w:val="none"/>
              </w:rPr>
              <w:t xml:space="preserve">                                          年   月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303" w:hRule="atLeast"/>
          <w:jc w:val="center"/>
        </w:trPr>
        <w:tc>
          <w:tcPr>
            <w:tcW w:w="1399" w:type="dxa"/>
            <w:noWrap w:val="0"/>
            <w:vAlign w:val="center"/>
          </w:tcPr>
          <w:p>
            <w:pPr>
              <w:widowControl/>
              <w:overflowPunct w:val="0"/>
              <w:adjustRightInd w:val="0"/>
              <w:snapToGrid w:val="0"/>
              <w:spacing w:line="280" w:lineRule="exact"/>
              <w:jc w:val="center"/>
              <w:rPr>
                <w:rFonts w:hint="eastAsia" w:ascii="宋体" w:hAnsi="宋体" w:eastAsia="宋体" w:cs="宋体"/>
                <w:snapToGrid w:val="0"/>
                <w:color w:val="auto"/>
                <w:kern w:val="0"/>
                <w:sz w:val="18"/>
                <w:szCs w:val="18"/>
                <w:highlight w:val="none"/>
              </w:rPr>
            </w:pPr>
            <w:r>
              <w:rPr>
                <w:rFonts w:hint="eastAsia" w:ascii="宋体" w:hAnsi="宋体" w:eastAsia="宋体" w:cs="宋体"/>
                <w:snapToGrid w:val="0"/>
                <w:color w:val="auto"/>
                <w:kern w:val="0"/>
                <w:sz w:val="18"/>
                <w:szCs w:val="18"/>
                <w:highlight w:val="none"/>
              </w:rPr>
              <w:t>乡（镇）</w:t>
            </w:r>
          </w:p>
          <w:p>
            <w:pPr>
              <w:widowControl/>
              <w:overflowPunct w:val="0"/>
              <w:adjustRightInd w:val="0"/>
              <w:snapToGrid w:val="0"/>
              <w:spacing w:line="280" w:lineRule="exact"/>
              <w:jc w:val="center"/>
              <w:rPr>
                <w:rFonts w:hint="eastAsia" w:ascii="宋体" w:hAnsi="宋体" w:eastAsia="宋体" w:cs="宋体"/>
                <w:snapToGrid w:val="0"/>
                <w:color w:val="auto"/>
                <w:kern w:val="0"/>
                <w:sz w:val="18"/>
                <w:szCs w:val="18"/>
                <w:highlight w:val="none"/>
              </w:rPr>
            </w:pPr>
            <w:r>
              <w:rPr>
                <w:rFonts w:hint="eastAsia" w:ascii="宋体" w:hAnsi="宋体" w:eastAsia="宋体" w:cs="宋体"/>
                <w:snapToGrid w:val="0"/>
                <w:color w:val="auto"/>
                <w:kern w:val="0"/>
                <w:sz w:val="18"/>
                <w:szCs w:val="18"/>
                <w:highlight w:val="none"/>
              </w:rPr>
              <w:t>意见</w:t>
            </w:r>
          </w:p>
        </w:tc>
        <w:tc>
          <w:tcPr>
            <w:tcW w:w="8233" w:type="dxa"/>
            <w:gridSpan w:val="5"/>
            <w:noWrap w:val="0"/>
            <w:vAlign w:val="center"/>
          </w:tcPr>
          <w:p>
            <w:pPr>
              <w:widowControl/>
              <w:overflowPunct w:val="0"/>
              <w:adjustRightInd w:val="0"/>
              <w:snapToGrid w:val="0"/>
              <w:spacing w:line="280" w:lineRule="exact"/>
              <w:jc w:val="left"/>
              <w:rPr>
                <w:rFonts w:hint="eastAsia" w:ascii="宋体" w:hAnsi="宋体" w:eastAsia="宋体" w:cs="宋体"/>
                <w:snapToGrid w:val="0"/>
                <w:color w:val="auto"/>
                <w:kern w:val="0"/>
                <w:sz w:val="24"/>
                <w:szCs w:val="24"/>
                <w:highlight w:val="none"/>
              </w:rPr>
            </w:pPr>
          </w:p>
          <w:p>
            <w:pPr>
              <w:widowControl/>
              <w:overflowPunct w:val="0"/>
              <w:adjustRightInd w:val="0"/>
              <w:snapToGrid w:val="0"/>
              <w:spacing w:line="280" w:lineRule="exact"/>
              <w:jc w:val="left"/>
              <w:rPr>
                <w:rFonts w:hint="eastAsia" w:ascii="宋体" w:hAnsi="宋体" w:eastAsia="宋体" w:cs="宋体"/>
                <w:snapToGrid w:val="0"/>
                <w:color w:val="auto"/>
                <w:kern w:val="0"/>
                <w:sz w:val="24"/>
                <w:szCs w:val="24"/>
                <w:highlight w:val="none"/>
              </w:rPr>
            </w:pPr>
          </w:p>
          <w:p>
            <w:pPr>
              <w:widowControl/>
              <w:overflowPunct w:val="0"/>
              <w:adjustRightInd w:val="0"/>
              <w:snapToGrid w:val="0"/>
              <w:spacing w:line="280" w:lineRule="exact"/>
              <w:jc w:val="left"/>
              <w:rPr>
                <w:rFonts w:hint="eastAsia" w:ascii="宋体" w:hAnsi="宋体" w:eastAsia="宋体" w:cs="宋体"/>
                <w:snapToGrid w:val="0"/>
                <w:color w:val="auto"/>
                <w:kern w:val="0"/>
                <w:sz w:val="24"/>
                <w:szCs w:val="24"/>
                <w:highlight w:val="none"/>
              </w:rPr>
            </w:pPr>
          </w:p>
          <w:p>
            <w:pPr>
              <w:widowControl/>
              <w:overflowPunct w:val="0"/>
              <w:adjustRightInd w:val="0"/>
              <w:snapToGrid w:val="0"/>
              <w:spacing w:line="280" w:lineRule="exact"/>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18"/>
                <w:szCs w:val="18"/>
                <w:highlight w:val="none"/>
              </w:rPr>
              <w:t>审核人签字：               审核单位（盖章）：</w:t>
            </w:r>
          </w:p>
          <w:p>
            <w:pPr>
              <w:widowControl/>
              <w:overflowPunct w:val="0"/>
              <w:adjustRightInd w:val="0"/>
              <w:snapToGrid w:val="0"/>
              <w:spacing w:line="280" w:lineRule="exact"/>
              <w:rPr>
                <w:rFonts w:hint="eastAsia" w:ascii="宋体" w:hAnsi="宋体" w:eastAsia="宋体" w:cs="宋体"/>
                <w:snapToGrid w:val="0"/>
                <w:color w:val="auto"/>
                <w:kern w:val="0"/>
                <w:sz w:val="44"/>
                <w:szCs w:val="44"/>
                <w:highlight w:val="none"/>
              </w:rPr>
            </w:pPr>
            <w:r>
              <w:rPr>
                <w:rFonts w:hint="eastAsia" w:ascii="宋体" w:hAnsi="宋体" w:eastAsia="宋体" w:cs="宋体"/>
                <w:snapToGrid w:val="0"/>
                <w:color w:val="auto"/>
                <w:kern w:val="0"/>
                <w:sz w:val="18"/>
                <w:szCs w:val="18"/>
                <w:highlight w:val="none"/>
              </w:rPr>
              <w:t xml:space="preserve">                                          年   月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624" w:hRule="atLeast"/>
          <w:jc w:val="center"/>
        </w:trPr>
        <w:tc>
          <w:tcPr>
            <w:tcW w:w="1399" w:type="dxa"/>
            <w:noWrap w:val="0"/>
            <w:vAlign w:val="center"/>
          </w:tcPr>
          <w:p>
            <w:pPr>
              <w:widowControl/>
              <w:overflowPunct w:val="0"/>
              <w:adjustRightInd w:val="0"/>
              <w:snapToGrid w:val="0"/>
              <w:spacing w:line="280" w:lineRule="exact"/>
              <w:jc w:val="center"/>
              <w:rPr>
                <w:rFonts w:hint="eastAsia" w:ascii="宋体" w:hAnsi="宋体" w:eastAsia="宋体" w:cs="宋体"/>
                <w:snapToGrid w:val="0"/>
                <w:color w:val="auto"/>
                <w:kern w:val="0"/>
                <w:sz w:val="18"/>
                <w:szCs w:val="18"/>
                <w:highlight w:val="none"/>
              </w:rPr>
            </w:pPr>
            <w:r>
              <w:rPr>
                <w:rFonts w:hint="eastAsia" w:ascii="宋体" w:hAnsi="宋体" w:eastAsia="宋体" w:cs="宋体"/>
                <w:snapToGrid w:val="0"/>
                <w:color w:val="auto"/>
                <w:kern w:val="0"/>
                <w:sz w:val="18"/>
                <w:szCs w:val="18"/>
                <w:highlight w:val="none"/>
                <w:lang w:eastAsia="zh-CN"/>
              </w:rPr>
              <w:t>市</w:t>
            </w:r>
            <w:r>
              <w:rPr>
                <w:rFonts w:hint="eastAsia" w:ascii="宋体" w:hAnsi="宋体" w:eastAsia="宋体" w:cs="宋体"/>
                <w:snapToGrid w:val="0"/>
                <w:color w:val="auto"/>
                <w:kern w:val="0"/>
                <w:sz w:val="18"/>
                <w:szCs w:val="18"/>
                <w:highlight w:val="none"/>
              </w:rPr>
              <w:t>民政部门</w:t>
            </w:r>
          </w:p>
          <w:p>
            <w:pPr>
              <w:widowControl/>
              <w:overflowPunct w:val="0"/>
              <w:adjustRightInd w:val="0"/>
              <w:snapToGrid w:val="0"/>
              <w:spacing w:line="280" w:lineRule="exact"/>
              <w:jc w:val="center"/>
              <w:rPr>
                <w:rFonts w:hint="eastAsia" w:ascii="宋体" w:hAnsi="宋体" w:eastAsia="宋体" w:cs="宋体"/>
                <w:snapToGrid w:val="0"/>
                <w:color w:val="auto"/>
                <w:kern w:val="0"/>
                <w:sz w:val="18"/>
                <w:szCs w:val="18"/>
                <w:highlight w:val="none"/>
              </w:rPr>
            </w:pPr>
            <w:r>
              <w:rPr>
                <w:rFonts w:hint="eastAsia" w:ascii="宋体" w:hAnsi="宋体" w:eastAsia="宋体" w:cs="宋体"/>
                <w:snapToGrid w:val="0"/>
                <w:color w:val="auto"/>
                <w:kern w:val="0"/>
                <w:sz w:val="18"/>
                <w:szCs w:val="18"/>
                <w:highlight w:val="none"/>
              </w:rPr>
              <w:t>意见</w:t>
            </w:r>
          </w:p>
        </w:tc>
        <w:tc>
          <w:tcPr>
            <w:tcW w:w="8233" w:type="dxa"/>
            <w:gridSpan w:val="5"/>
            <w:noWrap w:val="0"/>
            <w:vAlign w:val="center"/>
          </w:tcPr>
          <w:p>
            <w:pPr>
              <w:widowControl/>
              <w:overflowPunct w:val="0"/>
              <w:adjustRightInd w:val="0"/>
              <w:snapToGrid w:val="0"/>
              <w:spacing w:line="280" w:lineRule="exact"/>
              <w:jc w:val="left"/>
              <w:rPr>
                <w:rFonts w:hint="eastAsia" w:ascii="宋体" w:hAnsi="宋体" w:eastAsia="宋体" w:cs="宋体"/>
                <w:snapToGrid w:val="0"/>
                <w:color w:val="auto"/>
                <w:kern w:val="0"/>
                <w:sz w:val="24"/>
                <w:szCs w:val="24"/>
                <w:highlight w:val="none"/>
              </w:rPr>
            </w:pPr>
          </w:p>
          <w:p>
            <w:pPr>
              <w:widowControl/>
              <w:overflowPunct w:val="0"/>
              <w:adjustRightInd w:val="0"/>
              <w:snapToGrid w:val="0"/>
              <w:spacing w:line="280" w:lineRule="exact"/>
              <w:jc w:val="left"/>
              <w:rPr>
                <w:rFonts w:hint="eastAsia" w:ascii="宋体" w:hAnsi="宋体" w:eastAsia="宋体" w:cs="宋体"/>
                <w:snapToGrid w:val="0"/>
                <w:color w:val="auto"/>
                <w:kern w:val="0"/>
                <w:sz w:val="24"/>
                <w:szCs w:val="24"/>
                <w:highlight w:val="none"/>
              </w:rPr>
            </w:pPr>
          </w:p>
          <w:p>
            <w:pPr>
              <w:widowControl/>
              <w:overflowPunct w:val="0"/>
              <w:adjustRightInd w:val="0"/>
              <w:snapToGrid w:val="0"/>
              <w:spacing w:line="280" w:lineRule="exact"/>
              <w:jc w:val="left"/>
              <w:rPr>
                <w:rFonts w:hint="eastAsia" w:ascii="宋体" w:hAnsi="宋体" w:eastAsia="宋体" w:cs="宋体"/>
                <w:snapToGrid w:val="0"/>
                <w:color w:val="auto"/>
                <w:kern w:val="0"/>
                <w:sz w:val="24"/>
                <w:szCs w:val="24"/>
                <w:highlight w:val="none"/>
              </w:rPr>
            </w:pPr>
          </w:p>
          <w:p>
            <w:pPr>
              <w:widowControl/>
              <w:overflowPunct w:val="0"/>
              <w:adjustRightInd w:val="0"/>
              <w:snapToGrid w:val="0"/>
              <w:spacing w:line="280" w:lineRule="exact"/>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18"/>
                <w:szCs w:val="18"/>
                <w:highlight w:val="none"/>
              </w:rPr>
              <w:t>审批人签字：               审批单位（盖章）：</w:t>
            </w:r>
          </w:p>
          <w:p>
            <w:pPr>
              <w:widowControl/>
              <w:overflowPunct w:val="0"/>
              <w:adjustRightInd w:val="0"/>
              <w:snapToGrid w:val="0"/>
              <w:spacing w:line="280" w:lineRule="exact"/>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18"/>
                <w:szCs w:val="18"/>
                <w:highlight w:val="none"/>
              </w:rPr>
              <w:t xml:space="preserve">                                          年   月   日</w:t>
            </w:r>
          </w:p>
        </w:tc>
      </w:tr>
    </w:tbl>
    <w:p>
      <w:pPr>
        <w:pStyle w:val="98"/>
        <w:keepNext w:val="0"/>
        <w:keepLines w:val="0"/>
        <w:widowControl w:val="0"/>
        <w:shd w:val="clear" w:color="auto" w:fill="auto"/>
        <w:bidi w:val="0"/>
        <w:spacing w:before="0" w:after="0" w:line="240" w:lineRule="auto"/>
        <w:ind w:left="0" w:right="0" w:firstLine="0"/>
        <w:jc w:val="left"/>
        <w:rPr>
          <w:rFonts w:hint="eastAsia" w:ascii="黑体" w:hAnsi="宋体" w:eastAsia="黑体" w:cs="黑体"/>
          <w:b w:val="0"/>
          <w:bCs w:val="0"/>
          <w:i w:val="0"/>
          <w:color w:val="auto"/>
          <w:kern w:val="0"/>
          <w:sz w:val="32"/>
          <w:szCs w:val="32"/>
          <w:highlight w:val="none"/>
          <w:u w:val="none"/>
          <w:shd w:val="clear" w:color="auto" w:fill="auto"/>
          <w:lang w:val="en-US" w:eastAsia="zh-CN" w:bidi="ar"/>
        </w:rPr>
      </w:pPr>
      <w:r>
        <w:rPr>
          <w:rFonts w:hint="eastAsia" w:ascii="黑体" w:hAnsi="宋体" w:eastAsia="黑体" w:cs="黑体"/>
          <w:b w:val="0"/>
          <w:bCs w:val="0"/>
          <w:i w:val="0"/>
          <w:color w:val="auto"/>
          <w:kern w:val="0"/>
          <w:sz w:val="32"/>
          <w:szCs w:val="32"/>
          <w:highlight w:val="none"/>
          <w:u w:val="none"/>
          <w:shd w:val="clear" w:color="auto" w:fill="auto"/>
          <w:lang w:val="en-US" w:eastAsia="zh-CN" w:bidi="ar"/>
        </w:rPr>
        <w:br w:type="page"/>
      </w:r>
      <w:r>
        <w:rPr>
          <w:rFonts w:hint="eastAsia" w:ascii="宋体" w:hAnsi="宋体" w:eastAsia="宋体" w:cs="宋体"/>
          <w:b w:val="0"/>
          <w:bCs w:val="0"/>
          <w:i w:val="0"/>
          <w:color w:val="auto"/>
          <w:kern w:val="0"/>
          <w:sz w:val="32"/>
          <w:szCs w:val="32"/>
          <w:highlight w:val="none"/>
          <w:u w:val="none"/>
          <w:shd w:val="clear"/>
          <w:lang w:val="en-US" w:eastAsia="zh-CN" w:bidi="ar"/>
        </w:rPr>
        <w:t>附件4</w:t>
      </w:r>
    </w:p>
    <w:p>
      <w:pPr>
        <w:bidi w:val="0"/>
        <w:jc w:val="center"/>
        <w:rPr>
          <w:rFonts w:hint="eastAsia" w:ascii="仿宋_GB2312" w:hAnsi="仿宋_GB2312" w:eastAsia="仿宋_GB2312" w:cs="仿宋_GB2312"/>
          <w:b/>
          <w:bCs/>
          <w:color w:val="auto"/>
          <w:spacing w:val="0"/>
          <w:w w:val="100"/>
          <w:position w:val="0"/>
          <w:sz w:val="24"/>
          <w:szCs w:val="24"/>
          <w:highlight w:val="none"/>
          <w:lang w:val="en-US" w:eastAsia="zh-CN"/>
        </w:rPr>
      </w:pPr>
      <w:r>
        <w:rPr>
          <w:rFonts w:hint="eastAsia" w:asciiTheme="minorEastAsia" w:hAnsiTheme="minorEastAsia" w:eastAsiaTheme="minorEastAsia" w:cstheme="minorEastAsia"/>
          <w:b/>
          <w:bCs/>
          <w:color w:val="auto"/>
          <w:sz w:val="28"/>
          <w:szCs w:val="28"/>
          <w:highlight w:val="none"/>
          <w:lang w:val="en-US" w:eastAsia="zh-CN"/>
        </w:rPr>
        <w:t>横州市特殊困难老年人家庭适老化改造需求评估确认表</w:t>
      </w:r>
    </w:p>
    <w:tbl>
      <w:tblPr>
        <w:tblStyle w:val="28"/>
        <w:tblW w:w="8985"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76"/>
        <w:gridCol w:w="1559"/>
        <w:gridCol w:w="1559"/>
        <w:gridCol w:w="1418"/>
        <w:gridCol w:w="1559"/>
        <w:gridCol w:w="15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567" w:hRule="atLeast"/>
          <w:jc w:val="center"/>
        </w:trPr>
        <w:tc>
          <w:tcPr>
            <w:tcW w:w="1376" w:type="dxa"/>
            <w:noWrap w:val="0"/>
            <w:vAlign w:val="center"/>
          </w:tcPr>
          <w:p>
            <w:pPr>
              <w:widowControl/>
              <w:overflowPunct w:val="0"/>
              <w:adjustRightInd w:val="0"/>
              <w:snapToGrid w:val="0"/>
              <w:spacing w:line="280" w:lineRule="exact"/>
              <w:jc w:val="center"/>
              <w:rPr>
                <w:rFonts w:hint="eastAsia" w:ascii="宋体" w:hAnsi="宋体" w:eastAsia="宋体" w:cs="宋体"/>
                <w:snapToGrid w:val="0"/>
                <w:color w:val="auto"/>
                <w:kern w:val="0"/>
                <w:sz w:val="26"/>
                <w:szCs w:val="26"/>
                <w:highlight w:val="none"/>
              </w:rPr>
            </w:pPr>
            <w:r>
              <w:rPr>
                <w:rFonts w:hint="eastAsia" w:ascii="宋体" w:hAnsi="宋体" w:eastAsia="宋体" w:cs="宋体"/>
                <w:snapToGrid w:val="0"/>
                <w:color w:val="auto"/>
                <w:kern w:val="0"/>
                <w:sz w:val="18"/>
                <w:szCs w:val="18"/>
                <w:highlight w:val="none"/>
              </w:rPr>
              <w:t>家庭住址</w:t>
            </w:r>
          </w:p>
        </w:tc>
        <w:tc>
          <w:tcPr>
            <w:tcW w:w="7609" w:type="dxa"/>
            <w:gridSpan w:val="5"/>
            <w:noWrap w:val="0"/>
            <w:vAlign w:val="center"/>
          </w:tcPr>
          <w:p>
            <w:pPr>
              <w:widowControl/>
              <w:overflowPunct w:val="0"/>
              <w:adjustRightInd w:val="0"/>
              <w:snapToGrid w:val="0"/>
              <w:spacing w:line="280" w:lineRule="exact"/>
              <w:jc w:val="center"/>
              <w:rPr>
                <w:rFonts w:hint="eastAsia" w:ascii="宋体" w:hAnsi="宋体" w:eastAsia="宋体" w:cs="宋体"/>
                <w:snapToGrid w:val="0"/>
                <w:color w:val="auto"/>
                <w:kern w:val="0"/>
                <w:sz w:val="26"/>
                <w:szCs w:val="26"/>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567" w:hRule="atLeast"/>
          <w:jc w:val="center"/>
        </w:trPr>
        <w:tc>
          <w:tcPr>
            <w:tcW w:w="1376" w:type="dxa"/>
            <w:noWrap w:val="0"/>
            <w:vAlign w:val="center"/>
          </w:tcPr>
          <w:p>
            <w:pPr>
              <w:widowControl/>
              <w:overflowPunct w:val="0"/>
              <w:adjustRightInd w:val="0"/>
              <w:snapToGrid w:val="0"/>
              <w:spacing w:line="280" w:lineRule="exact"/>
              <w:jc w:val="center"/>
              <w:rPr>
                <w:rFonts w:hint="eastAsia" w:ascii="宋体" w:hAnsi="宋体" w:eastAsia="宋体" w:cs="宋体"/>
                <w:snapToGrid w:val="0"/>
                <w:color w:val="auto"/>
                <w:kern w:val="0"/>
                <w:sz w:val="26"/>
                <w:szCs w:val="26"/>
                <w:highlight w:val="none"/>
              </w:rPr>
            </w:pPr>
            <w:r>
              <w:rPr>
                <w:rFonts w:hint="eastAsia" w:ascii="宋体" w:hAnsi="宋体" w:eastAsia="宋体" w:cs="宋体"/>
                <w:snapToGrid w:val="0"/>
                <w:color w:val="auto"/>
                <w:kern w:val="0"/>
                <w:sz w:val="18"/>
                <w:szCs w:val="18"/>
                <w:highlight w:val="none"/>
              </w:rPr>
              <w:t>家庭基本情况</w:t>
            </w:r>
          </w:p>
        </w:tc>
        <w:tc>
          <w:tcPr>
            <w:tcW w:w="7609" w:type="dxa"/>
            <w:gridSpan w:val="5"/>
            <w:noWrap w:val="0"/>
            <w:vAlign w:val="center"/>
          </w:tcPr>
          <w:p>
            <w:pPr>
              <w:widowControl/>
              <w:overflowPunct w:val="0"/>
              <w:adjustRightInd w:val="0"/>
              <w:snapToGrid w:val="0"/>
              <w:spacing w:line="280" w:lineRule="exact"/>
              <w:rPr>
                <w:rFonts w:hint="eastAsia" w:ascii="宋体" w:hAnsi="宋体" w:eastAsia="宋体" w:cs="宋体"/>
                <w:snapToGrid w:val="0"/>
                <w:color w:val="auto"/>
                <w:kern w:val="0"/>
                <w:sz w:val="18"/>
                <w:szCs w:val="18"/>
                <w:highlight w:val="none"/>
              </w:rPr>
            </w:pPr>
          </w:p>
          <w:p>
            <w:pPr>
              <w:widowControl/>
              <w:overflowPunct w:val="0"/>
              <w:adjustRightInd w:val="0"/>
              <w:snapToGrid w:val="0"/>
              <w:spacing w:line="280" w:lineRule="exact"/>
              <w:rPr>
                <w:rFonts w:hint="eastAsia" w:ascii="宋体" w:hAnsi="宋体" w:eastAsia="宋体" w:cs="宋体"/>
                <w:snapToGrid w:val="0"/>
                <w:color w:val="auto"/>
                <w:kern w:val="0"/>
                <w:sz w:val="18"/>
                <w:szCs w:val="18"/>
                <w:highlight w:val="none"/>
              </w:rPr>
            </w:pPr>
            <w:r>
              <w:rPr>
                <w:rFonts w:hint="eastAsia" w:ascii="宋体" w:hAnsi="宋体" w:eastAsia="宋体" w:cs="宋体"/>
                <w:snapToGrid w:val="0"/>
                <w:color w:val="auto"/>
                <w:kern w:val="0"/>
                <w:sz w:val="18"/>
                <w:szCs w:val="18"/>
                <w:highlight w:val="none"/>
              </w:rPr>
              <w:t>（包括常住人数、子女情况、探望情况等）</w:t>
            </w:r>
          </w:p>
          <w:p>
            <w:pPr>
              <w:widowControl/>
              <w:overflowPunct w:val="0"/>
              <w:adjustRightInd w:val="0"/>
              <w:snapToGrid w:val="0"/>
              <w:spacing w:line="280" w:lineRule="exact"/>
              <w:rPr>
                <w:rFonts w:hint="eastAsia" w:ascii="宋体" w:hAnsi="宋体" w:eastAsia="宋体" w:cs="宋体"/>
                <w:snapToGrid w:val="0"/>
                <w:color w:val="auto"/>
                <w:kern w:val="0"/>
                <w:sz w:val="26"/>
                <w:szCs w:val="26"/>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397" w:hRule="atLeast"/>
          <w:jc w:val="center"/>
        </w:trPr>
        <w:tc>
          <w:tcPr>
            <w:tcW w:w="1376" w:type="dxa"/>
            <w:vMerge w:val="restart"/>
            <w:noWrap w:val="0"/>
            <w:vAlign w:val="center"/>
          </w:tcPr>
          <w:p>
            <w:pPr>
              <w:widowControl/>
              <w:overflowPunct w:val="0"/>
              <w:adjustRightInd w:val="0"/>
              <w:snapToGrid w:val="0"/>
              <w:spacing w:line="280" w:lineRule="exact"/>
              <w:jc w:val="center"/>
              <w:rPr>
                <w:rFonts w:hint="eastAsia" w:ascii="宋体" w:hAnsi="宋体" w:eastAsia="宋体" w:cs="宋体"/>
                <w:snapToGrid w:val="0"/>
                <w:color w:val="auto"/>
                <w:kern w:val="0"/>
                <w:sz w:val="26"/>
                <w:szCs w:val="26"/>
                <w:highlight w:val="none"/>
              </w:rPr>
            </w:pPr>
            <w:r>
              <w:rPr>
                <w:rFonts w:hint="eastAsia" w:ascii="宋体" w:hAnsi="宋体" w:eastAsia="宋体" w:cs="宋体"/>
                <w:snapToGrid w:val="0"/>
                <w:color w:val="auto"/>
                <w:kern w:val="0"/>
                <w:sz w:val="18"/>
                <w:szCs w:val="18"/>
                <w:highlight w:val="none"/>
              </w:rPr>
              <w:t>老年人情况</w:t>
            </w:r>
          </w:p>
        </w:tc>
        <w:tc>
          <w:tcPr>
            <w:tcW w:w="1559" w:type="dxa"/>
            <w:noWrap w:val="0"/>
            <w:vAlign w:val="center"/>
          </w:tcPr>
          <w:p>
            <w:pPr>
              <w:widowControl/>
              <w:overflowPunct w:val="0"/>
              <w:adjustRightInd w:val="0"/>
              <w:snapToGrid w:val="0"/>
              <w:spacing w:line="280" w:lineRule="exact"/>
              <w:jc w:val="center"/>
              <w:rPr>
                <w:rFonts w:hint="eastAsia" w:ascii="宋体" w:hAnsi="宋体" w:eastAsia="宋体" w:cs="宋体"/>
                <w:snapToGrid w:val="0"/>
                <w:color w:val="auto"/>
                <w:kern w:val="0"/>
                <w:sz w:val="26"/>
                <w:szCs w:val="26"/>
                <w:highlight w:val="none"/>
              </w:rPr>
            </w:pPr>
            <w:r>
              <w:rPr>
                <w:rFonts w:hint="eastAsia" w:ascii="宋体" w:hAnsi="宋体" w:eastAsia="宋体" w:cs="宋体"/>
                <w:snapToGrid w:val="0"/>
                <w:color w:val="auto"/>
                <w:kern w:val="0"/>
                <w:sz w:val="18"/>
                <w:szCs w:val="18"/>
                <w:highlight w:val="none"/>
              </w:rPr>
              <w:t>老年人人数</w:t>
            </w:r>
          </w:p>
        </w:tc>
        <w:tc>
          <w:tcPr>
            <w:tcW w:w="1559" w:type="dxa"/>
            <w:noWrap w:val="0"/>
            <w:vAlign w:val="center"/>
          </w:tcPr>
          <w:p>
            <w:pPr>
              <w:widowControl/>
              <w:overflowPunct w:val="0"/>
              <w:adjustRightInd w:val="0"/>
              <w:snapToGrid w:val="0"/>
              <w:spacing w:line="280" w:lineRule="exact"/>
              <w:jc w:val="center"/>
              <w:rPr>
                <w:rFonts w:hint="eastAsia" w:ascii="宋体" w:hAnsi="宋体" w:eastAsia="宋体" w:cs="宋体"/>
                <w:snapToGrid w:val="0"/>
                <w:color w:val="auto"/>
                <w:kern w:val="0"/>
                <w:sz w:val="26"/>
                <w:szCs w:val="26"/>
                <w:highlight w:val="none"/>
              </w:rPr>
            </w:pPr>
          </w:p>
        </w:tc>
        <w:tc>
          <w:tcPr>
            <w:tcW w:w="1418" w:type="dxa"/>
            <w:vMerge w:val="restart"/>
            <w:noWrap w:val="0"/>
            <w:vAlign w:val="center"/>
          </w:tcPr>
          <w:p>
            <w:pPr>
              <w:widowControl/>
              <w:overflowPunct w:val="0"/>
              <w:adjustRightInd w:val="0"/>
              <w:snapToGrid w:val="0"/>
              <w:spacing w:line="280" w:lineRule="exact"/>
              <w:jc w:val="center"/>
              <w:rPr>
                <w:rFonts w:hint="eastAsia" w:ascii="宋体" w:hAnsi="宋体" w:eastAsia="宋体" w:cs="宋体"/>
                <w:snapToGrid w:val="0"/>
                <w:color w:val="auto"/>
                <w:kern w:val="0"/>
                <w:sz w:val="26"/>
                <w:szCs w:val="26"/>
                <w:highlight w:val="none"/>
              </w:rPr>
            </w:pPr>
            <w:r>
              <w:rPr>
                <w:rFonts w:hint="eastAsia" w:ascii="宋体" w:hAnsi="宋体" w:eastAsia="宋体" w:cs="宋体"/>
                <w:snapToGrid w:val="0"/>
                <w:color w:val="auto"/>
                <w:kern w:val="0"/>
                <w:sz w:val="18"/>
                <w:szCs w:val="18"/>
                <w:highlight w:val="none"/>
              </w:rPr>
              <w:t>身体状况</w:t>
            </w:r>
          </w:p>
        </w:tc>
        <w:tc>
          <w:tcPr>
            <w:tcW w:w="3073" w:type="dxa"/>
            <w:gridSpan w:val="2"/>
            <w:vMerge w:val="restart"/>
            <w:noWrap w:val="0"/>
            <w:vAlign w:val="center"/>
          </w:tcPr>
          <w:p>
            <w:pPr>
              <w:widowControl/>
              <w:overflowPunct w:val="0"/>
              <w:adjustRightInd w:val="0"/>
              <w:snapToGrid w:val="0"/>
              <w:spacing w:line="280" w:lineRule="exact"/>
              <w:jc w:val="center"/>
              <w:rPr>
                <w:rFonts w:hint="eastAsia" w:ascii="宋体" w:hAnsi="宋体" w:eastAsia="宋体" w:cs="宋体"/>
                <w:snapToGrid w:val="0"/>
                <w:color w:val="auto"/>
                <w:kern w:val="0"/>
                <w:sz w:val="26"/>
                <w:szCs w:val="26"/>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397" w:hRule="atLeast"/>
          <w:jc w:val="center"/>
        </w:trPr>
        <w:tc>
          <w:tcPr>
            <w:tcW w:w="1376" w:type="dxa"/>
            <w:vMerge w:val="continue"/>
            <w:noWrap w:val="0"/>
            <w:vAlign w:val="center"/>
          </w:tcPr>
          <w:p>
            <w:pPr>
              <w:widowControl/>
              <w:overflowPunct w:val="0"/>
              <w:adjustRightInd w:val="0"/>
              <w:snapToGrid w:val="0"/>
              <w:spacing w:line="280" w:lineRule="exact"/>
              <w:jc w:val="center"/>
              <w:rPr>
                <w:rFonts w:hint="eastAsia" w:ascii="宋体" w:hAnsi="宋体" w:eastAsia="宋体" w:cs="宋体"/>
                <w:snapToGrid w:val="0"/>
                <w:color w:val="auto"/>
                <w:kern w:val="0"/>
                <w:sz w:val="26"/>
                <w:szCs w:val="26"/>
                <w:highlight w:val="none"/>
              </w:rPr>
            </w:pPr>
          </w:p>
        </w:tc>
        <w:tc>
          <w:tcPr>
            <w:tcW w:w="1559" w:type="dxa"/>
            <w:noWrap w:val="0"/>
            <w:vAlign w:val="center"/>
          </w:tcPr>
          <w:p>
            <w:pPr>
              <w:widowControl/>
              <w:overflowPunct w:val="0"/>
              <w:adjustRightInd w:val="0"/>
              <w:snapToGrid w:val="0"/>
              <w:spacing w:line="280" w:lineRule="exact"/>
              <w:jc w:val="center"/>
              <w:rPr>
                <w:rFonts w:hint="eastAsia" w:ascii="宋体" w:hAnsi="宋体" w:eastAsia="宋体" w:cs="宋体"/>
                <w:snapToGrid w:val="0"/>
                <w:color w:val="auto"/>
                <w:kern w:val="0"/>
                <w:sz w:val="26"/>
                <w:szCs w:val="26"/>
                <w:highlight w:val="none"/>
              </w:rPr>
            </w:pPr>
            <w:r>
              <w:rPr>
                <w:rFonts w:hint="eastAsia" w:ascii="宋体" w:hAnsi="宋体" w:eastAsia="宋体" w:cs="宋体"/>
                <w:snapToGrid w:val="0"/>
                <w:color w:val="auto"/>
                <w:kern w:val="0"/>
                <w:sz w:val="18"/>
                <w:szCs w:val="18"/>
                <w:highlight w:val="none"/>
              </w:rPr>
              <w:t>是否使用轮椅</w:t>
            </w:r>
          </w:p>
        </w:tc>
        <w:tc>
          <w:tcPr>
            <w:tcW w:w="1559" w:type="dxa"/>
            <w:noWrap w:val="0"/>
            <w:vAlign w:val="center"/>
          </w:tcPr>
          <w:p>
            <w:pPr>
              <w:widowControl/>
              <w:overflowPunct w:val="0"/>
              <w:adjustRightInd w:val="0"/>
              <w:snapToGrid w:val="0"/>
              <w:spacing w:line="280" w:lineRule="exact"/>
              <w:jc w:val="center"/>
              <w:rPr>
                <w:rFonts w:hint="eastAsia" w:ascii="宋体" w:hAnsi="宋体" w:eastAsia="宋体" w:cs="宋体"/>
                <w:snapToGrid w:val="0"/>
                <w:color w:val="auto"/>
                <w:kern w:val="0"/>
                <w:sz w:val="26"/>
                <w:szCs w:val="26"/>
                <w:highlight w:val="none"/>
              </w:rPr>
            </w:pPr>
          </w:p>
        </w:tc>
        <w:tc>
          <w:tcPr>
            <w:tcW w:w="1418" w:type="dxa"/>
            <w:vMerge w:val="continue"/>
            <w:noWrap w:val="0"/>
            <w:vAlign w:val="center"/>
          </w:tcPr>
          <w:p>
            <w:pPr>
              <w:widowControl/>
              <w:overflowPunct w:val="0"/>
              <w:adjustRightInd w:val="0"/>
              <w:snapToGrid w:val="0"/>
              <w:spacing w:line="280" w:lineRule="exact"/>
              <w:jc w:val="center"/>
              <w:rPr>
                <w:rFonts w:hint="eastAsia" w:ascii="宋体" w:hAnsi="宋体" w:eastAsia="宋体" w:cs="宋体"/>
                <w:snapToGrid w:val="0"/>
                <w:color w:val="auto"/>
                <w:kern w:val="0"/>
                <w:sz w:val="26"/>
                <w:szCs w:val="26"/>
                <w:highlight w:val="none"/>
              </w:rPr>
            </w:pPr>
          </w:p>
        </w:tc>
        <w:tc>
          <w:tcPr>
            <w:tcW w:w="3073" w:type="dxa"/>
            <w:gridSpan w:val="2"/>
            <w:vMerge w:val="continue"/>
            <w:noWrap w:val="0"/>
            <w:vAlign w:val="center"/>
          </w:tcPr>
          <w:p>
            <w:pPr>
              <w:widowControl/>
              <w:overflowPunct w:val="0"/>
              <w:adjustRightInd w:val="0"/>
              <w:snapToGrid w:val="0"/>
              <w:spacing w:line="280" w:lineRule="exact"/>
              <w:jc w:val="center"/>
              <w:rPr>
                <w:rFonts w:hint="eastAsia" w:ascii="宋体" w:hAnsi="宋体" w:eastAsia="宋体" w:cs="宋体"/>
                <w:snapToGrid w:val="0"/>
                <w:color w:val="auto"/>
                <w:kern w:val="0"/>
                <w:sz w:val="26"/>
                <w:szCs w:val="26"/>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397" w:hRule="atLeast"/>
          <w:jc w:val="center"/>
        </w:trPr>
        <w:tc>
          <w:tcPr>
            <w:tcW w:w="1376" w:type="dxa"/>
            <w:vMerge w:val="restart"/>
            <w:noWrap w:val="0"/>
            <w:vAlign w:val="center"/>
          </w:tcPr>
          <w:p>
            <w:pPr>
              <w:widowControl/>
              <w:overflowPunct w:val="0"/>
              <w:adjustRightInd w:val="0"/>
              <w:snapToGrid w:val="0"/>
              <w:spacing w:line="280" w:lineRule="exact"/>
              <w:jc w:val="center"/>
              <w:rPr>
                <w:rFonts w:hint="eastAsia" w:ascii="宋体" w:hAnsi="宋体" w:eastAsia="宋体" w:cs="宋体"/>
                <w:snapToGrid w:val="0"/>
                <w:color w:val="auto"/>
                <w:kern w:val="0"/>
                <w:sz w:val="26"/>
                <w:szCs w:val="26"/>
                <w:highlight w:val="none"/>
              </w:rPr>
            </w:pPr>
            <w:r>
              <w:rPr>
                <w:rFonts w:hint="eastAsia" w:ascii="宋体" w:hAnsi="宋体" w:eastAsia="宋体" w:cs="宋体"/>
                <w:snapToGrid w:val="0"/>
                <w:color w:val="auto"/>
                <w:kern w:val="0"/>
                <w:sz w:val="18"/>
                <w:szCs w:val="18"/>
                <w:highlight w:val="none"/>
              </w:rPr>
              <w:t>改造实施方案</w:t>
            </w:r>
          </w:p>
        </w:tc>
        <w:tc>
          <w:tcPr>
            <w:tcW w:w="1559" w:type="dxa"/>
            <w:noWrap w:val="0"/>
            <w:vAlign w:val="center"/>
          </w:tcPr>
          <w:p>
            <w:pPr>
              <w:widowControl/>
              <w:overflowPunct w:val="0"/>
              <w:adjustRightInd w:val="0"/>
              <w:snapToGrid w:val="0"/>
              <w:spacing w:line="28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bCs/>
                <w:snapToGrid w:val="0"/>
                <w:color w:val="auto"/>
                <w:kern w:val="0"/>
                <w:sz w:val="18"/>
                <w:szCs w:val="18"/>
                <w:highlight w:val="none"/>
              </w:rPr>
              <w:t>改造项目</w:t>
            </w:r>
          </w:p>
        </w:tc>
        <w:tc>
          <w:tcPr>
            <w:tcW w:w="1559" w:type="dxa"/>
            <w:noWrap w:val="0"/>
            <w:vAlign w:val="center"/>
          </w:tcPr>
          <w:p>
            <w:pPr>
              <w:widowControl/>
              <w:overflowPunct w:val="0"/>
              <w:adjustRightInd w:val="0"/>
              <w:snapToGrid w:val="0"/>
              <w:spacing w:line="28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bCs/>
                <w:snapToGrid w:val="0"/>
                <w:color w:val="auto"/>
                <w:kern w:val="0"/>
                <w:sz w:val="18"/>
                <w:szCs w:val="18"/>
                <w:highlight w:val="none"/>
              </w:rPr>
              <w:t>改造内容</w:t>
            </w:r>
          </w:p>
        </w:tc>
        <w:tc>
          <w:tcPr>
            <w:tcW w:w="1418" w:type="dxa"/>
            <w:noWrap w:val="0"/>
            <w:vAlign w:val="center"/>
          </w:tcPr>
          <w:p>
            <w:pPr>
              <w:widowControl/>
              <w:overflowPunct w:val="0"/>
              <w:adjustRightInd w:val="0"/>
              <w:snapToGrid w:val="0"/>
              <w:spacing w:line="28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bCs/>
                <w:snapToGrid w:val="0"/>
                <w:color w:val="auto"/>
                <w:kern w:val="0"/>
                <w:sz w:val="18"/>
                <w:szCs w:val="18"/>
                <w:highlight w:val="none"/>
              </w:rPr>
              <w:t>改造数量</w:t>
            </w:r>
          </w:p>
        </w:tc>
        <w:tc>
          <w:tcPr>
            <w:tcW w:w="1559" w:type="dxa"/>
            <w:noWrap w:val="0"/>
            <w:vAlign w:val="center"/>
          </w:tcPr>
          <w:p>
            <w:pPr>
              <w:widowControl/>
              <w:overflowPunct w:val="0"/>
              <w:adjustRightInd w:val="0"/>
              <w:snapToGrid w:val="0"/>
              <w:spacing w:line="28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bCs/>
                <w:snapToGrid w:val="0"/>
                <w:color w:val="auto"/>
                <w:kern w:val="0"/>
                <w:sz w:val="18"/>
                <w:szCs w:val="18"/>
                <w:highlight w:val="none"/>
              </w:rPr>
              <w:t>预计费用（元）</w:t>
            </w:r>
          </w:p>
        </w:tc>
        <w:tc>
          <w:tcPr>
            <w:tcW w:w="1514" w:type="dxa"/>
            <w:noWrap w:val="0"/>
            <w:vAlign w:val="center"/>
          </w:tcPr>
          <w:p>
            <w:pPr>
              <w:widowControl/>
              <w:overflowPunct w:val="0"/>
              <w:adjustRightInd w:val="0"/>
              <w:snapToGrid w:val="0"/>
              <w:spacing w:line="28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bCs/>
                <w:snapToGrid w:val="0"/>
                <w:color w:val="auto"/>
                <w:kern w:val="0"/>
                <w:sz w:val="18"/>
                <w:szCs w:val="18"/>
                <w:highlight w:val="none"/>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567" w:hRule="atLeast"/>
          <w:jc w:val="center"/>
        </w:trPr>
        <w:tc>
          <w:tcPr>
            <w:tcW w:w="1376" w:type="dxa"/>
            <w:vMerge w:val="continue"/>
            <w:noWrap w:val="0"/>
            <w:vAlign w:val="center"/>
          </w:tcPr>
          <w:p>
            <w:pPr>
              <w:widowControl/>
              <w:overflowPunct w:val="0"/>
              <w:adjustRightInd w:val="0"/>
              <w:snapToGrid w:val="0"/>
              <w:spacing w:line="280" w:lineRule="exact"/>
              <w:jc w:val="center"/>
              <w:rPr>
                <w:rFonts w:hint="eastAsia" w:ascii="宋体" w:hAnsi="宋体" w:eastAsia="宋体" w:cs="宋体"/>
                <w:snapToGrid w:val="0"/>
                <w:color w:val="auto"/>
                <w:kern w:val="0"/>
                <w:sz w:val="26"/>
                <w:szCs w:val="26"/>
                <w:highlight w:val="none"/>
              </w:rPr>
            </w:pPr>
          </w:p>
        </w:tc>
        <w:tc>
          <w:tcPr>
            <w:tcW w:w="1559" w:type="dxa"/>
            <w:noWrap w:val="0"/>
            <w:vAlign w:val="center"/>
          </w:tcPr>
          <w:p>
            <w:pPr>
              <w:widowControl/>
              <w:overflowPunct w:val="0"/>
              <w:adjustRightInd w:val="0"/>
              <w:snapToGrid w:val="0"/>
              <w:spacing w:line="280" w:lineRule="exact"/>
              <w:jc w:val="center"/>
              <w:rPr>
                <w:rFonts w:hint="eastAsia" w:ascii="宋体" w:hAnsi="宋体" w:eastAsia="宋体" w:cs="宋体"/>
                <w:snapToGrid w:val="0"/>
                <w:color w:val="auto"/>
                <w:kern w:val="0"/>
                <w:sz w:val="26"/>
                <w:szCs w:val="26"/>
                <w:highlight w:val="none"/>
              </w:rPr>
            </w:pPr>
          </w:p>
        </w:tc>
        <w:tc>
          <w:tcPr>
            <w:tcW w:w="1559" w:type="dxa"/>
            <w:noWrap w:val="0"/>
            <w:vAlign w:val="center"/>
          </w:tcPr>
          <w:p>
            <w:pPr>
              <w:widowControl/>
              <w:overflowPunct w:val="0"/>
              <w:adjustRightInd w:val="0"/>
              <w:snapToGrid w:val="0"/>
              <w:spacing w:line="280" w:lineRule="exact"/>
              <w:jc w:val="center"/>
              <w:rPr>
                <w:rFonts w:hint="eastAsia" w:ascii="宋体" w:hAnsi="宋体" w:eastAsia="宋体" w:cs="宋体"/>
                <w:snapToGrid w:val="0"/>
                <w:color w:val="auto"/>
                <w:kern w:val="0"/>
                <w:sz w:val="26"/>
                <w:szCs w:val="26"/>
                <w:highlight w:val="none"/>
              </w:rPr>
            </w:pPr>
          </w:p>
        </w:tc>
        <w:tc>
          <w:tcPr>
            <w:tcW w:w="1418" w:type="dxa"/>
            <w:noWrap w:val="0"/>
            <w:vAlign w:val="center"/>
          </w:tcPr>
          <w:p>
            <w:pPr>
              <w:widowControl/>
              <w:overflowPunct w:val="0"/>
              <w:adjustRightInd w:val="0"/>
              <w:snapToGrid w:val="0"/>
              <w:spacing w:line="280" w:lineRule="exact"/>
              <w:jc w:val="center"/>
              <w:rPr>
                <w:rFonts w:hint="eastAsia" w:ascii="宋体" w:hAnsi="宋体" w:eastAsia="宋体" w:cs="宋体"/>
                <w:snapToGrid w:val="0"/>
                <w:color w:val="auto"/>
                <w:kern w:val="0"/>
                <w:sz w:val="26"/>
                <w:szCs w:val="26"/>
                <w:highlight w:val="none"/>
              </w:rPr>
            </w:pPr>
          </w:p>
        </w:tc>
        <w:tc>
          <w:tcPr>
            <w:tcW w:w="1559" w:type="dxa"/>
            <w:noWrap w:val="0"/>
            <w:vAlign w:val="center"/>
          </w:tcPr>
          <w:p>
            <w:pPr>
              <w:widowControl/>
              <w:overflowPunct w:val="0"/>
              <w:adjustRightInd w:val="0"/>
              <w:snapToGrid w:val="0"/>
              <w:spacing w:line="280" w:lineRule="exact"/>
              <w:jc w:val="center"/>
              <w:rPr>
                <w:rFonts w:hint="eastAsia" w:ascii="宋体" w:hAnsi="宋体" w:eastAsia="宋体" w:cs="宋体"/>
                <w:snapToGrid w:val="0"/>
                <w:color w:val="auto"/>
                <w:kern w:val="0"/>
                <w:sz w:val="26"/>
                <w:szCs w:val="26"/>
                <w:highlight w:val="none"/>
              </w:rPr>
            </w:pPr>
          </w:p>
        </w:tc>
        <w:tc>
          <w:tcPr>
            <w:tcW w:w="1514" w:type="dxa"/>
            <w:noWrap w:val="0"/>
            <w:vAlign w:val="center"/>
          </w:tcPr>
          <w:p>
            <w:pPr>
              <w:widowControl/>
              <w:overflowPunct w:val="0"/>
              <w:adjustRightInd w:val="0"/>
              <w:snapToGrid w:val="0"/>
              <w:spacing w:line="280" w:lineRule="exact"/>
              <w:jc w:val="center"/>
              <w:rPr>
                <w:rFonts w:hint="eastAsia" w:ascii="宋体" w:hAnsi="宋体" w:eastAsia="宋体" w:cs="宋体"/>
                <w:snapToGrid w:val="0"/>
                <w:color w:val="auto"/>
                <w:kern w:val="0"/>
                <w:sz w:val="26"/>
                <w:szCs w:val="26"/>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567" w:hRule="atLeast"/>
          <w:jc w:val="center"/>
        </w:trPr>
        <w:tc>
          <w:tcPr>
            <w:tcW w:w="1376" w:type="dxa"/>
            <w:vMerge w:val="continue"/>
            <w:noWrap w:val="0"/>
            <w:vAlign w:val="center"/>
          </w:tcPr>
          <w:p>
            <w:pPr>
              <w:widowControl/>
              <w:overflowPunct w:val="0"/>
              <w:adjustRightInd w:val="0"/>
              <w:snapToGrid w:val="0"/>
              <w:spacing w:line="280" w:lineRule="exact"/>
              <w:jc w:val="center"/>
              <w:rPr>
                <w:rFonts w:hint="eastAsia" w:ascii="宋体" w:hAnsi="宋体" w:eastAsia="宋体" w:cs="宋体"/>
                <w:snapToGrid w:val="0"/>
                <w:color w:val="auto"/>
                <w:kern w:val="0"/>
                <w:sz w:val="26"/>
                <w:szCs w:val="26"/>
                <w:highlight w:val="none"/>
              </w:rPr>
            </w:pPr>
          </w:p>
        </w:tc>
        <w:tc>
          <w:tcPr>
            <w:tcW w:w="1559" w:type="dxa"/>
            <w:noWrap w:val="0"/>
            <w:vAlign w:val="center"/>
          </w:tcPr>
          <w:p>
            <w:pPr>
              <w:widowControl/>
              <w:overflowPunct w:val="0"/>
              <w:adjustRightInd w:val="0"/>
              <w:snapToGrid w:val="0"/>
              <w:spacing w:line="280" w:lineRule="exact"/>
              <w:jc w:val="center"/>
              <w:rPr>
                <w:rFonts w:hint="eastAsia" w:ascii="宋体" w:hAnsi="宋体" w:eastAsia="宋体" w:cs="宋体"/>
                <w:snapToGrid w:val="0"/>
                <w:color w:val="auto"/>
                <w:kern w:val="0"/>
                <w:sz w:val="26"/>
                <w:szCs w:val="26"/>
                <w:highlight w:val="none"/>
              </w:rPr>
            </w:pPr>
          </w:p>
        </w:tc>
        <w:tc>
          <w:tcPr>
            <w:tcW w:w="1559" w:type="dxa"/>
            <w:noWrap w:val="0"/>
            <w:vAlign w:val="center"/>
          </w:tcPr>
          <w:p>
            <w:pPr>
              <w:widowControl/>
              <w:overflowPunct w:val="0"/>
              <w:adjustRightInd w:val="0"/>
              <w:snapToGrid w:val="0"/>
              <w:spacing w:line="280" w:lineRule="exact"/>
              <w:jc w:val="center"/>
              <w:rPr>
                <w:rFonts w:hint="eastAsia" w:ascii="宋体" w:hAnsi="宋体" w:eastAsia="宋体" w:cs="宋体"/>
                <w:snapToGrid w:val="0"/>
                <w:color w:val="auto"/>
                <w:kern w:val="0"/>
                <w:sz w:val="26"/>
                <w:szCs w:val="26"/>
                <w:highlight w:val="none"/>
              </w:rPr>
            </w:pPr>
          </w:p>
        </w:tc>
        <w:tc>
          <w:tcPr>
            <w:tcW w:w="1418" w:type="dxa"/>
            <w:noWrap w:val="0"/>
            <w:vAlign w:val="center"/>
          </w:tcPr>
          <w:p>
            <w:pPr>
              <w:widowControl/>
              <w:overflowPunct w:val="0"/>
              <w:adjustRightInd w:val="0"/>
              <w:snapToGrid w:val="0"/>
              <w:spacing w:line="280" w:lineRule="exact"/>
              <w:jc w:val="center"/>
              <w:rPr>
                <w:rFonts w:hint="eastAsia" w:ascii="宋体" w:hAnsi="宋体" w:eastAsia="宋体" w:cs="宋体"/>
                <w:snapToGrid w:val="0"/>
                <w:color w:val="auto"/>
                <w:kern w:val="0"/>
                <w:sz w:val="26"/>
                <w:szCs w:val="26"/>
                <w:highlight w:val="none"/>
              </w:rPr>
            </w:pPr>
          </w:p>
        </w:tc>
        <w:tc>
          <w:tcPr>
            <w:tcW w:w="1559" w:type="dxa"/>
            <w:noWrap w:val="0"/>
            <w:vAlign w:val="center"/>
          </w:tcPr>
          <w:p>
            <w:pPr>
              <w:widowControl/>
              <w:overflowPunct w:val="0"/>
              <w:adjustRightInd w:val="0"/>
              <w:snapToGrid w:val="0"/>
              <w:spacing w:line="280" w:lineRule="exact"/>
              <w:jc w:val="center"/>
              <w:rPr>
                <w:rFonts w:hint="eastAsia" w:ascii="宋体" w:hAnsi="宋体" w:eastAsia="宋体" w:cs="宋体"/>
                <w:snapToGrid w:val="0"/>
                <w:color w:val="auto"/>
                <w:kern w:val="0"/>
                <w:sz w:val="26"/>
                <w:szCs w:val="26"/>
                <w:highlight w:val="none"/>
              </w:rPr>
            </w:pPr>
          </w:p>
        </w:tc>
        <w:tc>
          <w:tcPr>
            <w:tcW w:w="1514" w:type="dxa"/>
            <w:noWrap w:val="0"/>
            <w:vAlign w:val="center"/>
          </w:tcPr>
          <w:p>
            <w:pPr>
              <w:widowControl/>
              <w:overflowPunct w:val="0"/>
              <w:adjustRightInd w:val="0"/>
              <w:snapToGrid w:val="0"/>
              <w:spacing w:line="280" w:lineRule="exact"/>
              <w:jc w:val="center"/>
              <w:rPr>
                <w:rFonts w:hint="eastAsia" w:ascii="宋体" w:hAnsi="宋体" w:eastAsia="宋体" w:cs="宋体"/>
                <w:snapToGrid w:val="0"/>
                <w:color w:val="auto"/>
                <w:kern w:val="0"/>
                <w:sz w:val="26"/>
                <w:szCs w:val="26"/>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567" w:hRule="atLeast"/>
          <w:jc w:val="center"/>
        </w:trPr>
        <w:tc>
          <w:tcPr>
            <w:tcW w:w="1376" w:type="dxa"/>
            <w:vMerge w:val="continue"/>
            <w:noWrap w:val="0"/>
            <w:vAlign w:val="center"/>
          </w:tcPr>
          <w:p>
            <w:pPr>
              <w:widowControl/>
              <w:overflowPunct w:val="0"/>
              <w:adjustRightInd w:val="0"/>
              <w:snapToGrid w:val="0"/>
              <w:spacing w:line="280" w:lineRule="exact"/>
              <w:jc w:val="center"/>
              <w:rPr>
                <w:rFonts w:hint="eastAsia" w:ascii="宋体" w:hAnsi="宋体" w:eastAsia="宋体" w:cs="宋体"/>
                <w:snapToGrid w:val="0"/>
                <w:color w:val="auto"/>
                <w:kern w:val="0"/>
                <w:sz w:val="26"/>
                <w:szCs w:val="26"/>
                <w:highlight w:val="none"/>
              </w:rPr>
            </w:pPr>
          </w:p>
        </w:tc>
        <w:tc>
          <w:tcPr>
            <w:tcW w:w="1559" w:type="dxa"/>
            <w:noWrap w:val="0"/>
            <w:vAlign w:val="center"/>
          </w:tcPr>
          <w:p>
            <w:pPr>
              <w:widowControl/>
              <w:overflowPunct w:val="0"/>
              <w:adjustRightInd w:val="0"/>
              <w:snapToGrid w:val="0"/>
              <w:spacing w:line="280" w:lineRule="exact"/>
              <w:jc w:val="center"/>
              <w:rPr>
                <w:rFonts w:hint="eastAsia" w:ascii="宋体" w:hAnsi="宋体" w:eastAsia="宋体" w:cs="宋体"/>
                <w:snapToGrid w:val="0"/>
                <w:color w:val="auto"/>
                <w:kern w:val="0"/>
                <w:sz w:val="26"/>
                <w:szCs w:val="26"/>
                <w:highlight w:val="none"/>
              </w:rPr>
            </w:pPr>
          </w:p>
        </w:tc>
        <w:tc>
          <w:tcPr>
            <w:tcW w:w="1559" w:type="dxa"/>
            <w:noWrap w:val="0"/>
            <w:vAlign w:val="center"/>
          </w:tcPr>
          <w:p>
            <w:pPr>
              <w:widowControl/>
              <w:overflowPunct w:val="0"/>
              <w:adjustRightInd w:val="0"/>
              <w:snapToGrid w:val="0"/>
              <w:spacing w:line="280" w:lineRule="exact"/>
              <w:jc w:val="center"/>
              <w:rPr>
                <w:rFonts w:hint="eastAsia" w:ascii="宋体" w:hAnsi="宋体" w:eastAsia="宋体" w:cs="宋体"/>
                <w:snapToGrid w:val="0"/>
                <w:color w:val="auto"/>
                <w:kern w:val="0"/>
                <w:sz w:val="26"/>
                <w:szCs w:val="26"/>
                <w:highlight w:val="none"/>
              </w:rPr>
            </w:pPr>
          </w:p>
        </w:tc>
        <w:tc>
          <w:tcPr>
            <w:tcW w:w="1418" w:type="dxa"/>
            <w:noWrap w:val="0"/>
            <w:vAlign w:val="center"/>
          </w:tcPr>
          <w:p>
            <w:pPr>
              <w:widowControl/>
              <w:overflowPunct w:val="0"/>
              <w:adjustRightInd w:val="0"/>
              <w:snapToGrid w:val="0"/>
              <w:spacing w:line="280" w:lineRule="exact"/>
              <w:jc w:val="center"/>
              <w:rPr>
                <w:rFonts w:hint="eastAsia" w:ascii="宋体" w:hAnsi="宋体" w:eastAsia="宋体" w:cs="宋体"/>
                <w:snapToGrid w:val="0"/>
                <w:color w:val="auto"/>
                <w:kern w:val="0"/>
                <w:sz w:val="26"/>
                <w:szCs w:val="26"/>
                <w:highlight w:val="none"/>
              </w:rPr>
            </w:pPr>
          </w:p>
        </w:tc>
        <w:tc>
          <w:tcPr>
            <w:tcW w:w="1559" w:type="dxa"/>
            <w:noWrap w:val="0"/>
            <w:vAlign w:val="center"/>
          </w:tcPr>
          <w:p>
            <w:pPr>
              <w:widowControl/>
              <w:overflowPunct w:val="0"/>
              <w:adjustRightInd w:val="0"/>
              <w:snapToGrid w:val="0"/>
              <w:spacing w:line="280" w:lineRule="exact"/>
              <w:jc w:val="center"/>
              <w:rPr>
                <w:rFonts w:hint="eastAsia" w:ascii="宋体" w:hAnsi="宋体" w:eastAsia="宋体" w:cs="宋体"/>
                <w:snapToGrid w:val="0"/>
                <w:color w:val="auto"/>
                <w:kern w:val="0"/>
                <w:sz w:val="26"/>
                <w:szCs w:val="26"/>
                <w:highlight w:val="none"/>
              </w:rPr>
            </w:pPr>
          </w:p>
        </w:tc>
        <w:tc>
          <w:tcPr>
            <w:tcW w:w="1514" w:type="dxa"/>
            <w:noWrap w:val="0"/>
            <w:vAlign w:val="center"/>
          </w:tcPr>
          <w:p>
            <w:pPr>
              <w:widowControl/>
              <w:overflowPunct w:val="0"/>
              <w:adjustRightInd w:val="0"/>
              <w:snapToGrid w:val="0"/>
              <w:spacing w:line="280" w:lineRule="exact"/>
              <w:jc w:val="center"/>
              <w:rPr>
                <w:rFonts w:hint="eastAsia" w:ascii="宋体" w:hAnsi="宋体" w:eastAsia="宋体" w:cs="宋体"/>
                <w:snapToGrid w:val="0"/>
                <w:color w:val="auto"/>
                <w:kern w:val="0"/>
                <w:sz w:val="26"/>
                <w:szCs w:val="26"/>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567" w:hRule="atLeast"/>
          <w:jc w:val="center"/>
        </w:trPr>
        <w:tc>
          <w:tcPr>
            <w:tcW w:w="1376" w:type="dxa"/>
            <w:vMerge w:val="continue"/>
            <w:noWrap w:val="0"/>
            <w:vAlign w:val="center"/>
          </w:tcPr>
          <w:p>
            <w:pPr>
              <w:widowControl/>
              <w:overflowPunct w:val="0"/>
              <w:adjustRightInd w:val="0"/>
              <w:snapToGrid w:val="0"/>
              <w:spacing w:line="280" w:lineRule="exact"/>
              <w:jc w:val="center"/>
              <w:rPr>
                <w:rFonts w:hint="eastAsia" w:ascii="宋体" w:hAnsi="宋体" w:eastAsia="宋体" w:cs="宋体"/>
                <w:snapToGrid w:val="0"/>
                <w:color w:val="auto"/>
                <w:kern w:val="0"/>
                <w:sz w:val="26"/>
                <w:szCs w:val="26"/>
                <w:highlight w:val="none"/>
              </w:rPr>
            </w:pPr>
          </w:p>
        </w:tc>
        <w:tc>
          <w:tcPr>
            <w:tcW w:w="1559" w:type="dxa"/>
            <w:noWrap w:val="0"/>
            <w:vAlign w:val="center"/>
          </w:tcPr>
          <w:p>
            <w:pPr>
              <w:widowControl/>
              <w:overflowPunct w:val="0"/>
              <w:adjustRightInd w:val="0"/>
              <w:snapToGrid w:val="0"/>
              <w:spacing w:line="280" w:lineRule="exact"/>
              <w:jc w:val="center"/>
              <w:rPr>
                <w:rFonts w:hint="eastAsia" w:ascii="宋体" w:hAnsi="宋体" w:eastAsia="宋体" w:cs="宋体"/>
                <w:snapToGrid w:val="0"/>
                <w:color w:val="auto"/>
                <w:kern w:val="0"/>
                <w:sz w:val="26"/>
                <w:szCs w:val="26"/>
                <w:highlight w:val="none"/>
              </w:rPr>
            </w:pPr>
          </w:p>
        </w:tc>
        <w:tc>
          <w:tcPr>
            <w:tcW w:w="1559" w:type="dxa"/>
            <w:noWrap w:val="0"/>
            <w:vAlign w:val="center"/>
          </w:tcPr>
          <w:p>
            <w:pPr>
              <w:widowControl/>
              <w:overflowPunct w:val="0"/>
              <w:adjustRightInd w:val="0"/>
              <w:snapToGrid w:val="0"/>
              <w:spacing w:line="280" w:lineRule="exact"/>
              <w:jc w:val="center"/>
              <w:rPr>
                <w:rFonts w:hint="eastAsia" w:ascii="宋体" w:hAnsi="宋体" w:eastAsia="宋体" w:cs="宋体"/>
                <w:snapToGrid w:val="0"/>
                <w:color w:val="auto"/>
                <w:kern w:val="0"/>
                <w:sz w:val="26"/>
                <w:szCs w:val="26"/>
                <w:highlight w:val="none"/>
              </w:rPr>
            </w:pPr>
          </w:p>
        </w:tc>
        <w:tc>
          <w:tcPr>
            <w:tcW w:w="1418" w:type="dxa"/>
            <w:noWrap w:val="0"/>
            <w:vAlign w:val="center"/>
          </w:tcPr>
          <w:p>
            <w:pPr>
              <w:widowControl/>
              <w:overflowPunct w:val="0"/>
              <w:adjustRightInd w:val="0"/>
              <w:snapToGrid w:val="0"/>
              <w:spacing w:line="280" w:lineRule="exact"/>
              <w:jc w:val="center"/>
              <w:rPr>
                <w:rFonts w:hint="eastAsia" w:ascii="宋体" w:hAnsi="宋体" w:eastAsia="宋体" w:cs="宋体"/>
                <w:snapToGrid w:val="0"/>
                <w:color w:val="auto"/>
                <w:kern w:val="0"/>
                <w:sz w:val="26"/>
                <w:szCs w:val="26"/>
                <w:highlight w:val="none"/>
              </w:rPr>
            </w:pPr>
          </w:p>
        </w:tc>
        <w:tc>
          <w:tcPr>
            <w:tcW w:w="1559" w:type="dxa"/>
            <w:noWrap w:val="0"/>
            <w:vAlign w:val="center"/>
          </w:tcPr>
          <w:p>
            <w:pPr>
              <w:widowControl/>
              <w:overflowPunct w:val="0"/>
              <w:adjustRightInd w:val="0"/>
              <w:snapToGrid w:val="0"/>
              <w:spacing w:line="280" w:lineRule="exact"/>
              <w:jc w:val="center"/>
              <w:rPr>
                <w:rFonts w:hint="eastAsia" w:ascii="宋体" w:hAnsi="宋体" w:eastAsia="宋体" w:cs="宋体"/>
                <w:snapToGrid w:val="0"/>
                <w:color w:val="auto"/>
                <w:kern w:val="0"/>
                <w:sz w:val="26"/>
                <w:szCs w:val="26"/>
                <w:highlight w:val="none"/>
              </w:rPr>
            </w:pPr>
          </w:p>
        </w:tc>
        <w:tc>
          <w:tcPr>
            <w:tcW w:w="1514" w:type="dxa"/>
            <w:noWrap w:val="0"/>
            <w:vAlign w:val="center"/>
          </w:tcPr>
          <w:p>
            <w:pPr>
              <w:widowControl/>
              <w:overflowPunct w:val="0"/>
              <w:adjustRightInd w:val="0"/>
              <w:snapToGrid w:val="0"/>
              <w:spacing w:line="280" w:lineRule="exact"/>
              <w:jc w:val="center"/>
              <w:rPr>
                <w:rFonts w:hint="eastAsia" w:ascii="宋体" w:hAnsi="宋体" w:eastAsia="宋体" w:cs="宋体"/>
                <w:snapToGrid w:val="0"/>
                <w:color w:val="auto"/>
                <w:kern w:val="0"/>
                <w:sz w:val="26"/>
                <w:szCs w:val="26"/>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567" w:hRule="atLeast"/>
          <w:jc w:val="center"/>
        </w:trPr>
        <w:tc>
          <w:tcPr>
            <w:tcW w:w="1376" w:type="dxa"/>
            <w:vMerge w:val="continue"/>
            <w:noWrap w:val="0"/>
            <w:vAlign w:val="center"/>
          </w:tcPr>
          <w:p>
            <w:pPr>
              <w:widowControl/>
              <w:overflowPunct w:val="0"/>
              <w:adjustRightInd w:val="0"/>
              <w:snapToGrid w:val="0"/>
              <w:spacing w:line="280" w:lineRule="exact"/>
              <w:jc w:val="center"/>
              <w:rPr>
                <w:rFonts w:hint="eastAsia" w:ascii="宋体" w:hAnsi="宋体" w:eastAsia="宋体" w:cs="宋体"/>
                <w:snapToGrid w:val="0"/>
                <w:color w:val="auto"/>
                <w:kern w:val="0"/>
                <w:sz w:val="26"/>
                <w:szCs w:val="26"/>
                <w:highlight w:val="none"/>
              </w:rPr>
            </w:pPr>
          </w:p>
        </w:tc>
        <w:tc>
          <w:tcPr>
            <w:tcW w:w="1559" w:type="dxa"/>
            <w:noWrap w:val="0"/>
            <w:vAlign w:val="center"/>
          </w:tcPr>
          <w:p>
            <w:pPr>
              <w:widowControl/>
              <w:overflowPunct w:val="0"/>
              <w:adjustRightInd w:val="0"/>
              <w:snapToGrid w:val="0"/>
              <w:spacing w:line="280" w:lineRule="exact"/>
              <w:jc w:val="center"/>
              <w:rPr>
                <w:rFonts w:hint="eastAsia" w:ascii="宋体" w:hAnsi="宋体" w:eastAsia="宋体" w:cs="宋体"/>
                <w:snapToGrid w:val="0"/>
                <w:color w:val="auto"/>
                <w:kern w:val="0"/>
                <w:sz w:val="26"/>
                <w:szCs w:val="26"/>
                <w:highlight w:val="none"/>
              </w:rPr>
            </w:pPr>
          </w:p>
        </w:tc>
        <w:tc>
          <w:tcPr>
            <w:tcW w:w="1559" w:type="dxa"/>
            <w:noWrap w:val="0"/>
            <w:vAlign w:val="center"/>
          </w:tcPr>
          <w:p>
            <w:pPr>
              <w:widowControl/>
              <w:overflowPunct w:val="0"/>
              <w:adjustRightInd w:val="0"/>
              <w:snapToGrid w:val="0"/>
              <w:spacing w:line="280" w:lineRule="exact"/>
              <w:jc w:val="center"/>
              <w:rPr>
                <w:rFonts w:hint="eastAsia" w:ascii="宋体" w:hAnsi="宋体" w:eastAsia="宋体" w:cs="宋体"/>
                <w:snapToGrid w:val="0"/>
                <w:color w:val="auto"/>
                <w:kern w:val="0"/>
                <w:sz w:val="26"/>
                <w:szCs w:val="26"/>
                <w:highlight w:val="none"/>
              </w:rPr>
            </w:pPr>
          </w:p>
        </w:tc>
        <w:tc>
          <w:tcPr>
            <w:tcW w:w="1418" w:type="dxa"/>
            <w:noWrap w:val="0"/>
            <w:vAlign w:val="center"/>
          </w:tcPr>
          <w:p>
            <w:pPr>
              <w:widowControl/>
              <w:overflowPunct w:val="0"/>
              <w:adjustRightInd w:val="0"/>
              <w:snapToGrid w:val="0"/>
              <w:spacing w:line="280" w:lineRule="exact"/>
              <w:jc w:val="center"/>
              <w:rPr>
                <w:rFonts w:hint="eastAsia" w:ascii="宋体" w:hAnsi="宋体" w:eastAsia="宋体" w:cs="宋体"/>
                <w:snapToGrid w:val="0"/>
                <w:color w:val="auto"/>
                <w:kern w:val="0"/>
                <w:sz w:val="26"/>
                <w:szCs w:val="26"/>
                <w:highlight w:val="none"/>
              </w:rPr>
            </w:pPr>
          </w:p>
        </w:tc>
        <w:tc>
          <w:tcPr>
            <w:tcW w:w="1559" w:type="dxa"/>
            <w:noWrap w:val="0"/>
            <w:vAlign w:val="center"/>
          </w:tcPr>
          <w:p>
            <w:pPr>
              <w:widowControl/>
              <w:overflowPunct w:val="0"/>
              <w:adjustRightInd w:val="0"/>
              <w:snapToGrid w:val="0"/>
              <w:spacing w:line="280" w:lineRule="exact"/>
              <w:jc w:val="center"/>
              <w:rPr>
                <w:rFonts w:hint="eastAsia" w:ascii="宋体" w:hAnsi="宋体" w:eastAsia="宋体" w:cs="宋体"/>
                <w:snapToGrid w:val="0"/>
                <w:color w:val="auto"/>
                <w:kern w:val="0"/>
                <w:sz w:val="26"/>
                <w:szCs w:val="26"/>
                <w:highlight w:val="none"/>
              </w:rPr>
            </w:pPr>
          </w:p>
        </w:tc>
        <w:tc>
          <w:tcPr>
            <w:tcW w:w="1514" w:type="dxa"/>
            <w:noWrap w:val="0"/>
            <w:vAlign w:val="center"/>
          </w:tcPr>
          <w:p>
            <w:pPr>
              <w:widowControl/>
              <w:overflowPunct w:val="0"/>
              <w:adjustRightInd w:val="0"/>
              <w:snapToGrid w:val="0"/>
              <w:spacing w:line="280" w:lineRule="exact"/>
              <w:jc w:val="center"/>
              <w:rPr>
                <w:rFonts w:hint="eastAsia" w:ascii="宋体" w:hAnsi="宋体" w:eastAsia="宋体" w:cs="宋体"/>
                <w:snapToGrid w:val="0"/>
                <w:color w:val="auto"/>
                <w:kern w:val="0"/>
                <w:sz w:val="26"/>
                <w:szCs w:val="26"/>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505" w:hRule="atLeast"/>
          <w:jc w:val="center"/>
        </w:trPr>
        <w:tc>
          <w:tcPr>
            <w:tcW w:w="1376" w:type="dxa"/>
            <w:vMerge w:val="continue"/>
            <w:noWrap w:val="0"/>
            <w:vAlign w:val="center"/>
          </w:tcPr>
          <w:p>
            <w:pPr>
              <w:widowControl/>
              <w:overflowPunct w:val="0"/>
              <w:adjustRightInd w:val="0"/>
              <w:snapToGrid w:val="0"/>
              <w:spacing w:line="280" w:lineRule="exact"/>
              <w:jc w:val="center"/>
              <w:rPr>
                <w:rFonts w:hint="eastAsia" w:ascii="宋体" w:hAnsi="宋体" w:eastAsia="宋体" w:cs="宋体"/>
                <w:snapToGrid w:val="0"/>
                <w:color w:val="auto"/>
                <w:kern w:val="0"/>
                <w:sz w:val="26"/>
                <w:szCs w:val="26"/>
                <w:highlight w:val="none"/>
              </w:rPr>
            </w:pPr>
          </w:p>
        </w:tc>
        <w:tc>
          <w:tcPr>
            <w:tcW w:w="1559" w:type="dxa"/>
            <w:noWrap w:val="0"/>
            <w:vAlign w:val="center"/>
          </w:tcPr>
          <w:p>
            <w:pPr>
              <w:widowControl/>
              <w:overflowPunct w:val="0"/>
              <w:adjustRightInd w:val="0"/>
              <w:snapToGrid w:val="0"/>
              <w:spacing w:line="280" w:lineRule="exact"/>
              <w:ind w:firstLine="180" w:firstLineChars="10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18"/>
                <w:szCs w:val="18"/>
                <w:highlight w:val="none"/>
              </w:rPr>
              <w:t>合计</w:t>
            </w:r>
          </w:p>
        </w:tc>
        <w:tc>
          <w:tcPr>
            <w:tcW w:w="6050" w:type="dxa"/>
            <w:gridSpan w:val="4"/>
            <w:noWrap w:val="0"/>
            <w:vAlign w:val="center"/>
          </w:tcPr>
          <w:p>
            <w:pPr>
              <w:widowControl/>
              <w:overflowPunct w:val="0"/>
              <w:adjustRightInd w:val="0"/>
              <w:snapToGrid w:val="0"/>
              <w:spacing w:line="280" w:lineRule="exact"/>
              <w:jc w:val="center"/>
              <w:rPr>
                <w:rFonts w:hint="eastAsia" w:ascii="宋体" w:hAnsi="宋体" w:eastAsia="宋体" w:cs="宋体"/>
                <w:snapToGrid w:val="0"/>
                <w:color w:val="auto"/>
                <w:kern w:val="0"/>
                <w:sz w:val="26"/>
                <w:szCs w:val="26"/>
                <w:highlight w:val="none"/>
              </w:rPr>
            </w:pPr>
            <w:r>
              <w:rPr>
                <w:rFonts w:hint="eastAsia" w:ascii="宋体" w:hAnsi="宋体" w:eastAsia="宋体" w:cs="宋体"/>
                <w:snapToGrid w:val="0"/>
                <w:color w:val="auto"/>
                <w:kern w:val="0"/>
                <w:sz w:val="18"/>
                <w:szCs w:val="18"/>
                <w:highlight w:val="none"/>
              </w:rPr>
              <w:t>（      ）元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850" w:hRule="atLeast"/>
          <w:jc w:val="center"/>
        </w:trPr>
        <w:tc>
          <w:tcPr>
            <w:tcW w:w="1376" w:type="dxa"/>
            <w:vMerge w:val="continue"/>
            <w:noWrap w:val="0"/>
            <w:vAlign w:val="top"/>
          </w:tcPr>
          <w:p>
            <w:pPr>
              <w:widowControl/>
              <w:overflowPunct w:val="0"/>
              <w:adjustRightInd w:val="0"/>
              <w:snapToGrid w:val="0"/>
              <w:spacing w:line="280" w:lineRule="exact"/>
              <w:jc w:val="left"/>
              <w:rPr>
                <w:rFonts w:hint="eastAsia" w:ascii="宋体" w:hAnsi="宋体" w:eastAsia="宋体" w:cs="宋体"/>
                <w:snapToGrid w:val="0"/>
                <w:color w:val="auto"/>
                <w:kern w:val="0"/>
                <w:sz w:val="26"/>
                <w:szCs w:val="26"/>
                <w:highlight w:val="none"/>
              </w:rPr>
            </w:pPr>
          </w:p>
        </w:tc>
        <w:tc>
          <w:tcPr>
            <w:tcW w:w="7609" w:type="dxa"/>
            <w:gridSpan w:val="5"/>
            <w:noWrap w:val="0"/>
            <w:vAlign w:val="center"/>
          </w:tcPr>
          <w:p>
            <w:pPr>
              <w:widowControl/>
              <w:overflowPunct w:val="0"/>
              <w:adjustRightInd w:val="0"/>
              <w:snapToGrid w:val="0"/>
              <w:spacing w:line="280" w:lineRule="exact"/>
              <w:rPr>
                <w:rFonts w:hint="eastAsia" w:ascii="宋体" w:hAnsi="宋体" w:eastAsia="宋体" w:cs="宋体"/>
                <w:snapToGrid w:val="0"/>
                <w:color w:val="auto"/>
                <w:kern w:val="0"/>
                <w:sz w:val="18"/>
                <w:szCs w:val="18"/>
                <w:highlight w:val="none"/>
              </w:rPr>
            </w:pPr>
            <w:r>
              <w:rPr>
                <w:rFonts w:hint="eastAsia" w:ascii="宋体" w:hAnsi="宋体" w:eastAsia="宋体" w:cs="宋体"/>
                <w:snapToGrid w:val="0"/>
                <w:color w:val="auto"/>
                <w:kern w:val="0"/>
                <w:sz w:val="18"/>
                <w:szCs w:val="18"/>
                <w:highlight w:val="none"/>
              </w:rPr>
              <w:t>评估人签字：</w:t>
            </w:r>
          </w:p>
          <w:p>
            <w:pPr>
              <w:widowControl/>
              <w:overflowPunct w:val="0"/>
              <w:adjustRightInd w:val="0"/>
              <w:snapToGrid w:val="0"/>
              <w:spacing w:line="280" w:lineRule="exact"/>
              <w:rPr>
                <w:rFonts w:hint="eastAsia" w:ascii="宋体" w:hAnsi="宋体" w:eastAsia="宋体" w:cs="宋体"/>
                <w:snapToGrid w:val="0"/>
                <w:color w:val="auto"/>
                <w:kern w:val="0"/>
                <w:sz w:val="26"/>
                <w:szCs w:val="26"/>
                <w:highlight w:val="none"/>
              </w:rPr>
            </w:pPr>
            <w:r>
              <w:rPr>
                <w:rFonts w:hint="eastAsia" w:ascii="宋体" w:hAnsi="宋体" w:eastAsia="宋体" w:cs="宋体"/>
                <w:snapToGrid w:val="0"/>
                <w:color w:val="auto"/>
                <w:kern w:val="0"/>
                <w:sz w:val="18"/>
                <w:szCs w:val="18"/>
                <w:highlight w:val="none"/>
              </w:rPr>
              <w:t xml:space="preserve">                                          年   月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jc w:val="center"/>
        </w:trPr>
        <w:tc>
          <w:tcPr>
            <w:tcW w:w="1376" w:type="dxa"/>
            <w:noWrap w:val="0"/>
            <w:vAlign w:val="center"/>
          </w:tcPr>
          <w:p>
            <w:pPr>
              <w:widowControl/>
              <w:overflowPunct w:val="0"/>
              <w:adjustRightInd w:val="0"/>
              <w:snapToGrid w:val="0"/>
              <w:spacing w:line="28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18"/>
                <w:szCs w:val="18"/>
                <w:highlight w:val="none"/>
              </w:rPr>
              <w:t>改造需求确认</w:t>
            </w:r>
          </w:p>
        </w:tc>
        <w:tc>
          <w:tcPr>
            <w:tcW w:w="7609" w:type="dxa"/>
            <w:gridSpan w:val="5"/>
            <w:noWrap w:val="0"/>
            <w:vAlign w:val="center"/>
          </w:tcPr>
          <w:p>
            <w:pPr>
              <w:widowControl/>
              <w:overflowPunct w:val="0"/>
              <w:adjustRightInd w:val="0"/>
              <w:snapToGrid w:val="0"/>
              <w:spacing w:line="280" w:lineRule="exact"/>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18"/>
                <w:szCs w:val="18"/>
                <w:highlight w:val="none"/>
              </w:rPr>
              <w:t>  本人（是□/否□）认同上述评估结果，同意按设计方案进行施工改造，愿意承担因施工改造产生的一切后果。</w:t>
            </w:r>
          </w:p>
          <w:p>
            <w:pPr>
              <w:widowControl/>
              <w:overflowPunct w:val="0"/>
              <w:adjustRightInd w:val="0"/>
              <w:snapToGrid w:val="0"/>
              <w:spacing w:line="280" w:lineRule="exact"/>
              <w:ind w:firstLine="100"/>
              <w:jc w:val="left"/>
              <w:rPr>
                <w:rFonts w:hint="eastAsia" w:ascii="宋体" w:hAnsi="宋体" w:eastAsia="宋体" w:cs="宋体"/>
                <w:snapToGrid w:val="0"/>
                <w:color w:val="auto"/>
                <w:kern w:val="0"/>
                <w:sz w:val="24"/>
                <w:szCs w:val="24"/>
                <w:highlight w:val="none"/>
              </w:rPr>
            </w:pPr>
          </w:p>
          <w:p>
            <w:pPr>
              <w:widowControl/>
              <w:overflowPunct w:val="0"/>
              <w:adjustRightInd w:val="0"/>
              <w:snapToGrid w:val="0"/>
              <w:spacing w:line="280" w:lineRule="exact"/>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18"/>
                <w:szCs w:val="18"/>
                <w:highlight w:val="none"/>
              </w:rPr>
              <w:t>老年人（或其监护人）签名：</w:t>
            </w:r>
          </w:p>
          <w:p>
            <w:pPr>
              <w:widowControl/>
              <w:overflowPunct w:val="0"/>
              <w:adjustRightInd w:val="0"/>
              <w:snapToGrid w:val="0"/>
              <w:spacing w:line="280" w:lineRule="exact"/>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18"/>
                <w:szCs w:val="18"/>
                <w:highlight w:val="none"/>
              </w:rPr>
              <w:t xml:space="preserve">                                          年   月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396" w:hRule="atLeast"/>
          <w:jc w:val="center"/>
        </w:trPr>
        <w:tc>
          <w:tcPr>
            <w:tcW w:w="1376" w:type="dxa"/>
            <w:noWrap w:val="0"/>
            <w:vAlign w:val="center"/>
          </w:tcPr>
          <w:p>
            <w:pPr>
              <w:widowControl/>
              <w:overflowPunct w:val="0"/>
              <w:adjustRightInd w:val="0"/>
              <w:snapToGrid w:val="0"/>
              <w:spacing w:line="280" w:lineRule="exact"/>
              <w:jc w:val="center"/>
              <w:rPr>
                <w:rFonts w:hint="eastAsia" w:ascii="宋体" w:hAnsi="宋体" w:eastAsia="宋体" w:cs="宋体"/>
                <w:snapToGrid w:val="0"/>
                <w:color w:val="auto"/>
                <w:kern w:val="0"/>
                <w:sz w:val="18"/>
                <w:szCs w:val="18"/>
                <w:highlight w:val="none"/>
                <w:lang w:val="en-US" w:eastAsia="zh-CN" w:bidi="ar-SA"/>
              </w:rPr>
            </w:pPr>
            <w:r>
              <w:rPr>
                <w:rFonts w:hint="eastAsia" w:ascii="宋体" w:hAnsi="宋体" w:eastAsia="宋体" w:cs="宋体"/>
                <w:snapToGrid w:val="0"/>
                <w:color w:val="auto"/>
                <w:kern w:val="0"/>
                <w:sz w:val="18"/>
                <w:szCs w:val="18"/>
                <w:highlight w:val="none"/>
              </w:rPr>
              <w:t>乡（镇）</w:t>
            </w:r>
            <w:r>
              <w:rPr>
                <w:rFonts w:hint="eastAsia" w:ascii="宋体" w:hAnsi="宋体" w:eastAsia="宋体" w:cs="宋体"/>
                <w:snapToGrid w:val="0"/>
                <w:color w:val="auto"/>
                <w:kern w:val="0"/>
                <w:sz w:val="18"/>
                <w:szCs w:val="18"/>
                <w:highlight w:val="none"/>
                <w:lang w:eastAsia="zh-CN"/>
              </w:rPr>
              <w:t>人民政府</w:t>
            </w:r>
            <w:r>
              <w:rPr>
                <w:rFonts w:hint="eastAsia" w:ascii="宋体" w:hAnsi="宋体" w:eastAsia="宋体" w:cs="宋体"/>
                <w:snapToGrid w:val="0"/>
                <w:color w:val="auto"/>
                <w:kern w:val="0"/>
                <w:sz w:val="18"/>
                <w:szCs w:val="18"/>
                <w:highlight w:val="none"/>
              </w:rPr>
              <w:t>意见</w:t>
            </w:r>
          </w:p>
        </w:tc>
        <w:tc>
          <w:tcPr>
            <w:tcW w:w="7609" w:type="dxa"/>
            <w:gridSpan w:val="5"/>
            <w:noWrap w:val="0"/>
            <w:vAlign w:val="center"/>
          </w:tcPr>
          <w:p>
            <w:pPr>
              <w:widowControl/>
              <w:overflowPunct w:val="0"/>
              <w:adjustRightInd w:val="0"/>
              <w:snapToGrid w:val="0"/>
              <w:spacing w:line="280" w:lineRule="exact"/>
              <w:jc w:val="left"/>
              <w:rPr>
                <w:rFonts w:hint="eastAsia" w:ascii="宋体" w:hAnsi="宋体" w:eastAsia="宋体" w:cs="宋体"/>
                <w:snapToGrid w:val="0"/>
                <w:color w:val="auto"/>
                <w:kern w:val="0"/>
                <w:sz w:val="24"/>
                <w:szCs w:val="24"/>
                <w:highlight w:val="none"/>
              </w:rPr>
            </w:pPr>
          </w:p>
          <w:p>
            <w:pPr>
              <w:widowControl/>
              <w:overflowPunct w:val="0"/>
              <w:adjustRightInd w:val="0"/>
              <w:snapToGrid w:val="0"/>
              <w:spacing w:line="280" w:lineRule="exact"/>
              <w:jc w:val="left"/>
              <w:rPr>
                <w:rFonts w:hint="eastAsia" w:ascii="宋体" w:hAnsi="宋体" w:eastAsia="宋体" w:cs="宋体"/>
                <w:snapToGrid w:val="0"/>
                <w:color w:val="auto"/>
                <w:kern w:val="0"/>
                <w:sz w:val="24"/>
                <w:szCs w:val="24"/>
                <w:highlight w:val="none"/>
              </w:rPr>
            </w:pPr>
          </w:p>
          <w:p>
            <w:pPr>
              <w:widowControl/>
              <w:overflowPunct w:val="0"/>
              <w:adjustRightInd w:val="0"/>
              <w:snapToGrid w:val="0"/>
              <w:spacing w:line="280" w:lineRule="exact"/>
              <w:jc w:val="left"/>
              <w:rPr>
                <w:rFonts w:hint="eastAsia" w:ascii="宋体" w:hAnsi="宋体" w:eastAsia="宋体" w:cs="宋体"/>
                <w:snapToGrid w:val="0"/>
                <w:color w:val="auto"/>
                <w:kern w:val="0"/>
                <w:sz w:val="24"/>
                <w:szCs w:val="24"/>
                <w:highlight w:val="none"/>
              </w:rPr>
            </w:pPr>
          </w:p>
          <w:p>
            <w:pPr>
              <w:widowControl/>
              <w:overflowPunct w:val="0"/>
              <w:adjustRightInd w:val="0"/>
              <w:snapToGrid w:val="0"/>
              <w:spacing w:line="280" w:lineRule="exact"/>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18"/>
                <w:szCs w:val="18"/>
                <w:highlight w:val="none"/>
              </w:rPr>
              <w:t>审核人签字：               审核单位（盖章）：</w:t>
            </w:r>
          </w:p>
          <w:p>
            <w:pPr>
              <w:widowControl/>
              <w:overflowPunct w:val="0"/>
              <w:adjustRightInd w:val="0"/>
              <w:snapToGrid w:val="0"/>
              <w:spacing w:line="280" w:lineRule="exact"/>
              <w:rPr>
                <w:rFonts w:hint="eastAsia" w:ascii="宋体" w:hAnsi="宋体" w:eastAsia="宋体" w:cs="宋体"/>
                <w:snapToGrid w:val="0"/>
                <w:color w:val="auto"/>
                <w:kern w:val="0"/>
                <w:sz w:val="44"/>
                <w:szCs w:val="44"/>
                <w:highlight w:val="none"/>
                <w:lang w:val="en-US" w:eastAsia="zh-CN" w:bidi="ar-SA"/>
              </w:rPr>
            </w:pPr>
            <w:r>
              <w:rPr>
                <w:rFonts w:hint="eastAsia" w:ascii="宋体" w:hAnsi="宋体" w:eastAsia="宋体" w:cs="宋体"/>
                <w:snapToGrid w:val="0"/>
                <w:color w:val="auto"/>
                <w:kern w:val="0"/>
                <w:sz w:val="18"/>
                <w:szCs w:val="18"/>
                <w:highlight w:val="none"/>
              </w:rPr>
              <w:t xml:space="preserve">                                          年   月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701" w:hRule="atLeast"/>
          <w:jc w:val="center"/>
        </w:trPr>
        <w:tc>
          <w:tcPr>
            <w:tcW w:w="1376" w:type="dxa"/>
            <w:noWrap w:val="0"/>
            <w:vAlign w:val="center"/>
          </w:tcPr>
          <w:p>
            <w:pPr>
              <w:widowControl/>
              <w:overflowPunct w:val="0"/>
              <w:adjustRightInd w:val="0"/>
              <w:snapToGrid w:val="0"/>
              <w:spacing w:line="280" w:lineRule="exact"/>
              <w:jc w:val="center"/>
              <w:rPr>
                <w:rFonts w:hint="eastAsia" w:ascii="宋体" w:hAnsi="宋体" w:eastAsia="宋体" w:cs="宋体"/>
                <w:snapToGrid w:val="0"/>
                <w:color w:val="auto"/>
                <w:kern w:val="0"/>
                <w:sz w:val="18"/>
                <w:szCs w:val="18"/>
                <w:highlight w:val="none"/>
              </w:rPr>
            </w:pPr>
            <w:r>
              <w:rPr>
                <w:rFonts w:hint="eastAsia" w:ascii="宋体" w:hAnsi="宋体" w:eastAsia="宋体" w:cs="宋体"/>
                <w:snapToGrid w:val="0"/>
                <w:color w:val="auto"/>
                <w:kern w:val="0"/>
                <w:sz w:val="18"/>
                <w:szCs w:val="18"/>
                <w:highlight w:val="none"/>
              </w:rPr>
              <w:t>市民政部门</w:t>
            </w:r>
          </w:p>
          <w:p>
            <w:pPr>
              <w:widowControl/>
              <w:overflowPunct w:val="0"/>
              <w:adjustRightInd w:val="0"/>
              <w:snapToGrid w:val="0"/>
              <w:spacing w:line="28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18"/>
                <w:szCs w:val="18"/>
                <w:highlight w:val="none"/>
              </w:rPr>
              <w:t>审核意见</w:t>
            </w:r>
          </w:p>
        </w:tc>
        <w:tc>
          <w:tcPr>
            <w:tcW w:w="7609" w:type="dxa"/>
            <w:gridSpan w:val="5"/>
            <w:noWrap w:val="0"/>
            <w:vAlign w:val="top"/>
          </w:tcPr>
          <w:p>
            <w:pPr>
              <w:widowControl/>
              <w:overflowPunct w:val="0"/>
              <w:adjustRightInd w:val="0"/>
              <w:snapToGrid w:val="0"/>
              <w:spacing w:line="280" w:lineRule="exact"/>
              <w:jc w:val="left"/>
              <w:rPr>
                <w:rFonts w:hint="eastAsia" w:ascii="宋体" w:hAnsi="宋体" w:eastAsia="宋体" w:cs="宋体"/>
                <w:snapToGrid w:val="0"/>
                <w:color w:val="auto"/>
                <w:kern w:val="0"/>
                <w:sz w:val="24"/>
                <w:szCs w:val="24"/>
                <w:highlight w:val="none"/>
              </w:rPr>
            </w:pPr>
          </w:p>
          <w:p>
            <w:pPr>
              <w:widowControl/>
              <w:overflowPunct w:val="0"/>
              <w:adjustRightInd w:val="0"/>
              <w:snapToGrid w:val="0"/>
              <w:spacing w:line="280" w:lineRule="exact"/>
              <w:jc w:val="left"/>
              <w:rPr>
                <w:rFonts w:hint="eastAsia" w:ascii="宋体" w:hAnsi="宋体" w:eastAsia="宋体" w:cs="宋体"/>
                <w:snapToGrid w:val="0"/>
                <w:color w:val="auto"/>
                <w:kern w:val="0"/>
                <w:sz w:val="18"/>
                <w:szCs w:val="18"/>
                <w:highlight w:val="none"/>
              </w:rPr>
            </w:pPr>
          </w:p>
          <w:p>
            <w:pPr>
              <w:widowControl/>
              <w:overflowPunct w:val="0"/>
              <w:adjustRightInd w:val="0"/>
              <w:snapToGrid w:val="0"/>
              <w:spacing w:line="280" w:lineRule="exact"/>
              <w:jc w:val="left"/>
              <w:rPr>
                <w:rFonts w:hint="eastAsia" w:ascii="宋体" w:hAnsi="宋体" w:eastAsia="宋体" w:cs="宋体"/>
                <w:snapToGrid w:val="0"/>
                <w:color w:val="auto"/>
                <w:kern w:val="0"/>
                <w:sz w:val="18"/>
                <w:szCs w:val="18"/>
                <w:highlight w:val="none"/>
              </w:rPr>
            </w:pPr>
          </w:p>
          <w:p>
            <w:pPr>
              <w:widowControl/>
              <w:overflowPunct w:val="0"/>
              <w:adjustRightInd w:val="0"/>
              <w:snapToGrid w:val="0"/>
              <w:spacing w:line="280" w:lineRule="exact"/>
              <w:jc w:val="left"/>
              <w:rPr>
                <w:rFonts w:hint="eastAsia" w:ascii="宋体" w:hAnsi="宋体" w:eastAsia="宋体" w:cs="宋体"/>
                <w:snapToGrid w:val="0"/>
                <w:color w:val="auto"/>
                <w:kern w:val="0"/>
                <w:sz w:val="18"/>
                <w:szCs w:val="18"/>
                <w:highlight w:val="none"/>
              </w:rPr>
            </w:pPr>
          </w:p>
          <w:p>
            <w:pPr>
              <w:widowControl/>
              <w:overflowPunct w:val="0"/>
              <w:adjustRightInd w:val="0"/>
              <w:snapToGrid w:val="0"/>
              <w:spacing w:line="280" w:lineRule="exact"/>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18"/>
                <w:szCs w:val="18"/>
                <w:highlight w:val="none"/>
              </w:rPr>
              <w:t>签字：                      （盖章）：</w:t>
            </w:r>
          </w:p>
          <w:p>
            <w:pPr>
              <w:widowControl/>
              <w:overflowPunct w:val="0"/>
              <w:adjustRightInd w:val="0"/>
              <w:snapToGrid w:val="0"/>
              <w:spacing w:line="280" w:lineRule="exact"/>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18"/>
                <w:szCs w:val="18"/>
                <w:highlight w:val="none"/>
              </w:rPr>
              <w:t xml:space="preserve">                                          年   月   日</w:t>
            </w:r>
          </w:p>
        </w:tc>
      </w:tr>
    </w:tbl>
    <w:p>
      <w:pPr>
        <w:pStyle w:val="98"/>
        <w:keepNext w:val="0"/>
        <w:keepLines w:val="0"/>
        <w:widowControl w:val="0"/>
        <w:shd w:val="clear" w:color="auto" w:fill="auto"/>
        <w:bidi w:val="0"/>
        <w:spacing w:before="0" w:after="0" w:line="240" w:lineRule="auto"/>
        <w:ind w:left="0" w:right="0" w:firstLine="0"/>
        <w:jc w:val="left"/>
        <w:rPr>
          <w:rFonts w:hint="eastAsia" w:ascii="黑体" w:hAnsi="宋体" w:eastAsia="黑体" w:cs="黑体"/>
          <w:b w:val="0"/>
          <w:bCs w:val="0"/>
          <w:i w:val="0"/>
          <w:color w:val="auto"/>
          <w:kern w:val="0"/>
          <w:sz w:val="32"/>
          <w:szCs w:val="32"/>
          <w:highlight w:val="none"/>
          <w:u w:val="none"/>
          <w:shd w:val="clear" w:color="auto" w:fill="auto"/>
          <w:lang w:val="en-US" w:eastAsia="zh-CN" w:bidi="ar"/>
        </w:rPr>
      </w:pPr>
      <w:bookmarkStart w:id="55" w:name="bookmark51"/>
      <w:bookmarkStart w:id="56" w:name="bookmark53"/>
      <w:bookmarkStart w:id="57" w:name="bookmark52"/>
      <w:r>
        <w:rPr>
          <w:rFonts w:hint="eastAsia" w:ascii="黑体" w:hAnsi="宋体" w:eastAsia="黑体" w:cs="黑体"/>
          <w:b w:val="0"/>
          <w:bCs w:val="0"/>
          <w:i w:val="0"/>
          <w:color w:val="auto"/>
          <w:kern w:val="0"/>
          <w:sz w:val="32"/>
          <w:szCs w:val="32"/>
          <w:highlight w:val="none"/>
          <w:u w:val="none"/>
          <w:shd w:val="clear" w:color="auto" w:fill="auto"/>
          <w:lang w:val="en-US" w:eastAsia="zh-CN" w:bidi="ar"/>
        </w:rPr>
        <w:br w:type="page"/>
      </w:r>
      <w:r>
        <w:rPr>
          <w:rFonts w:hint="eastAsia" w:ascii="宋体" w:hAnsi="宋体" w:eastAsia="宋体" w:cs="宋体"/>
          <w:b w:val="0"/>
          <w:bCs w:val="0"/>
          <w:i w:val="0"/>
          <w:color w:val="auto"/>
          <w:kern w:val="0"/>
          <w:sz w:val="32"/>
          <w:szCs w:val="32"/>
          <w:highlight w:val="none"/>
          <w:u w:val="none"/>
          <w:shd w:val="clear"/>
          <w:lang w:val="en-US" w:eastAsia="zh-CN" w:bidi="ar"/>
        </w:rPr>
        <w:t>附件5</w:t>
      </w:r>
    </w:p>
    <w:p>
      <w:pPr>
        <w:bidi w:val="0"/>
        <w:jc w:val="center"/>
        <w:rPr>
          <w:rFonts w:hint="eastAsia" w:asciiTheme="minorEastAsia" w:hAnsiTheme="minorEastAsia" w:eastAsiaTheme="minorEastAsia" w:cstheme="minorEastAsia"/>
          <w:b/>
          <w:bCs/>
          <w:color w:val="auto"/>
          <w:sz w:val="28"/>
          <w:szCs w:val="28"/>
          <w:highlight w:val="none"/>
          <w:lang w:val="en-US" w:eastAsia="zh-CN"/>
        </w:rPr>
      </w:pPr>
      <w:r>
        <w:rPr>
          <w:rFonts w:hint="eastAsia" w:asciiTheme="minorEastAsia" w:hAnsiTheme="minorEastAsia" w:eastAsiaTheme="minorEastAsia" w:cstheme="minorEastAsia"/>
          <w:b/>
          <w:bCs/>
          <w:color w:val="auto"/>
          <w:sz w:val="28"/>
          <w:szCs w:val="28"/>
          <w:highlight w:val="none"/>
          <w:lang w:val="en-US" w:eastAsia="zh-CN"/>
        </w:rPr>
        <w:t>横州市特殊困难老年人家庭适老化改造前后对比档案</w:t>
      </w:r>
      <w:bookmarkEnd w:id="55"/>
      <w:bookmarkEnd w:id="56"/>
      <w:bookmarkEnd w:id="57"/>
    </w:p>
    <w:p>
      <w:pPr>
        <w:bidi w:val="0"/>
        <w:rPr>
          <w:rFonts w:hint="eastAsia"/>
          <w:color w:val="auto"/>
          <w:sz w:val="28"/>
          <w:szCs w:val="28"/>
          <w:highlight w:val="none"/>
          <w:lang w:val="en-US" w:eastAsia="zh-CN"/>
        </w:rPr>
      </w:pPr>
      <w:r>
        <w:rPr>
          <w:rFonts w:hint="eastAsia"/>
          <w:color w:val="auto"/>
          <w:sz w:val="28"/>
          <w:szCs w:val="28"/>
          <w:highlight w:val="none"/>
          <w:lang w:val="en-US" w:eastAsia="zh-CN"/>
        </w:rPr>
        <w:t>居家适老化改造机构（盖章）：</w:t>
      </w:r>
    </w:p>
    <w:tbl>
      <w:tblPr>
        <w:tblStyle w:val="28"/>
        <w:tblW w:w="8835" w:type="dxa"/>
        <w:jc w:val="center"/>
        <w:tblInd w:w="0" w:type="dxa"/>
        <w:tblLayout w:type="fixed"/>
        <w:tblCellMar>
          <w:top w:w="0" w:type="dxa"/>
          <w:left w:w="10" w:type="dxa"/>
          <w:bottom w:w="0" w:type="dxa"/>
          <w:right w:w="10" w:type="dxa"/>
        </w:tblCellMar>
      </w:tblPr>
      <w:tblGrid>
        <w:gridCol w:w="2146"/>
        <w:gridCol w:w="2578"/>
        <w:gridCol w:w="1692"/>
        <w:gridCol w:w="2419"/>
      </w:tblGrid>
      <w:tr>
        <w:tblPrEx>
          <w:tblLayout w:type="fixed"/>
          <w:tblCellMar>
            <w:top w:w="0" w:type="dxa"/>
            <w:left w:w="10" w:type="dxa"/>
            <w:bottom w:w="0" w:type="dxa"/>
            <w:right w:w="10" w:type="dxa"/>
          </w:tblCellMar>
        </w:tblPrEx>
        <w:trPr>
          <w:trHeight w:val="590" w:hRule="exact"/>
          <w:jc w:val="center"/>
        </w:trPr>
        <w:tc>
          <w:tcPr>
            <w:tcW w:w="2146" w:type="dxa"/>
            <w:tcBorders>
              <w:top w:val="single" w:color="auto" w:sz="4" w:space="0"/>
              <w:left w:val="single" w:color="auto" w:sz="4" w:space="0"/>
            </w:tcBorders>
            <w:shd w:val="clear" w:color="auto" w:fill="FFFFFF"/>
            <w:noWrap w:val="0"/>
            <w:vAlign w:val="center"/>
          </w:tcPr>
          <w:p>
            <w:pPr>
              <w:pStyle w:val="100"/>
              <w:keepNext w:val="0"/>
              <w:keepLines w:val="0"/>
              <w:widowControl w:val="0"/>
              <w:shd w:val="clear" w:color="auto" w:fill="auto"/>
              <w:bidi w:val="0"/>
              <w:spacing w:before="0" w:after="0" w:line="240" w:lineRule="auto"/>
              <w:ind w:left="0" w:right="0" w:firstLine="0"/>
              <w:jc w:val="center"/>
              <w:rPr>
                <w:b w:val="0"/>
                <w:bCs w:val="0"/>
                <w:color w:val="auto"/>
                <w:sz w:val="22"/>
                <w:szCs w:val="22"/>
                <w:highlight w:val="none"/>
              </w:rPr>
            </w:pPr>
            <w:r>
              <w:rPr>
                <w:b w:val="0"/>
                <w:bCs w:val="0"/>
                <w:color w:val="auto"/>
                <w:spacing w:val="0"/>
                <w:w w:val="100"/>
                <w:position w:val="0"/>
                <w:sz w:val="22"/>
                <w:szCs w:val="22"/>
                <w:highlight w:val="none"/>
              </w:rPr>
              <w:t>老</w:t>
            </w:r>
            <w:r>
              <w:rPr>
                <w:rFonts w:hint="eastAsia"/>
                <w:b w:val="0"/>
                <w:bCs w:val="0"/>
                <w:color w:val="auto"/>
                <w:spacing w:val="0"/>
                <w:w w:val="100"/>
                <w:position w:val="0"/>
                <w:sz w:val="22"/>
                <w:szCs w:val="22"/>
                <w:highlight w:val="none"/>
                <w:lang w:eastAsia="zh-CN"/>
              </w:rPr>
              <w:t>年</w:t>
            </w:r>
            <w:r>
              <w:rPr>
                <w:b w:val="0"/>
                <w:bCs w:val="0"/>
                <w:color w:val="auto"/>
                <w:spacing w:val="0"/>
                <w:w w:val="100"/>
                <w:position w:val="0"/>
                <w:sz w:val="22"/>
                <w:szCs w:val="22"/>
                <w:highlight w:val="none"/>
              </w:rPr>
              <w:t>人姓名</w:t>
            </w:r>
          </w:p>
        </w:tc>
        <w:tc>
          <w:tcPr>
            <w:tcW w:w="2578" w:type="dxa"/>
            <w:tcBorders>
              <w:top w:val="single" w:color="auto" w:sz="4" w:space="0"/>
              <w:left w:val="single" w:color="auto" w:sz="4" w:space="0"/>
            </w:tcBorders>
            <w:shd w:val="clear" w:color="auto" w:fill="FFFFFF"/>
            <w:noWrap w:val="0"/>
            <w:vAlign w:val="center"/>
          </w:tcPr>
          <w:p>
            <w:pPr>
              <w:widowControl w:val="0"/>
              <w:jc w:val="center"/>
              <w:rPr>
                <w:b w:val="0"/>
                <w:bCs w:val="0"/>
                <w:color w:val="auto"/>
                <w:sz w:val="10"/>
                <w:szCs w:val="10"/>
                <w:highlight w:val="none"/>
              </w:rPr>
            </w:pPr>
          </w:p>
        </w:tc>
        <w:tc>
          <w:tcPr>
            <w:tcW w:w="1692" w:type="dxa"/>
            <w:tcBorders>
              <w:top w:val="single" w:color="auto" w:sz="4" w:space="0"/>
              <w:left w:val="single" w:color="auto" w:sz="4" w:space="0"/>
            </w:tcBorders>
            <w:shd w:val="clear" w:color="auto" w:fill="FFFFFF"/>
            <w:noWrap w:val="0"/>
            <w:vAlign w:val="center"/>
          </w:tcPr>
          <w:p>
            <w:pPr>
              <w:pStyle w:val="100"/>
              <w:keepNext w:val="0"/>
              <w:keepLines w:val="0"/>
              <w:widowControl w:val="0"/>
              <w:shd w:val="clear" w:color="auto" w:fill="auto"/>
              <w:bidi w:val="0"/>
              <w:spacing w:before="80" w:after="0" w:line="240" w:lineRule="auto"/>
              <w:ind w:left="0" w:right="0" w:firstLine="0"/>
              <w:jc w:val="center"/>
              <w:rPr>
                <w:b w:val="0"/>
                <w:bCs w:val="0"/>
                <w:color w:val="auto"/>
                <w:sz w:val="22"/>
                <w:szCs w:val="22"/>
                <w:highlight w:val="none"/>
              </w:rPr>
            </w:pPr>
            <w:r>
              <w:rPr>
                <w:b w:val="0"/>
                <w:bCs w:val="0"/>
                <w:color w:val="auto"/>
                <w:spacing w:val="0"/>
                <w:w w:val="100"/>
                <w:position w:val="0"/>
                <w:sz w:val="22"/>
                <w:szCs w:val="22"/>
                <w:highlight w:val="none"/>
              </w:rPr>
              <w:t>性别</w:t>
            </w:r>
          </w:p>
        </w:tc>
        <w:tc>
          <w:tcPr>
            <w:tcW w:w="2419" w:type="dxa"/>
            <w:tcBorders>
              <w:top w:val="single" w:color="auto" w:sz="4" w:space="0"/>
              <w:left w:val="single" w:color="auto" w:sz="4" w:space="0"/>
              <w:right w:val="single" w:color="auto" w:sz="4" w:space="0"/>
            </w:tcBorders>
            <w:shd w:val="clear" w:color="auto" w:fill="FFFFFF"/>
            <w:noWrap w:val="0"/>
            <w:vAlign w:val="center"/>
          </w:tcPr>
          <w:p>
            <w:pPr>
              <w:widowControl w:val="0"/>
              <w:jc w:val="center"/>
              <w:rPr>
                <w:b w:val="0"/>
                <w:bCs w:val="0"/>
                <w:color w:val="auto"/>
                <w:sz w:val="10"/>
                <w:szCs w:val="10"/>
                <w:highlight w:val="none"/>
              </w:rPr>
            </w:pPr>
          </w:p>
        </w:tc>
      </w:tr>
      <w:tr>
        <w:tblPrEx>
          <w:tblLayout w:type="fixed"/>
          <w:tblCellMar>
            <w:top w:w="0" w:type="dxa"/>
            <w:left w:w="10" w:type="dxa"/>
            <w:bottom w:w="0" w:type="dxa"/>
            <w:right w:w="10" w:type="dxa"/>
          </w:tblCellMar>
        </w:tblPrEx>
        <w:trPr>
          <w:trHeight w:val="590" w:hRule="exact"/>
          <w:jc w:val="center"/>
        </w:trPr>
        <w:tc>
          <w:tcPr>
            <w:tcW w:w="2146" w:type="dxa"/>
            <w:tcBorders>
              <w:top w:val="single" w:color="auto" w:sz="4" w:space="0"/>
              <w:left w:val="single" w:color="auto" w:sz="4" w:space="0"/>
            </w:tcBorders>
            <w:shd w:val="clear" w:color="auto" w:fill="FFFFFF"/>
            <w:noWrap w:val="0"/>
            <w:vAlign w:val="center"/>
          </w:tcPr>
          <w:p>
            <w:pPr>
              <w:pStyle w:val="100"/>
              <w:keepNext w:val="0"/>
              <w:keepLines w:val="0"/>
              <w:widowControl w:val="0"/>
              <w:shd w:val="clear" w:color="auto" w:fill="auto"/>
              <w:bidi w:val="0"/>
              <w:spacing w:before="0" w:after="0" w:line="240" w:lineRule="auto"/>
              <w:ind w:left="0" w:right="0" w:firstLine="0"/>
              <w:jc w:val="center"/>
              <w:rPr>
                <w:b w:val="0"/>
                <w:bCs w:val="0"/>
                <w:color w:val="auto"/>
                <w:sz w:val="22"/>
                <w:szCs w:val="22"/>
                <w:highlight w:val="none"/>
              </w:rPr>
            </w:pPr>
            <w:r>
              <w:rPr>
                <w:b w:val="0"/>
                <w:bCs w:val="0"/>
                <w:color w:val="auto"/>
                <w:spacing w:val="0"/>
                <w:w w:val="100"/>
                <w:position w:val="0"/>
                <w:sz w:val="22"/>
                <w:szCs w:val="22"/>
                <w:highlight w:val="none"/>
              </w:rPr>
              <w:t>身份证号</w:t>
            </w:r>
          </w:p>
        </w:tc>
        <w:tc>
          <w:tcPr>
            <w:tcW w:w="6689" w:type="dxa"/>
            <w:gridSpan w:val="3"/>
            <w:tcBorders>
              <w:top w:val="single" w:color="auto" w:sz="4" w:space="0"/>
              <w:left w:val="single" w:color="auto" w:sz="4" w:space="0"/>
              <w:right w:val="single" w:color="auto" w:sz="4" w:space="0"/>
            </w:tcBorders>
            <w:shd w:val="clear" w:color="auto" w:fill="FFFFFF"/>
            <w:noWrap w:val="0"/>
            <w:vAlign w:val="center"/>
          </w:tcPr>
          <w:p>
            <w:pPr>
              <w:widowControl w:val="0"/>
              <w:jc w:val="center"/>
              <w:rPr>
                <w:b w:val="0"/>
                <w:bCs w:val="0"/>
                <w:color w:val="auto"/>
                <w:sz w:val="10"/>
                <w:szCs w:val="10"/>
                <w:highlight w:val="none"/>
              </w:rPr>
            </w:pPr>
          </w:p>
        </w:tc>
      </w:tr>
      <w:tr>
        <w:tblPrEx>
          <w:tblLayout w:type="fixed"/>
          <w:tblCellMar>
            <w:top w:w="0" w:type="dxa"/>
            <w:left w:w="10" w:type="dxa"/>
            <w:bottom w:w="0" w:type="dxa"/>
            <w:right w:w="10" w:type="dxa"/>
          </w:tblCellMar>
        </w:tblPrEx>
        <w:trPr>
          <w:trHeight w:val="590" w:hRule="exact"/>
          <w:jc w:val="center"/>
        </w:trPr>
        <w:tc>
          <w:tcPr>
            <w:tcW w:w="2146" w:type="dxa"/>
            <w:tcBorders>
              <w:top w:val="single" w:color="auto" w:sz="4" w:space="0"/>
              <w:left w:val="single" w:color="auto" w:sz="4" w:space="0"/>
            </w:tcBorders>
            <w:shd w:val="clear" w:color="auto" w:fill="FFFFFF"/>
            <w:noWrap w:val="0"/>
            <w:vAlign w:val="center"/>
          </w:tcPr>
          <w:p>
            <w:pPr>
              <w:pStyle w:val="100"/>
              <w:keepNext w:val="0"/>
              <w:keepLines w:val="0"/>
              <w:widowControl w:val="0"/>
              <w:shd w:val="clear" w:color="auto" w:fill="auto"/>
              <w:bidi w:val="0"/>
              <w:spacing w:before="0" w:after="0" w:line="240" w:lineRule="auto"/>
              <w:ind w:left="0" w:right="0" w:firstLine="0"/>
              <w:jc w:val="center"/>
              <w:rPr>
                <w:b w:val="0"/>
                <w:bCs w:val="0"/>
                <w:color w:val="auto"/>
                <w:sz w:val="22"/>
                <w:szCs w:val="22"/>
                <w:highlight w:val="none"/>
              </w:rPr>
            </w:pPr>
            <w:r>
              <w:rPr>
                <w:b w:val="0"/>
                <w:bCs w:val="0"/>
                <w:color w:val="auto"/>
                <w:spacing w:val="0"/>
                <w:w w:val="100"/>
                <w:position w:val="0"/>
                <w:sz w:val="22"/>
                <w:szCs w:val="22"/>
                <w:highlight w:val="none"/>
              </w:rPr>
              <w:t>家庭住址</w:t>
            </w:r>
          </w:p>
        </w:tc>
        <w:tc>
          <w:tcPr>
            <w:tcW w:w="6689" w:type="dxa"/>
            <w:gridSpan w:val="3"/>
            <w:tcBorders>
              <w:top w:val="single" w:color="auto" w:sz="4" w:space="0"/>
              <w:left w:val="single" w:color="auto" w:sz="4" w:space="0"/>
              <w:right w:val="single" w:color="auto" w:sz="4" w:space="0"/>
            </w:tcBorders>
            <w:shd w:val="clear" w:color="auto" w:fill="FFFFFF"/>
            <w:noWrap w:val="0"/>
            <w:vAlign w:val="center"/>
          </w:tcPr>
          <w:p>
            <w:pPr>
              <w:widowControl w:val="0"/>
              <w:jc w:val="center"/>
              <w:rPr>
                <w:b w:val="0"/>
                <w:bCs w:val="0"/>
                <w:color w:val="auto"/>
                <w:sz w:val="10"/>
                <w:szCs w:val="10"/>
                <w:highlight w:val="none"/>
              </w:rPr>
            </w:pPr>
          </w:p>
        </w:tc>
      </w:tr>
      <w:tr>
        <w:tblPrEx>
          <w:tblLayout w:type="fixed"/>
          <w:tblCellMar>
            <w:top w:w="0" w:type="dxa"/>
            <w:left w:w="10" w:type="dxa"/>
            <w:bottom w:w="0" w:type="dxa"/>
            <w:right w:w="10" w:type="dxa"/>
          </w:tblCellMar>
        </w:tblPrEx>
        <w:trPr>
          <w:trHeight w:val="590" w:hRule="exact"/>
          <w:jc w:val="center"/>
        </w:trPr>
        <w:tc>
          <w:tcPr>
            <w:tcW w:w="2146" w:type="dxa"/>
            <w:tcBorders>
              <w:top w:val="single" w:color="auto" w:sz="4" w:space="0"/>
              <w:left w:val="single" w:color="auto" w:sz="4" w:space="0"/>
            </w:tcBorders>
            <w:shd w:val="clear" w:color="auto" w:fill="FFFFFF"/>
            <w:noWrap w:val="0"/>
            <w:vAlign w:val="center"/>
          </w:tcPr>
          <w:p>
            <w:pPr>
              <w:pStyle w:val="100"/>
              <w:keepNext w:val="0"/>
              <w:keepLines w:val="0"/>
              <w:widowControl w:val="0"/>
              <w:shd w:val="clear" w:color="auto" w:fill="auto"/>
              <w:bidi w:val="0"/>
              <w:spacing w:before="0" w:after="0" w:line="240" w:lineRule="auto"/>
              <w:ind w:left="0" w:right="0" w:firstLine="0"/>
              <w:jc w:val="center"/>
              <w:rPr>
                <w:b w:val="0"/>
                <w:bCs w:val="0"/>
                <w:color w:val="auto"/>
                <w:sz w:val="22"/>
                <w:szCs w:val="22"/>
                <w:highlight w:val="none"/>
              </w:rPr>
            </w:pPr>
            <w:r>
              <w:rPr>
                <w:b w:val="0"/>
                <w:bCs w:val="0"/>
                <w:color w:val="auto"/>
                <w:spacing w:val="0"/>
                <w:w w:val="100"/>
                <w:position w:val="0"/>
                <w:sz w:val="22"/>
                <w:szCs w:val="22"/>
                <w:highlight w:val="none"/>
              </w:rPr>
              <w:t>联系电话</w:t>
            </w:r>
          </w:p>
        </w:tc>
        <w:tc>
          <w:tcPr>
            <w:tcW w:w="2578" w:type="dxa"/>
            <w:tcBorders>
              <w:top w:val="single" w:color="auto" w:sz="4" w:space="0"/>
              <w:left w:val="single" w:color="auto" w:sz="4" w:space="0"/>
            </w:tcBorders>
            <w:shd w:val="clear" w:color="auto" w:fill="FFFFFF"/>
            <w:noWrap w:val="0"/>
            <w:vAlign w:val="center"/>
          </w:tcPr>
          <w:p>
            <w:pPr>
              <w:widowControl w:val="0"/>
              <w:jc w:val="center"/>
              <w:rPr>
                <w:b w:val="0"/>
                <w:bCs w:val="0"/>
                <w:color w:val="auto"/>
                <w:sz w:val="10"/>
                <w:szCs w:val="10"/>
                <w:highlight w:val="none"/>
              </w:rPr>
            </w:pPr>
          </w:p>
        </w:tc>
        <w:tc>
          <w:tcPr>
            <w:tcW w:w="1692" w:type="dxa"/>
            <w:tcBorders>
              <w:top w:val="single" w:color="auto" w:sz="4" w:space="0"/>
              <w:left w:val="single" w:color="auto" w:sz="4" w:space="0"/>
            </w:tcBorders>
            <w:shd w:val="clear" w:color="auto" w:fill="FFFFFF"/>
            <w:noWrap w:val="0"/>
            <w:vAlign w:val="center"/>
          </w:tcPr>
          <w:p>
            <w:pPr>
              <w:pStyle w:val="100"/>
              <w:keepNext w:val="0"/>
              <w:keepLines w:val="0"/>
              <w:widowControl w:val="0"/>
              <w:shd w:val="clear" w:color="auto" w:fill="auto"/>
              <w:bidi w:val="0"/>
              <w:spacing w:before="0" w:after="0" w:line="240" w:lineRule="auto"/>
              <w:ind w:left="0" w:right="0" w:firstLine="0"/>
              <w:jc w:val="center"/>
              <w:rPr>
                <w:b w:val="0"/>
                <w:bCs w:val="0"/>
                <w:color w:val="auto"/>
                <w:sz w:val="22"/>
                <w:szCs w:val="22"/>
                <w:highlight w:val="none"/>
              </w:rPr>
            </w:pPr>
            <w:r>
              <w:rPr>
                <w:b w:val="0"/>
                <w:bCs w:val="0"/>
                <w:color w:val="auto"/>
                <w:spacing w:val="0"/>
                <w:w w:val="100"/>
                <w:position w:val="0"/>
                <w:sz w:val="22"/>
                <w:szCs w:val="22"/>
                <w:highlight w:val="none"/>
              </w:rPr>
              <w:t>家庭人数</w:t>
            </w:r>
          </w:p>
        </w:tc>
        <w:tc>
          <w:tcPr>
            <w:tcW w:w="2419" w:type="dxa"/>
            <w:tcBorders>
              <w:top w:val="single" w:color="auto" w:sz="4" w:space="0"/>
              <w:left w:val="single" w:color="auto" w:sz="4" w:space="0"/>
              <w:right w:val="single" w:color="auto" w:sz="4" w:space="0"/>
            </w:tcBorders>
            <w:shd w:val="clear" w:color="auto" w:fill="FFFFFF"/>
            <w:noWrap w:val="0"/>
            <w:vAlign w:val="center"/>
          </w:tcPr>
          <w:p>
            <w:pPr>
              <w:widowControl w:val="0"/>
              <w:jc w:val="center"/>
              <w:rPr>
                <w:b w:val="0"/>
                <w:bCs w:val="0"/>
                <w:color w:val="auto"/>
                <w:sz w:val="10"/>
                <w:szCs w:val="10"/>
                <w:highlight w:val="none"/>
              </w:rPr>
            </w:pPr>
          </w:p>
        </w:tc>
      </w:tr>
      <w:tr>
        <w:tblPrEx>
          <w:tblLayout w:type="fixed"/>
          <w:tblCellMar>
            <w:top w:w="0" w:type="dxa"/>
            <w:left w:w="10" w:type="dxa"/>
            <w:bottom w:w="0" w:type="dxa"/>
            <w:right w:w="10" w:type="dxa"/>
          </w:tblCellMar>
        </w:tblPrEx>
        <w:trPr>
          <w:trHeight w:val="1518" w:hRule="exact"/>
          <w:jc w:val="center"/>
        </w:trPr>
        <w:tc>
          <w:tcPr>
            <w:tcW w:w="2146" w:type="dxa"/>
            <w:tcBorders>
              <w:top w:val="single" w:color="auto" w:sz="4" w:space="0"/>
              <w:left w:val="single" w:color="auto" w:sz="4" w:space="0"/>
            </w:tcBorders>
            <w:shd w:val="clear" w:color="auto" w:fill="FFFFFF"/>
            <w:noWrap w:val="0"/>
            <w:vAlign w:val="center"/>
          </w:tcPr>
          <w:p>
            <w:pPr>
              <w:pStyle w:val="100"/>
              <w:keepNext w:val="0"/>
              <w:keepLines w:val="0"/>
              <w:widowControl w:val="0"/>
              <w:shd w:val="clear" w:color="auto" w:fill="auto"/>
              <w:bidi w:val="0"/>
              <w:spacing w:before="0" w:after="0" w:line="240" w:lineRule="auto"/>
              <w:ind w:left="0" w:right="0" w:firstLine="0"/>
              <w:jc w:val="center"/>
              <w:rPr>
                <w:b w:val="0"/>
                <w:bCs w:val="0"/>
                <w:color w:val="auto"/>
                <w:sz w:val="22"/>
                <w:szCs w:val="22"/>
                <w:highlight w:val="none"/>
              </w:rPr>
            </w:pPr>
            <w:r>
              <w:rPr>
                <w:b w:val="0"/>
                <w:bCs w:val="0"/>
                <w:color w:val="auto"/>
                <w:spacing w:val="0"/>
                <w:w w:val="100"/>
                <w:position w:val="0"/>
                <w:sz w:val="22"/>
                <w:szCs w:val="22"/>
                <w:highlight w:val="none"/>
              </w:rPr>
              <w:t>改造情况</w:t>
            </w:r>
          </w:p>
        </w:tc>
        <w:tc>
          <w:tcPr>
            <w:tcW w:w="6689" w:type="dxa"/>
            <w:gridSpan w:val="3"/>
            <w:tcBorders>
              <w:top w:val="single" w:color="auto" w:sz="4" w:space="0"/>
              <w:left w:val="single" w:color="auto" w:sz="4" w:space="0"/>
              <w:right w:val="single" w:color="auto" w:sz="4" w:space="0"/>
            </w:tcBorders>
            <w:shd w:val="clear" w:color="auto" w:fill="FFFFFF"/>
            <w:noWrap w:val="0"/>
            <w:vAlign w:val="center"/>
          </w:tcPr>
          <w:p>
            <w:pPr>
              <w:pStyle w:val="100"/>
              <w:keepNext w:val="0"/>
              <w:keepLines w:val="0"/>
              <w:widowControl w:val="0"/>
              <w:shd w:val="clear" w:color="auto" w:fill="auto"/>
              <w:tabs>
                <w:tab w:val="left" w:leader="underscore" w:pos="6451"/>
              </w:tabs>
              <w:bidi w:val="0"/>
              <w:spacing w:before="0" w:after="0" w:line="360" w:lineRule="exact"/>
              <w:ind w:left="0" w:right="0" w:firstLine="0"/>
              <w:jc w:val="both"/>
              <w:rPr>
                <w:b w:val="0"/>
                <w:bCs w:val="0"/>
                <w:color w:val="auto"/>
                <w:sz w:val="22"/>
                <w:szCs w:val="22"/>
                <w:highlight w:val="none"/>
              </w:rPr>
            </w:pPr>
            <w:r>
              <w:rPr>
                <w:b w:val="0"/>
                <w:bCs w:val="0"/>
                <w:color w:val="auto"/>
                <w:spacing w:val="0"/>
                <w:w w:val="100"/>
                <w:position w:val="0"/>
                <w:sz w:val="22"/>
                <w:szCs w:val="22"/>
                <w:highlight w:val="none"/>
              </w:rPr>
              <w:t xml:space="preserve">根据其本人需求等实际情况，共帮助此家进行了： </w:t>
            </w:r>
            <w:r>
              <w:rPr>
                <w:b w:val="0"/>
                <w:bCs w:val="0"/>
                <w:color w:val="auto"/>
                <w:spacing w:val="0"/>
                <w:w w:val="100"/>
                <w:position w:val="0"/>
                <w:sz w:val="22"/>
                <w:szCs w:val="22"/>
                <w:highlight w:val="none"/>
              </w:rPr>
              <w:tab/>
            </w:r>
          </w:p>
          <w:p>
            <w:pPr>
              <w:pStyle w:val="100"/>
              <w:keepNext w:val="0"/>
              <w:keepLines w:val="0"/>
              <w:widowControl w:val="0"/>
              <w:shd w:val="clear" w:color="auto" w:fill="auto"/>
              <w:tabs>
                <w:tab w:val="left" w:leader="underscore" w:pos="2304"/>
                <w:tab w:val="left" w:leader="underscore" w:pos="2563"/>
                <w:tab w:val="left" w:leader="underscore" w:pos="6077"/>
                <w:tab w:val="left" w:leader="underscore" w:pos="6458"/>
              </w:tabs>
              <w:bidi w:val="0"/>
              <w:spacing w:before="0" w:after="0" w:line="360" w:lineRule="exact"/>
              <w:ind w:left="0" w:right="0" w:firstLine="0"/>
              <w:jc w:val="both"/>
              <w:rPr>
                <w:b w:val="0"/>
                <w:bCs w:val="0"/>
                <w:color w:val="auto"/>
                <w:sz w:val="22"/>
                <w:szCs w:val="22"/>
                <w:highlight w:val="none"/>
              </w:rPr>
            </w:pPr>
            <w:r>
              <w:rPr>
                <w:b w:val="0"/>
                <w:bCs w:val="0"/>
                <w:color w:val="auto"/>
                <w:spacing w:val="0"/>
                <w:w w:val="100"/>
                <w:position w:val="0"/>
                <w:sz w:val="22"/>
                <w:szCs w:val="22"/>
                <w:highlight w:val="none"/>
              </w:rPr>
              <w:tab/>
            </w:r>
            <w:r>
              <w:rPr>
                <w:b w:val="0"/>
                <w:bCs w:val="0"/>
                <w:color w:val="auto"/>
                <w:spacing w:val="0"/>
                <w:w w:val="100"/>
                <w:position w:val="0"/>
                <w:sz w:val="22"/>
                <w:szCs w:val="22"/>
                <w:highlight w:val="none"/>
              </w:rPr>
              <w:t>共</w:t>
            </w:r>
            <w:r>
              <w:rPr>
                <w:rFonts w:hint="eastAsia"/>
                <w:b w:val="0"/>
                <w:bCs w:val="0"/>
                <w:color w:val="auto"/>
                <w:spacing w:val="0"/>
                <w:w w:val="100"/>
                <w:position w:val="0"/>
                <w:sz w:val="22"/>
                <w:szCs w:val="22"/>
                <w:highlight w:val="none"/>
                <w:lang w:val="en-US" w:eastAsia="zh-CN"/>
              </w:rPr>
              <w:t xml:space="preserve">  </w:t>
            </w:r>
            <w:r>
              <w:rPr>
                <w:b w:val="0"/>
                <w:bCs w:val="0"/>
                <w:color w:val="auto"/>
                <w:spacing w:val="0"/>
                <w:w w:val="100"/>
                <w:position w:val="0"/>
                <w:sz w:val="22"/>
                <w:szCs w:val="22"/>
                <w:highlight w:val="none"/>
              </w:rPr>
              <w:t>项设施改造，并配备了</w:t>
            </w:r>
            <w:r>
              <w:rPr>
                <w:b w:val="0"/>
                <w:bCs w:val="0"/>
                <w:color w:val="auto"/>
                <w:spacing w:val="0"/>
                <w:w w:val="100"/>
                <w:position w:val="0"/>
                <w:sz w:val="22"/>
                <w:szCs w:val="22"/>
                <w:highlight w:val="none"/>
              </w:rPr>
              <w:tab/>
            </w:r>
            <w:r>
              <w:rPr>
                <w:b w:val="0"/>
                <w:bCs w:val="0"/>
                <w:color w:val="auto"/>
                <w:spacing w:val="0"/>
                <w:w w:val="100"/>
                <w:position w:val="0"/>
                <w:sz w:val="22"/>
                <w:szCs w:val="22"/>
                <w:highlight w:val="none"/>
              </w:rPr>
              <w:t xml:space="preserve"> </w:t>
            </w:r>
            <w:r>
              <w:rPr>
                <w:b w:val="0"/>
                <w:bCs w:val="0"/>
                <w:color w:val="auto"/>
                <w:spacing w:val="0"/>
                <w:w w:val="100"/>
                <w:position w:val="0"/>
                <w:sz w:val="22"/>
                <w:szCs w:val="22"/>
                <w:highlight w:val="none"/>
              </w:rPr>
              <w:tab/>
            </w:r>
            <w:r>
              <w:rPr>
                <w:b w:val="0"/>
                <w:bCs w:val="0"/>
                <w:color w:val="auto"/>
                <w:spacing w:val="0"/>
                <w:w w:val="100"/>
                <w:position w:val="0"/>
                <w:sz w:val="22"/>
                <w:szCs w:val="22"/>
                <w:highlight w:val="none"/>
              </w:rPr>
              <w:t xml:space="preserve">共 </w:t>
            </w:r>
            <w:r>
              <w:rPr>
                <w:rFonts w:hint="eastAsia"/>
                <w:b w:val="0"/>
                <w:bCs w:val="0"/>
                <w:color w:val="auto"/>
                <w:spacing w:val="0"/>
                <w:w w:val="100"/>
                <w:position w:val="0"/>
                <w:sz w:val="22"/>
                <w:szCs w:val="22"/>
                <w:highlight w:val="none"/>
                <w:lang w:val="en-US" w:eastAsia="zh-CN"/>
              </w:rPr>
              <w:t xml:space="preserve"> </w:t>
            </w:r>
            <w:r>
              <w:rPr>
                <w:b w:val="0"/>
                <w:bCs w:val="0"/>
                <w:color w:val="auto"/>
                <w:spacing w:val="0"/>
                <w:w w:val="100"/>
                <w:position w:val="0"/>
                <w:sz w:val="22"/>
                <w:szCs w:val="22"/>
                <w:highlight w:val="none"/>
              </w:rPr>
              <w:t>个设备，累计费用</w:t>
            </w:r>
            <w:r>
              <w:rPr>
                <w:b w:val="0"/>
                <w:bCs w:val="0"/>
                <w:color w:val="auto"/>
                <w:spacing w:val="0"/>
                <w:w w:val="100"/>
                <w:position w:val="0"/>
                <w:sz w:val="22"/>
                <w:szCs w:val="22"/>
                <w:highlight w:val="none"/>
              </w:rPr>
              <w:tab/>
            </w:r>
            <w:r>
              <w:rPr>
                <w:b w:val="0"/>
                <w:bCs w:val="0"/>
                <w:color w:val="auto"/>
                <w:spacing w:val="0"/>
                <w:w w:val="100"/>
                <w:position w:val="0"/>
                <w:sz w:val="22"/>
                <w:szCs w:val="22"/>
                <w:highlight w:val="none"/>
              </w:rPr>
              <w:t>元。</w:t>
            </w:r>
          </w:p>
        </w:tc>
      </w:tr>
      <w:tr>
        <w:tblPrEx>
          <w:tblLayout w:type="fixed"/>
          <w:tblCellMar>
            <w:top w:w="0" w:type="dxa"/>
            <w:left w:w="10" w:type="dxa"/>
            <w:bottom w:w="0" w:type="dxa"/>
            <w:right w:w="10" w:type="dxa"/>
          </w:tblCellMar>
        </w:tblPrEx>
        <w:trPr>
          <w:trHeight w:val="652" w:hRule="exact"/>
          <w:jc w:val="center"/>
        </w:trPr>
        <w:tc>
          <w:tcPr>
            <w:tcW w:w="2146" w:type="dxa"/>
            <w:tcBorders>
              <w:top w:val="single" w:color="auto" w:sz="4" w:space="0"/>
              <w:left w:val="single" w:color="auto" w:sz="4" w:space="0"/>
            </w:tcBorders>
            <w:shd w:val="clear" w:color="auto" w:fill="FFFFFF"/>
            <w:noWrap w:val="0"/>
            <w:vAlign w:val="center"/>
          </w:tcPr>
          <w:p>
            <w:pPr>
              <w:pStyle w:val="100"/>
              <w:keepNext w:val="0"/>
              <w:keepLines w:val="0"/>
              <w:widowControl w:val="0"/>
              <w:shd w:val="clear" w:color="auto" w:fill="auto"/>
              <w:bidi w:val="0"/>
              <w:spacing w:before="0" w:after="0" w:line="240" w:lineRule="auto"/>
              <w:ind w:left="0" w:right="0" w:firstLine="0"/>
              <w:jc w:val="center"/>
              <w:rPr>
                <w:b w:val="0"/>
                <w:bCs w:val="0"/>
                <w:color w:val="auto"/>
                <w:sz w:val="22"/>
                <w:szCs w:val="22"/>
                <w:highlight w:val="none"/>
              </w:rPr>
            </w:pPr>
            <w:r>
              <w:rPr>
                <w:b w:val="0"/>
                <w:bCs w:val="0"/>
                <w:color w:val="auto"/>
                <w:spacing w:val="0"/>
                <w:w w:val="100"/>
                <w:position w:val="0"/>
                <w:sz w:val="22"/>
                <w:szCs w:val="22"/>
                <w:highlight w:val="none"/>
              </w:rPr>
              <w:t>改造项目</w:t>
            </w:r>
          </w:p>
        </w:tc>
        <w:tc>
          <w:tcPr>
            <w:tcW w:w="2578" w:type="dxa"/>
            <w:tcBorders>
              <w:top w:val="single" w:color="auto" w:sz="4" w:space="0"/>
              <w:left w:val="single" w:color="auto" w:sz="4" w:space="0"/>
            </w:tcBorders>
            <w:shd w:val="clear" w:color="auto" w:fill="FFFFFF"/>
            <w:noWrap w:val="0"/>
            <w:vAlign w:val="center"/>
          </w:tcPr>
          <w:p>
            <w:pPr>
              <w:pStyle w:val="100"/>
              <w:keepNext w:val="0"/>
              <w:keepLines w:val="0"/>
              <w:widowControl w:val="0"/>
              <w:shd w:val="clear" w:color="auto" w:fill="auto"/>
              <w:bidi w:val="0"/>
              <w:spacing w:before="0" w:after="0" w:line="240" w:lineRule="auto"/>
              <w:ind w:left="0" w:right="0" w:firstLine="0"/>
              <w:jc w:val="center"/>
              <w:rPr>
                <w:b w:val="0"/>
                <w:bCs w:val="0"/>
                <w:color w:val="auto"/>
                <w:sz w:val="22"/>
                <w:szCs w:val="22"/>
                <w:highlight w:val="none"/>
              </w:rPr>
            </w:pPr>
            <w:r>
              <w:rPr>
                <w:b w:val="0"/>
                <w:bCs w:val="0"/>
                <w:color w:val="auto"/>
                <w:spacing w:val="0"/>
                <w:w w:val="100"/>
                <w:position w:val="0"/>
                <w:sz w:val="22"/>
                <w:szCs w:val="22"/>
                <w:highlight w:val="none"/>
              </w:rPr>
              <w:t>改造前图片</w:t>
            </w:r>
          </w:p>
        </w:tc>
        <w:tc>
          <w:tcPr>
            <w:tcW w:w="4111" w:type="dxa"/>
            <w:gridSpan w:val="2"/>
            <w:tcBorders>
              <w:top w:val="single" w:color="auto" w:sz="4" w:space="0"/>
              <w:left w:val="single" w:color="auto" w:sz="4" w:space="0"/>
              <w:right w:val="single" w:color="auto" w:sz="4" w:space="0"/>
            </w:tcBorders>
            <w:shd w:val="clear" w:color="auto" w:fill="FFFFFF"/>
            <w:noWrap w:val="0"/>
            <w:vAlign w:val="center"/>
          </w:tcPr>
          <w:p>
            <w:pPr>
              <w:pStyle w:val="100"/>
              <w:keepNext w:val="0"/>
              <w:keepLines w:val="0"/>
              <w:widowControl w:val="0"/>
              <w:shd w:val="clear" w:color="auto" w:fill="auto"/>
              <w:bidi w:val="0"/>
              <w:spacing w:before="0" w:after="0" w:line="240" w:lineRule="auto"/>
              <w:ind w:left="0" w:right="0" w:firstLine="0"/>
              <w:jc w:val="center"/>
              <w:rPr>
                <w:b w:val="0"/>
                <w:bCs w:val="0"/>
                <w:color w:val="auto"/>
                <w:sz w:val="22"/>
                <w:szCs w:val="22"/>
                <w:highlight w:val="none"/>
              </w:rPr>
            </w:pPr>
            <w:r>
              <w:rPr>
                <w:b w:val="0"/>
                <w:bCs w:val="0"/>
                <w:color w:val="auto"/>
                <w:spacing w:val="0"/>
                <w:w w:val="100"/>
                <w:position w:val="0"/>
                <w:sz w:val="22"/>
                <w:szCs w:val="22"/>
                <w:highlight w:val="none"/>
              </w:rPr>
              <w:t>改造后图片</w:t>
            </w:r>
          </w:p>
        </w:tc>
      </w:tr>
      <w:tr>
        <w:tblPrEx>
          <w:tblLayout w:type="fixed"/>
          <w:tblCellMar>
            <w:top w:w="0" w:type="dxa"/>
            <w:left w:w="10" w:type="dxa"/>
            <w:bottom w:w="0" w:type="dxa"/>
            <w:right w:w="10" w:type="dxa"/>
          </w:tblCellMar>
        </w:tblPrEx>
        <w:trPr>
          <w:trHeight w:val="897" w:hRule="exact"/>
          <w:jc w:val="center"/>
        </w:trPr>
        <w:tc>
          <w:tcPr>
            <w:tcW w:w="2146" w:type="dxa"/>
            <w:tcBorders>
              <w:top w:val="single" w:color="auto" w:sz="4" w:space="0"/>
              <w:left w:val="single" w:color="auto" w:sz="4" w:space="0"/>
            </w:tcBorders>
            <w:shd w:val="clear" w:color="auto" w:fill="FFFFFF"/>
            <w:noWrap w:val="0"/>
            <w:vAlign w:val="top"/>
          </w:tcPr>
          <w:p>
            <w:pPr>
              <w:widowControl w:val="0"/>
              <w:rPr>
                <w:b w:val="0"/>
                <w:bCs w:val="0"/>
                <w:color w:val="auto"/>
                <w:sz w:val="10"/>
                <w:szCs w:val="10"/>
                <w:highlight w:val="none"/>
              </w:rPr>
            </w:pPr>
          </w:p>
        </w:tc>
        <w:tc>
          <w:tcPr>
            <w:tcW w:w="2578" w:type="dxa"/>
            <w:tcBorders>
              <w:top w:val="single" w:color="auto" w:sz="4" w:space="0"/>
              <w:left w:val="single" w:color="auto" w:sz="4" w:space="0"/>
            </w:tcBorders>
            <w:shd w:val="clear" w:color="auto" w:fill="FFFFFF"/>
            <w:noWrap w:val="0"/>
            <w:vAlign w:val="top"/>
          </w:tcPr>
          <w:p>
            <w:pPr>
              <w:widowControl w:val="0"/>
              <w:rPr>
                <w:b w:val="0"/>
                <w:bCs w:val="0"/>
                <w:color w:val="auto"/>
                <w:sz w:val="10"/>
                <w:szCs w:val="10"/>
                <w:highlight w:val="none"/>
              </w:rPr>
            </w:pPr>
          </w:p>
        </w:tc>
        <w:tc>
          <w:tcPr>
            <w:tcW w:w="4111" w:type="dxa"/>
            <w:gridSpan w:val="2"/>
            <w:tcBorders>
              <w:top w:val="single" w:color="auto" w:sz="4" w:space="0"/>
              <w:left w:val="single" w:color="auto" w:sz="4" w:space="0"/>
              <w:right w:val="single" w:color="auto" w:sz="4" w:space="0"/>
            </w:tcBorders>
            <w:shd w:val="clear" w:color="auto" w:fill="FFFFFF"/>
            <w:noWrap w:val="0"/>
            <w:vAlign w:val="top"/>
          </w:tcPr>
          <w:p>
            <w:pPr>
              <w:widowControl w:val="0"/>
              <w:rPr>
                <w:b w:val="0"/>
                <w:bCs w:val="0"/>
                <w:color w:val="auto"/>
                <w:sz w:val="10"/>
                <w:szCs w:val="10"/>
                <w:highlight w:val="none"/>
              </w:rPr>
            </w:pPr>
          </w:p>
        </w:tc>
      </w:tr>
      <w:tr>
        <w:tblPrEx>
          <w:tblLayout w:type="fixed"/>
          <w:tblCellMar>
            <w:top w:w="0" w:type="dxa"/>
            <w:left w:w="10" w:type="dxa"/>
            <w:bottom w:w="0" w:type="dxa"/>
            <w:right w:w="10" w:type="dxa"/>
          </w:tblCellMar>
        </w:tblPrEx>
        <w:trPr>
          <w:trHeight w:val="920" w:hRule="exact"/>
          <w:jc w:val="center"/>
        </w:trPr>
        <w:tc>
          <w:tcPr>
            <w:tcW w:w="2146" w:type="dxa"/>
            <w:tcBorders>
              <w:top w:val="single" w:color="auto" w:sz="4" w:space="0"/>
              <w:left w:val="single" w:color="auto" w:sz="4" w:space="0"/>
            </w:tcBorders>
            <w:shd w:val="clear" w:color="auto" w:fill="FFFFFF"/>
            <w:noWrap w:val="0"/>
            <w:vAlign w:val="top"/>
          </w:tcPr>
          <w:p>
            <w:pPr>
              <w:widowControl w:val="0"/>
              <w:rPr>
                <w:b w:val="0"/>
                <w:bCs w:val="0"/>
                <w:color w:val="auto"/>
                <w:sz w:val="10"/>
                <w:szCs w:val="10"/>
                <w:highlight w:val="none"/>
              </w:rPr>
            </w:pPr>
          </w:p>
        </w:tc>
        <w:tc>
          <w:tcPr>
            <w:tcW w:w="2578" w:type="dxa"/>
            <w:tcBorders>
              <w:top w:val="single" w:color="auto" w:sz="4" w:space="0"/>
              <w:left w:val="single" w:color="auto" w:sz="4" w:space="0"/>
            </w:tcBorders>
            <w:shd w:val="clear" w:color="auto" w:fill="FFFFFF"/>
            <w:noWrap w:val="0"/>
            <w:vAlign w:val="top"/>
          </w:tcPr>
          <w:p>
            <w:pPr>
              <w:widowControl w:val="0"/>
              <w:rPr>
                <w:b w:val="0"/>
                <w:bCs w:val="0"/>
                <w:color w:val="auto"/>
                <w:sz w:val="10"/>
                <w:szCs w:val="10"/>
                <w:highlight w:val="none"/>
              </w:rPr>
            </w:pPr>
          </w:p>
        </w:tc>
        <w:tc>
          <w:tcPr>
            <w:tcW w:w="4111" w:type="dxa"/>
            <w:gridSpan w:val="2"/>
            <w:tcBorders>
              <w:top w:val="single" w:color="auto" w:sz="4" w:space="0"/>
              <w:left w:val="single" w:color="auto" w:sz="4" w:space="0"/>
              <w:right w:val="single" w:color="auto" w:sz="4" w:space="0"/>
            </w:tcBorders>
            <w:shd w:val="clear" w:color="auto" w:fill="FFFFFF"/>
            <w:noWrap w:val="0"/>
            <w:vAlign w:val="top"/>
          </w:tcPr>
          <w:p>
            <w:pPr>
              <w:widowControl w:val="0"/>
              <w:rPr>
                <w:b w:val="0"/>
                <w:bCs w:val="0"/>
                <w:color w:val="auto"/>
                <w:sz w:val="10"/>
                <w:szCs w:val="10"/>
                <w:highlight w:val="none"/>
              </w:rPr>
            </w:pPr>
          </w:p>
        </w:tc>
      </w:tr>
      <w:tr>
        <w:tblPrEx>
          <w:tblLayout w:type="fixed"/>
          <w:tblCellMar>
            <w:top w:w="0" w:type="dxa"/>
            <w:left w:w="10" w:type="dxa"/>
            <w:bottom w:w="0" w:type="dxa"/>
            <w:right w:w="10" w:type="dxa"/>
          </w:tblCellMar>
        </w:tblPrEx>
        <w:trPr>
          <w:trHeight w:val="1080" w:hRule="exact"/>
          <w:jc w:val="center"/>
        </w:trPr>
        <w:tc>
          <w:tcPr>
            <w:tcW w:w="2146" w:type="dxa"/>
            <w:tcBorders>
              <w:top w:val="single" w:color="auto" w:sz="4" w:space="0"/>
              <w:left w:val="single" w:color="auto" w:sz="4" w:space="0"/>
            </w:tcBorders>
            <w:shd w:val="clear" w:color="auto" w:fill="FFFFFF"/>
            <w:noWrap w:val="0"/>
            <w:vAlign w:val="top"/>
          </w:tcPr>
          <w:p>
            <w:pPr>
              <w:widowControl w:val="0"/>
              <w:rPr>
                <w:b w:val="0"/>
                <w:bCs w:val="0"/>
                <w:color w:val="auto"/>
                <w:sz w:val="10"/>
                <w:szCs w:val="10"/>
                <w:highlight w:val="none"/>
              </w:rPr>
            </w:pPr>
          </w:p>
        </w:tc>
        <w:tc>
          <w:tcPr>
            <w:tcW w:w="2578" w:type="dxa"/>
            <w:tcBorders>
              <w:top w:val="single" w:color="auto" w:sz="4" w:space="0"/>
              <w:left w:val="single" w:color="auto" w:sz="4" w:space="0"/>
            </w:tcBorders>
            <w:shd w:val="clear" w:color="auto" w:fill="FFFFFF"/>
            <w:noWrap w:val="0"/>
            <w:vAlign w:val="top"/>
          </w:tcPr>
          <w:p>
            <w:pPr>
              <w:widowControl w:val="0"/>
              <w:rPr>
                <w:b w:val="0"/>
                <w:bCs w:val="0"/>
                <w:color w:val="auto"/>
                <w:sz w:val="10"/>
                <w:szCs w:val="10"/>
                <w:highlight w:val="none"/>
              </w:rPr>
            </w:pPr>
          </w:p>
        </w:tc>
        <w:tc>
          <w:tcPr>
            <w:tcW w:w="4111" w:type="dxa"/>
            <w:gridSpan w:val="2"/>
            <w:tcBorders>
              <w:top w:val="single" w:color="auto" w:sz="4" w:space="0"/>
              <w:left w:val="single" w:color="auto" w:sz="4" w:space="0"/>
              <w:right w:val="single" w:color="auto" w:sz="4" w:space="0"/>
            </w:tcBorders>
            <w:shd w:val="clear" w:color="auto" w:fill="FFFFFF"/>
            <w:noWrap w:val="0"/>
            <w:vAlign w:val="top"/>
          </w:tcPr>
          <w:p>
            <w:pPr>
              <w:widowControl w:val="0"/>
              <w:rPr>
                <w:b w:val="0"/>
                <w:bCs w:val="0"/>
                <w:color w:val="auto"/>
                <w:sz w:val="10"/>
                <w:szCs w:val="10"/>
                <w:highlight w:val="none"/>
              </w:rPr>
            </w:pPr>
          </w:p>
        </w:tc>
      </w:tr>
      <w:tr>
        <w:tblPrEx>
          <w:tblLayout w:type="fixed"/>
          <w:tblCellMar>
            <w:top w:w="0" w:type="dxa"/>
            <w:left w:w="10" w:type="dxa"/>
            <w:bottom w:w="0" w:type="dxa"/>
            <w:right w:w="10" w:type="dxa"/>
          </w:tblCellMar>
        </w:tblPrEx>
        <w:trPr>
          <w:trHeight w:val="877" w:hRule="exact"/>
          <w:jc w:val="center"/>
        </w:trPr>
        <w:tc>
          <w:tcPr>
            <w:tcW w:w="2146" w:type="dxa"/>
            <w:tcBorders>
              <w:top w:val="single" w:color="auto" w:sz="4" w:space="0"/>
              <w:left w:val="single" w:color="auto" w:sz="4" w:space="0"/>
              <w:bottom w:val="single" w:color="auto" w:sz="4" w:space="0"/>
            </w:tcBorders>
            <w:shd w:val="clear" w:color="auto" w:fill="FFFFFF"/>
            <w:noWrap w:val="0"/>
            <w:vAlign w:val="top"/>
          </w:tcPr>
          <w:p>
            <w:pPr>
              <w:widowControl w:val="0"/>
              <w:rPr>
                <w:b w:val="0"/>
                <w:bCs w:val="0"/>
                <w:color w:val="auto"/>
                <w:sz w:val="10"/>
                <w:szCs w:val="10"/>
                <w:highlight w:val="none"/>
              </w:rPr>
            </w:pPr>
          </w:p>
        </w:tc>
        <w:tc>
          <w:tcPr>
            <w:tcW w:w="2578" w:type="dxa"/>
            <w:tcBorders>
              <w:top w:val="single" w:color="auto" w:sz="4" w:space="0"/>
              <w:left w:val="single" w:color="auto" w:sz="4" w:space="0"/>
              <w:bottom w:val="single" w:color="auto" w:sz="4" w:space="0"/>
              <w:right w:val="single" w:color="000000" w:sz="4" w:space="0"/>
            </w:tcBorders>
            <w:shd w:val="clear" w:color="auto" w:fill="FFFFFF"/>
            <w:noWrap w:val="0"/>
            <w:vAlign w:val="top"/>
          </w:tcPr>
          <w:p>
            <w:pPr>
              <w:widowControl w:val="0"/>
              <w:rPr>
                <w:b w:val="0"/>
                <w:bCs w:val="0"/>
                <w:color w:val="auto"/>
                <w:sz w:val="10"/>
                <w:szCs w:val="10"/>
                <w:highlight w:val="none"/>
              </w:rPr>
            </w:pPr>
          </w:p>
        </w:tc>
        <w:tc>
          <w:tcPr>
            <w:tcW w:w="4111" w:type="dxa"/>
            <w:gridSpan w:val="2"/>
            <w:tcBorders>
              <w:top w:val="single" w:color="auto" w:sz="4" w:space="0"/>
              <w:left w:val="single" w:color="000000" w:sz="4" w:space="0"/>
              <w:bottom w:val="single" w:color="auto" w:sz="4" w:space="0"/>
              <w:right w:val="single" w:color="auto" w:sz="4" w:space="0"/>
            </w:tcBorders>
            <w:shd w:val="clear" w:color="auto" w:fill="FFFFFF"/>
            <w:noWrap w:val="0"/>
            <w:vAlign w:val="top"/>
          </w:tcPr>
          <w:p>
            <w:pPr>
              <w:widowControl w:val="0"/>
              <w:rPr>
                <w:b w:val="0"/>
                <w:bCs w:val="0"/>
                <w:color w:val="auto"/>
                <w:sz w:val="10"/>
                <w:szCs w:val="10"/>
                <w:highlight w:val="none"/>
              </w:rPr>
            </w:pPr>
          </w:p>
        </w:tc>
      </w:tr>
      <w:tr>
        <w:tblPrEx>
          <w:tblLayout w:type="fixed"/>
          <w:tblCellMar>
            <w:top w:w="0" w:type="dxa"/>
            <w:left w:w="10" w:type="dxa"/>
            <w:bottom w:w="0" w:type="dxa"/>
            <w:right w:w="10" w:type="dxa"/>
          </w:tblCellMar>
        </w:tblPrEx>
        <w:trPr>
          <w:trHeight w:val="877" w:hRule="exact"/>
          <w:jc w:val="center"/>
        </w:trPr>
        <w:tc>
          <w:tcPr>
            <w:tcW w:w="2146" w:type="dxa"/>
            <w:tcBorders>
              <w:top w:val="single" w:color="auto" w:sz="4" w:space="0"/>
              <w:left w:val="single" w:color="auto" w:sz="4" w:space="0"/>
              <w:bottom w:val="single" w:color="auto" w:sz="4" w:space="0"/>
              <w:right w:val="single" w:color="000000" w:sz="4" w:space="0"/>
            </w:tcBorders>
            <w:shd w:val="clear" w:color="auto" w:fill="FFFFFF"/>
            <w:noWrap w:val="0"/>
            <w:vAlign w:val="top"/>
          </w:tcPr>
          <w:p>
            <w:pPr>
              <w:widowControl w:val="0"/>
              <w:rPr>
                <w:b w:val="0"/>
                <w:bCs w:val="0"/>
                <w:color w:val="auto"/>
                <w:sz w:val="10"/>
                <w:szCs w:val="10"/>
                <w:highlight w:val="none"/>
              </w:rPr>
            </w:pPr>
          </w:p>
        </w:tc>
        <w:tc>
          <w:tcPr>
            <w:tcW w:w="2578" w:type="dxa"/>
            <w:tcBorders>
              <w:top w:val="single" w:color="auto" w:sz="4" w:space="0"/>
              <w:left w:val="single" w:color="000000" w:sz="4" w:space="0"/>
              <w:bottom w:val="single" w:color="auto" w:sz="4" w:space="0"/>
              <w:right w:val="single" w:color="000000" w:sz="4" w:space="0"/>
            </w:tcBorders>
            <w:shd w:val="clear" w:color="auto" w:fill="FFFFFF"/>
            <w:noWrap w:val="0"/>
            <w:vAlign w:val="top"/>
          </w:tcPr>
          <w:p>
            <w:pPr>
              <w:widowControl w:val="0"/>
              <w:rPr>
                <w:b w:val="0"/>
                <w:bCs w:val="0"/>
                <w:color w:val="auto"/>
                <w:sz w:val="10"/>
                <w:szCs w:val="10"/>
                <w:highlight w:val="none"/>
              </w:rPr>
            </w:pPr>
          </w:p>
        </w:tc>
        <w:tc>
          <w:tcPr>
            <w:tcW w:w="4111" w:type="dxa"/>
            <w:gridSpan w:val="2"/>
            <w:tcBorders>
              <w:top w:val="single" w:color="auto" w:sz="4" w:space="0"/>
              <w:left w:val="single" w:color="000000" w:sz="4" w:space="0"/>
              <w:bottom w:val="single" w:color="auto" w:sz="4" w:space="0"/>
              <w:right w:val="single" w:color="auto" w:sz="4" w:space="0"/>
            </w:tcBorders>
            <w:shd w:val="clear" w:color="auto" w:fill="FFFFFF"/>
            <w:noWrap w:val="0"/>
            <w:vAlign w:val="top"/>
          </w:tcPr>
          <w:p>
            <w:pPr>
              <w:widowControl w:val="0"/>
              <w:rPr>
                <w:b w:val="0"/>
                <w:bCs w:val="0"/>
                <w:color w:val="auto"/>
                <w:sz w:val="10"/>
                <w:szCs w:val="10"/>
                <w:highlight w:val="none"/>
              </w:rPr>
            </w:pPr>
          </w:p>
        </w:tc>
      </w:tr>
    </w:tbl>
    <w:p>
      <w:pPr>
        <w:keepNext w:val="0"/>
        <w:keepLines w:val="0"/>
        <w:pageBreakBefore w:val="0"/>
        <w:widowControl w:val="0"/>
        <w:kinsoku/>
        <w:wordWrap/>
        <w:overflowPunct/>
        <w:topLinePunct w:val="0"/>
        <w:autoSpaceDE/>
        <w:autoSpaceDN/>
        <w:bidi w:val="0"/>
        <w:adjustRightInd/>
        <w:snapToGrid/>
        <w:spacing w:line="400" w:lineRule="exact"/>
        <w:ind w:left="0" w:hanging="840" w:hangingChars="300"/>
        <w:textAlignment w:val="auto"/>
        <w:rPr>
          <w:rFonts w:hint="eastAsia" w:ascii="宋体" w:hAnsi="宋体" w:eastAsia="宋体" w:cs="宋体"/>
          <w:b w:val="0"/>
          <w:bCs w:val="0"/>
          <w:color w:val="auto"/>
          <w:spacing w:val="0"/>
          <w:w w:val="100"/>
          <w:position w:val="0"/>
          <w:sz w:val="28"/>
          <w:szCs w:val="28"/>
          <w:highlight w:val="none"/>
        </w:rPr>
      </w:pPr>
      <w:r>
        <w:rPr>
          <w:rFonts w:hint="eastAsia" w:ascii="宋体" w:hAnsi="宋体" w:eastAsia="宋体" w:cs="宋体"/>
          <w:b w:val="0"/>
          <w:bCs w:val="0"/>
          <w:color w:val="auto"/>
          <w:spacing w:val="0"/>
          <w:w w:val="100"/>
          <w:position w:val="0"/>
          <w:sz w:val="28"/>
          <w:szCs w:val="28"/>
          <w:highlight w:val="none"/>
        </w:rPr>
        <w:t>说明：1.</w:t>
      </w:r>
      <w:r>
        <w:rPr>
          <w:rFonts w:hint="eastAsia" w:ascii="宋体" w:hAnsi="宋体" w:eastAsia="宋体" w:cs="宋体"/>
          <w:b w:val="0"/>
          <w:bCs w:val="0"/>
          <w:color w:val="auto"/>
          <w:spacing w:val="0"/>
          <w:w w:val="100"/>
          <w:position w:val="0"/>
          <w:sz w:val="28"/>
          <w:szCs w:val="28"/>
          <w:highlight w:val="none"/>
          <w:lang w:val="en-US" w:eastAsia="zh-CN"/>
        </w:rPr>
        <w:t xml:space="preserve"> </w:t>
      </w:r>
      <w:r>
        <w:rPr>
          <w:rFonts w:hint="eastAsia" w:ascii="宋体" w:hAnsi="宋体" w:eastAsia="宋体" w:cs="宋体"/>
          <w:b w:val="0"/>
          <w:bCs w:val="0"/>
          <w:color w:val="auto"/>
          <w:spacing w:val="0"/>
          <w:w w:val="100"/>
          <w:position w:val="0"/>
          <w:sz w:val="28"/>
          <w:szCs w:val="28"/>
          <w:highlight w:val="none"/>
        </w:rPr>
        <w:t>设施改造和新添设备都须有照片存档，页面不够可另加。</w:t>
      </w:r>
    </w:p>
    <w:p>
      <w:pPr>
        <w:keepNext w:val="0"/>
        <w:keepLines w:val="0"/>
        <w:pageBreakBefore w:val="0"/>
        <w:widowControl w:val="0"/>
        <w:numPr>
          <w:ilvl w:val="0"/>
          <w:numId w:val="5"/>
        </w:numPr>
        <w:kinsoku/>
        <w:wordWrap/>
        <w:overflowPunct/>
        <w:topLinePunct w:val="0"/>
        <w:autoSpaceDE/>
        <w:autoSpaceDN/>
        <w:bidi w:val="0"/>
        <w:adjustRightInd/>
        <w:snapToGrid/>
        <w:spacing w:line="400" w:lineRule="exact"/>
        <w:ind w:left="838" w:leftChars="399" w:firstLine="0" w:firstLineChars="0"/>
        <w:textAlignment w:val="auto"/>
        <w:rPr>
          <w:rFonts w:hint="eastAsia" w:ascii="宋体" w:hAnsi="宋体" w:eastAsia="宋体" w:cs="宋体"/>
          <w:b w:val="0"/>
          <w:bCs w:val="0"/>
          <w:color w:val="auto"/>
          <w:spacing w:val="0"/>
          <w:w w:val="100"/>
          <w:position w:val="0"/>
          <w:sz w:val="28"/>
          <w:szCs w:val="28"/>
          <w:highlight w:val="none"/>
        </w:rPr>
      </w:pPr>
      <w:r>
        <w:rPr>
          <w:rFonts w:hint="eastAsia" w:ascii="宋体" w:hAnsi="宋体" w:eastAsia="宋体" w:cs="宋体"/>
          <w:b w:val="0"/>
          <w:bCs w:val="0"/>
          <w:color w:val="auto"/>
          <w:spacing w:val="0"/>
          <w:w w:val="100"/>
          <w:position w:val="0"/>
          <w:sz w:val="28"/>
          <w:szCs w:val="28"/>
          <w:highlight w:val="none"/>
        </w:rPr>
        <w:t>设施改造照片要突出前后对比效果。</w:t>
      </w:r>
    </w:p>
    <w:p>
      <w:pPr>
        <w:keepNext w:val="0"/>
        <w:keepLines w:val="0"/>
        <w:pageBreakBefore w:val="0"/>
        <w:widowControl w:val="0"/>
        <w:numPr>
          <w:ilvl w:val="0"/>
          <w:numId w:val="5"/>
        </w:numPr>
        <w:kinsoku/>
        <w:wordWrap/>
        <w:overflowPunct/>
        <w:topLinePunct w:val="0"/>
        <w:autoSpaceDE/>
        <w:autoSpaceDN/>
        <w:bidi w:val="0"/>
        <w:adjustRightInd/>
        <w:snapToGrid/>
        <w:spacing w:line="400" w:lineRule="exact"/>
        <w:ind w:left="838" w:leftChars="399" w:firstLine="0" w:firstLineChars="0"/>
        <w:textAlignment w:val="auto"/>
        <w:rPr>
          <w:rFonts w:hint="eastAsia" w:ascii="宋体" w:hAnsi="宋体" w:eastAsia="宋体" w:cs="宋体"/>
          <w:b w:val="0"/>
          <w:bCs w:val="0"/>
          <w:color w:val="auto"/>
          <w:spacing w:val="0"/>
          <w:w w:val="100"/>
          <w:position w:val="0"/>
          <w:sz w:val="28"/>
          <w:szCs w:val="28"/>
          <w:highlight w:val="none"/>
        </w:rPr>
      </w:pPr>
      <w:r>
        <w:rPr>
          <w:rFonts w:hint="eastAsia" w:ascii="宋体" w:hAnsi="宋体" w:eastAsia="宋体" w:cs="宋体"/>
          <w:b w:val="0"/>
          <w:bCs w:val="0"/>
          <w:color w:val="auto"/>
          <w:spacing w:val="0"/>
          <w:w w:val="100"/>
          <w:position w:val="0"/>
          <w:sz w:val="28"/>
          <w:szCs w:val="28"/>
          <w:highlight w:val="none"/>
        </w:rPr>
        <w:t>所有照片须有文字说明。</w:t>
      </w:r>
    </w:p>
    <w:p>
      <w:pPr>
        <w:pStyle w:val="96"/>
        <w:rPr>
          <w:b w:val="0"/>
          <w:bCs w:val="0"/>
          <w:color w:val="auto"/>
          <w:spacing w:val="0"/>
          <w:w w:val="100"/>
          <w:position w:val="0"/>
          <w:sz w:val="28"/>
          <w:szCs w:val="28"/>
          <w:highlight w:val="none"/>
        </w:rPr>
      </w:pPr>
    </w:p>
    <w:p>
      <w:pPr>
        <w:pStyle w:val="98"/>
        <w:keepNext w:val="0"/>
        <w:keepLines w:val="0"/>
        <w:widowControl w:val="0"/>
        <w:shd w:val="clear" w:color="auto" w:fill="auto"/>
        <w:bidi w:val="0"/>
        <w:spacing w:before="0" w:after="0" w:line="240" w:lineRule="auto"/>
        <w:ind w:left="0" w:right="0" w:firstLine="0"/>
        <w:jc w:val="left"/>
        <w:rPr>
          <w:rFonts w:hint="eastAsia" w:ascii="黑体" w:hAnsi="宋体" w:eastAsia="黑体" w:cs="黑体"/>
          <w:b w:val="0"/>
          <w:bCs w:val="0"/>
          <w:i w:val="0"/>
          <w:color w:val="auto"/>
          <w:kern w:val="0"/>
          <w:sz w:val="32"/>
          <w:szCs w:val="32"/>
          <w:highlight w:val="none"/>
          <w:u w:val="none"/>
          <w:shd w:val="clear" w:color="auto" w:fill="auto"/>
          <w:lang w:val="en-US" w:eastAsia="zh-CN" w:bidi="ar"/>
        </w:rPr>
      </w:pPr>
    </w:p>
    <w:p>
      <w:pPr>
        <w:pStyle w:val="98"/>
        <w:keepNext w:val="0"/>
        <w:keepLines w:val="0"/>
        <w:widowControl w:val="0"/>
        <w:shd w:val="clear" w:color="auto" w:fill="auto"/>
        <w:bidi w:val="0"/>
        <w:spacing w:before="0" w:after="0" w:line="240" w:lineRule="auto"/>
        <w:ind w:left="0" w:right="0" w:firstLine="0"/>
        <w:jc w:val="left"/>
        <w:rPr>
          <w:rFonts w:hint="eastAsia" w:ascii="宋体" w:hAnsi="宋体" w:eastAsia="宋体" w:cs="宋体"/>
          <w:b w:val="0"/>
          <w:bCs w:val="0"/>
          <w:i w:val="0"/>
          <w:color w:val="auto"/>
          <w:kern w:val="0"/>
          <w:sz w:val="32"/>
          <w:szCs w:val="32"/>
          <w:highlight w:val="none"/>
          <w:u w:val="none"/>
          <w:shd w:val="clear"/>
          <w:lang w:val="en-US" w:eastAsia="zh-CN" w:bidi="ar"/>
        </w:rPr>
      </w:pPr>
      <w:r>
        <w:rPr>
          <w:rFonts w:hint="eastAsia" w:ascii="宋体" w:hAnsi="宋体" w:eastAsia="宋体" w:cs="宋体"/>
          <w:b w:val="0"/>
          <w:bCs w:val="0"/>
          <w:i w:val="0"/>
          <w:color w:val="auto"/>
          <w:kern w:val="0"/>
          <w:sz w:val="32"/>
          <w:szCs w:val="32"/>
          <w:highlight w:val="none"/>
          <w:u w:val="none"/>
          <w:shd w:val="clear"/>
          <w:lang w:val="en-US" w:eastAsia="zh-CN" w:bidi="ar"/>
        </w:rPr>
        <w:t>附件6</w:t>
      </w:r>
    </w:p>
    <w:p>
      <w:pPr>
        <w:bidi w:val="0"/>
        <w:jc w:val="center"/>
        <w:rPr>
          <w:rFonts w:hint="eastAsia" w:asciiTheme="minorEastAsia" w:hAnsiTheme="minorEastAsia" w:eastAsiaTheme="minorEastAsia" w:cstheme="minorEastAsia"/>
          <w:b/>
          <w:bCs/>
          <w:color w:val="auto"/>
          <w:sz w:val="28"/>
          <w:szCs w:val="28"/>
          <w:highlight w:val="none"/>
          <w:lang w:val="en-US" w:eastAsia="zh-CN"/>
        </w:rPr>
      </w:pPr>
      <w:r>
        <w:rPr>
          <w:rFonts w:hint="eastAsia" w:asciiTheme="minorEastAsia" w:hAnsiTheme="minorEastAsia" w:eastAsiaTheme="minorEastAsia" w:cstheme="minorEastAsia"/>
          <w:b/>
          <w:bCs/>
          <w:color w:val="auto"/>
          <w:sz w:val="28"/>
          <w:szCs w:val="28"/>
          <w:highlight w:val="none"/>
          <w:lang w:val="en-US" w:eastAsia="zh-CN"/>
        </w:rPr>
        <w:t>横州市特殊困难老年人家庭适老化改造验收表</w:t>
      </w:r>
    </w:p>
    <w:tbl>
      <w:tblPr>
        <w:tblStyle w:val="28"/>
        <w:tblpPr w:leftFromText="180" w:rightFromText="180" w:vertAnchor="text" w:horzAnchor="page" w:tblpX="1515" w:tblpY="220"/>
        <w:tblOverlap w:val="never"/>
        <w:tblW w:w="898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42"/>
        <w:gridCol w:w="3112"/>
        <w:gridCol w:w="1275"/>
        <w:gridCol w:w="1560"/>
        <w:gridCol w:w="17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1242" w:type="dxa"/>
            <w:noWrap w:val="0"/>
            <w:vAlign w:val="center"/>
          </w:tcPr>
          <w:p>
            <w:pPr>
              <w:widowControl/>
              <w:overflowPunct w:val="0"/>
              <w:adjustRightInd w:val="0"/>
              <w:snapToGrid w:val="0"/>
              <w:spacing w:line="280" w:lineRule="exact"/>
              <w:jc w:val="center"/>
              <w:rPr>
                <w:rFonts w:hint="eastAsia" w:ascii="宋体" w:hAnsi="宋体" w:eastAsia="宋体" w:cs="宋体"/>
                <w:snapToGrid w:val="0"/>
                <w:color w:val="auto"/>
                <w:kern w:val="0"/>
                <w:sz w:val="18"/>
                <w:szCs w:val="18"/>
                <w:highlight w:val="none"/>
              </w:rPr>
            </w:pPr>
            <w:r>
              <w:rPr>
                <w:rFonts w:hint="eastAsia" w:ascii="宋体" w:hAnsi="宋体" w:eastAsia="宋体" w:cs="宋体"/>
                <w:snapToGrid w:val="0"/>
                <w:color w:val="auto"/>
                <w:kern w:val="0"/>
                <w:sz w:val="18"/>
                <w:szCs w:val="18"/>
                <w:highlight w:val="none"/>
              </w:rPr>
              <w:t>老年人姓名</w:t>
            </w:r>
          </w:p>
        </w:tc>
        <w:tc>
          <w:tcPr>
            <w:tcW w:w="3112" w:type="dxa"/>
            <w:noWrap w:val="0"/>
            <w:vAlign w:val="center"/>
          </w:tcPr>
          <w:p>
            <w:pPr>
              <w:widowControl/>
              <w:overflowPunct w:val="0"/>
              <w:adjustRightInd w:val="0"/>
              <w:snapToGrid w:val="0"/>
              <w:spacing w:line="280" w:lineRule="exact"/>
              <w:jc w:val="center"/>
              <w:rPr>
                <w:rFonts w:hint="eastAsia" w:ascii="宋体" w:hAnsi="宋体" w:eastAsia="宋体" w:cs="宋体"/>
                <w:snapToGrid w:val="0"/>
                <w:color w:val="auto"/>
                <w:kern w:val="0"/>
                <w:sz w:val="18"/>
                <w:szCs w:val="18"/>
                <w:highlight w:val="none"/>
              </w:rPr>
            </w:pPr>
          </w:p>
        </w:tc>
        <w:tc>
          <w:tcPr>
            <w:tcW w:w="1275" w:type="dxa"/>
            <w:noWrap w:val="0"/>
            <w:vAlign w:val="center"/>
          </w:tcPr>
          <w:p>
            <w:pPr>
              <w:widowControl/>
              <w:overflowPunct w:val="0"/>
              <w:adjustRightInd w:val="0"/>
              <w:snapToGrid w:val="0"/>
              <w:spacing w:line="280" w:lineRule="exact"/>
              <w:jc w:val="center"/>
              <w:rPr>
                <w:rFonts w:hint="eastAsia" w:ascii="宋体" w:hAnsi="宋体" w:eastAsia="宋体" w:cs="宋体"/>
                <w:snapToGrid w:val="0"/>
                <w:color w:val="auto"/>
                <w:kern w:val="0"/>
                <w:sz w:val="18"/>
                <w:szCs w:val="18"/>
                <w:highlight w:val="none"/>
              </w:rPr>
            </w:pPr>
            <w:r>
              <w:rPr>
                <w:rFonts w:hint="eastAsia" w:ascii="宋体" w:hAnsi="宋体" w:eastAsia="宋体" w:cs="宋体"/>
                <w:snapToGrid w:val="0"/>
                <w:color w:val="auto"/>
                <w:kern w:val="0"/>
                <w:sz w:val="18"/>
                <w:szCs w:val="18"/>
                <w:highlight w:val="none"/>
              </w:rPr>
              <w:t>联系电话</w:t>
            </w:r>
          </w:p>
        </w:tc>
        <w:tc>
          <w:tcPr>
            <w:tcW w:w="3359" w:type="dxa"/>
            <w:gridSpan w:val="2"/>
            <w:noWrap w:val="0"/>
            <w:vAlign w:val="center"/>
          </w:tcPr>
          <w:p>
            <w:pPr>
              <w:widowControl/>
              <w:overflowPunct w:val="0"/>
              <w:adjustRightInd w:val="0"/>
              <w:snapToGrid w:val="0"/>
              <w:spacing w:line="280" w:lineRule="exact"/>
              <w:jc w:val="center"/>
              <w:rPr>
                <w:rFonts w:hint="eastAsia" w:ascii="宋体" w:hAnsi="宋体" w:eastAsia="宋体" w:cs="宋体"/>
                <w:snapToGrid w:val="0"/>
                <w:color w:val="auto"/>
                <w:kern w:val="0"/>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1242" w:type="dxa"/>
            <w:noWrap w:val="0"/>
            <w:vAlign w:val="center"/>
          </w:tcPr>
          <w:p>
            <w:pPr>
              <w:widowControl/>
              <w:overflowPunct w:val="0"/>
              <w:adjustRightInd w:val="0"/>
              <w:snapToGrid w:val="0"/>
              <w:spacing w:line="280" w:lineRule="exact"/>
              <w:jc w:val="center"/>
              <w:rPr>
                <w:rFonts w:hint="eastAsia" w:ascii="宋体" w:hAnsi="宋体" w:eastAsia="宋体" w:cs="宋体"/>
                <w:snapToGrid w:val="0"/>
                <w:color w:val="auto"/>
                <w:kern w:val="0"/>
                <w:sz w:val="18"/>
                <w:szCs w:val="18"/>
                <w:highlight w:val="none"/>
              </w:rPr>
            </w:pPr>
            <w:r>
              <w:rPr>
                <w:rFonts w:hint="eastAsia" w:ascii="宋体" w:hAnsi="宋体" w:eastAsia="宋体" w:cs="宋体"/>
                <w:snapToGrid w:val="0"/>
                <w:color w:val="auto"/>
                <w:kern w:val="0"/>
                <w:sz w:val="18"/>
                <w:szCs w:val="18"/>
                <w:highlight w:val="none"/>
              </w:rPr>
              <w:t>身份证号</w:t>
            </w:r>
          </w:p>
        </w:tc>
        <w:tc>
          <w:tcPr>
            <w:tcW w:w="7746" w:type="dxa"/>
            <w:gridSpan w:val="4"/>
            <w:noWrap w:val="0"/>
            <w:vAlign w:val="center"/>
          </w:tcPr>
          <w:p>
            <w:pPr>
              <w:widowControl/>
              <w:overflowPunct w:val="0"/>
              <w:adjustRightInd w:val="0"/>
              <w:snapToGrid w:val="0"/>
              <w:spacing w:line="280" w:lineRule="exact"/>
              <w:jc w:val="center"/>
              <w:rPr>
                <w:rFonts w:hint="eastAsia" w:ascii="宋体" w:hAnsi="宋体" w:eastAsia="宋体" w:cs="宋体"/>
                <w:snapToGrid w:val="0"/>
                <w:color w:val="auto"/>
                <w:kern w:val="0"/>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1242" w:type="dxa"/>
            <w:noWrap w:val="0"/>
            <w:vAlign w:val="center"/>
          </w:tcPr>
          <w:p>
            <w:pPr>
              <w:widowControl/>
              <w:overflowPunct w:val="0"/>
              <w:adjustRightInd w:val="0"/>
              <w:snapToGrid w:val="0"/>
              <w:spacing w:line="280" w:lineRule="exact"/>
              <w:jc w:val="center"/>
              <w:rPr>
                <w:rFonts w:hint="eastAsia" w:ascii="宋体" w:hAnsi="宋体" w:eastAsia="宋体" w:cs="宋体"/>
                <w:snapToGrid w:val="0"/>
                <w:color w:val="auto"/>
                <w:kern w:val="0"/>
                <w:sz w:val="18"/>
                <w:szCs w:val="18"/>
                <w:highlight w:val="none"/>
              </w:rPr>
            </w:pPr>
            <w:r>
              <w:rPr>
                <w:rFonts w:hint="eastAsia" w:ascii="宋体" w:hAnsi="宋体" w:eastAsia="宋体" w:cs="宋体"/>
                <w:snapToGrid w:val="0"/>
                <w:color w:val="auto"/>
                <w:kern w:val="0"/>
                <w:sz w:val="18"/>
                <w:szCs w:val="18"/>
                <w:highlight w:val="none"/>
              </w:rPr>
              <w:t>家庭住址</w:t>
            </w:r>
          </w:p>
        </w:tc>
        <w:tc>
          <w:tcPr>
            <w:tcW w:w="7746" w:type="dxa"/>
            <w:gridSpan w:val="4"/>
            <w:noWrap w:val="0"/>
            <w:vAlign w:val="center"/>
          </w:tcPr>
          <w:p>
            <w:pPr>
              <w:widowControl/>
              <w:overflowPunct w:val="0"/>
              <w:adjustRightInd w:val="0"/>
              <w:snapToGrid w:val="0"/>
              <w:spacing w:line="280" w:lineRule="exact"/>
              <w:jc w:val="center"/>
              <w:rPr>
                <w:rFonts w:hint="eastAsia" w:ascii="宋体" w:hAnsi="宋体" w:eastAsia="宋体" w:cs="宋体"/>
                <w:snapToGrid w:val="0"/>
                <w:color w:val="auto"/>
                <w:kern w:val="0"/>
                <w:sz w:val="18"/>
                <w:szCs w:val="18"/>
                <w:highlight w:val="none"/>
              </w:rPr>
            </w:pPr>
            <w:r>
              <w:rPr>
                <w:rFonts w:hint="eastAsia" w:ascii="宋体" w:hAnsi="宋体" w:eastAsia="宋体" w:cs="宋体"/>
                <w:snapToGrid w:val="0"/>
                <w:color w:val="auto"/>
                <w:kern w:val="0"/>
                <w:sz w:val="18"/>
                <w:szCs w:val="18"/>
                <w:highlight w:val="none"/>
              </w:rPr>
              <w:t>县（市、区）          街道/乡镇            村/社区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1242" w:type="dxa"/>
            <w:vMerge w:val="restart"/>
            <w:noWrap w:val="0"/>
            <w:vAlign w:val="center"/>
          </w:tcPr>
          <w:p>
            <w:pPr>
              <w:widowControl/>
              <w:overflowPunct w:val="0"/>
              <w:adjustRightInd w:val="0"/>
              <w:snapToGrid w:val="0"/>
              <w:spacing w:line="280" w:lineRule="exact"/>
              <w:jc w:val="center"/>
              <w:rPr>
                <w:rFonts w:hint="eastAsia" w:ascii="宋体" w:hAnsi="宋体" w:eastAsia="宋体" w:cs="宋体"/>
                <w:snapToGrid w:val="0"/>
                <w:color w:val="auto"/>
                <w:kern w:val="0"/>
                <w:sz w:val="18"/>
                <w:szCs w:val="18"/>
                <w:highlight w:val="none"/>
              </w:rPr>
            </w:pPr>
            <w:r>
              <w:rPr>
                <w:rFonts w:hint="eastAsia" w:ascii="宋体" w:hAnsi="宋体" w:eastAsia="宋体" w:cs="宋体"/>
                <w:snapToGrid w:val="0"/>
                <w:color w:val="auto"/>
                <w:kern w:val="0"/>
                <w:sz w:val="18"/>
                <w:szCs w:val="18"/>
                <w:highlight w:val="none"/>
              </w:rPr>
              <w:t>改造情况</w:t>
            </w:r>
          </w:p>
        </w:tc>
        <w:tc>
          <w:tcPr>
            <w:tcW w:w="3112" w:type="dxa"/>
            <w:noWrap w:val="0"/>
            <w:vAlign w:val="center"/>
          </w:tcPr>
          <w:p>
            <w:pPr>
              <w:widowControl/>
              <w:overflowPunct w:val="0"/>
              <w:adjustRightInd w:val="0"/>
              <w:snapToGrid w:val="0"/>
              <w:spacing w:line="280" w:lineRule="exact"/>
              <w:jc w:val="center"/>
              <w:rPr>
                <w:rFonts w:hint="eastAsia" w:ascii="宋体" w:hAnsi="宋体" w:eastAsia="宋体" w:cs="宋体"/>
                <w:snapToGrid w:val="0"/>
                <w:color w:val="auto"/>
                <w:kern w:val="0"/>
                <w:sz w:val="18"/>
                <w:szCs w:val="18"/>
                <w:highlight w:val="none"/>
              </w:rPr>
            </w:pPr>
            <w:r>
              <w:rPr>
                <w:rFonts w:hint="eastAsia" w:ascii="宋体" w:hAnsi="宋体" w:eastAsia="宋体" w:cs="宋体"/>
                <w:snapToGrid w:val="0"/>
                <w:color w:val="auto"/>
                <w:kern w:val="0"/>
                <w:sz w:val="18"/>
                <w:szCs w:val="18"/>
                <w:highlight w:val="none"/>
              </w:rPr>
              <w:t>改造内容</w:t>
            </w:r>
          </w:p>
        </w:tc>
        <w:tc>
          <w:tcPr>
            <w:tcW w:w="1275" w:type="dxa"/>
            <w:noWrap w:val="0"/>
            <w:vAlign w:val="center"/>
          </w:tcPr>
          <w:p>
            <w:pPr>
              <w:widowControl/>
              <w:overflowPunct w:val="0"/>
              <w:adjustRightInd w:val="0"/>
              <w:snapToGrid w:val="0"/>
              <w:spacing w:line="280" w:lineRule="exact"/>
              <w:jc w:val="center"/>
              <w:rPr>
                <w:rFonts w:hint="eastAsia" w:ascii="宋体" w:hAnsi="宋体" w:eastAsia="宋体" w:cs="宋体"/>
                <w:snapToGrid w:val="0"/>
                <w:color w:val="auto"/>
                <w:kern w:val="0"/>
                <w:sz w:val="18"/>
                <w:szCs w:val="18"/>
                <w:highlight w:val="none"/>
              </w:rPr>
            </w:pPr>
            <w:r>
              <w:rPr>
                <w:rFonts w:hint="eastAsia" w:ascii="宋体" w:hAnsi="宋体" w:eastAsia="宋体" w:cs="宋体"/>
                <w:snapToGrid w:val="0"/>
                <w:color w:val="auto"/>
                <w:kern w:val="0"/>
                <w:sz w:val="18"/>
                <w:szCs w:val="18"/>
                <w:highlight w:val="none"/>
              </w:rPr>
              <w:t>改造数量</w:t>
            </w:r>
          </w:p>
        </w:tc>
        <w:tc>
          <w:tcPr>
            <w:tcW w:w="1560" w:type="dxa"/>
            <w:noWrap w:val="0"/>
            <w:vAlign w:val="center"/>
          </w:tcPr>
          <w:p>
            <w:pPr>
              <w:widowControl/>
              <w:overflowPunct w:val="0"/>
              <w:adjustRightInd w:val="0"/>
              <w:snapToGrid w:val="0"/>
              <w:spacing w:line="280" w:lineRule="exact"/>
              <w:jc w:val="center"/>
              <w:rPr>
                <w:rFonts w:hint="eastAsia" w:ascii="宋体" w:hAnsi="宋体" w:eastAsia="宋体" w:cs="宋体"/>
                <w:snapToGrid w:val="0"/>
                <w:color w:val="auto"/>
                <w:kern w:val="0"/>
                <w:sz w:val="18"/>
                <w:szCs w:val="18"/>
                <w:highlight w:val="none"/>
              </w:rPr>
            </w:pPr>
            <w:r>
              <w:rPr>
                <w:rFonts w:hint="eastAsia" w:ascii="宋体" w:hAnsi="宋体" w:eastAsia="宋体" w:cs="宋体"/>
                <w:snapToGrid w:val="0"/>
                <w:color w:val="auto"/>
                <w:kern w:val="0"/>
                <w:sz w:val="18"/>
                <w:szCs w:val="18"/>
                <w:highlight w:val="none"/>
              </w:rPr>
              <w:t>改造完成时间</w:t>
            </w:r>
          </w:p>
        </w:tc>
        <w:tc>
          <w:tcPr>
            <w:tcW w:w="1799" w:type="dxa"/>
            <w:noWrap w:val="0"/>
            <w:vAlign w:val="center"/>
          </w:tcPr>
          <w:p>
            <w:pPr>
              <w:widowControl/>
              <w:overflowPunct w:val="0"/>
              <w:adjustRightInd w:val="0"/>
              <w:snapToGrid w:val="0"/>
              <w:spacing w:line="280" w:lineRule="exact"/>
              <w:jc w:val="center"/>
              <w:rPr>
                <w:rFonts w:hint="eastAsia" w:ascii="宋体" w:hAnsi="宋体" w:eastAsia="宋体" w:cs="宋体"/>
                <w:snapToGrid w:val="0"/>
                <w:color w:val="auto"/>
                <w:kern w:val="0"/>
                <w:sz w:val="18"/>
                <w:szCs w:val="18"/>
                <w:highlight w:val="none"/>
              </w:rPr>
            </w:pPr>
            <w:r>
              <w:rPr>
                <w:rFonts w:hint="eastAsia" w:ascii="宋体" w:hAnsi="宋体" w:eastAsia="宋体" w:cs="宋体"/>
                <w:snapToGrid w:val="0"/>
                <w:color w:val="auto"/>
                <w:kern w:val="0"/>
                <w:sz w:val="18"/>
                <w:szCs w:val="18"/>
                <w:highlight w:val="none"/>
              </w:rPr>
              <w:t>施工人员（签字）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5" w:hRule="atLeast"/>
        </w:trPr>
        <w:tc>
          <w:tcPr>
            <w:tcW w:w="1242" w:type="dxa"/>
            <w:vMerge w:val="continue"/>
            <w:noWrap w:val="0"/>
            <w:vAlign w:val="center"/>
          </w:tcPr>
          <w:p>
            <w:pPr>
              <w:widowControl/>
              <w:overflowPunct w:val="0"/>
              <w:adjustRightInd w:val="0"/>
              <w:snapToGrid w:val="0"/>
              <w:spacing w:line="280" w:lineRule="exact"/>
              <w:jc w:val="center"/>
              <w:rPr>
                <w:rFonts w:hint="eastAsia" w:ascii="宋体" w:hAnsi="宋体" w:eastAsia="宋体" w:cs="宋体"/>
                <w:snapToGrid w:val="0"/>
                <w:color w:val="auto"/>
                <w:kern w:val="0"/>
                <w:sz w:val="18"/>
                <w:szCs w:val="18"/>
                <w:highlight w:val="none"/>
              </w:rPr>
            </w:pPr>
          </w:p>
        </w:tc>
        <w:tc>
          <w:tcPr>
            <w:tcW w:w="3112" w:type="dxa"/>
            <w:noWrap w:val="0"/>
            <w:vAlign w:val="center"/>
          </w:tcPr>
          <w:p>
            <w:pPr>
              <w:widowControl/>
              <w:overflowPunct w:val="0"/>
              <w:adjustRightInd w:val="0"/>
              <w:snapToGrid w:val="0"/>
              <w:spacing w:line="280" w:lineRule="exact"/>
              <w:jc w:val="center"/>
              <w:rPr>
                <w:rFonts w:hint="eastAsia" w:ascii="宋体" w:hAnsi="宋体" w:eastAsia="宋体" w:cs="宋体"/>
                <w:snapToGrid w:val="0"/>
                <w:color w:val="auto"/>
                <w:kern w:val="0"/>
                <w:sz w:val="18"/>
                <w:szCs w:val="18"/>
                <w:highlight w:val="none"/>
              </w:rPr>
            </w:pPr>
          </w:p>
        </w:tc>
        <w:tc>
          <w:tcPr>
            <w:tcW w:w="1275" w:type="dxa"/>
            <w:noWrap w:val="0"/>
            <w:vAlign w:val="center"/>
          </w:tcPr>
          <w:p>
            <w:pPr>
              <w:widowControl/>
              <w:overflowPunct w:val="0"/>
              <w:adjustRightInd w:val="0"/>
              <w:snapToGrid w:val="0"/>
              <w:spacing w:line="280" w:lineRule="exact"/>
              <w:jc w:val="center"/>
              <w:rPr>
                <w:rFonts w:hint="eastAsia" w:ascii="宋体" w:hAnsi="宋体" w:eastAsia="宋体" w:cs="宋体"/>
                <w:snapToGrid w:val="0"/>
                <w:color w:val="auto"/>
                <w:kern w:val="0"/>
                <w:sz w:val="18"/>
                <w:szCs w:val="18"/>
                <w:highlight w:val="none"/>
              </w:rPr>
            </w:pPr>
          </w:p>
        </w:tc>
        <w:tc>
          <w:tcPr>
            <w:tcW w:w="1560" w:type="dxa"/>
            <w:noWrap w:val="0"/>
            <w:vAlign w:val="center"/>
          </w:tcPr>
          <w:p>
            <w:pPr>
              <w:widowControl/>
              <w:overflowPunct w:val="0"/>
              <w:adjustRightInd w:val="0"/>
              <w:snapToGrid w:val="0"/>
              <w:spacing w:line="280" w:lineRule="exact"/>
              <w:jc w:val="center"/>
              <w:rPr>
                <w:rFonts w:hint="eastAsia" w:ascii="宋体" w:hAnsi="宋体" w:eastAsia="宋体" w:cs="宋体"/>
                <w:snapToGrid w:val="0"/>
                <w:color w:val="auto"/>
                <w:kern w:val="0"/>
                <w:sz w:val="18"/>
                <w:szCs w:val="18"/>
                <w:highlight w:val="none"/>
              </w:rPr>
            </w:pPr>
          </w:p>
        </w:tc>
        <w:tc>
          <w:tcPr>
            <w:tcW w:w="1799" w:type="dxa"/>
            <w:noWrap w:val="0"/>
            <w:vAlign w:val="center"/>
          </w:tcPr>
          <w:p>
            <w:pPr>
              <w:widowControl/>
              <w:overflowPunct w:val="0"/>
              <w:adjustRightInd w:val="0"/>
              <w:snapToGrid w:val="0"/>
              <w:spacing w:line="280" w:lineRule="exact"/>
              <w:jc w:val="center"/>
              <w:rPr>
                <w:rFonts w:hint="eastAsia" w:ascii="宋体" w:hAnsi="宋体" w:eastAsia="宋体" w:cs="宋体"/>
                <w:snapToGrid w:val="0"/>
                <w:color w:val="auto"/>
                <w:kern w:val="0"/>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80" w:hRule="atLeast"/>
        </w:trPr>
        <w:tc>
          <w:tcPr>
            <w:tcW w:w="1242" w:type="dxa"/>
            <w:vMerge w:val="continue"/>
            <w:noWrap w:val="0"/>
            <w:vAlign w:val="center"/>
          </w:tcPr>
          <w:p>
            <w:pPr>
              <w:widowControl/>
              <w:overflowPunct w:val="0"/>
              <w:adjustRightInd w:val="0"/>
              <w:snapToGrid w:val="0"/>
              <w:spacing w:line="280" w:lineRule="exact"/>
              <w:jc w:val="center"/>
              <w:rPr>
                <w:rFonts w:hint="eastAsia" w:ascii="宋体" w:hAnsi="宋体" w:eastAsia="宋体" w:cs="宋体"/>
                <w:snapToGrid w:val="0"/>
                <w:color w:val="auto"/>
                <w:kern w:val="0"/>
                <w:sz w:val="18"/>
                <w:szCs w:val="18"/>
                <w:highlight w:val="none"/>
              </w:rPr>
            </w:pPr>
          </w:p>
        </w:tc>
        <w:tc>
          <w:tcPr>
            <w:tcW w:w="3112" w:type="dxa"/>
            <w:noWrap w:val="0"/>
            <w:vAlign w:val="center"/>
          </w:tcPr>
          <w:p>
            <w:pPr>
              <w:widowControl/>
              <w:overflowPunct w:val="0"/>
              <w:adjustRightInd w:val="0"/>
              <w:snapToGrid w:val="0"/>
              <w:spacing w:line="280" w:lineRule="exact"/>
              <w:jc w:val="center"/>
              <w:rPr>
                <w:rFonts w:hint="eastAsia" w:ascii="宋体" w:hAnsi="宋体" w:eastAsia="宋体" w:cs="宋体"/>
                <w:snapToGrid w:val="0"/>
                <w:color w:val="auto"/>
                <w:kern w:val="0"/>
                <w:sz w:val="18"/>
                <w:szCs w:val="18"/>
                <w:highlight w:val="none"/>
              </w:rPr>
            </w:pPr>
          </w:p>
        </w:tc>
        <w:tc>
          <w:tcPr>
            <w:tcW w:w="1275" w:type="dxa"/>
            <w:noWrap w:val="0"/>
            <w:vAlign w:val="center"/>
          </w:tcPr>
          <w:p>
            <w:pPr>
              <w:widowControl/>
              <w:overflowPunct w:val="0"/>
              <w:adjustRightInd w:val="0"/>
              <w:snapToGrid w:val="0"/>
              <w:spacing w:line="280" w:lineRule="exact"/>
              <w:jc w:val="center"/>
              <w:rPr>
                <w:rFonts w:hint="eastAsia" w:ascii="宋体" w:hAnsi="宋体" w:eastAsia="宋体" w:cs="宋体"/>
                <w:snapToGrid w:val="0"/>
                <w:color w:val="auto"/>
                <w:kern w:val="0"/>
                <w:sz w:val="18"/>
                <w:szCs w:val="18"/>
                <w:highlight w:val="none"/>
              </w:rPr>
            </w:pPr>
          </w:p>
        </w:tc>
        <w:tc>
          <w:tcPr>
            <w:tcW w:w="1560" w:type="dxa"/>
            <w:noWrap w:val="0"/>
            <w:vAlign w:val="center"/>
          </w:tcPr>
          <w:p>
            <w:pPr>
              <w:widowControl/>
              <w:overflowPunct w:val="0"/>
              <w:adjustRightInd w:val="0"/>
              <w:snapToGrid w:val="0"/>
              <w:spacing w:line="280" w:lineRule="exact"/>
              <w:jc w:val="center"/>
              <w:rPr>
                <w:rFonts w:hint="eastAsia" w:ascii="宋体" w:hAnsi="宋体" w:eastAsia="宋体" w:cs="宋体"/>
                <w:snapToGrid w:val="0"/>
                <w:color w:val="auto"/>
                <w:kern w:val="0"/>
                <w:sz w:val="18"/>
                <w:szCs w:val="18"/>
                <w:highlight w:val="none"/>
              </w:rPr>
            </w:pPr>
          </w:p>
        </w:tc>
        <w:tc>
          <w:tcPr>
            <w:tcW w:w="1799" w:type="dxa"/>
            <w:noWrap w:val="0"/>
            <w:vAlign w:val="center"/>
          </w:tcPr>
          <w:p>
            <w:pPr>
              <w:widowControl/>
              <w:overflowPunct w:val="0"/>
              <w:adjustRightInd w:val="0"/>
              <w:snapToGrid w:val="0"/>
              <w:spacing w:line="280" w:lineRule="exact"/>
              <w:jc w:val="center"/>
              <w:rPr>
                <w:rFonts w:hint="eastAsia" w:ascii="宋体" w:hAnsi="宋体" w:eastAsia="宋体" w:cs="宋体"/>
                <w:snapToGrid w:val="0"/>
                <w:color w:val="auto"/>
                <w:kern w:val="0"/>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95" w:hRule="atLeast"/>
        </w:trPr>
        <w:tc>
          <w:tcPr>
            <w:tcW w:w="1242" w:type="dxa"/>
            <w:vMerge w:val="continue"/>
            <w:noWrap w:val="0"/>
            <w:vAlign w:val="center"/>
          </w:tcPr>
          <w:p>
            <w:pPr>
              <w:widowControl/>
              <w:overflowPunct w:val="0"/>
              <w:adjustRightInd w:val="0"/>
              <w:snapToGrid w:val="0"/>
              <w:spacing w:line="280" w:lineRule="exact"/>
              <w:jc w:val="center"/>
              <w:rPr>
                <w:rFonts w:hint="eastAsia" w:ascii="宋体" w:hAnsi="宋体" w:eastAsia="宋体" w:cs="宋体"/>
                <w:snapToGrid w:val="0"/>
                <w:color w:val="auto"/>
                <w:kern w:val="0"/>
                <w:sz w:val="18"/>
                <w:szCs w:val="18"/>
                <w:highlight w:val="none"/>
              </w:rPr>
            </w:pPr>
          </w:p>
        </w:tc>
        <w:tc>
          <w:tcPr>
            <w:tcW w:w="3112" w:type="dxa"/>
            <w:noWrap w:val="0"/>
            <w:vAlign w:val="center"/>
          </w:tcPr>
          <w:p>
            <w:pPr>
              <w:widowControl/>
              <w:overflowPunct w:val="0"/>
              <w:adjustRightInd w:val="0"/>
              <w:snapToGrid w:val="0"/>
              <w:spacing w:line="280" w:lineRule="exact"/>
              <w:jc w:val="center"/>
              <w:rPr>
                <w:rFonts w:hint="eastAsia" w:ascii="宋体" w:hAnsi="宋体" w:eastAsia="宋体" w:cs="宋体"/>
                <w:snapToGrid w:val="0"/>
                <w:color w:val="auto"/>
                <w:kern w:val="0"/>
                <w:sz w:val="18"/>
                <w:szCs w:val="18"/>
                <w:highlight w:val="none"/>
              </w:rPr>
            </w:pPr>
          </w:p>
        </w:tc>
        <w:tc>
          <w:tcPr>
            <w:tcW w:w="1275" w:type="dxa"/>
            <w:noWrap w:val="0"/>
            <w:vAlign w:val="center"/>
          </w:tcPr>
          <w:p>
            <w:pPr>
              <w:widowControl/>
              <w:overflowPunct w:val="0"/>
              <w:adjustRightInd w:val="0"/>
              <w:snapToGrid w:val="0"/>
              <w:spacing w:line="280" w:lineRule="exact"/>
              <w:jc w:val="center"/>
              <w:rPr>
                <w:rFonts w:hint="eastAsia" w:ascii="宋体" w:hAnsi="宋体" w:eastAsia="宋体" w:cs="宋体"/>
                <w:snapToGrid w:val="0"/>
                <w:color w:val="auto"/>
                <w:kern w:val="0"/>
                <w:sz w:val="18"/>
                <w:szCs w:val="18"/>
                <w:highlight w:val="none"/>
              </w:rPr>
            </w:pPr>
          </w:p>
        </w:tc>
        <w:tc>
          <w:tcPr>
            <w:tcW w:w="1560" w:type="dxa"/>
            <w:noWrap w:val="0"/>
            <w:vAlign w:val="center"/>
          </w:tcPr>
          <w:p>
            <w:pPr>
              <w:widowControl/>
              <w:overflowPunct w:val="0"/>
              <w:adjustRightInd w:val="0"/>
              <w:snapToGrid w:val="0"/>
              <w:spacing w:line="280" w:lineRule="exact"/>
              <w:jc w:val="center"/>
              <w:rPr>
                <w:rFonts w:hint="eastAsia" w:ascii="宋体" w:hAnsi="宋体" w:eastAsia="宋体" w:cs="宋体"/>
                <w:snapToGrid w:val="0"/>
                <w:color w:val="auto"/>
                <w:kern w:val="0"/>
                <w:sz w:val="18"/>
                <w:szCs w:val="18"/>
                <w:highlight w:val="none"/>
              </w:rPr>
            </w:pPr>
          </w:p>
        </w:tc>
        <w:tc>
          <w:tcPr>
            <w:tcW w:w="1799" w:type="dxa"/>
            <w:noWrap w:val="0"/>
            <w:vAlign w:val="center"/>
          </w:tcPr>
          <w:p>
            <w:pPr>
              <w:widowControl/>
              <w:overflowPunct w:val="0"/>
              <w:adjustRightInd w:val="0"/>
              <w:snapToGrid w:val="0"/>
              <w:spacing w:line="280" w:lineRule="exact"/>
              <w:jc w:val="center"/>
              <w:rPr>
                <w:rFonts w:hint="eastAsia" w:ascii="宋体" w:hAnsi="宋体" w:eastAsia="宋体" w:cs="宋体"/>
                <w:snapToGrid w:val="0"/>
                <w:color w:val="auto"/>
                <w:kern w:val="0"/>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5" w:hRule="atLeast"/>
        </w:trPr>
        <w:tc>
          <w:tcPr>
            <w:tcW w:w="1242" w:type="dxa"/>
            <w:vMerge w:val="continue"/>
            <w:noWrap w:val="0"/>
            <w:vAlign w:val="center"/>
          </w:tcPr>
          <w:p>
            <w:pPr>
              <w:widowControl/>
              <w:overflowPunct w:val="0"/>
              <w:adjustRightInd w:val="0"/>
              <w:snapToGrid w:val="0"/>
              <w:spacing w:line="280" w:lineRule="exact"/>
              <w:jc w:val="center"/>
              <w:rPr>
                <w:rFonts w:hint="eastAsia" w:ascii="宋体" w:hAnsi="宋体" w:eastAsia="宋体" w:cs="宋体"/>
                <w:snapToGrid w:val="0"/>
                <w:color w:val="auto"/>
                <w:kern w:val="0"/>
                <w:sz w:val="18"/>
                <w:szCs w:val="18"/>
                <w:highlight w:val="none"/>
              </w:rPr>
            </w:pPr>
          </w:p>
        </w:tc>
        <w:tc>
          <w:tcPr>
            <w:tcW w:w="3112" w:type="dxa"/>
            <w:noWrap w:val="0"/>
            <w:vAlign w:val="center"/>
          </w:tcPr>
          <w:p>
            <w:pPr>
              <w:widowControl/>
              <w:overflowPunct w:val="0"/>
              <w:adjustRightInd w:val="0"/>
              <w:snapToGrid w:val="0"/>
              <w:spacing w:line="280" w:lineRule="exact"/>
              <w:jc w:val="center"/>
              <w:rPr>
                <w:rFonts w:hint="eastAsia" w:ascii="宋体" w:hAnsi="宋体" w:eastAsia="宋体" w:cs="宋体"/>
                <w:snapToGrid w:val="0"/>
                <w:color w:val="auto"/>
                <w:kern w:val="0"/>
                <w:sz w:val="18"/>
                <w:szCs w:val="18"/>
                <w:highlight w:val="none"/>
              </w:rPr>
            </w:pPr>
          </w:p>
        </w:tc>
        <w:tc>
          <w:tcPr>
            <w:tcW w:w="1275" w:type="dxa"/>
            <w:noWrap w:val="0"/>
            <w:vAlign w:val="center"/>
          </w:tcPr>
          <w:p>
            <w:pPr>
              <w:widowControl/>
              <w:overflowPunct w:val="0"/>
              <w:adjustRightInd w:val="0"/>
              <w:snapToGrid w:val="0"/>
              <w:spacing w:line="280" w:lineRule="exact"/>
              <w:jc w:val="center"/>
              <w:rPr>
                <w:rFonts w:hint="eastAsia" w:ascii="宋体" w:hAnsi="宋体" w:eastAsia="宋体" w:cs="宋体"/>
                <w:snapToGrid w:val="0"/>
                <w:color w:val="auto"/>
                <w:kern w:val="0"/>
                <w:sz w:val="18"/>
                <w:szCs w:val="18"/>
                <w:highlight w:val="none"/>
              </w:rPr>
            </w:pPr>
          </w:p>
        </w:tc>
        <w:tc>
          <w:tcPr>
            <w:tcW w:w="1560" w:type="dxa"/>
            <w:noWrap w:val="0"/>
            <w:vAlign w:val="center"/>
          </w:tcPr>
          <w:p>
            <w:pPr>
              <w:widowControl/>
              <w:overflowPunct w:val="0"/>
              <w:adjustRightInd w:val="0"/>
              <w:snapToGrid w:val="0"/>
              <w:spacing w:line="280" w:lineRule="exact"/>
              <w:jc w:val="center"/>
              <w:rPr>
                <w:rFonts w:hint="eastAsia" w:ascii="宋体" w:hAnsi="宋体" w:eastAsia="宋体" w:cs="宋体"/>
                <w:snapToGrid w:val="0"/>
                <w:color w:val="auto"/>
                <w:kern w:val="0"/>
                <w:sz w:val="18"/>
                <w:szCs w:val="18"/>
                <w:highlight w:val="none"/>
              </w:rPr>
            </w:pPr>
          </w:p>
        </w:tc>
        <w:tc>
          <w:tcPr>
            <w:tcW w:w="1799" w:type="dxa"/>
            <w:noWrap w:val="0"/>
            <w:vAlign w:val="center"/>
          </w:tcPr>
          <w:p>
            <w:pPr>
              <w:widowControl/>
              <w:overflowPunct w:val="0"/>
              <w:adjustRightInd w:val="0"/>
              <w:snapToGrid w:val="0"/>
              <w:spacing w:line="280" w:lineRule="exact"/>
              <w:jc w:val="center"/>
              <w:rPr>
                <w:rFonts w:hint="eastAsia" w:ascii="宋体" w:hAnsi="宋体" w:eastAsia="宋体" w:cs="宋体"/>
                <w:snapToGrid w:val="0"/>
                <w:color w:val="auto"/>
                <w:kern w:val="0"/>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95" w:hRule="atLeast"/>
        </w:trPr>
        <w:tc>
          <w:tcPr>
            <w:tcW w:w="1242" w:type="dxa"/>
            <w:vMerge w:val="continue"/>
            <w:noWrap w:val="0"/>
            <w:vAlign w:val="center"/>
          </w:tcPr>
          <w:p>
            <w:pPr>
              <w:widowControl/>
              <w:overflowPunct w:val="0"/>
              <w:adjustRightInd w:val="0"/>
              <w:snapToGrid w:val="0"/>
              <w:spacing w:line="280" w:lineRule="exact"/>
              <w:jc w:val="center"/>
              <w:rPr>
                <w:rFonts w:hint="eastAsia" w:ascii="宋体" w:hAnsi="宋体" w:eastAsia="宋体" w:cs="宋体"/>
                <w:snapToGrid w:val="0"/>
                <w:color w:val="auto"/>
                <w:kern w:val="0"/>
                <w:sz w:val="18"/>
                <w:szCs w:val="18"/>
                <w:highlight w:val="none"/>
              </w:rPr>
            </w:pPr>
          </w:p>
        </w:tc>
        <w:tc>
          <w:tcPr>
            <w:tcW w:w="3112" w:type="dxa"/>
            <w:noWrap w:val="0"/>
            <w:vAlign w:val="center"/>
          </w:tcPr>
          <w:p>
            <w:pPr>
              <w:widowControl/>
              <w:overflowPunct w:val="0"/>
              <w:adjustRightInd w:val="0"/>
              <w:snapToGrid w:val="0"/>
              <w:spacing w:line="280" w:lineRule="exact"/>
              <w:jc w:val="center"/>
              <w:rPr>
                <w:rFonts w:hint="eastAsia" w:ascii="宋体" w:hAnsi="宋体" w:eastAsia="宋体" w:cs="宋体"/>
                <w:snapToGrid w:val="0"/>
                <w:color w:val="auto"/>
                <w:kern w:val="0"/>
                <w:sz w:val="18"/>
                <w:szCs w:val="18"/>
                <w:highlight w:val="none"/>
              </w:rPr>
            </w:pPr>
          </w:p>
        </w:tc>
        <w:tc>
          <w:tcPr>
            <w:tcW w:w="1275" w:type="dxa"/>
            <w:noWrap w:val="0"/>
            <w:vAlign w:val="center"/>
          </w:tcPr>
          <w:p>
            <w:pPr>
              <w:widowControl/>
              <w:overflowPunct w:val="0"/>
              <w:adjustRightInd w:val="0"/>
              <w:snapToGrid w:val="0"/>
              <w:spacing w:line="280" w:lineRule="exact"/>
              <w:jc w:val="center"/>
              <w:rPr>
                <w:rFonts w:hint="eastAsia" w:ascii="宋体" w:hAnsi="宋体" w:eastAsia="宋体" w:cs="宋体"/>
                <w:snapToGrid w:val="0"/>
                <w:color w:val="auto"/>
                <w:kern w:val="0"/>
                <w:sz w:val="18"/>
                <w:szCs w:val="18"/>
                <w:highlight w:val="none"/>
              </w:rPr>
            </w:pPr>
          </w:p>
        </w:tc>
        <w:tc>
          <w:tcPr>
            <w:tcW w:w="1560" w:type="dxa"/>
            <w:noWrap w:val="0"/>
            <w:vAlign w:val="center"/>
          </w:tcPr>
          <w:p>
            <w:pPr>
              <w:widowControl/>
              <w:overflowPunct w:val="0"/>
              <w:adjustRightInd w:val="0"/>
              <w:snapToGrid w:val="0"/>
              <w:spacing w:line="280" w:lineRule="exact"/>
              <w:jc w:val="center"/>
              <w:rPr>
                <w:rFonts w:hint="eastAsia" w:ascii="宋体" w:hAnsi="宋体" w:eastAsia="宋体" w:cs="宋体"/>
                <w:snapToGrid w:val="0"/>
                <w:color w:val="auto"/>
                <w:kern w:val="0"/>
                <w:sz w:val="18"/>
                <w:szCs w:val="18"/>
                <w:highlight w:val="none"/>
              </w:rPr>
            </w:pPr>
          </w:p>
        </w:tc>
        <w:tc>
          <w:tcPr>
            <w:tcW w:w="1799" w:type="dxa"/>
            <w:noWrap w:val="0"/>
            <w:vAlign w:val="center"/>
          </w:tcPr>
          <w:p>
            <w:pPr>
              <w:widowControl/>
              <w:overflowPunct w:val="0"/>
              <w:adjustRightInd w:val="0"/>
              <w:snapToGrid w:val="0"/>
              <w:spacing w:line="280" w:lineRule="exact"/>
              <w:jc w:val="center"/>
              <w:rPr>
                <w:rFonts w:hint="eastAsia" w:ascii="宋体" w:hAnsi="宋体" w:eastAsia="宋体" w:cs="宋体"/>
                <w:snapToGrid w:val="0"/>
                <w:color w:val="auto"/>
                <w:kern w:val="0"/>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556" w:hRule="atLeast"/>
        </w:trPr>
        <w:tc>
          <w:tcPr>
            <w:tcW w:w="1242" w:type="dxa"/>
            <w:noWrap w:val="0"/>
            <w:vAlign w:val="center"/>
          </w:tcPr>
          <w:p>
            <w:pPr>
              <w:widowControl/>
              <w:overflowPunct w:val="0"/>
              <w:adjustRightInd w:val="0"/>
              <w:snapToGrid w:val="0"/>
              <w:spacing w:line="280" w:lineRule="exact"/>
              <w:jc w:val="center"/>
              <w:rPr>
                <w:rFonts w:hint="eastAsia" w:ascii="宋体" w:hAnsi="宋体" w:eastAsia="宋体" w:cs="宋体"/>
                <w:snapToGrid w:val="0"/>
                <w:color w:val="auto"/>
                <w:kern w:val="0"/>
                <w:sz w:val="18"/>
                <w:szCs w:val="18"/>
                <w:highlight w:val="none"/>
              </w:rPr>
            </w:pPr>
            <w:r>
              <w:rPr>
                <w:rFonts w:hint="eastAsia" w:ascii="宋体" w:hAnsi="宋体" w:eastAsia="宋体" w:cs="宋体"/>
                <w:snapToGrid w:val="0"/>
                <w:color w:val="auto"/>
                <w:kern w:val="0"/>
                <w:sz w:val="18"/>
                <w:szCs w:val="18"/>
                <w:highlight w:val="none"/>
              </w:rPr>
              <w:t>验收结果</w:t>
            </w:r>
          </w:p>
        </w:tc>
        <w:tc>
          <w:tcPr>
            <w:tcW w:w="7746" w:type="dxa"/>
            <w:gridSpan w:val="4"/>
            <w:noWrap w:val="0"/>
            <w:vAlign w:val="top"/>
          </w:tcPr>
          <w:p>
            <w:pPr>
              <w:widowControl/>
              <w:overflowPunct w:val="0"/>
              <w:adjustRightInd w:val="0"/>
              <w:snapToGrid w:val="0"/>
              <w:spacing w:line="280" w:lineRule="exact"/>
              <w:jc w:val="left"/>
              <w:rPr>
                <w:rFonts w:hint="eastAsia" w:ascii="宋体" w:hAnsi="宋体" w:eastAsia="宋体" w:cs="宋体"/>
                <w:snapToGrid w:val="0"/>
                <w:color w:val="auto"/>
                <w:kern w:val="0"/>
                <w:sz w:val="18"/>
                <w:szCs w:val="18"/>
                <w:highlight w:val="none"/>
              </w:rPr>
            </w:pPr>
          </w:p>
          <w:p>
            <w:pPr>
              <w:widowControl/>
              <w:overflowPunct w:val="0"/>
              <w:adjustRightInd w:val="0"/>
              <w:snapToGrid w:val="0"/>
              <w:spacing w:line="280" w:lineRule="exact"/>
              <w:jc w:val="left"/>
              <w:rPr>
                <w:rFonts w:hint="eastAsia" w:ascii="宋体" w:hAnsi="宋体" w:eastAsia="宋体" w:cs="宋体"/>
                <w:snapToGrid w:val="0"/>
                <w:color w:val="auto"/>
                <w:kern w:val="0"/>
                <w:sz w:val="18"/>
                <w:szCs w:val="18"/>
                <w:highlight w:val="none"/>
              </w:rPr>
            </w:pPr>
            <w:r>
              <w:rPr>
                <w:rFonts w:hint="eastAsia" w:ascii="宋体" w:hAnsi="宋体" w:eastAsia="宋体" w:cs="宋体"/>
                <w:snapToGrid w:val="0"/>
                <w:color w:val="auto"/>
                <w:kern w:val="0"/>
                <w:sz w:val="18"/>
                <w:szCs w:val="18"/>
                <w:highlight w:val="none"/>
              </w:rPr>
              <w:t>合格□       不合格□       （改造实施单位需重新改造）</w:t>
            </w:r>
          </w:p>
          <w:p>
            <w:pPr>
              <w:widowControl/>
              <w:overflowPunct w:val="0"/>
              <w:adjustRightInd w:val="0"/>
              <w:snapToGrid w:val="0"/>
              <w:spacing w:line="280" w:lineRule="exact"/>
              <w:jc w:val="left"/>
              <w:rPr>
                <w:rFonts w:hint="eastAsia" w:ascii="宋体" w:hAnsi="宋体" w:eastAsia="宋体" w:cs="宋体"/>
                <w:snapToGrid w:val="0"/>
                <w:color w:val="auto"/>
                <w:kern w:val="0"/>
                <w:sz w:val="18"/>
                <w:szCs w:val="18"/>
                <w:highlight w:val="none"/>
              </w:rPr>
            </w:pPr>
          </w:p>
          <w:p>
            <w:pPr>
              <w:widowControl/>
              <w:overflowPunct w:val="0"/>
              <w:adjustRightInd w:val="0"/>
              <w:snapToGrid w:val="0"/>
              <w:spacing w:line="280" w:lineRule="exact"/>
              <w:jc w:val="left"/>
              <w:rPr>
                <w:rFonts w:hint="eastAsia" w:ascii="宋体" w:hAnsi="宋体" w:eastAsia="宋体" w:cs="宋体"/>
                <w:snapToGrid w:val="0"/>
                <w:color w:val="auto"/>
                <w:kern w:val="0"/>
                <w:sz w:val="18"/>
                <w:szCs w:val="18"/>
                <w:highlight w:val="none"/>
              </w:rPr>
            </w:pPr>
            <w:r>
              <w:rPr>
                <w:rFonts w:hint="eastAsia" w:ascii="宋体" w:hAnsi="宋体" w:eastAsia="宋体" w:cs="宋体"/>
                <w:snapToGrid w:val="0"/>
                <w:color w:val="auto"/>
                <w:kern w:val="0"/>
                <w:sz w:val="18"/>
                <w:szCs w:val="18"/>
                <w:highlight w:val="none"/>
              </w:rPr>
              <w:t>验收人：           （签字）：</w:t>
            </w:r>
          </w:p>
          <w:p>
            <w:pPr>
              <w:widowControl/>
              <w:overflowPunct w:val="0"/>
              <w:adjustRightInd w:val="0"/>
              <w:snapToGrid w:val="0"/>
              <w:spacing w:line="280" w:lineRule="exact"/>
              <w:ind w:firstLine="3144" w:firstLineChars="1747"/>
              <w:jc w:val="right"/>
              <w:rPr>
                <w:rFonts w:hint="eastAsia" w:ascii="宋体" w:hAnsi="宋体" w:eastAsia="宋体" w:cs="宋体"/>
                <w:snapToGrid w:val="0"/>
                <w:color w:val="auto"/>
                <w:kern w:val="0"/>
                <w:sz w:val="18"/>
                <w:szCs w:val="18"/>
                <w:highlight w:val="none"/>
              </w:rPr>
            </w:pPr>
            <w:r>
              <w:rPr>
                <w:rFonts w:hint="eastAsia" w:ascii="宋体" w:hAnsi="宋体" w:eastAsia="宋体" w:cs="宋体"/>
                <w:snapToGrid w:val="0"/>
                <w:color w:val="auto"/>
                <w:kern w:val="0"/>
                <w:sz w:val="18"/>
                <w:szCs w:val="18"/>
                <w:highlight w:val="none"/>
              </w:rPr>
              <w:t>验收时间：  </w:t>
            </w:r>
            <w:r>
              <w:rPr>
                <w:rFonts w:hint="eastAsia" w:ascii="宋体" w:hAnsi="宋体" w:eastAsia="宋体" w:cs="宋体"/>
                <w:snapToGrid w:val="0"/>
                <w:color w:val="auto"/>
                <w:kern w:val="0"/>
                <w:sz w:val="18"/>
                <w:szCs w:val="18"/>
                <w:highlight w:val="none"/>
                <w:lang w:val="en-US" w:eastAsia="zh-CN"/>
              </w:rPr>
              <w:t xml:space="preserve">  </w:t>
            </w:r>
            <w:r>
              <w:rPr>
                <w:rFonts w:hint="eastAsia" w:ascii="宋体" w:hAnsi="宋体" w:eastAsia="宋体" w:cs="宋体"/>
                <w:snapToGrid w:val="0"/>
                <w:color w:val="auto"/>
                <w:kern w:val="0"/>
                <w:sz w:val="18"/>
                <w:szCs w:val="18"/>
                <w:highlight w:val="none"/>
              </w:rPr>
              <w:t>  年 </w:t>
            </w:r>
            <w:r>
              <w:rPr>
                <w:rFonts w:hint="eastAsia" w:ascii="宋体" w:hAnsi="宋体" w:eastAsia="宋体" w:cs="宋体"/>
                <w:snapToGrid w:val="0"/>
                <w:color w:val="auto"/>
                <w:kern w:val="0"/>
                <w:sz w:val="18"/>
                <w:szCs w:val="18"/>
                <w:highlight w:val="none"/>
                <w:lang w:val="en-US" w:eastAsia="zh-CN"/>
              </w:rPr>
              <w:t xml:space="preserve"> </w:t>
            </w:r>
            <w:r>
              <w:rPr>
                <w:rFonts w:hint="eastAsia" w:ascii="宋体" w:hAnsi="宋体" w:eastAsia="宋体" w:cs="宋体"/>
                <w:snapToGrid w:val="0"/>
                <w:color w:val="auto"/>
                <w:kern w:val="0"/>
                <w:sz w:val="18"/>
                <w:szCs w:val="18"/>
                <w:highlight w:val="none"/>
              </w:rPr>
              <w:t> </w:t>
            </w:r>
            <w:r>
              <w:rPr>
                <w:rFonts w:hint="eastAsia" w:ascii="宋体" w:hAnsi="宋体" w:eastAsia="宋体" w:cs="宋体"/>
                <w:snapToGrid w:val="0"/>
                <w:color w:val="auto"/>
                <w:kern w:val="0"/>
                <w:sz w:val="18"/>
                <w:szCs w:val="18"/>
                <w:highlight w:val="none"/>
                <w:lang w:val="en-US" w:eastAsia="zh-CN"/>
              </w:rPr>
              <w:t xml:space="preserve"> </w:t>
            </w:r>
            <w:r>
              <w:rPr>
                <w:rFonts w:hint="eastAsia" w:ascii="宋体" w:hAnsi="宋体" w:eastAsia="宋体" w:cs="宋体"/>
                <w:snapToGrid w:val="0"/>
                <w:color w:val="auto"/>
                <w:kern w:val="0"/>
                <w:sz w:val="18"/>
                <w:szCs w:val="18"/>
                <w:highlight w:val="none"/>
              </w:rPr>
              <w:t>月 </w:t>
            </w:r>
            <w:r>
              <w:rPr>
                <w:rFonts w:hint="eastAsia" w:ascii="宋体" w:hAnsi="宋体" w:eastAsia="宋体" w:cs="宋体"/>
                <w:snapToGrid w:val="0"/>
                <w:color w:val="auto"/>
                <w:kern w:val="0"/>
                <w:sz w:val="18"/>
                <w:szCs w:val="18"/>
                <w:highlight w:val="none"/>
                <w:lang w:val="en-US" w:eastAsia="zh-CN"/>
              </w:rPr>
              <w:t xml:space="preserve"> </w:t>
            </w:r>
            <w:r>
              <w:rPr>
                <w:rFonts w:hint="eastAsia" w:ascii="宋体" w:hAnsi="宋体" w:eastAsia="宋体" w:cs="宋体"/>
                <w:snapToGrid w:val="0"/>
                <w:color w:val="auto"/>
                <w:kern w:val="0"/>
                <w:sz w:val="18"/>
                <w:szCs w:val="18"/>
                <w:highlight w:val="none"/>
              </w:rPr>
              <w:t>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701" w:hRule="atLeast"/>
        </w:trPr>
        <w:tc>
          <w:tcPr>
            <w:tcW w:w="1242" w:type="dxa"/>
            <w:noWrap w:val="0"/>
            <w:vAlign w:val="center"/>
          </w:tcPr>
          <w:p>
            <w:pPr>
              <w:widowControl/>
              <w:overflowPunct w:val="0"/>
              <w:adjustRightInd w:val="0"/>
              <w:snapToGrid w:val="0"/>
              <w:spacing w:line="280" w:lineRule="exact"/>
              <w:jc w:val="center"/>
              <w:rPr>
                <w:rFonts w:hint="eastAsia" w:ascii="宋体" w:hAnsi="宋体" w:eastAsia="宋体" w:cs="宋体"/>
                <w:snapToGrid w:val="0"/>
                <w:color w:val="auto"/>
                <w:kern w:val="0"/>
                <w:sz w:val="18"/>
                <w:szCs w:val="18"/>
                <w:highlight w:val="none"/>
              </w:rPr>
            </w:pPr>
            <w:r>
              <w:rPr>
                <w:rFonts w:hint="eastAsia" w:ascii="宋体" w:hAnsi="宋体" w:eastAsia="宋体" w:cs="宋体"/>
                <w:snapToGrid w:val="0"/>
                <w:color w:val="auto"/>
                <w:kern w:val="0"/>
                <w:sz w:val="18"/>
                <w:szCs w:val="18"/>
                <w:highlight w:val="none"/>
              </w:rPr>
              <w:t>结果确认</w:t>
            </w:r>
          </w:p>
        </w:tc>
        <w:tc>
          <w:tcPr>
            <w:tcW w:w="7746" w:type="dxa"/>
            <w:gridSpan w:val="4"/>
            <w:noWrap w:val="0"/>
            <w:vAlign w:val="top"/>
          </w:tcPr>
          <w:p>
            <w:pPr>
              <w:widowControl/>
              <w:overflowPunct w:val="0"/>
              <w:adjustRightInd w:val="0"/>
              <w:snapToGrid w:val="0"/>
              <w:spacing w:line="280" w:lineRule="exact"/>
              <w:jc w:val="left"/>
              <w:rPr>
                <w:rFonts w:hint="eastAsia" w:ascii="宋体" w:hAnsi="宋体" w:eastAsia="宋体" w:cs="宋体"/>
                <w:snapToGrid w:val="0"/>
                <w:color w:val="auto"/>
                <w:kern w:val="0"/>
                <w:sz w:val="18"/>
                <w:szCs w:val="18"/>
                <w:highlight w:val="none"/>
              </w:rPr>
            </w:pPr>
            <w:r>
              <w:rPr>
                <w:rFonts w:hint="eastAsia" w:ascii="宋体" w:hAnsi="宋体" w:eastAsia="宋体" w:cs="宋体"/>
                <w:snapToGrid w:val="0"/>
                <w:color w:val="auto"/>
                <w:kern w:val="0"/>
                <w:sz w:val="18"/>
                <w:szCs w:val="18"/>
                <w:highlight w:val="none"/>
              </w:rPr>
              <w:t>本人（是□  否□）认同上述施工改造结果，确认按评估结果完成施工改造。</w:t>
            </w:r>
          </w:p>
          <w:p>
            <w:pPr>
              <w:widowControl/>
              <w:overflowPunct w:val="0"/>
              <w:adjustRightInd w:val="0"/>
              <w:snapToGrid w:val="0"/>
              <w:spacing w:line="280" w:lineRule="exact"/>
              <w:jc w:val="left"/>
              <w:rPr>
                <w:rFonts w:hint="eastAsia" w:ascii="宋体" w:hAnsi="宋体" w:eastAsia="宋体" w:cs="宋体"/>
                <w:snapToGrid w:val="0"/>
                <w:color w:val="auto"/>
                <w:kern w:val="0"/>
                <w:sz w:val="18"/>
                <w:szCs w:val="18"/>
                <w:highlight w:val="none"/>
              </w:rPr>
            </w:pPr>
            <w:r>
              <w:rPr>
                <w:rFonts w:hint="eastAsia" w:ascii="宋体" w:hAnsi="宋体" w:eastAsia="宋体" w:cs="宋体"/>
                <w:snapToGrid w:val="0"/>
                <w:color w:val="auto"/>
                <w:kern w:val="0"/>
                <w:sz w:val="18"/>
                <w:szCs w:val="18"/>
                <w:highlight w:val="none"/>
              </w:rPr>
              <w:t>本人对改造是否满意。</w:t>
            </w:r>
          </w:p>
          <w:p>
            <w:pPr>
              <w:widowControl/>
              <w:overflowPunct w:val="0"/>
              <w:adjustRightInd w:val="0"/>
              <w:snapToGrid w:val="0"/>
              <w:spacing w:line="280" w:lineRule="exact"/>
              <w:jc w:val="left"/>
              <w:rPr>
                <w:rFonts w:hint="eastAsia" w:ascii="宋体" w:hAnsi="宋体" w:eastAsia="宋体" w:cs="宋体"/>
                <w:snapToGrid w:val="0"/>
                <w:color w:val="auto"/>
                <w:kern w:val="0"/>
                <w:sz w:val="18"/>
                <w:szCs w:val="18"/>
                <w:highlight w:val="none"/>
              </w:rPr>
            </w:pPr>
            <w:r>
              <w:rPr>
                <w:rFonts w:hint="eastAsia" w:ascii="宋体" w:hAnsi="宋体" w:eastAsia="宋体" w:cs="宋体"/>
                <w:snapToGrid w:val="0"/>
                <w:color w:val="auto"/>
                <w:kern w:val="0"/>
                <w:sz w:val="18"/>
                <w:szCs w:val="18"/>
                <w:highlight w:val="none"/>
              </w:rPr>
              <w:t>□满意       □基本满意      □不满意</w:t>
            </w:r>
          </w:p>
          <w:p>
            <w:pPr>
              <w:widowControl/>
              <w:overflowPunct w:val="0"/>
              <w:adjustRightInd w:val="0"/>
              <w:snapToGrid w:val="0"/>
              <w:spacing w:line="280" w:lineRule="exact"/>
              <w:jc w:val="left"/>
              <w:rPr>
                <w:rFonts w:hint="eastAsia" w:ascii="宋体" w:hAnsi="宋体" w:eastAsia="宋体" w:cs="宋体"/>
                <w:snapToGrid w:val="0"/>
                <w:color w:val="auto"/>
                <w:kern w:val="0"/>
                <w:sz w:val="18"/>
                <w:szCs w:val="18"/>
                <w:highlight w:val="none"/>
              </w:rPr>
            </w:pPr>
          </w:p>
          <w:p>
            <w:pPr>
              <w:widowControl/>
              <w:overflowPunct w:val="0"/>
              <w:adjustRightInd w:val="0"/>
              <w:snapToGrid w:val="0"/>
              <w:spacing w:line="280" w:lineRule="exact"/>
              <w:jc w:val="left"/>
              <w:rPr>
                <w:rFonts w:hint="eastAsia" w:ascii="宋体" w:hAnsi="宋体" w:eastAsia="宋体" w:cs="宋体"/>
                <w:snapToGrid w:val="0"/>
                <w:color w:val="auto"/>
                <w:kern w:val="0"/>
                <w:sz w:val="18"/>
                <w:szCs w:val="18"/>
                <w:highlight w:val="none"/>
                <w:lang w:val="en-US" w:eastAsia="zh-CN"/>
              </w:rPr>
            </w:pPr>
            <w:r>
              <w:rPr>
                <w:rFonts w:hint="eastAsia" w:ascii="宋体" w:hAnsi="宋体" w:eastAsia="宋体" w:cs="宋体"/>
                <w:snapToGrid w:val="0"/>
                <w:color w:val="auto"/>
                <w:kern w:val="0"/>
                <w:sz w:val="18"/>
                <w:szCs w:val="18"/>
                <w:highlight w:val="none"/>
              </w:rPr>
              <w:t>老年人（或其监护人）签字：</w:t>
            </w:r>
            <w:r>
              <w:rPr>
                <w:rFonts w:hint="eastAsia" w:ascii="宋体" w:hAnsi="宋体" w:eastAsia="宋体" w:cs="宋体"/>
                <w:snapToGrid w:val="0"/>
                <w:color w:val="auto"/>
                <w:kern w:val="0"/>
                <w:sz w:val="18"/>
                <w:szCs w:val="18"/>
                <w:highlight w:val="none"/>
                <w:lang w:val="en-US" w:eastAsia="zh-CN"/>
              </w:rPr>
              <w:t xml:space="preserve"> </w:t>
            </w:r>
          </w:p>
          <w:p>
            <w:pPr>
              <w:widowControl/>
              <w:overflowPunct w:val="0"/>
              <w:adjustRightInd w:val="0"/>
              <w:snapToGrid w:val="0"/>
              <w:spacing w:line="280" w:lineRule="exact"/>
              <w:ind w:firstLine="3996" w:firstLineChars="2220"/>
              <w:jc w:val="right"/>
              <w:rPr>
                <w:rFonts w:hint="eastAsia" w:ascii="宋体" w:hAnsi="宋体" w:eastAsia="宋体" w:cs="宋体"/>
                <w:snapToGrid w:val="0"/>
                <w:color w:val="auto"/>
                <w:kern w:val="0"/>
                <w:sz w:val="18"/>
                <w:szCs w:val="18"/>
                <w:highlight w:val="none"/>
              </w:rPr>
            </w:pPr>
            <w:r>
              <w:rPr>
                <w:rFonts w:hint="eastAsia" w:ascii="宋体" w:hAnsi="宋体" w:eastAsia="宋体" w:cs="宋体"/>
                <w:snapToGrid w:val="0"/>
                <w:color w:val="auto"/>
                <w:kern w:val="0"/>
                <w:sz w:val="18"/>
                <w:szCs w:val="18"/>
                <w:highlight w:val="none"/>
              </w:rPr>
              <w:t>    年</w:t>
            </w:r>
            <w:r>
              <w:rPr>
                <w:rFonts w:hint="eastAsia" w:ascii="宋体" w:hAnsi="宋体" w:eastAsia="宋体" w:cs="宋体"/>
                <w:snapToGrid w:val="0"/>
                <w:color w:val="auto"/>
                <w:kern w:val="0"/>
                <w:sz w:val="18"/>
                <w:szCs w:val="18"/>
                <w:highlight w:val="none"/>
                <w:lang w:val="en-US" w:eastAsia="zh-CN"/>
              </w:rPr>
              <w:t xml:space="preserve">  </w:t>
            </w:r>
            <w:r>
              <w:rPr>
                <w:rFonts w:hint="eastAsia" w:ascii="宋体" w:hAnsi="宋体" w:eastAsia="宋体" w:cs="宋体"/>
                <w:snapToGrid w:val="0"/>
                <w:color w:val="auto"/>
                <w:kern w:val="0"/>
                <w:sz w:val="18"/>
                <w:szCs w:val="18"/>
                <w:highlight w:val="none"/>
              </w:rPr>
              <w:t>  月 </w:t>
            </w:r>
            <w:r>
              <w:rPr>
                <w:rFonts w:hint="eastAsia" w:ascii="宋体" w:hAnsi="宋体" w:eastAsia="宋体" w:cs="宋体"/>
                <w:snapToGrid w:val="0"/>
                <w:color w:val="auto"/>
                <w:kern w:val="0"/>
                <w:sz w:val="18"/>
                <w:szCs w:val="18"/>
                <w:highlight w:val="none"/>
                <w:lang w:val="en-US" w:eastAsia="zh-CN"/>
              </w:rPr>
              <w:t xml:space="preserve"> </w:t>
            </w:r>
            <w:r>
              <w:rPr>
                <w:rFonts w:hint="eastAsia" w:ascii="宋体" w:hAnsi="宋体" w:eastAsia="宋体" w:cs="宋体"/>
                <w:snapToGrid w:val="0"/>
                <w:color w:val="auto"/>
                <w:kern w:val="0"/>
                <w:sz w:val="18"/>
                <w:szCs w:val="18"/>
                <w:highlight w:val="none"/>
              </w:rPr>
              <w:t>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5" w:hRule="atLeast"/>
        </w:trPr>
        <w:tc>
          <w:tcPr>
            <w:tcW w:w="1242" w:type="dxa"/>
            <w:noWrap w:val="0"/>
            <w:vAlign w:val="center"/>
          </w:tcPr>
          <w:p>
            <w:pPr>
              <w:widowControl/>
              <w:overflowPunct w:val="0"/>
              <w:adjustRightInd w:val="0"/>
              <w:snapToGrid w:val="0"/>
              <w:spacing w:line="280" w:lineRule="exact"/>
              <w:jc w:val="center"/>
              <w:rPr>
                <w:rFonts w:hint="eastAsia" w:ascii="宋体" w:hAnsi="宋体" w:eastAsia="宋体" w:cs="宋体"/>
                <w:snapToGrid w:val="0"/>
                <w:color w:val="auto"/>
                <w:kern w:val="0"/>
                <w:sz w:val="18"/>
                <w:szCs w:val="18"/>
                <w:highlight w:val="none"/>
                <w:lang w:val="en-US" w:eastAsia="zh-CN" w:bidi="ar-SA"/>
              </w:rPr>
            </w:pPr>
            <w:r>
              <w:rPr>
                <w:rFonts w:hint="eastAsia" w:ascii="宋体" w:hAnsi="宋体" w:eastAsia="宋体" w:cs="宋体"/>
                <w:snapToGrid w:val="0"/>
                <w:color w:val="auto"/>
                <w:kern w:val="0"/>
                <w:sz w:val="18"/>
                <w:szCs w:val="18"/>
                <w:highlight w:val="none"/>
              </w:rPr>
              <w:t>乡（镇）</w:t>
            </w:r>
            <w:r>
              <w:rPr>
                <w:rFonts w:hint="eastAsia" w:ascii="宋体" w:hAnsi="宋体" w:eastAsia="宋体" w:cs="宋体"/>
                <w:snapToGrid w:val="0"/>
                <w:color w:val="auto"/>
                <w:kern w:val="0"/>
                <w:sz w:val="18"/>
                <w:szCs w:val="18"/>
                <w:highlight w:val="none"/>
                <w:lang w:eastAsia="zh-CN"/>
              </w:rPr>
              <w:t>人民政府</w:t>
            </w:r>
            <w:r>
              <w:rPr>
                <w:rFonts w:hint="eastAsia" w:ascii="宋体" w:hAnsi="宋体" w:eastAsia="宋体" w:cs="宋体"/>
                <w:snapToGrid w:val="0"/>
                <w:color w:val="auto"/>
                <w:kern w:val="0"/>
                <w:sz w:val="18"/>
                <w:szCs w:val="18"/>
                <w:highlight w:val="none"/>
              </w:rPr>
              <w:t>意见</w:t>
            </w:r>
          </w:p>
        </w:tc>
        <w:tc>
          <w:tcPr>
            <w:tcW w:w="7746" w:type="dxa"/>
            <w:gridSpan w:val="4"/>
            <w:noWrap w:val="0"/>
            <w:vAlign w:val="center"/>
          </w:tcPr>
          <w:p>
            <w:pPr>
              <w:widowControl/>
              <w:overflowPunct w:val="0"/>
              <w:adjustRightInd w:val="0"/>
              <w:snapToGrid w:val="0"/>
              <w:spacing w:line="280" w:lineRule="exact"/>
              <w:jc w:val="left"/>
              <w:rPr>
                <w:rFonts w:hint="eastAsia" w:ascii="宋体" w:hAnsi="宋体" w:eastAsia="宋体" w:cs="宋体"/>
                <w:snapToGrid w:val="0"/>
                <w:color w:val="auto"/>
                <w:kern w:val="0"/>
                <w:sz w:val="24"/>
                <w:szCs w:val="24"/>
                <w:highlight w:val="none"/>
              </w:rPr>
            </w:pPr>
          </w:p>
          <w:p>
            <w:pPr>
              <w:widowControl/>
              <w:overflowPunct w:val="0"/>
              <w:adjustRightInd w:val="0"/>
              <w:snapToGrid w:val="0"/>
              <w:spacing w:line="280" w:lineRule="exact"/>
              <w:jc w:val="left"/>
              <w:rPr>
                <w:rFonts w:hint="eastAsia" w:ascii="宋体" w:hAnsi="宋体" w:eastAsia="宋体" w:cs="宋体"/>
                <w:snapToGrid w:val="0"/>
                <w:color w:val="auto"/>
                <w:kern w:val="0"/>
                <w:sz w:val="24"/>
                <w:szCs w:val="24"/>
                <w:highlight w:val="none"/>
              </w:rPr>
            </w:pPr>
          </w:p>
          <w:p>
            <w:pPr>
              <w:widowControl/>
              <w:overflowPunct w:val="0"/>
              <w:adjustRightInd w:val="0"/>
              <w:snapToGrid w:val="0"/>
              <w:spacing w:line="280" w:lineRule="exact"/>
              <w:jc w:val="left"/>
              <w:rPr>
                <w:rFonts w:hint="eastAsia" w:ascii="宋体" w:hAnsi="宋体" w:eastAsia="宋体" w:cs="宋体"/>
                <w:snapToGrid w:val="0"/>
                <w:color w:val="auto"/>
                <w:kern w:val="0"/>
                <w:sz w:val="24"/>
                <w:szCs w:val="24"/>
                <w:highlight w:val="none"/>
              </w:rPr>
            </w:pPr>
          </w:p>
          <w:p>
            <w:pPr>
              <w:widowControl/>
              <w:overflowPunct w:val="0"/>
              <w:adjustRightInd w:val="0"/>
              <w:snapToGrid w:val="0"/>
              <w:spacing w:line="280" w:lineRule="exact"/>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18"/>
                <w:szCs w:val="18"/>
                <w:highlight w:val="none"/>
              </w:rPr>
              <w:t>审核人签字：               审核单位（盖章）：</w:t>
            </w:r>
          </w:p>
          <w:p>
            <w:pPr>
              <w:widowControl/>
              <w:overflowPunct w:val="0"/>
              <w:adjustRightInd w:val="0"/>
              <w:snapToGrid w:val="0"/>
              <w:spacing w:line="280" w:lineRule="exact"/>
              <w:jc w:val="right"/>
              <w:rPr>
                <w:rFonts w:hint="eastAsia" w:ascii="宋体" w:hAnsi="宋体" w:eastAsia="宋体" w:cs="宋体"/>
                <w:snapToGrid w:val="0"/>
                <w:color w:val="auto"/>
                <w:kern w:val="0"/>
                <w:sz w:val="44"/>
                <w:szCs w:val="44"/>
                <w:highlight w:val="none"/>
                <w:lang w:val="en-US" w:eastAsia="zh-CN" w:bidi="ar-SA"/>
              </w:rPr>
            </w:pPr>
            <w:r>
              <w:rPr>
                <w:rFonts w:hint="eastAsia" w:ascii="宋体" w:hAnsi="宋体" w:eastAsia="宋体" w:cs="宋体"/>
                <w:snapToGrid w:val="0"/>
                <w:color w:val="auto"/>
                <w:kern w:val="0"/>
                <w:sz w:val="18"/>
                <w:szCs w:val="18"/>
                <w:highlight w:val="none"/>
              </w:rPr>
              <w:t xml:space="preserve">                                         </w:t>
            </w:r>
            <w:r>
              <w:rPr>
                <w:rFonts w:hint="eastAsia" w:ascii="宋体" w:hAnsi="宋体" w:eastAsia="宋体" w:cs="宋体"/>
                <w:snapToGrid w:val="0"/>
                <w:color w:val="auto"/>
                <w:kern w:val="0"/>
                <w:sz w:val="18"/>
                <w:szCs w:val="18"/>
                <w:highlight w:val="none"/>
                <w:lang w:val="en-US" w:eastAsia="zh-CN"/>
              </w:rPr>
              <w:t xml:space="preserve"> </w:t>
            </w:r>
            <w:r>
              <w:rPr>
                <w:rFonts w:hint="eastAsia" w:ascii="宋体" w:hAnsi="宋体" w:eastAsia="宋体" w:cs="宋体"/>
                <w:snapToGrid w:val="0"/>
                <w:color w:val="auto"/>
                <w:kern w:val="0"/>
                <w:sz w:val="18"/>
                <w:szCs w:val="18"/>
                <w:highlight w:val="none"/>
              </w:rPr>
              <w:t xml:space="preserve"> 年   月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326" w:hRule="atLeast"/>
        </w:trPr>
        <w:tc>
          <w:tcPr>
            <w:tcW w:w="1242" w:type="dxa"/>
            <w:noWrap w:val="0"/>
            <w:vAlign w:val="center"/>
          </w:tcPr>
          <w:p>
            <w:pPr>
              <w:widowControl/>
              <w:overflowPunct w:val="0"/>
              <w:adjustRightInd w:val="0"/>
              <w:snapToGrid w:val="0"/>
              <w:spacing w:line="280" w:lineRule="exact"/>
              <w:jc w:val="center"/>
              <w:rPr>
                <w:rFonts w:hint="eastAsia" w:ascii="宋体" w:hAnsi="宋体" w:eastAsia="宋体" w:cs="宋体"/>
                <w:snapToGrid w:val="0"/>
                <w:color w:val="auto"/>
                <w:kern w:val="0"/>
                <w:sz w:val="18"/>
                <w:szCs w:val="18"/>
                <w:highlight w:val="none"/>
              </w:rPr>
            </w:pPr>
            <w:r>
              <w:rPr>
                <w:rFonts w:hint="eastAsia" w:ascii="宋体" w:hAnsi="宋体" w:eastAsia="宋体" w:cs="宋体"/>
                <w:snapToGrid w:val="0"/>
                <w:color w:val="auto"/>
                <w:kern w:val="0"/>
                <w:sz w:val="18"/>
                <w:szCs w:val="18"/>
                <w:highlight w:val="none"/>
              </w:rPr>
              <w:t>市民政部门</w:t>
            </w:r>
          </w:p>
          <w:p>
            <w:pPr>
              <w:widowControl/>
              <w:overflowPunct w:val="0"/>
              <w:adjustRightInd w:val="0"/>
              <w:snapToGrid w:val="0"/>
              <w:spacing w:line="280" w:lineRule="exact"/>
              <w:jc w:val="center"/>
              <w:rPr>
                <w:rFonts w:hint="eastAsia" w:ascii="宋体" w:hAnsi="宋体" w:eastAsia="宋体" w:cs="宋体"/>
                <w:snapToGrid w:val="0"/>
                <w:color w:val="auto"/>
                <w:kern w:val="0"/>
                <w:sz w:val="18"/>
                <w:szCs w:val="18"/>
                <w:highlight w:val="none"/>
              </w:rPr>
            </w:pPr>
            <w:r>
              <w:rPr>
                <w:rFonts w:hint="eastAsia" w:ascii="宋体" w:hAnsi="宋体" w:eastAsia="宋体" w:cs="宋体"/>
                <w:snapToGrid w:val="0"/>
                <w:color w:val="auto"/>
                <w:kern w:val="0"/>
                <w:sz w:val="18"/>
                <w:szCs w:val="18"/>
                <w:highlight w:val="none"/>
              </w:rPr>
              <w:t>意见</w:t>
            </w:r>
          </w:p>
        </w:tc>
        <w:tc>
          <w:tcPr>
            <w:tcW w:w="7746" w:type="dxa"/>
            <w:gridSpan w:val="4"/>
            <w:noWrap w:val="0"/>
            <w:vAlign w:val="top"/>
          </w:tcPr>
          <w:p>
            <w:pPr>
              <w:widowControl/>
              <w:overflowPunct w:val="0"/>
              <w:adjustRightInd w:val="0"/>
              <w:snapToGrid w:val="0"/>
              <w:spacing w:line="280" w:lineRule="exact"/>
              <w:jc w:val="left"/>
              <w:rPr>
                <w:rFonts w:hint="eastAsia" w:ascii="宋体" w:hAnsi="宋体" w:eastAsia="宋体" w:cs="宋体"/>
                <w:snapToGrid w:val="0"/>
                <w:color w:val="auto"/>
                <w:kern w:val="0"/>
                <w:sz w:val="18"/>
                <w:szCs w:val="18"/>
                <w:highlight w:val="none"/>
              </w:rPr>
            </w:pPr>
          </w:p>
          <w:p>
            <w:pPr>
              <w:widowControl/>
              <w:overflowPunct w:val="0"/>
              <w:adjustRightInd w:val="0"/>
              <w:snapToGrid w:val="0"/>
              <w:spacing w:line="280" w:lineRule="exact"/>
              <w:jc w:val="left"/>
              <w:rPr>
                <w:rFonts w:hint="eastAsia" w:ascii="宋体" w:hAnsi="宋体" w:eastAsia="宋体" w:cs="宋体"/>
                <w:snapToGrid w:val="0"/>
                <w:color w:val="auto"/>
                <w:kern w:val="0"/>
                <w:sz w:val="18"/>
                <w:szCs w:val="18"/>
                <w:highlight w:val="none"/>
              </w:rPr>
            </w:pPr>
          </w:p>
          <w:p>
            <w:pPr>
              <w:widowControl/>
              <w:overflowPunct w:val="0"/>
              <w:adjustRightInd w:val="0"/>
              <w:snapToGrid w:val="0"/>
              <w:spacing w:line="280" w:lineRule="exact"/>
              <w:jc w:val="left"/>
              <w:rPr>
                <w:rFonts w:hint="eastAsia" w:ascii="宋体" w:hAnsi="宋体" w:eastAsia="宋体" w:cs="宋体"/>
                <w:snapToGrid w:val="0"/>
                <w:color w:val="auto"/>
                <w:kern w:val="0"/>
                <w:sz w:val="18"/>
                <w:szCs w:val="18"/>
                <w:highlight w:val="none"/>
              </w:rPr>
            </w:pPr>
          </w:p>
          <w:p>
            <w:pPr>
              <w:widowControl/>
              <w:overflowPunct w:val="0"/>
              <w:adjustRightInd w:val="0"/>
              <w:snapToGrid w:val="0"/>
              <w:spacing w:line="280" w:lineRule="exact"/>
              <w:jc w:val="left"/>
              <w:rPr>
                <w:rFonts w:hint="eastAsia" w:ascii="宋体" w:hAnsi="宋体" w:eastAsia="宋体" w:cs="宋体"/>
                <w:snapToGrid w:val="0"/>
                <w:color w:val="auto"/>
                <w:kern w:val="0"/>
                <w:sz w:val="18"/>
                <w:szCs w:val="18"/>
                <w:highlight w:val="none"/>
              </w:rPr>
            </w:pPr>
            <w:r>
              <w:rPr>
                <w:rFonts w:hint="eastAsia" w:ascii="宋体" w:hAnsi="宋体" w:eastAsia="宋体" w:cs="宋体"/>
                <w:snapToGrid w:val="0"/>
                <w:color w:val="auto"/>
                <w:kern w:val="0"/>
                <w:sz w:val="18"/>
                <w:szCs w:val="18"/>
                <w:highlight w:val="none"/>
              </w:rPr>
              <w:t xml:space="preserve">签字：                                      盖章：       </w:t>
            </w:r>
          </w:p>
          <w:p>
            <w:pPr>
              <w:widowControl/>
              <w:overflowPunct w:val="0"/>
              <w:adjustRightInd w:val="0"/>
              <w:snapToGrid w:val="0"/>
              <w:spacing w:line="280" w:lineRule="exact"/>
              <w:ind w:firstLine="3996" w:firstLineChars="2220"/>
              <w:jc w:val="right"/>
              <w:rPr>
                <w:rFonts w:hint="eastAsia" w:ascii="宋体" w:hAnsi="宋体" w:eastAsia="宋体" w:cs="宋体"/>
                <w:snapToGrid w:val="0"/>
                <w:color w:val="auto"/>
                <w:kern w:val="0"/>
                <w:sz w:val="18"/>
                <w:szCs w:val="18"/>
                <w:highlight w:val="none"/>
              </w:rPr>
            </w:pPr>
            <w:r>
              <w:rPr>
                <w:rFonts w:hint="eastAsia" w:ascii="宋体" w:hAnsi="宋体" w:eastAsia="宋体" w:cs="宋体"/>
                <w:snapToGrid w:val="0"/>
                <w:color w:val="auto"/>
                <w:kern w:val="0"/>
                <w:sz w:val="18"/>
                <w:szCs w:val="18"/>
                <w:highlight w:val="none"/>
              </w:rPr>
              <w:t>    年</w:t>
            </w:r>
            <w:r>
              <w:rPr>
                <w:rFonts w:hint="eastAsia" w:ascii="宋体" w:hAnsi="宋体" w:eastAsia="宋体" w:cs="宋体"/>
                <w:snapToGrid w:val="0"/>
                <w:color w:val="auto"/>
                <w:kern w:val="0"/>
                <w:sz w:val="18"/>
                <w:szCs w:val="18"/>
                <w:highlight w:val="none"/>
                <w:lang w:val="en-US" w:eastAsia="zh-CN"/>
              </w:rPr>
              <w:t xml:space="preserve"> </w:t>
            </w:r>
            <w:r>
              <w:rPr>
                <w:rFonts w:hint="eastAsia" w:ascii="宋体" w:hAnsi="宋体" w:eastAsia="宋体" w:cs="宋体"/>
                <w:snapToGrid w:val="0"/>
                <w:color w:val="auto"/>
                <w:kern w:val="0"/>
                <w:sz w:val="18"/>
                <w:szCs w:val="18"/>
                <w:highlight w:val="none"/>
              </w:rPr>
              <w:t> </w:t>
            </w:r>
            <w:r>
              <w:rPr>
                <w:rFonts w:hint="eastAsia" w:ascii="宋体" w:hAnsi="宋体" w:eastAsia="宋体" w:cs="宋体"/>
                <w:snapToGrid w:val="0"/>
                <w:color w:val="auto"/>
                <w:kern w:val="0"/>
                <w:sz w:val="18"/>
                <w:szCs w:val="18"/>
                <w:highlight w:val="none"/>
                <w:lang w:val="en-US" w:eastAsia="zh-CN"/>
              </w:rPr>
              <w:t xml:space="preserve"> </w:t>
            </w:r>
            <w:r>
              <w:rPr>
                <w:rFonts w:hint="eastAsia" w:ascii="宋体" w:hAnsi="宋体" w:eastAsia="宋体" w:cs="宋体"/>
                <w:snapToGrid w:val="0"/>
                <w:color w:val="auto"/>
                <w:kern w:val="0"/>
                <w:sz w:val="18"/>
                <w:szCs w:val="18"/>
                <w:highlight w:val="none"/>
              </w:rPr>
              <w:t> 月 </w:t>
            </w:r>
            <w:r>
              <w:rPr>
                <w:rFonts w:hint="eastAsia" w:ascii="宋体" w:hAnsi="宋体" w:eastAsia="宋体" w:cs="宋体"/>
                <w:snapToGrid w:val="0"/>
                <w:color w:val="auto"/>
                <w:kern w:val="0"/>
                <w:sz w:val="18"/>
                <w:szCs w:val="18"/>
                <w:highlight w:val="none"/>
                <w:lang w:val="en-US" w:eastAsia="zh-CN"/>
              </w:rPr>
              <w:t xml:space="preserve"> </w:t>
            </w:r>
            <w:r>
              <w:rPr>
                <w:rFonts w:hint="eastAsia" w:ascii="宋体" w:hAnsi="宋体" w:eastAsia="宋体" w:cs="宋体"/>
                <w:snapToGrid w:val="0"/>
                <w:color w:val="auto"/>
                <w:kern w:val="0"/>
                <w:sz w:val="18"/>
                <w:szCs w:val="18"/>
                <w:highlight w:val="none"/>
              </w:rPr>
              <w:t> 日</w:t>
            </w:r>
          </w:p>
        </w:tc>
      </w:tr>
    </w:tbl>
    <w:p>
      <w:pPr>
        <w:pStyle w:val="26"/>
        <w:keepLines w:val="0"/>
        <w:widowControl w:val="0"/>
        <w:snapToGrid/>
        <w:spacing w:before="0" w:beforeAutospacing="0" w:after="0" w:afterAutospacing="0" w:line="600" w:lineRule="exact"/>
        <w:ind w:left="0" w:leftChars="0" w:firstLine="0" w:firstLineChars="0"/>
        <w:jc w:val="both"/>
        <w:textAlignment w:val="baseline"/>
        <w:rPr>
          <w:color w:val="auto"/>
          <w:highlight w:val="none"/>
        </w:rPr>
      </w:pPr>
    </w:p>
    <w:p>
      <w:pPr>
        <w:spacing w:line="428" w:lineRule="exact"/>
        <w:rPr>
          <w:rFonts w:hint="default" w:ascii="Times New Roman" w:hAnsi="Times New Roman" w:eastAsia="仿宋_GB2312" w:cs="Times New Roman"/>
          <w:color w:val="auto"/>
          <w:sz w:val="32"/>
          <w:szCs w:val="32"/>
          <w:highlight w:val="none"/>
        </w:rPr>
      </w:pPr>
    </w:p>
    <w:p>
      <w:pPr>
        <w:spacing w:line="428" w:lineRule="exact"/>
        <w:ind w:left="119"/>
        <w:rPr>
          <w:rFonts w:hint="eastAsia" w:ascii="宋体" w:hAnsi="宋体" w:eastAsia="宋体" w:cs="宋体"/>
          <w:color w:val="auto"/>
          <w:sz w:val="32"/>
          <w:szCs w:val="32"/>
          <w:highlight w:val="none"/>
        </w:rPr>
      </w:pPr>
    </w:p>
    <w:p>
      <w:pPr>
        <w:spacing w:line="428" w:lineRule="exact"/>
        <w:ind w:left="119"/>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附件</w:t>
      </w:r>
      <w:r>
        <w:rPr>
          <w:rFonts w:hint="eastAsia" w:ascii="宋体" w:hAnsi="宋体" w:cs="宋体"/>
          <w:color w:val="auto"/>
          <w:sz w:val="32"/>
          <w:szCs w:val="32"/>
          <w:highlight w:val="none"/>
          <w:lang w:val="en-US" w:eastAsia="zh-CN"/>
        </w:rPr>
        <w:t>7</w:t>
      </w:r>
      <w:r>
        <w:rPr>
          <w:rFonts w:hint="eastAsia" w:ascii="宋体" w:hAnsi="宋体" w:eastAsia="宋体" w:cs="宋体"/>
          <w:color w:val="auto"/>
          <w:sz w:val="32"/>
          <w:szCs w:val="32"/>
          <w:highlight w:val="none"/>
        </w:rPr>
        <w:t>：</w:t>
      </w:r>
    </w:p>
    <w:p>
      <w:pPr>
        <w:spacing w:line="528" w:lineRule="exact"/>
        <w:jc w:val="center"/>
        <w:rPr>
          <w:rFonts w:hint="eastAsia" w:ascii="宋体" w:hAnsi="宋体" w:eastAsia="宋体" w:cs="宋体"/>
          <w:color w:val="auto"/>
          <w:sz w:val="40"/>
          <w:szCs w:val="40"/>
          <w:highlight w:val="none"/>
        </w:rPr>
      </w:pPr>
      <w:r>
        <w:rPr>
          <w:rFonts w:hint="eastAsia" w:ascii="宋体" w:hAnsi="宋体" w:eastAsia="宋体" w:cs="宋体"/>
          <w:color w:val="auto"/>
          <w:sz w:val="40"/>
          <w:szCs w:val="40"/>
          <w:highlight w:val="none"/>
        </w:rPr>
        <w:t>中小微企业划型标准</w:t>
      </w:r>
    </w:p>
    <w:tbl>
      <w:tblPr>
        <w:tblStyle w:val="28"/>
        <w:tblW w:w="9497" w:type="dxa"/>
        <w:tblInd w:w="250" w:type="dxa"/>
        <w:tblLayout w:type="fixed"/>
        <w:tblCellMar>
          <w:top w:w="0" w:type="dxa"/>
          <w:left w:w="108" w:type="dxa"/>
          <w:bottom w:w="0" w:type="dxa"/>
          <w:right w:w="108" w:type="dxa"/>
        </w:tblCellMar>
      </w:tblPr>
      <w:tblGrid>
        <w:gridCol w:w="1985"/>
        <w:gridCol w:w="1984"/>
        <w:gridCol w:w="851"/>
        <w:gridCol w:w="1842"/>
        <w:gridCol w:w="1701"/>
        <w:gridCol w:w="1134"/>
      </w:tblGrid>
      <w:tr>
        <w:tblPrEx>
          <w:tblLayout w:type="fixed"/>
          <w:tblCellMar>
            <w:top w:w="0" w:type="dxa"/>
            <w:left w:w="108" w:type="dxa"/>
            <w:bottom w:w="0" w:type="dxa"/>
            <w:right w:w="108" w:type="dxa"/>
          </w:tblCellMar>
        </w:tblPrEx>
        <w:trPr>
          <w:trHeight w:val="285" w:hRule="atLeast"/>
        </w:trPr>
        <w:tc>
          <w:tcPr>
            <w:tcW w:w="1985"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行业名称</w:t>
            </w:r>
          </w:p>
        </w:tc>
        <w:tc>
          <w:tcPr>
            <w:tcW w:w="1984" w:type="dxa"/>
            <w:tcBorders>
              <w:top w:val="single" w:color="auto" w:sz="4" w:space="0"/>
              <w:left w:val="nil"/>
              <w:bottom w:val="single" w:color="auto" w:sz="4" w:space="0"/>
              <w:right w:val="single" w:color="auto" w:sz="4" w:space="0"/>
            </w:tcBorders>
            <w:noWrap w:val="0"/>
            <w:vAlign w:val="center"/>
          </w:tcPr>
          <w:p>
            <w:pPr>
              <w:widowControl/>
              <w:jc w:val="left"/>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指标名称</w:t>
            </w:r>
          </w:p>
        </w:tc>
        <w:tc>
          <w:tcPr>
            <w:tcW w:w="851" w:type="dxa"/>
            <w:tcBorders>
              <w:top w:val="single" w:color="auto" w:sz="4" w:space="0"/>
              <w:left w:val="nil"/>
              <w:bottom w:val="single" w:color="auto" w:sz="4" w:space="0"/>
              <w:right w:val="single" w:color="auto" w:sz="4" w:space="0"/>
            </w:tcBorders>
            <w:noWrap w:val="0"/>
            <w:vAlign w:val="center"/>
          </w:tcPr>
          <w:p>
            <w:pPr>
              <w:widowControl/>
              <w:jc w:val="left"/>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计量单位</w:t>
            </w:r>
          </w:p>
        </w:tc>
        <w:tc>
          <w:tcPr>
            <w:tcW w:w="1842"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中型</w:t>
            </w:r>
          </w:p>
        </w:tc>
        <w:tc>
          <w:tcPr>
            <w:tcW w:w="1701"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小型</w:t>
            </w:r>
          </w:p>
        </w:tc>
        <w:tc>
          <w:tcPr>
            <w:tcW w:w="1134"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微型</w:t>
            </w:r>
          </w:p>
        </w:tc>
      </w:tr>
      <w:tr>
        <w:tblPrEx>
          <w:tblLayout w:type="fixed"/>
          <w:tblCellMar>
            <w:top w:w="0" w:type="dxa"/>
            <w:left w:w="108" w:type="dxa"/>
            <w:bottom w:w="0" w:type="dxa"/>
            <w:right w:w="108" w:type="dxa"/>
          </w:tblCellMar>
        </w:tblPrEx>
        <w:trPr>
          <w:trHeight w:val="406" w:hRule="atLeast"/>
        </w:trPr>
        <w:tc>
          <w:tcPr>
            <w:tcW w:w="1985" w:type="dxa"/>
            <w:tcBorders>
              <w:top w:val="nil"/>
              <w:left w:val="single" w:color="auto" w:sz="4" w:space="0"/>
              <w:bottom w:val="single" w:color="auto" w:sz="4" w:space="0"/>
              <w:right w:val="single" w:color="auto" w:sz="4" w:space="0"/>
            </w:tcBorders>
            <w:noWrap w:val="0"/>
            <w:vAlign w:val="bottom"/>
          </w:tcPr>
          <w:p>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农、林、牧、渔</w:t>
            </w:r>
          </w:p>
        </w:tc>
        <w:tc>
          <w:tcPr>
            <w:tcW w:w="1984"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500≤Y＜20000</w:t>
            </w:r>
          </w:p>
        </w:tc>
        <w:tc>
          <w:tcPr>
            <w:tcW w:w="1701"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50≤Y＜500</w:t>
            </w:r>
          </w:p>
        </w:tc>
        <w:tc>
          <w:tcPr>
            <w:tcW w:w="1134"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Y＜50</w:t>
            </w:r>
          </w:p>
        </w:tc>
      </w:tr>
      <w:tr>
        <w:tblPrEx>
          <w:tblLayout w:type="fixed"/>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工业</w:t>
            </w:r>
          </w:p>
        </w:tc>
        <w:tc>
          <w:tcPr>
            <w:tcW w:w="1984"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842"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300≤X＜1000</w:t>
            </w:r>
          </w:p>
        </w:tc>
        <w:tc>
          <w:tcPr>
            <w:tcW w:w="1701"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20≤X＜300</w:t>
            </w:r>
          </w:p>
        </w:tc>
        <w:tc>
          <w:tcPr>
            <w:tcW w:w="1134"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w:t>
            </w:r>
          </w:p>
        </w:tc>
      </w:tr>
      <w:tr>
        <w:tblPrEx>
          <w:tblLayout w:type="fixed"/>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宋体" w:hAnsi="宋体" w:eastAsia="宋体" w:cs="宋体"/>
                <w:b/>
                <w:bCs/>
                <w:color w:val="auto"/>
                <w:kern w:val="0"/>
                <w:sz w:val="18"/>
                <w:szCs w:val="18"/>
                <w:highlight w:val="none"/>
              </w:rPr>
            </w:pPr>
          </w:p>
        </w:tc>
        <w:tc>
          <w:tcPr>
            <w:tcW w:w="1984"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2000≤Y＜40000</w:t>
            </w:r>
          </w:p>
        </w:tc>
        <w:tc>
          <w:tcPr>
            <w:tcW w:w="1701"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300≤Y＜2000</w:t>
            </w:r>
          </w:p>
        </w:tc>
        <w:tc>
          <w:tcPr>
            <w:tcW w:w="1134"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Y＜300</w:t>
            </w:r>
          </w:p>
        </w:tc>
      </w:tr>
      <w:tr>
        <w:tblPrEx>
          <w:tblLayout w:type="fixed"/>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建筑业</w:t>
            </w:r>
          </w:p>
        </w:tc>
        <w:tc>
          <w:tcPr>
            <w:tcW w:w="1984"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6000≤Y＜80000</w:t>
            </w:r>
          </w:p>
        </w:tc>
        <w:tc>
          <w:tcPr>
            <w:tcW w:w="1701"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300≤Y＜6000</w:t>
            </w:r>
          </w:p>
        </w:tc>
        <w:tc>
          <w:tcPr>
            <w:tcW w:w="1134"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Y＜300</w:t>
            </w:r>
          </w:p>
        </w:tc>
      </w:tr>
      <w:tr>
        <w:tblPrEx>
          <w:tblLayout w:type="fixed"/>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宋体" w:hAnsi="宋体" w:eastAsia="宋体" w:cs="宋体"/>
                <w:b/>
                <w:bCs/>
                <w:color w:val="auto"/>
                <w:kern w:val="0"/>
                <w:sz w:val="18"/>
                <w:szCs w:val="18"/>
                <w:highlight w:val="none"/>
              </w:rPr>
            </w:pPr>
          </w:p>
        </w:tc>
        <w:tc>
          <w:tcPr>
            <w:tcW w:w="1984"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资产总额（Z）</w:t>
            </w:r>
          </w:p>
        </w:tc>
        <w:tc>
          <w:tcPr>
            <w:tcW w:w="851"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5000≤Z＜80000</w:t>
            </w:r>
          </w:p>
        </w:tc>
        <w:tc>
          <w:tcPr>
            <w:tcW w:w="1701"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300≤Z＜5000</w:t>
            </w:r>
          </w:p>
        </w:tc>
        <w:tc>
          <w:tcPr>
            <w:tcW w:w="1134"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Z＜300</w:t>
            </w:r>
          </w:p>
        </w:tc>
      </w:tr>
      <w:tr>
        <w:tblPrEx>
          <w:tblLayout w:type="fixed"/>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批发业</w:t>
            </w:r>
          </w:p>
        </w:tc>
        <w:tc>
          <w:tcPr>
            <w:tcW w:w="1984"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842"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20≤X＜200</w:t>
            </w:r>
          </w:p>
        </w:tc>
        <w:tc>
          <w:tcPr>
            <w:tcW w:w="1701"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5≤X＜20</w:t>
            </w:r>
          </w:p>
        </w:tc>
        <w:tc>
          <w:tcPr>
            <w:tcW w:w="1134"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X＜5</w:t>
            </w:r>
          </w:p>
        </w:tc>
      </w:tr>
      <w:tr>
        <w:tblPrEx>
          <w:tblLayout w:type="fixed"/>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宋体" w:hAnsi="宋体" w:eastAsia="宋体" w:cs="宋体"/>
                <w:b/>
                <w:bCs/>
                <w:color w:val="auto"/>
                <w:kern w:val="0"/>
                <w:sz w:val="18"/>
                <w:szCs w:val="18"/>
                <w:highlight w:val="none"/>
              </w:rPr>
            </w:pPr>
          </w:p>
        </w:tc>
        <w:tc>
          <w:tcPr>
            <w:tcW w:w="1984"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5000≤Y＜40000</w:t>
            </w:r>
          </w:p>
        </w:tc>
        <w:tc>
          <w:tcPr>
            <w:tcW w:w="1701"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1000≤Y＜5000</w:t>
            </w:r>
          </w:p>
        </w:tc>
        <w:tc>
          <w:tcPr>
            <w:tcW w:w="1134"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Y＜1000</w:t>
            </w:r>
          </w:p>
        </w:tc>
      </w:tr>
      <w:tr>
        <w:tblPrEx>
          <w:tblLayout w:type="fixed"/>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零售业</w:t>
            </w:r>
          </w:p>
        </w:tc>
        <w:tc>
          <w:tcPr>
            <w:tcW w:w="1984"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842"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50≤X＜300</w:t>
            </w:r>
          </w:p>
        </w:tc>
        <w:tc>
          <w:tcPr>
            <w:tcW w:w="1701"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10≤X＜50</w:t>
            </w:r>
          </w:p>
        </w:tc>
        <w:tc>
          <w:tcPr>
            <w:tcW w:w="1134"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tblPrEx>
          <w:tblLayout w:type="fixed"/>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宋体" w:hAnsi="宋体" w:eastAsia="宋体" w:cs="宋体"/>
                <w:b/>
                <w:bCs/>
                <w:color w:val="auto"/>
                <w:kern w:val="0"/>
                <w:sz w:val="18"/>
                <w:szCs w:val="18"/>
                <w:highlight w:val="none"/>
              </w:rPr>
            </w:pPr>
          </w:p>
        </w:tc>
        <w:tc>
          <w:tcPr>
            <w:tcW w:w="1984"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500≤Y＜20000</w:t>
            </w:r>
          </w:p>
        </w:tc>
        <w:tc>
          <w:tcPr>
            <w:tcW w:w="1701"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100≤Y＜500</w:t>
            </w:r>
          </w:p>
        </w:tc>
        <w:tc>
          <w:tcPr>
            <w:tcW w:w="1134"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tblPrEx>
          <w:tblLayout w:type="fixed"/>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交通运输业</w:t>
            </w:r>
          </w:p>
        </w:tc>
        <w:tc>
          <w:tcPr>
            <w:tcW w:w="1984"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842"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300≤X＜1000</w:t>
            </w:r>
          </w:p>
        </w:tc>
        <w:tc>
          <w:tcPr>
            <w:tcW w:w="1701"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20≤X＜300</w:t>
            </w:r>
          </w:p>
        </w:tc>
        <w:tc>
          <w:tcPr>
            <w:tcW w:w="1134"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w:t>
            </w:r>
          </w:p>
        </w:tc>
      </w:tr>
      <w:tr>
        <w:tblPrEx>
          <w:tblLayout w:type="fixed"/>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宋体" w:hAnsi="宋体" w:eastAsia="宋体" w:cs="宋体"/>
                <w:b/>
                <w:bCs/>
                <w:color w:val="auto"/>
                <w:kern w:val="0"/>
                <w:sz w:val="18"/>
                <w:szCs w:val="18"/>
                <w:highlight w:val="none"/>
              </w:rPr>
            </w:pPr>
          </w:p>
        </w:tc>
        <w:tc>
          <w:tcPr>
            <w:tcW w:w="1984"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3000≤Y＜30000</w:t>
            </w:r>
          </w:p>
        </w:tc>
        <w:tc>
          <w:tcPr>
            <w:tcW w:w="1701"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200≤Y＜3000</w:t>
            </w:r>
          </w:p>
        </w:tc>
        <w:tc>
          <w:tcPr>
            <w:tcW w:w="1134"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Y＜200</w:t>
            </w:r>
          </w:p>
        </w:tc>
      </w:tr>
      <w:tr>
        <w:tblPrEx>
          <w:tblLayout w:type="fixed"/>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仓储业</w:t>
            </w:r>
          </w:p>
        </w:tc>
        <w:tc>
          <w:tcPr>
            <w:tcW w:w="1984"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842"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100≤X＜200</w:t>
            </w:r>
          </w:p>
        </w:tc>
        <w:tc>
          <w:tcPr>
            <w:tcW w:w="1701"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20≤X＜100</w:t>
            </w:r>
          </w:p>
        </w:tc>
        <w:tc>
          <w:tcPr>
            <w:tcW w:w="1134"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w:t>
            </w:r>
          </w:p>
        </w:tc>
      </w:tr>
      <w:tr>
        <w:tblPrEx>
          <w:tblLayout w:type="fixed"/>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宋体" w:hAnsi="宋体" w:eastAsia="宋体" w:cs="宋体"/>
                <w:b/>
                <w:bCs/>
                <w:color w:val="auto"/>
                <w:kern w:val="0"/>
                <w:sz w:val="18"/>
                <w:szCs w:val="18"/>
                <w:highlight w:val="none"/>
              </w:rPr>
            </w:pPr>
          </w:p>
        </w:tc>
        <w:tc>
          <w:tcPr>
            <w:tcW w:w="1984"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1000≤Y＜30000</w:t>
            </w:r>
          </w:p>
        </w:tc>
        <w:tc>
          <w:tcPr>
            <w:tcW w:w="1701"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100≤Y＜1000</w:t>
            </w:r>
          </w:p>
        </w:tc>
        <w:tc>
          <w:tcPr>
            <w:tcW w:w="1134"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tblPrEx>
          <w:tblLayout w:type="fixed"/>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邮政业</w:t>
            </w:r>
          </w:p>
        </w:tc>
        <w:tc>
          <w:tcPr>
            <w:tcW w:w="1984"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842"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300≤X＜1000</w:t>
            </w:r>
          </w:p>
        </w:tc>
        <w:tc>
          <w:tcPr>
            <w:tcW w:w="1701"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20≤X＜300</w:t>
            </w:r>
          </w:p>
        </w:tc>
        <w:tc>
          <w:tcPr>
            <w:tcW w:w="1134"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w:t>
            </w:r>
          </w:p>
        </w:tc>
      </w:tr>
      <w:tr>
        <w:tblPrEx>
          <w:tblLayout w:type="fixed"/>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宋体" w:hAnsi="宋体" w:eastAsia="宋体" w:cs="宋体"/>
                <w:b/>
                <w:bCs/>
                <w:color w:val="auto"/>
                <w:kern w:val="0"/>
                <w:sz w:val="18"/>
                <w:szCs w:val="18"/>
                <w:highlight w:val="none"/>
              </w:rPr>
            </w:pPr>
          </w:p>
        </w:tc>
        <w:tc>
          <w:tcPr>
            <w:tcW w:w="1984"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2000≤Y＜30000</w:t>
            </w:r>
          </w:p>
        </w:tc>
        <w:tc>
          <w:tcPr>
            <w:tcW w:w="1701"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100≤Y＜2000</w:t>
            </w:r>
          </w:p>
        </w:tc>
        <w:tc>
          <w:tcPr>
            <w:tcW w:w="1134"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tblPrEx>
          <w:tblLayout w:type="fixed"/>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住宿业</w:t>
            </w:r>
          </w:p>
        </w:tc>
        <w:tc>
          <w:tcPr>
            <w:tcW w:w="1984"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842"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100≤X＜300</w:t>
            </w:r>
          </w:p>
        </w:tc>
        <w:tc>
          <w:tcPr>
            <w:tcW w:w="1701"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10≤X＜100</w:t>
            </w:r>
          </w:p>
        </w:tc>
        <w:tc>
          <w:tcPr>
            <w:tcW w:w="1134"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tblPrEx>
          <w:tblLayout w:type="fixed"/>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宋体" w:hAnsi="宋体" w:eastAsia="宋体" w:cs="宋体"/>
                <w:b/>
                <w:bCs/>
                <w:color w:val="auto"/>
                <w:kern w:val="0"/>
                <w:sz w:val="18"/>
                <w:szCs w:val="18"/>
                <w:highlight w:val="none"/>
              </w:rPr>
            </w:pPr>
          </w:p>
        </w:tc>
        <w:tc>
          <w:tcPr>
            <w:tcW w:w="1984"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2000≤Y＜10000</w:t>
            </w:r>
          </w:p>
        </w:tc>
        <w:tc>
          <w:tcPr>
            <w:tcW w:w="1701"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100≤Y＜2000</w:t>
            </w:r>
          </w:p>
        </w:tc>
        <w:tc>
          <w:tcPr>
            <w:tcW w:w="1134"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tblPrEx>
          <w:tblLayout w:type="fixed"/>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餐饮业</w:t>
            </w:r>
          </w:p>
        </w:tc>
        <w:tc>
          <w:tcPr>
            <w:tcW w:w="1984"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842"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100≤X＜300</w:t>
            </w:r>
          </w:p>
        </w:tc>
        <w:tc>
          <w:tcPr>
            <w:tcW w:w="1701"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10≤X＜100</w:t>
            </w:r>
          </w:p>
        </w:tc>
        <w:tc>
          <w:tcPr>
            <w:tcW w:w="1134"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tblPrEx>
          <w:tblLayout w:type="fixed"/>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宋体" w:hAnsi="宋体" w:eastAsia="宋体" w:cs="宋体"/>
                <w:b/>
                <w:bCs/>
                <w:color w:val="auto"/>
                <w:kern w:val="0"/>
                <w:sz w:val="18"/>
                <w:szCs w:val="18"/>
                <w:highlight w:val="none"/>
              </w:rPr>
            </w:pPr>
          </w:p>
        </w:tc>
        <w:tc>
          <w:tcPr>
            <w:tcW w:w="1984"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2000≤Y＜10000</w:t>
            </w:r>
          </w:p>
        </w:tc>
        <w:tc>
          <w:tcPr>
            <w:tcW w:w="1701"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100≤Y＜2000</w:t>
            </w:r>
          </w:p>
        </w:tc>
        <w:tc>
          <w:tcPr>
            <w:tcW w:w="1134"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tblPrEx>
          <w:tblLayout w:type="fixed"/>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信息传输业</w:t>
            </w:r>
          </w:p>
        </w:tc>
        <w:tc>
          <w:tcPr>
            <w:tcW w:w="1984"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842"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100≤X＜2000</w:t>
            </w:r>
          </w:p>
        </w:tc>
        <w:tc>
          <w:tcPr>
            <w:tcW w:w="1701"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10≤X＜100</w:t>
            </w:r>
          </w:p>
        </w:tc>
        <w:tc>
          <w:tcPr>
            <w:tcW w:w="1134"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tblPrEx>
          <w:tblLayout w:type="fixed"/>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宋体" w:hAnsi="宋体" w:eastAsia="宋体" w:cs="宋体"/>
                <w:b/>
                <w:bCs/>
                <w:color w:val="auto"/>
                <w:kern w:val="0"/>
                <w:sz w:val="18"/>
                <w:szCs w:val="18"/>
                <w:highlight w:val="none"/>
              </w:rPr>
            </w:pPr>
          </w:p>
        </w:tc>
        <w:tc>
          <w:tcPr>
            <w:tcW w:w="1984"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1000≤Y＜100000</w:t>
            </w:r>
          </w:p>
        </w:tc>
        <w:tc>
          <w:tcPr>
            <w:tcW w:w="1701"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100≤Y＜1000</w:t>
            </w:r>
          </w:p>
        </w:tc>
        <w:tc>
          <w:tcPr>
            <w:tcW w:w="1134"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tblPrEx>
          <w:tblLayout w:type="fixed"/>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软件和信息技术服务业</w:t>
            </w:r>
          </w:p>
        </w:tc>
        <w:tc>
          <w:tcPr>
            <w:tcW w:w="1984"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842"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100≤X＜300</w:t>
            </w:r>
          </w:p>
        </w:tc>
        <w:tc>
          <w:tcPr>
            <w:tcW w:w="1701"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10≤X＜100</w:t>
            </w:r>
          </w:p>
        </w:tc>
        <w:tc>
          <w:tcPr>
            <w:tcW w:w="1134"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tblPrEx>
          <w:tblLayout w:type="fixed"/>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宋体" w:hAnsi="宋体" w:eastAsia="宋体" w:cs="宋体"/>
                <w:b/>
                <w:bCs/>
                <w:color w:val="auto"/>
                <w:kern w:val="0"/>
                <w:sz w:val="18"/>
                <w:szCs w:val="18"/>
                <w:highlight w:val="none"/>
              </w:rPr>
            </w:pPr>
          </w:p>
        </w:tc>
        <w:tc>
          <w:tcPr>
            <w:tcW w:w="1984"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1000≤Y＜10000</w:t>
            </w:r>
          </w:p>
        </w:tc>
        <w:tc>
          <w:tcPr>
            <w:tcW w:w="1701"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50≤Y＜1000</w:t>
            </w:r>
          </w:p>
        </w:tc>
        <w:tc>
          <w:tcPr>
            <w:tcW w:w="1134"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Y＜50</w:t>
            </w:r>
          </w:p>
        </w:tc>
      </w:tr>
      <w:tr>
        <w:tblPrEx>
          <w:tblLayout w:type="fixed"/>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房地产开发经营</w:t>
            </w:r>
          </w:p>
        </w:tc>
        <w:tc>
          <w:tcPr>
            <w:tcW w:w="1984"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1000≤Y＜200000</w:t>
            </w:r>
          </w:p>
        </w:tc>
        <w:tc>
          <w:tcPr>
            <w:tcW w:w="1701"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100≤X＜1000</w:t>
            </w:r>
          </w:p>
        </w:tc>
        <w:tc>
          <w:tcPr>
            <w:tcW w:w="1134"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X＜100</w:t>
            </w:r>
          </w:p>
        </w:tc>
      </w:tr>
      <w:tr>
        <w:tblPrEx>
          <w:tblLayout w:type="fixed"/>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宋体" w:hAnsi="宋体" w:eastAsia="宋体" w:cs="宋体"/>
                <w:b/>
                <w:bCs/>
                <w:color w:val="auto"/>
                <w:kern w:val="0"/>
                <w:sz w:val="18"/>
                <w:szCs w:val="18"/>
                <w:highlight w:val="none"/>
              </w:rPr>
            </w:pPr>
          </w:p>
        </w:tc>
        <w:tc>
          <w:tcPr>
            <w:tcW w:w="1984"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资产总额（Z）</w:t>
            </w:r>
          </w:p>
        </w:tc>
        <w:tc>
          <w:tcPr>
            <w:tcW w:w="851"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5000≤Z＜10000</w:t>
            </w:r>
          </w:p>
        </w:tc>
        <w:tc>
          <w:tcPr>
            <w:tcW w:w="1701"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2000≤Y＜5000</w:t>
            </w:r>
          </w:p>
        </w:tc>
        <w:tc>
          <w:tcPr>
            <w:tcW w:w="1134"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Y＜2000</w:t>
            </w:r>
          </w:p>
        </w:tc>
      </w:tr>
      <w:tr>
        <w:tblPrEx>
          <w:tblLayout w:type="fixed"/>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物业管理</w:t>
            </w:r>
          </w:p>
        </w:tc>
        <w:tc>
          <w:tcPr>
            <w:tcW w:w="1984"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842"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300≤X＜1000</w:t>
            </w:r>
          </w:p>
        </w:tc>
        <w:tc>
          <w:tcPr>
            <w:tcW w:w="1701"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100≤X＜300</w:t>
            </w:r>
          </w:p>
        </w:tc>
        <w:tc>
          <w:tcPr>
            <w:tcW w:w="1134"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X＜100</w:t>
            </w:r>
          </w:p>
        </w:tc>
      </w:tr>
      <w:tr>
        <w:tblPrEx>
          <w:tblLayout w:type="fixed"/>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宋体" w:hAnsi="宋体" w:eastAsia="宋体" w:cs="宋体"/>
                <w:b/>
                <w:bCs/>
                <w:color w:val="auto"/>
                <w:kern w:val="0"/>
                <w:sz w:val="18"/>
                <w:szCs w:val="18"/>
                <w:highlight w:val="none"/>
              </w:rPr>
            </w:pPr>
          </w:p>
        </w:tc>
        <w:tc>
          <w:tcPr>
            <w:tcW w:w="1984"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1000≤Y＜5000</w:t>
            </w:r>
          </w:p>
        </w:tc>
        <w:tc>
          <w:tcPr>
            <w:tcW w:w="1701"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500≤Y＜1000</w:t>
            </w:r>
          </w:p>
        </w:tc>
        <w:tc>
          <w:tcPr>
            <w:tcW w:w="1134"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Y＜500</w:t>
            </w:r>
          </w:p>
        </w:tc>
      </w:tr>
      <w:tr>
        <w:tblPrEx>
          <w:tblLayout w:type="fixed"/>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租赁和商务服务业</w:t>
            </w:r>
          </w:p>
        </w:tc>
        <w:tc>
          <w:tcPr>
            <w:tcW w:w="1984"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842"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100≤X＜300</w:t>
            </w:r>
          </w:p>
        </w:tc>
        <w:tc>
          <w:tcPr>
            <w:tcW w:w="1701"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10≤X＜100</w:t>
            </w:r>
          </w:p>
        </w:tc>
        <w:tc>
          <w:tcPr>
            <w:tcW w:w="1134"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tblPrEx>
          <w:tblLayout w:type="fixed"/>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宋体" w:hAnsi="宋体" w:eastAsia="宋体" w:cs="宋体"/>
                <w:b/>
                <w:bCs/>
                <w:color w:val="auto"/>
                <w:kern w:val="0"/>
                <w:sz w:val="18"/>
                <w:szCs w:val="18"/>
                <w:highlight w:val="none"/>
              </w:rPr>
            </w:pPr>
          </w:p>
        </w:tc>
        <w:tc>
          <w:tcPr>
            <w:tcW w:w="1984"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资产总额（Z）</w:t>
            </w:r>
          </w:p>
        </w:tc>
        <w:tc>
          <w:tcPr>
            <w:tcW w:w="851"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8000≤Z＜120000</w:t>
            </w:r>
          </w:p>
        </w:tc>
        <w:tc>
          <w:tcPr>
            <w:tcW w:w="1701"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100≤Z＜8000</w:t>
            </w:r>
          </w:p>
        </w:tc>
        <w:tc>
          <w:tcPr>
            <w:tcW w:w="1134"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tblPrEx>
          <w:tblLayout w:type="fixed"/>
          <w:tblCellMar>
            <w:top w:w="0" w:type="dxa"/>
            <w:left w:w="108" w:type="dxa"/>
            <w:bottom w:w="0" w:type="dxa"/>
            <w:right w:w="108" w:type="dxa"/>
          </w:tblCellMar>
        </w:tblPrEx>
        <w:trPr>
          <w:trHeight w:val="225" w:hRule="atLeast"/>
        </w:trPr>
        <w:tc>
          <w:tcPr>
            <w:tcW w:w="1985" w:type="dxa"/>
            <w:tcBorders>
              <w:top w:val="nil"/>
              <w:left w:val="single" w:color="auto" w:sz="4" w:space="0"/>
              <w:bottom w:val="single" w:color="auto" w:sz="4" w:space="0"/>
              <w:right w:val="single" w:color="auto" w:sz="4" w:space="0"/>
            </w:tcBorders>
            <w:noWrap w:val="0"/>
            <w:vAlign w:val="bottom"/>
          </w:tcPr>
          <w:p>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其他未列明行业</w:t>
            </w:r>
          </w:p>
        </w:tc>
        <w:tc>
          <w:tcPr>
            <w:tcW w:w="1984"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842"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100≤X＜300</w:t>
            </w:r>
          </w:p>
        </w:tc>
        <w:tc>
          <w:tcPr>
            <w:tcW w:w="1701"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10≤X＜100</w:t>
            </w:r>
          </w:p>
        </w:tc>
        <w:tc>
          <w:tcPr>
            <w:tcW w:w="1134"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bl>
    <w:p>
      <w:pPr>
        <w:spacing w:line="560" w:lineRule="exact"/>
        <w:ind w:firstLine="525" w:firstLineChars="25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说明：上述标准参照《关于印发中小企业划型标准规定的通知》（工信部联企业[2011]300号），大型、中型和小型企业须同时满足所列指标的下限，否则下划一档；微型企业只须满足所列指标中的一项即可。</w:t>
      </w:r>
    </w:p>
    <w:p>
      <w:pPr>
        <w:pStyle w:val="16"/>
        <w:jc w:val="center"/>
        <w:outlineLvl w:val="0"/>
        <w:rPr>
          <w:rFonts w:hint="eastAsia" w:ascii="宋体" w:hAnsi="宋体" w:eastAsia="宋体" w:cs="宋体"/>
          <w:color w:val="auto"/>
          <w:highlight w:val="none"/>
        </w:rPr>
        <w:sectPr>
          <w:pgSz w:w="11906" w:h="16838"/>
          <w:pgMar w:top="1440" w:right="1080" w:bottom="1440" w:left="1080" w:header="720" w:footer="720" w:gutter="0"/>
          <w:pgNumType w:fmt="decimal"/>
          <w:cols w:space="720" w:num="1"/>
          <w:docGrid w:type="lines" w:linePitch="331" w:charSpace="0"/>
        </w:sectPr>
      </w:pPr>
    </w:p>
    <w:p>
      <w:pPr>
        <w:keepNext/>
        <w:keepLines/>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宋体" w:cs="宋体"/>
          <w:b/>
          <w:bCs/>
          <w:color w:val="auto"/>
          <w:kern w:val="44"/>
          <w:sz w:val="44"/>
          <w:szCs w:val="44"/>
          <w:highlight w:val="none"/>
        </w:rPr>
      </w:pPr>
      <w:bookmarkStart w:id="58" w:name="_Toc5179"/>
      <w:r>
        <w:rPr>
          <w:rFonts w:hint="eastAsia" w:ascii="宋体" w:hAnsi="宋体" w:eastAsia="宋体" w:cs="宋体"/>
          <w:b/>
          <w:color w:val="auto"/>
          <w:kern w:val="44"/>
          <w:sz w:val="32"/>
          <w:szCs w:val="32"/>
          <w:highlight w:val="none"/>
        </w:rPr>
        <w:t>第三章</w:t>
      </w:r>
      <w:r>
        <w:rPr>
          <w:rFonts w:hint="eastAsia" w:ascii="宋体" w:hAnsi="宋体" w:eastAsia="宋体" w:cs="宋体"/>
          <w:b/>
          <w:color w:val="auto"/>
          <w:kern w:val="44"/>
          <w:sz w:val="32"/>
          <w:szCs w:val="32"/>
          <w:highlight w:val="none"/>
          <w:lang w:val="en-US" w:eastAsia="zh-CN"/>
        </w:rPr>
        <w:t xml:space="preserve"> </w:t>
      </w:r>
      <w:r>
        <w:rPr>
          <w:rFonts w:hint="eastAsia" w:ascii="宋体" w:hAnsi="宋体" w:eastAsia="宋体" w:cs="宋体"/>
          <w:b/>
          <w:color w:val="auto"/>
          <w:kern w:val="44"/>
          <w:sz w:val="32"/>
          <w:szCs w:val="32"/>
          <w:highlight w:val="none"/>
        </w:rPr>
        <w:t>供应商须知</w:t>
      </w:r>
      <w:bookmarkEnd w:id="53"/>
      <w:bookmarkEnd w:id="58"/>
    </w:p>
    <w:p>
      <w:pPr>
        <w:keepNext/>
        <w:keepLines/>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b/>
          <w:color w:val="auto"/>
          <w:sz w:val="32"/>
          <w:szCs w:val="32"/>
          <w:highlight w:val="none"/>
        </w:rPr>
      </w:pPr>
      <w:bookmarkStart w:id="59" w:name="_Toc16265"/>
      <w:bookmarkStart w:id="60" w:name="_Toc14187"/>
      <w:r>
        <w:rPr>
          <w:rFonts w:hint="eastAsia" w:ascii="宋体" w:hAnsi="宋体" w:eastAsia="宋体" w:cs="宋体"/>
          <w:bCs/>
          <w:color w:val="auto"/>
          <w:sz w:val="32"/>
          <w:szCs w:val="32"/>
          <w:highlight w:val="none"/>
        </w:rPr>
        <w:t>第一节 供应商须知前附表</w:t>
      </w:r>
      <w:bookmarkEnd w:id="59"/>
      <w:bookmarkEnd w:id="60"/>
    </w:p>
    <w:tbl>
      <w:tblPr>
        <w:tblStyle w:val="28"/>
        <w:tblW w:w="10276"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71"/>
        <w:gridCol w:w="2640"/>
        <w:gridCol w:w="67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93" w:hRule="atLeast"/>
          <w:jc w:val="center"/>
        </w:trPr>
        <w:tc>
          <w:tcPr>
            <w:tcW w:w="871" w:type="dxa"/>
            <w:noWrap w:val="0"/>
            <w:vAlign w:val="top"/>
          </w:tcPr>
          <w:p>
            <w:pPr>
              <w:spacing w:line="360" w:lineRule="auto"/>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条款号</w:t>
            </w:r>
          </w:p>
        </w:tc>
        <w:tc>
          <w:tcPr>
            <w:tcW w:w="2640" w:type="dxa"/>
            <w:noWrap w:val="0"/>
            <w:vAlign w:val="center"/>
          </w:tcPr>
          <w:p>
            <w:pPr>
              <w:spacing w:line="360" w:lineRule="auto"/>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条款内容</w:t>
            </w:r>
          </w:p>
        </w:tc>
        <w:tc>
          <w:tcPr>
            <w:tcW w:w="6765" w:type="dxa"/>
            <w:noWrap w:val="0"/>
            <w:vAlign w:val="top"/>
          </w:tcPr>
          <w:p>
            <w:pPr>
              <w:spacing w:line="360" w:lineRule="auto"/>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具体要求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71"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3.1</w:t>
            </w:r>
          </w:p>
        </w:tc>
        <w:tc>
          <w:tcPr>
            <w:tcW w:w="2640"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供应商资格条件</w:t>
            </w:r>
          </w:p>
        </w:tc>
        <w:tc>
          <w:tcPr>
            <w:tcW w:w="6765" w:type="dxa"/>
            <w:noWrap w:val="0"/>
            <w:vAlign w:val="top"/>
          </w:tcPr>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供应商资格条件要求详见公告。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71"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5.1</w:t>
            </w:r>
          </w:p>
        </w:tc>
        <w:tc>
          <w:tcPr>
            <w:tcW w:w="2640"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是否接受联合体竞标</w:t>
            </w:r>
          </w:p>
        </w:tc>
        <w:tc>
          <w:tcPr>
            <w:tcW w:w="6765" w:type="dxa"/>
            <w:noWrap w:val="0"/>
            <w:vAlign w:val="center"/>
          </w:tcPr>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不接受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71"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5.2</w:t>
            </w:r>
          </w:p>
        </w:tc>
        <w:tc>
          <w:tcPr>
            <w:tcW w:w="2640"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联合体竞标要求</w:t>
            </w:r>
          </w:p>
        </w:tc>
        <w:tc>
          <w:tcPr>
            <w:tcW w:w="6765" w:type="dxa"/>
            <w:noWrap w:val="0"/>
            <w:vAlign w:val="center"/>
          </w:tcPr>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71"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6.1</w:t>
            </w:r>
          </w:p>
        </w:tc>
        <w:tc>
          <w:tcPr>
            <w:tcW w:w="2640"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是否允许分包</w:t>
            </w:r>
          </w:p>
        </w:tc>
        <w:tc>
          <w:tcPr>
            <w:tcW w:w="6765" w:type="dxa"/>
            <w:noWrap w:val="0"/>
            <w:vAlign w:val="center"/>
          </w:tcPr>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不允许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71"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12.1.1</w:t>
            </w:r>
          </w:p>
        </w:tc>
        <w:tc>
          <w:tcPr>
            <w:tcW w:w="2640" w:type="dxa"/>
            <w:noWrap w:val="0"/>
            <w:vAlign w:val="center"/>
          </w:tcPr>
          <w:p>
            <w:pPr>
              <w:snapToGrid w:val="0"/>
              <w:spacing w:line="360" w:lineRule="auto"/>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资格证明文件组成</w:t>
            </w:r>
          </w:p>
          <w:p>
            <w:pPr>
              <w:spacing w:line="360" w:lineRule="auto"/>
              <w:jc w:val="center"/>
              <w:rPr>
                <w:rFonts w:hint="eastAsia" w:ascii="宋体" w:hAnsi="宋体" w:eastAsia="宋体" w:cs="宋体"/>
                <w:color w:val="auto"/>
                <w:szCs w:val="21"/>
                <w:highlight w:val="none"/>
              </w:rPr>
            </w:pPr>
          </w:p>
        </w:tc>
        <w:tc>
          <w:tcPr>
            <w:tcW w:w="6765" w:type="dxa"/>
            <w:noWrap w:val="0"/>
            <w:vAlign w:val="center"/>
          </w:tcPr>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1.供应商为法人或者其他组织的提供其营业执照等证明文件（如营业执照或者事业单位法人证书或者执业许可证等），供应商为自然人的提供其身份证复印件；（</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2.供应商依法缴纳税收的相关材料：[</w:t>
            </w:r>
            <w:bookmarkStart w:id="61" w:name="OLE_LINK9"/>
            <w:r>
              <w:rPr>
                <w:rFonts w:hint="eastAsia" w:ascii="宋体" w:hAnsi="宋体" w:eastAsia="宋体" w:cs="宋体"/>
                <w:color w:val="auto"/>
                <w:szCs w:val="21"/>
                <w:highlight w:val="none"/>
                <w:u w:val="single"/>
              </w:rPr>
              <w:t>202</w:t>
            </w:r>
            <w:r>
              <w:rPr>
                <w:rFonts w:hint="eastAsia" w:ascii="宋体" w:hAnsi="宋体" w:cs="宋体"/>
                <w:color w:val="auto"/>
                <w:szCs w:val="21"/>
                <w:highlight w:val="none"/>
                <w:u w:val="single"/>
                <w:lang w:val="en-US" w:eastAsia="zh-CN"/>
              </w:rPr>
              <w:t>4</w:t>
            </w:r>
            <w:r>
              <w:rPr>
                <w:rFonts w:hint="eastAsia" w:ascii="宋体" w:hAnsi="宋体" w:eastAsia="宋体" w:cs="宋体"/>
                <w:color w:val="auto"/>
                <w:szCs w:val="21"/>
                <w:highlight w:val="none"/>
                <w:u w:val="single"/>
              </w:rPr>
              <w:t>年</w:t>
            </w:r>
            <w:r>
              <w:rPr>
                <w:rFonts w:hint="eastAsia" w:ascii="宋体" w:hAnsi="宋体" w:cs="宋体"/>
                <w:color w:val="auto"/>
                <w:szCs w:val="21"/>
                <w:highlight w:val="none"/>
                <w:u w:val="single"/>
                <w:lang w:val="en-US" w:eastAsia="zh-CN"/>
              </w:rPr>
              <w:t>12</w:t>
            </w:r>
            <w:r>
              <w:rPr>
                <w:rFonts w:hint="eastAsia" w:ascii="宋体" w:hAnsi="宋体" w:eastAsia="宋体" w:cs="宋体"/>
                <w:color w:val="auto"/>
                <w:szCs w:val="21"/>
                <w:highlight w:val="none"/>
                <w:u w:val="single"/>
              </w:rPr>
              <w:t>月至</w:t>
            </w:r>
            <w:r>
              <w:rPr>
                <w:rFonts w:hint="eastAsia" w:ascii="宋体" w:hAnsi="宋体" w:eastAsia="宋体" w:cs="宋体"/>
                <w:color w:val="auto"/>
                <w:szCs w:val="21"/>
                <w:highlight w:val="none"/>
                <w:u w:val="single"/>
                <w:lang w:val="en-US" w:eastAsia="zh-CN"/>
              </w:rPr>
              <w:t>202</w:t>
            </w:r>
            <w:r>
              <w:rPr>
                <w:rFonts w:hint="eastAsia" w:ascii="宋体" w:hAnsi="宋体" w:cs="宋体"/>
                <w:color w:val="auto"/>
                <w:szCs w:val="21"/>
                <w:highlight w:val="none"/>
                <w:u w:val="single"/>
                <w:lang w:val="en-US" w:eastAsia="zh-CN"/>
              </w:rPr>
              <w:t>5</w:t>
            </w:r>
            <w:r>
              <w:rPr>
                <w:rFonts w:hint="eastAsia" w:ascii="宋体" w:hAnsi="宋体" w:eastAsia="宋体" w:cs="宋体"/>
                <w:color w:val="auto"/>
                <w:szCs w:val="21"/>
                <w:highlight w:val="none"/>
                <w:u w:val="single"/>
              </w:rPr>
              <w:t>年</w:t>
            </w:r>
            <w:r>
              <w:rPr>
                <w:rFonts w:hint="eastAsia" w:ascii="宋体" w:hAnsi="宋体" w:cs="宋体"/>
                <w:color w:val="auto"/>
                <w:szCs w:val="21"/>
                <w:highlight w:val="none"/>
                <w:u w:val="single"/>
                <w:lang w:val="en-US" w:eastAsia="zh-CN"/>
              </w:rPr>
              <w:t>5</w:t>
            </w:r>
            <w:r>
              <w:rPr>
                <w:rFonts w:hint="eastAsia" w:ascii="宋体" w:hAnsi="宋体" w:eastAsia="宋体" w:cs="宋体"/>
                <w:color w:val="auto"/>
                <w:szCs w:val="21"/>
                <w:highlight w:val="none"/>
                <w:u w:val="single"/>
              </w:rPr>
              <w:t>月</w:t>
            </w:r>
            <w:bookmarkEnd w:id="61"/>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期间</w:t>
            </w:r>
            <w:r>
              <w:rPr>
                <w:rFonts w:hint="eastAsia" w:ascii="宋体" w:hAnsi="宋体" w:cs="宋体"/>
                <w:color w:val="auto"/>
                <w:szCs w:val="21"/>
                <w:highlight w:val="none"/>
                <w:lang w:val="en-US" w:eastAsia="zh-CN"/>
              </w:rPr>
              <w:t>连续</w:t>
            </w:r>
            <w:r>
              <w:rPr>
                <w:rFonts w:hint="eastAsia" w:ascii="宋体" w:hAnsi="宋体" w:cs="宋体"/>
                <w:color w:val="auto"/>
                <w:szCs w:val="21"/>
                <w:highlight w:val="none"/>
                <w:u w:val="single"/>
                <w:lang w:val="en-US" w:eastAsia="zh-CN"/>
              </w:rPr>
              <w:t xml:space="preserve"> 3</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个月的</w:t>
            </w:r>
            <w:r>
              <w:rPr>
                <w:rFonts w:hint="eastAsia" w:ascii="宋体" w:hAnsi="宋体" w:eastAsia="宋体" w:cs="宋体"/>
                <w:color w:val="auto"/>
                <w:szCs w:val="21"/>
                <w:highlight w:val="none"/>
              </w:rPr>
              <w:t>依法缴纳税收的凭据复印件；依法免税的供应商，必须提供相应文件证明其依法免税。供应商成立不满</w:t>
            </w:r>
            <w:r>
              <w:rPr>
                <w:rFonts w:hint="eastAsia" w:ascii="宋体" w:hAnsi="宋体" w:eastAsia="宋体" w:cs="宋体"/>
                <w:color w:val="auto"/>
                <w:szCs w:val="21"/>
                <w:highlight w:val="none"/>
                <w:lang w:val="en-US" w:eastAsia="zh-CN"/>
              </w:rPr>
              <w:t>半</w:t>
            </w:r>
            <w:r>
              <w:rPr>
                <w:rFonts w:hint="eastAsia" w:ascii="宋体" w:hAnsi="宋体" w:eastAsia="宋体" w:cs="宋体"/>
                <w:color w:val="auto"/>
                <w:szCs w:val="21"/>
                <w:highlight w:val="none"/>
              </w:rPr>
              <w:t>年的</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根据实际情况提供</w:t>
            </w:r>
            <w:r>
              <w:rPr>
                <w:rFonts w:hint="eastAsia" w:ascii="宋体" w:hAnsi="宋体" w:eastAsia="宋体" w:cs="宋体"/>
                <w:color w:val="auto"/>
                <w:szCs w:val="21"/>
                <w:highlight w:val="none"/>
              </w:rPr>
              <w:t>；（</w:t>
            </w:r>
            <w:r>
              <w:rPr>
                <w:rFonts w:hint="eastAsia" w:ascii="宋体" w:hAnsi="宋体" w:eastAsia="宋体" w:cs="宋体"/>
                <w:b/>
                <w:color w:val="auto"/>
                <w:szCs w:val="21"/>
                <w:highlight w:val="none"/>
              </w:rPr>
              <w:t>必须提供，否则作无效竞标处理</w:t>
            </w:r>
            <w:r>
              <w:rPr>
                <w:rFonts w:hint="eastAsia" w:ascii="宋体" w:hAnsi="宋体" w:eastAsia="宋体" w:cs="宋体"/>
                <w:color w:val="auto"/>
                <w:szCs w:val="21"/>
                <w:highlight w:val="none"/>
              </w:rPr>
              <w:t>）</w:t>
            </w:r>
          </w:p>
          <w:p>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3.供应商依法缴纳社会保障资金的相关材料：[</w:t>
            </w:r>
            <w:r>
              <w:rPr>
                <w:rFonts w:hint="eastAsia" w:ascii="宋体" w:hAnsi="宋体" w:eastAsia="宋体" w:cs="宋体"/>
                <w:color w:val="auto"/>
                <w:szCs w:val="21"/>
                <w:highlight w:val="none"/>
                <w:u w:val="single"/>
              </w:rPr>
              <w:t>202</w:t>
            </w:r>
            <w:r>
              <w:rPr>
                <w:rFonts w:hint="eastAsia" w:ascii="宋体" w:hAnsi="宋体" w:cs="宋体"/>
                <w:color w:val="auto"/>
                <w:szCs w:val="21"/>
                <w:highlight w:val="none"/>
                <w:u w:val="single"/>
                <w:lang w:val="en-US" w:eastAsia="zh-CN"/>
              </w:rPr>
              <w:t>4</w:t>
            </w:r>
            <w:r>
              <w:rPr>
                <w:rFonts w:hint="eastAsia" w:ascii="宋体" w:hAnsi="宋体" w:eastAsia="宋体" w:cs="宋体"/>
                <w:color w:val="auto"/>
                <w:szCs w:val="21"/>
                <w:highlight w:val="none"/>
                <w:u w:val="single"/>
              </w:rPr>
              <w:t>年</w:t>
            </w:r>
            <w:r>
              <w:rPr>
                <w:rFonts w:hint="eastAsia" w:ascii="宋体" w:hAnsi="宋体" w:cs="宋体"/>
                <w:color w:val="auto"/>
                <w:szCs w:val="21"/>
                <w:highlight w:val="none"/>
                <w:u w:val="single"/>
                <w:lang w:val="en-US" w:eastAsia="zh-CN"/>
              </w:rPr>
              <w:t>12</w:t>
            </w:r>
            <w:r>
              <w:rPr>
                <w:rFonts w:hint="eastAsia" w:ascii="宋体" w:hAnsi="宋体" w:eastAsia="宋体" w:cs="宋体"/>
                <w:color w:val="auto"/>
                <w:szCs w:val="21"/>
                <w:highlight w:val="none"/>
                <w:u w:val="single"/>
              </w:rPr>
              <w:t>月至</w:t>
            </w:r>
            <w:r>
              <w:rPr>
                <w:rFonts w:hint="eastAsia" w:ascii="宋体" w:hAnsi="宋体" w:eastAsia="宋体" w:cs="宋体"/>
                <w:color w:val="auto"/>
                <w:szCs w:val="21"/>
                <w:highlight w:val="none"/>
                <w:u w:val="single"/>
                <w:lang w:val="en-US" w:eastAsia="zh-CN"/>
              </w:rPr>
              <w:t>202</w:t>
            </w:r>
            <w:r>
              <w:rPr>
                <w:rFonts w:hint="eastAsia" w:ascii="宋体" w:hAnsi="宋体" w:cs="宋体"/>
                <w:color w:val="auto"/>
                <w:szCs w:val="21"/>
                <w:highlight w:val="none"/>
                <w:u w:val="single"/>
                <w:lang w:val="en-US" w:eastAsia="zh-CN"/>
              </w:rPr>
              <w:t>5</w:t>
            </w:r>
            <w:r>
              <w:rPr>
                <w:rFonts w:hint="eastAsia" w:ascii="宋体" w:hAnsi="宋体" w:eastAsia="宋体" w:cs="宋体"/>
                <w:color w:val="auto"/>
                <w:szCs w:val="21"/>
                <w:highlight w:val="none"/>
                <w:u w:val="single"/>
              </w:rPr>
              <w:t>年</w:t>
            </w:r>
            <w:r>
              <w:rPr>
                <w:rFonts w:hint="eastAsia" w:ascii="宋体" w:hAnsi="宋体" w:cs="宋体"/>
                <w:color w:val="auto"/>
                <w:szCs w:val="21"/>
                <w:highlight w:val="none"/>
                <w:u w:val="single"/>
                <w:lang w:val="en-US" w:eastAsia="zh-CN"/>
              </w:rPr>
              <w:t>5</w:t>
            </w:r>
            <w:r>
              <w:rPr>
                <w:rFonts w:hint="eastAsia" w:ascii="宋体" w:hAnsi="宋体" w:eastAsia="宋体" w:cs="宋体"/>
                <w:color w:val="auto"/>
                <w:szCs w:val="21"/>
                <w:highlight w:val="none"/>
                <w:u w:val="single"/>
              </w:rPr>
              <w:t>月</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期间</w:t>
            </w:r>
            <w:r>
              <w:rPr>
                <w:rFonts w:hint="eastAsia" w:ascii="宋体" w:hAnsi="宋体" w:cs="宋体"/>
                <w:color w:val="auto"/>
                <w:szCs w:val="21"/>
                <w:highlight w:val="none"/>
                <w:lang w:val="en-US" w:eastAsia="zh-CN"/>
              </w:rPr>
              <w:t>连续</w:t>
            </w:r>
            <w:r>
              <w:rPr>
                <w:rFonts w:hint="eastAsia" w:ascii="宋体" w:hAnsi="宋体" w:cs="宋体"/>
                <w:color w:val="auto"/>
                <w:szCs w:val="21"/>
                <w:highlight w:val="none"/>
                <w:u w:val="single"/>
                <w:lang w:val="en-US" w:eastAsia="zh-CN"/>
              </w:rPr>
              <w:t xml:space="preserve"> 3</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个月的</w:t>
            </w:r>
            <w:r>
              <w:rPr>
                <w:rFonts w:hint="eastAsia" w:ascii="宋体" w:hAnsi="宋体" w:eastAsia="宋体" w:cs="宋体"/>
                <w:color w:val="auto"/>
                <w:szCs w:val="21"/>
                <w:highlight w:val="none"/>
              </w:rPr>
              <w:t>依法缴纳社会保障资金的缴费凭证复印件；依法不需要缴纳社会保障资金的供应商，必须提供相应文件证明不需要缴纳社会保障资金。供应商成立不满</w:t>
            </w:r>
            <w:r>
              <w:rPr>
                <w:rFonts w:hint="eastAsia" w:ascii="宋体" w:hAnsi="宋体" w:eastAsia="宋体" w:cs="宋体"/>
                <w:color w:val="auto"/>
                <w:szCs w:val="21"/>
                <w:highlight w:val="none"/>
                <w:lang w:val="en-US" w:eastAsia="zh-CN"/>
              </w:rPr>
              <w:t>半</w:t>
            </w:r>
            <w:r>
              <w:rPr>
                <w:rFonts w:hint="eastAsia" w:ascii="宋体" w:hAnsi="宋体" w:eastAsia="宋体" w:cs="宋体"/>
                <w:color w:val="auto"/>
                <w:szCs w:val="21"/>
                <w:highlight w:val="none"/>
              </w:rPr>
              <w:t>年的</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根据实际情况提供</w:t>
            </w:r>
            <w:r>
              <w:rPr>
                <w:rFonts w:hint="eastAsia" w:ascii="宋体" w:hAnsi="宋体" w:eastAsia="宋体" w:cs="宋体"/>
                <w:color w:val="auto"/>
                <w:szCs w:val="21"/>
                <w:highlight w:val="none"/>
              </w:rPr>
              <w:t>；（</w:t>
            </w:r>
            <w:r>
              <w:rPr>
                <w:rFonts w:hint="eastAsia" w:ascii="宋体" w:hAnsi="宋体" w:eastAsia="宋体" w:cs="宋体"/>
                <w:b/>
                <w:color w:val="auto"/>
                <w:szCs w:val="21"/>
                <w:highlight w:val="none"/>
              </w:rPr>
              <w:t>必须提供，否则作无效竞标处理</w:t>
            </w:r>
            <w:r>
              <w:rPr>
                <w:rFonts w:hint="eastAsia" w:ascii="宋体" w:hAnsi="宋体" w:eastAsia="宋体" w:cs="宋体"/>
                <w:color w:val="auto"/>
                <w:szCs w:val="21"/>
                <w:highlight w:val="none"/>
              </w:rPr>
              <w:t>）</w:t>
            </w:r>
          </w:p>
          <w:p>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.供应商财务状况报告：[</w:t>
            </w:r>
            <w:r>
              <w:rPr>
                <w:rFonts w:hint="eastAsia" w:ascii="宋体" w:hAnsi="宋体" w:cs="宋体"/>
                <w:color w:val="auto"/>
                <w:szCs w:val="21"/>
                <w:highlight w:val="none"/>
                <w:u w:val="single"/>
                <w:lang w:val="en-US" w:eastAsia="zh-CN"/>
              </w:rPr>
              <w:t>2024年</w:t>
            </w:r>
            <w:r>
              <w:rPr>
                <w:rFonts w:hint="eastAsia" w:ascii="宋体" w:hAnsi="宋体" w:eastAsia="宋体" w:cs="宋体"/>
                <w:color w:val="auto"/>
                <w:szCs w:val="21"/>
                <w:highlight w:val="none"/>
              </w:rPr>
              <w:t>]财务状况报告复印件；供应商成立不满一年的应按提供首次响应文件提交截止时间上一个月的财务状况报告复印件。（上述财务状况报告包括：供应商执行《企业会计准则》的，提供资产负债表、利润表、现金流量表、所有者权益变动表；供应商执行《小企业会计准则》的，提供资产负债表、利润表、现金流量表；供应商执行《政府会计制度》的，提供资产负债表、收入费用表和净资产变动表及其附注)；（</w:t>
            </w:r>
            <w:r>
              <w:rPr>
                <w:rFonts w:hint="eastAsia" w:ascii="宋体" w:hAnsi="宋体" w:eastAsia="宋体" w:cs="宋体"/>
                <w:b/>
                <w:color w:val="auto"/>
                <w:szCs w:val="21"/>
                <w:highlight w:val="none"/>
              </w:rPr>
              <w:t>必须提供，否则作无效响应处理</w:t>
            </w:r>
            <w:r>
              <w:rPr>
                <w:rFonts w:hint="eastAsia" w:ascii="宋体" w:hAnsi="宋体" w:eastAsia="宋体" w:cs="宋体"/>
                <w:color w:val="auto"/>
                <w:szCs w:val="21"/>
                <w:highlight w:val="none"/>
              </w:rPr>
              <w:t>）</w:t>
            </w:r>
          </w:p>
          <w:p>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5.供应商直接控股、管理关系信息表；（</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6.资格声明函；（</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7.</w:t>
            </w:r>
            <w:r>
              <w:rPr>
                <w:rFonts w:hint="eastAsia" w:ascii="宋体" w:hAnsi="宋体"/>
                <w:color w:val="auto"/>
                <w:szCs w:val="21"/>
                <w:highlight w:val="none"/>
              </w:rPr>
              <w:t>中小企业声明函</w:t>
            </w:r>
            <w:r>
              <w:rPr>
                <w:rFonts w:hint="eastAsia" w:ascii="宋体" w:hAnsi="宋体"/>
                <w:color w:val="auto"/>
                <w:szCs w:val="21"/>
                <w:highlight w:val="none"/>
                <w:lang w:eastAsia="zh-CN"/>
              </w:rPr>
              <w:t>或残疾人福利性单位声明函或属于监狱企业的证明文件</w:t>
            </w:r>
            <w:r>
              <w:rPr>
                <w:rFonts w:hint="eastAsia" w:ascii="宋体" w:hAnsi="宋体" w:cs="宋体"/>
                <w:color w:val="auto"/>
                <w:szCs w:val="21"/>
                <w:highlight w:val="none"/>
              </w:rPr>
              <w:t>；</w:t>
            </w:r>
            <w:r>
              <w:rPr>
                <w:rFonts w:hint="eastAsia" w:ascii="宋体" w:hAnsi="宋体"/>
                <w:color w:val="auto"/>
                <w:szCs w:val="21"/>
                <w:highlight w:val="none"/>
              </w:rPr>
              <w:t>（</w:t>
            </w:r>
            <w:r>
              <w:rPr>
                <w:rFonts w:hint="eastAsia" w:ascii="宋体" w:hAnsi="宋体"/>
                <w:b/>
                <w:color w:val="auto"/>
                <w:szCs w:val="21"/>
                <w:highlight w:val="none"/>
              </w:rPr>
              <w:t>必须提供，否则响应文件按无效响应处理</w:t>
            </w:r>
            <w:r>
              <w:rPr>
                <w:rFonts w:hint="eastAsia" w:ascii="宋体" w:hAnsi="宋体"/>
                <w:color w:val="auto"/>
                <w:szCs w:val="21"/>
                <w:highlight w:val="none"/>
              </w:rPr>
              <w:t>）</w:t>
            </w:r>
          </w:p>
          <w:p>
            <w:pPr>
              <w:snapToGrid w:val="0"/>
              <w:spacing w:line="360" w:lineRule="auto"/>
              <w:jc w:val="left"/>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8.</w:t>
            </w:r>
            <w:r>
              <w:rPr>
                <w:rFonts w:hint="eastAsia" w:ascii="宋体" w:hAnsi="宋体" w:eastAsia="宋体" w:cs="宋体"/>
                <w:color w:val="auto"/>
                <w:szCs w:val="21"/>
                <w:highlight w:val="none"/>
              </w:rPr>
              <w:t>除磋商文件规定必须提供以外，供应商认为需要提供的其他证明材料；</w:t>
            </w:r>
            <w:r>
              <w:rPr>
                <w:rFonts w:hint="eastAsia" w:ascii="宋体" w:hAnsi="宋体" w:eastAsia="宋体" w:cs="宋体"/>
                <w:b/>
                <w:bCs/>
                <w:color w:val="auto"/>
                <w:szCs w:val="21"/>
                <w:highlight w:val="none"/>
              </w:rPr>
              <w:t>（如有请提</w:t>
            </w:r>
            <w:r>
              <w:rPr>
                <w:rFonts w:hint="eastAsia" w:ascii="宋体" w:hAnsi="宋体" w:eastAsia="宋体" w:cs="宋体"/>
                <w:b/>
                <w:bCs/>
                <w:color w:val="auto"/>
                <w:szCs w:val="21"/>
                <w:highlight w:val="none"/>
                <w:lang w:val="en-US" w:eastAsia="zh-CN"/>
              </w:rPr>
              <w:t>供</w:t>
            </w:r>
            <w:r>
              <w:rPr>
                <w:rFonts w:hint="eastAsia" w:ascii="宋体" w:hAnsi="宋体" w:eastAsia="宋体" w:cs="宋体"/>
                <w:b/>
                <w:bCs/>
                <w:color w:val="auto"/>
                <w:szCs w:val="21"/>
                <w:highlight w:val="none"/>
              </w:rPr>
              <w:t>）</w:t>
            </w:r>
          </w:p>
          <w:p>
            <w:pPr>
              <w:snapToGrid w:val="0"/>
              <w:spacing w:line="360" w:lineRule="auto"/>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注：</w:t>
            </w:r>
          </w:p>
          <w:p>
            <w:pPr>
              <w:snapToGrid w:val="0"/>
              <w:spacing w:line="360" w:lineRule="auto"/>
              <w:ind w:firstLine="413" w:firstLineChars="196"/>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1.以上标明“必须提供”的材料属于复印件的扫描件的，必须加盖供应商电子公章，否则响应文件按无效响应处理。</w:t>
            </w:r>
          </w:p>
          <w:p>
            <w:pPr>
              <w:spacing w:line="360" w:lineRule="auto"/>
              <w:ind w:firstLine="422" w:firstLineChars="200"/>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2.联合体竞标时，第1-5项资格证明文件联合体各方均必须分别提供，联合体各方分别盖章和签字，否则响应文件按无效响应处理。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71" w:type="dxa"/>
            <w:vMerge w:val="restart"/>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12.1.2</w:t>
            </w:r>
          </w:p>
        </w:tc>
        <w:tc>
          <w:tcPr>
            <w:tcW w:w="2640" w:type="dxa"/>
            <w:noWrap w:val="0"/>
            <w:vAlign w:val="center"/>
          </w:tcPr>
          <w:p>
            <w:pPr>
              <w:spacing w:line="360" w:lineRule="auto"/>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商务文件组成</w:t>
            </w:r>
          </w:p>
        </w:tc>
        <w:tc>
          <w:tcPr>
            <w:tcW w:w="6765" w:type="dxa"/>
            <w:noWrap w:val="0"/>
            <w:vAlign w:val="center"/>
          </w:tcPr>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1.无串通竞标行为的承诺函；（</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2.法定代表人身份证明书及法定代表人有效身份证正反面复印件；（</w:t>
            </w:r>
            <w:r>
              <w:rPr>
                <w:rFonts w:hint="eastAsia" w:ascii="宋体" w:hAnsi="宋体" w:eastAsia="宋体" w:cs="宋体"/>
                <w:b/>
                <w:bCs/>
                <w:color w:val="auto"/>
                <w:szCs w:val="21"/>
                <w:highlight w:val="none"/>
              </w:rPr>
              <w:t>除自然人竞标外</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pPr>
              <w:spacing w:line="360" w:lineRule="auto"/>
              <w:rPr>
                <w:rFonts w:hint="eastAsia" w:ascii="宋体" w:hAnsi="宋体" w:eastAsia="宋体" w:cs="宋体"/>
                <w:b/>
                <w:color w:val="auto"/>
                <w:szCs w:val="21"/>
                <w:highlight w:val="none"/>
              </w:rPr>
            </w:pPr>
            <w:r>
              <w:rPr>
                <w:rFonts w:hint="eastAsia" w:ascii="宋体" w:hAnsi="宋体" w:eastAsia="宋体" w:cs="宋体"/>
                <w:color w:val="auto"/>
                <w:szCs w:val="21"/>
                <w:highlight w:val="none"/>
              </w:rPr>
              <w:t>3.法定代表人授权委托书及委托代理人有效身份证正反面复印件；（</w:t>
            </w:r>
            <w:r>
              <w:rPr>
                <w:rFonts w:hint="eastAsia" w:ascii="宋体" w:hAnsi="宋体" w:eastAsia="宋体" w:cs="宋体"/>
                <w:b/>
                <w:color w:val="auto"/>
                <w:szCs w:val="21"/>
                <w:highlight w:val="none"/>
              </w:rPr>
              <w:t>委托时必须提供，否则响应文件按无效响应处理</w:t>
            </w:r>
            <w:r>
              <w:rPr>
                <w:rFonts w:hint="eastAsia" w:ascii="宋体" w:hAnsi="宋体" w:eastAsia="宋体" w:cs="宋体"/>
                <w:color w:val="auto"/>
                <w:szCs w:val="21"/>
                <w:highlight w:val="none"/>
              </w:rPr>
              <w:t>）</w:t>
            </w:r>
          </w:p>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4.商务条款偏离表；（</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5.竞标人情况介绍；（</w:t>
            </w:r>
            <w:r>
              <w:rPr>
                <w:rFonts w:hint="eastAsia" w:ascii="宋体" w:hAnsi="宋体" w:eastAsia="宋体" w:cs="宋体"/>
                <w:color w:val="auto"/>
                <w:szCs w:val="21"/>
                <w:highlight w:val="none"/>
                <w:lang w:eastAsia="zh-CN"/>
              </w:rPr>
              <w:t>如有请提供</w:t>
            </w:r>
            <w:r>
              <w:rPr>
                <w:rFonts w:hint="eastAsia" w:ascii="宋体" w:hAnsi="宋体" w:eastAsia="宋体" w:cs="宋体"/>
                <w:color w:val="auto"/>
                <w:szCs w:val="21"/>
                <w:highlight w:val="none"/>
              </w:rPr>
              <w:t>）</w:t>
            </w:r>
          </w:p>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6.供应商认为需要提供的其他有关资料。（</w:t>
            </w:r>
            <w:r>
              <w:rPr>
                <w:rFonts w:hint="eastAsia" w:ascii="宋体" w:hAnsi="宋体" w:eastAsia="宋体" w:cs="宋体"/>
                <w:color w:val="auto"/>
                <w:szCs w:val="21"/>
                <w:highlight w:val="none"/>
                <w:lang w:eastAsia="zh-CN"/>
              </w:rPr>
              <w:t>如有请提供</w:t>
            </w:r>
            <w:r>
              <w:rPr>
                <w:rFonts w:hint="eastAsia" w:ascii="宋体" w:hAnsi="宋体" w:eastAsia="宋体" w:cs="宋体"/>
                <w:color w:val="auto"/>
                <w:szCs w:val="21"/>
                <w:highlight w:val="none"/>
              </w:rPr>
              <w:t>）</w:t>
            </w:r>
          </w:p>
          <w:p>
            <w:pPr>
              <w:snapToGrid w:val="0"/>
              <w:spacing w:line="360" w:lineRule="auto"/>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 xml:space="preserve">注： </w:t>
            </w:r>
          </w:p>
          <w:p>
            <w:pPr>
              <w:snapToGrid w:val="0"/>
              <w:spacing w:line="360" w:lineRule="auto"/>
              <w:ind w:firstLine="413" w:firstLineChars="196"/>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1.法定代表人授权委托书必须由法定代表人及委托代理人签字，并加盖供应商公章，否则响应文件按无效响应处理。</w:t>
            </w:r>
          </w:p>
          <w:p>
            <w:pPr>
              <w:spacing w:line="360" w:lineRule="auto"/>
              <w:ind w:firstLine="413" w:firstLineChars="196"/>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2.以上标明“必须提供”的材料属于复印件的扫描件的，必须加盖供应商电子公章，否则响应文件按无效响应处理。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71" w:type="dxa"/>
            <w:vMerge w:val="continue"/>
            <w:noWrap w:val="0"/>
            <w:vAlign w:val="center"/>
          </w:tcPr>
          <w:p>
            <w:pPr>
              <w:spacing w:line="360" w:lineRule="auto"/>
              <w:jc w:val="center"/>
              <w:rPr>
                <w:rFonts w:hint="eastAsia" w:ascii="宋体" w:hAnsi="宋体" w:eastAsia="宋体" w:cs="宋体"/>
                <w:color w:val="auto"/>
                <w:szCs w:val="21"/>
                <w:highlight w:val="none"/>
              </w:rPr>
            </w:pPr>
          </w:p>
        </w:tc>
        <w:tc>
          <w:tcPr>
            <w:tcW w:w="2640" w:type="dxa"/>
            <w:noWrap w:val="0"/>
            <w:vAlign w:val="center"/>
          </w:tcPr>
          <w:p>
            <w:pPr>
              <w:spacing w:line="360" w:lineRule="auto"/>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技术文件组成</w:t>
            </w:r>
          </w:p>
        </w:tc>
        <w:tc>
          <w:tcPr>
            <w:tcW w:w="6765" w:type="dxa"/>
            <w:noWrap w:val="0"/>
            <w:vAlign w:val="center"/>
          </w:tcPr>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1.服务需求偏离表；（</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cs="宋体"/>
                <w:color w:val="auto"/>
                <w:szCs w:val="21"/>
                <w:highlight w:val="none"/>
              </w:rPr>
              <w:t>组织服务方案</w:t>
            </w:r>
            <w:r>
              <w:rPr>
                <w:rFonts w:hint="eastAsia" w:ascii="宋体" w:hAnsi="宋体" w:eastAsia="宋体" w:cs="宋体"/>
                <w:color w:val="auto"/>
                <w:szCs w:val="21"/>
                <w:highlight w:val="none"/>
              </w:rPr>
              <w:t>；（</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3.售后服务</w:t>
            </w:r>
            <w:r>
              <w:rPr>
                <w:rFonts w:hint="eastAsia" w:ascii="宋体" w:hAnsi="宋体" w:cs="宋体"/>
                <w:color w:val="auto"/>
                <w:szCs w:val="21"/>
                <w:highlight w:val="none"/>
                <w:lang w:val="en-US" w:eastAsia="zh-CN"/>
              </w:rPr>
              <w:t>承诺</w:t>
            </w:r>
            <w:r>
              <w:rPr>
                <w:rFonts w:hint="eastAsia" w:ascii="宋体" w:hAnsi="宋体" w:eastAsia="宋体" w:cs="宋体"/>
                <w:color w:val="auto"/>
                <w:szCs w:val="21"/>
                <w:highlight w:val="none"/>
              </w:rPr>
              <w:t>；（</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4.项目实施人员一览表； （</w:t>
            </w:r>
            <w:r>
              <w:rPr>
                <w:rFonts w:hint="eastAsia" w:ascii="宋体" w:hAnsi="宋体" w:eastAsia="宋体" w:cs="宋体"/>
                <w:color w:val="auto"/>
                <w:szCs w:val="21"/>
                <w:highlight w:val="none"/>
                <w:lang w:eastAsia="zh-CN"/>
              </w:rPr>
              <w:t>如有请提供</w:t>
            </w:r>
            <w:r>
              <w:rPr>
                <w:rFonts w:hint="eastAsia" w:ascii="宋体" w:hAnsi="宋体" w:eastAsia="宋体" w:cs="宋体"/>
                <w:color w:val="auto"/>
                <w:szCs w:val="21"/>
                <w:highlight w:val="none"/>
              </w:rPr>
              <w:t>）</w:t>
            </w:r>
          </w:p>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5.对应采购需求的服务需求、商务条款提供的其他文件资料；（</w:t>
            </w:r>
            <w:r>
              <w:rPr>
                <w:rFonts w:hint="eastAsia" w:ascii="宋体" w:hAnsi="宋体" w:eastAsia="宋体" w:cs="宋体"/>
                <w:color w:val="auto"/>
                <w:szCs w:val="21"/>
                <w:highlight w:val="none"/>
                <w:lang w:eastAsia="zh-CN"/>
              </w:rPr>
              <w:t>如有请提供</w:t>
            </w:r>
            <w:r>
              <w:rPr>
                <w:rFonts w:hint="eastAsia" w:ascii="宋体" w:hAnsi="宋体" w:eastAsia="宋体" w:cs="宋体"/>
                <w:color w:val="auto"/>
                <w:szCs w:val="21"/>
                <w:highlight w:val="none"/>
              </w:rPr>
              <w:t>）</w:t>
            </w:r>
          </w:p>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6.供应商认为需要提供的其他有关资料。（</w:t>
            </w:r>
            <w:r>
              <w:rPr>
                <w:rFonts w:hint="eastAsia" w:ascii="宋体" w:hAnsi="宋体" w:eastAsia="宋体" w:cs="宋体"/>
                <w:color w:val="auto"/>
                <w:szCs w:val="21"/>
                <w:highlight w:val="none"/>
                <w:lang w:eastAsia="zh-CN"/>
              </w:rPr>
              <w:t>如有请提供</w:t>
            </w:r>
            <w:r>
              <w:rPr>
                <w:rFonts w:hint="eastAsia" w:ascii="宋体" w:hAnsi="宋体" w:eastAsia="宋体" w:cs="宋体"/>
                <w:color w:val="auto"/>
                <w:szCs w:val="21"/>
                <w:highlight w:val="none"/>
              </w:rPr>
              <w:t>）</w:t>
            </w:r>
          </w:p>
          <w:p>
            <w:pPr>
              <w:spacing w:line="360" w:lineRule="auto"/>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注：1.以上标明“必须提供”的材料属于复印件的扫描件的，必须加盖供应商电子公章，否则响应文件按无效响应处理。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76" w:hRule="atLeast"/>
          <w:jc w:val="center"/>
        </w:trPr>
        <w:tc>
          <w:tcPr>
            <w:tcW w:w="871"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12.1.2</w:t>
            </w:r>
          </w:p>
        </w:tc>
        <w:tc>
          <w:tcPr>
            <w:tcW w:w="2640"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b/>
                <w:bCs/>
                <w:color w:val="auto"/>
                <w:szCs w:val="21"/>
                <w:highlight w:val="none"/>
              </w:rPr>
              <w:t>报价文件组成</w:t>
            </w:r>
          </w:p>
        </w:tc>
        <w:tc>
          <w:tcPr>
            <w:tcW w:w="6765" w:type="dxa"/>
            <w:noWrap w:val="0"/>
            <w:vAlign w:val="center"/>
          </w:tcPr>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1.响应函；</w:t>
            </w:r>
            <w:r>
              <w:rPr>
                <w:rFonts w:hint="eastAsia" w:ascii="宋体" w:hAnsi="宋体" w:eastAsia="宋体" w:cs="宋体"/>
                <w:b/>
                <w:color w:val="auto"/>
                <w:szCs w:val="21"/>
                <w:highlight w:val="none"/>
              </w:rPr>
              <w:t>（必须提供，否则作无效响应处理）</w:t>
            </w:r>
          </w:p>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2.响应报价表；（</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pPr>
              <w:spacing w:line="360" w:lineRule="auto"/>
              <w:rPr>
                <w:rFonts w:hint="default" w:ascii="宋体" w:hAnsi="宋体" w:eastAsia="宋体" w:cs="宋体"/>
                <w:b w:val="0"/>
                <w:bCs w:val="0"/>
                <w:color w:val="auto"/>
                <w:szCs w:val="21"/>
                <w:highlight w:val="none"/>
                <w:lang w:val="en-US" w:eastAsia="zh-CN"/>
              </w:rPr>
            </w:pPr>
            <w:r>
              <w:rPr>
                <w:rFonts w:hint="eastAsia" w:ascii="宋体" w:hAnsi="宋体" w:eastAsia="宋体" w:cs="宋体"/>
                <w:color w:val="auto"/>
                <w:szCs w:val="21"/>
                <w:highlight w:val="none"/>
              </w:rPr>
              <w:t>3</w:t>
            </w:r>
            <w:r>
              <w:rPr>
                <w:rFonts w:hint="eastAsia" w:ascii="宋体" w:hAnsi="宋体" w:eastAsia="宋体" w:cs="宋体"/>
                <w:b w:val="0"/>
                <w:bCs w:val="0"/>
                <w:color w:val="auto"/>
                <w:szCs w:val="21"/>
                <w:highlight w:val="none"/>
                <w:lang w:val="en-US" w:eastAsia="zh-CN"/>
              </w:rPr>
              <w:t>.</w:t>
            </w:r>
            <w:bookmarkStart w:id="62" w:name="OLE_LINK29"/>
            <w:r>
              <w:rPr>
                <w:rFonts w:hint="eastAsia" w:ascii="宋体" w:hAnsi="宋体" w:cs="宋体"/>
                <w:b w:val="0"/>
                <w:bCs w:val="0"/>
                <w:color w:val="auto"/>
                <w:szCs w:val="21"/>
                <w:highlight w:val="none"/>
                <w:lang w:val="en-US" w:eastAsia="zh-CN"/>
              </w:rPr>
              <w:t>报价明细表；</w:t>
            </w:r>
            <w:bookmarkEnd w:id="62"/>
            <w:r>
              <w:rPr>
                <w:rFonts w:hint="eastAsia" w:ascii="宋体" w:hAnsi="宋体" w:eastAsia="宋体" w:cs="宋体"/>
                <w:color w:val="auto"/>
                <w:szCs w:val="21"/>
                <w:highlight w:val="none"/>
              </w:rPr>
              <w:t>（</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pPr>
              <w:spacing w:line="360" w:lineRule="auto"/>
              <w:rPr>
                <w:rFonts w:hint="eastAsia" w:ascii="宋体" w:hAnsi="宋体" w:eastAsia="宋体" w:cs="宋体"/>
                <w:color w:val="auto"/>
                <w:szCs w:val="21"/>
                <w:highlight w:val="none"/>
              </w:rPr>
            </w:pPr>
            <w:r>
              <w:rPr>
                <w:rFonts w:hint="eastAsia" w:ascii="宋体" w:hAnsi="宋体" w:cs="宋体"/>
                <w:b w:val="0"/>
                <w:bCs w:val="0"/>
                <w:color w:val="auto"/>
                <w:szCs w:val="21"/>
                <w:highlight w:val="none"/>
                <w:lang w:val="en-US" w:eastAsia="zh-CN"/>
              </w:rPr>
              <w:t>4.</w:t>
            </w:r>
            <w:r>
              <w:rPr>
                <w:rFonts w:hint="eastAsia" w:ascii="宋体" w:hAnsi="宋体" w:eastAsia="宋体" w:cs="宋体"/>
                <w:b w:val="0"/>
                <w:bCs w:val="0"/>
                <w:color w:val="auto"/>
                <w:szCs w:val="21"/>
                <w:highlight w:val="none"/>
              </w:rPr>
              <w:t>供应商认为需要提供的其他有关资料。</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eastAsia="zh-CN"/>
              </w:rPr>
              <w:t>如有请提供</w:t>
            </w:r>
            <w:r>
              <w:rPr>
                <w:rFonts w:hint="eastAsia" w:ascii="宋体" w:hAnsi="宋体" w:eastAsia="宋体" w:cs="宋体"/>
                <w:color w:val="auto"/>
                <w:szCs w:val="21"/>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71"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12.2</w:t>
            </w:r>
          </w:p>
        </w:tc>
        <w:tc>
          <w:tcPr>
            <w:tcW w:w="2640"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响应文件电子版要求</w:t>
            </w:r>
          </w:p>
        </w:tc>
        <w:tc>
          <w:tcPr>
            <w:tcW w:w="6765" w:type="dxa"/>
            <w:noWrap w:val="0"/>
            <w:vAlign w:val="center"/>
          </w:tcPr>
          <w:p>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1.响应文件电子版要求：按照本采购文件“第五章 响应文件格式”编写（第五章未附格式的，由供应商自行拟定），不可涂改并在规定加盖公章处加盖电子公章，</w:t>
            </w:r>
            <w:r>
              <w:rPr>
                <w:rFonts w:hint="eastAsia" w:ascii="宋体" w:hAnsi="宋体" w:eastAsia="宋体" w:cs="宋体"/>
                <w:b/>
                <w:color w:val="auto"/>
                <w:szCs w:val="21"/>
                <w:highlight w:val="none"/>
              </w:rPr>
              <w:t>否则响应文件按无效响应处理</w:t>
            </w:r>
            <w:r>
              <w:rPr>
                <w:rFonts w:hint="eastAsia" w:ascii="宋体" w:hAnsi="宋体" w:eastAsia="宋体" w:cs="宋体"/>
                <w:color w:val="auto"/>
                <w:szCs w:val="21"/>
                <w:highlight w:val="none"/>
              </w:rPr>
              <w:t>。</w:t>
            </w:r>
          </w:p>
          <w:p>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2.响应文件电子版密封方式：电子响应文件通过平台有效CA加密后在</w:t>
            </w:r>
            <w:r>
              <w:rPr>
                <w:rFonts w:hint="eastAsia" w:ascii="宋体" w:hAnsi="宋体" w:eastAsia="宋体" w:cs="宋体"/>
                <w:color w:val="auto"/>
                <w:szCs w:val="21"/>
                <w:highlight w:val="none"/>
                <w:lang w:eastAsia="zh-CN"/>
              </w:rPr>
              <w:t>“广西政府采购云平台”</w:t>
            </w:r>
            <w:r>
              <w:rPr>
                <w:rFonts w:hint="eastAsia" w:ascii="宋体" w:hAnsi="宋体" w:eastAsia="宋体" w:cs="宋体"/>
                <w:color w:val="auto"/>
                <w:szCs w:val="21"/>
                <w:highlight w:val="none"/>
              </w:rPr>
              <w:t>投送。（操作方式见公告附件“电子响应文件制作与投送教程”）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71"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15.2</w:t>
            </w:r>
          </w:p>
        </w:tc>
        <w:tc>
          <w:tcPr>
            <w:tcW w:w="2640"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响应报价要求</w:t>
            </w:r>
          </w:p>
        </w:tc>
        <w:tc>
          <w:tcPr>
            <w:tcW w:w="6765" w:type="dxa"/>
            <w:noWrap w:val="0"/>
            <w:vAlign w:val="center"/>
          </w:tcPr>
          <w:p>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响应报价必须包含满足本次竞标全部采购需求所应提供的服务，以及伴随的货物和工程（如有）的价格；包含竞标服务、货物、工程的成本、运输（含保险）、安装（如有）、调试、检验、技术服务、培训、税费等所有费用。</w:t>
            </w:r>
            <w:r>
              <w:rPr>
                <w:rFonts w:hint="eastAsia" w:ascii="宋体" w:hAnsi="宋体" w:eastAsia="宋体" w:cs="宋体"/>
                <w:b/>
                <w:color w:val="auto"/>
                <w:szCs w:val="21"/>
                <w:highlight w:val="none"/>
              </w:rPr>
              <w:t>（采购需求另有约定的，从其约定。）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71"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16.2</w:t>
            </w:r>
          </w:p>
        </w:tc>
        <w:tc>
          <w:tcPr>
            <w:tcW w:w="2640"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竞标有效期</w:t>
            </w:r>
          </w:p>
        </w:tc>
        <w:tc>
          <w:tcPr>
            <w:tcW w:w="6765" w:type="dxa"/>
            <w:noWrap w:val="0"/>
            <w:vAlign w:val="center"/>
          </w:tcPr>
          <w:p>
            <w:pPr>
              <w:tabs>
                <w:tab w:val="left" w:pos="720"/>
                <w:tab w:val="left" w:pos="840"/>
              </w:tabs>
              <w:snapToGrid w:val="0"/>
              <w:spacing w:line="360" w:lineRule="auto"/>
              <w:ind w:left="283" w:hanging="283" w:hangingChars="135"/>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自首次响应文件提交截止之日起</w:t>
            </w:r>
            <w:r>
              <w:rPr>
                <w:rFonts w:hint="eastAsia" w:ascii="宋体" w:hAnsi="宋体" w:eastAsia="宋体" w:cs="宋体"/>
                <w:color w:val="auto"/>
                <w:szCs w:val="21"/>
                <w:highlight w:val="none"/>
                <w:u w:val="single"/>
              </w:rPr>
              <w:t>60</w:t>
            </w:r>
            <w:r>
              <w:rPr>
                <w:rFonts w:hint="eastAsia" w:ascii="宋体" w:hAnsi="宋体" w:eastAsia="宋体" w:cs="宋体"/>
                <w:color w:val="auto"/>
                <w:szCs w:val="21"/>
                <w:highlight w:val="none"/>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71"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17.1</w:t>
            </w:r>
          </w:p>
        </w:tc>
        <w:tc>
          <w:tcPr>
            <w:tcW w:w="2640"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磋商保证金</w:t>
            </w:r>
          </w:p>
        </w:tc>
        <w:tc>
          <w:tcPr>
            <w:tcW w:w="6765" w:type="dxa"/>
            <w:noWrap w:val="0"/>
            <w:vAlign w:val="center"/>
          </w:tcPr>
          <w:p>
            <w:pPr>
              <w:autoSpaceDE w:val="0"/>
              <w:autoSpaceDN w:val="0"/>
              <w:snapToGrid w:val="0"/>
              <w:spacing w:line="360" w:lineRule="auto"/>
              <w:textAlignment w:val="bottom"/>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本项目不收取磋商保证金。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8" w:hRule="atLeast"/>
          <w:jc w:val="center"/>
        </w:trPr>
        <w:tc>
          <w:tcPr>
            <w:tcW w:w="871" w:type="dxa"/>
            <w:vMerge w:val="restart"/>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20.1</w:t>
            </w:r>
          </w:p>
        </w:tc>
        <w:tc>
          <w:tcPr>
            <w:tcW w:w="2640"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首次响应文件提交起止时间</w:t>
            </w:r>
          </w:p>
        </w:tc>
        <w:tc>
          <w:tcPr>
            <w:tcW w:w="6765" w:type="dxa"/>
            <w:noWrap w:val="0"/>
            <w:vAlign w:val="center"/>
          </w:tcPr>
          <w:p>
            <w:pPr>
              <w:snapToGrid w:val="0"/>
              <w:spacing w:line="360" w:lineRule="auto"/>
              <w:jc w:val="left"/>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详见竞争性磋商公告。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2" w:hRule="atLeast"/>
          <w:jc w:val="center"/>
        </w:trPr>
        <w:tc>
          <w:tcPr>
            <w:tcW w:w="871" w:type="dxa"/>
            <w:vMerge w:val="continue"/>
            <w:noWrap w:val="0"/>
            <w:vAlign w:val="center"/>
          </w:tcPr>
          <w:p>
            <w:pPr>
              <w:spacing w:line="360" w:lineRule="auto"/>
              <w:jc w:val="center"/>
              <w:rPr>
                <w:rFonts w:hint="eastAsia" w:ascii="宋体" w:hAnsi="宋体" w:eastAsia="宋体" w:cs="宋体"/>
                <w:color w:val="auto"/>
                <w:szCs w:val="21"/>
                <w:highlight w:val="none"/>
              </w:rPr>
            </w:pPr>
          </w:p>
        </w:tc>
        <w:tc>
          <w:tcPr>
            <w:tcW w:w="2640"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首次响应文件提交地点</w:t>
            </w:r>
          </w:p>
        </w:tc>
        <w:tc>
          <w:tcPr>
            <w:tcW w:w="6765" w:type="dxa"/>
            <w:noWrap w:val="0"/>
            <w:vAlign w:val="center"/>
          </w:tcPr>
          <w:p>
            <w:pPr>
              <w:snapToGrid w:val="0"/>
              <w:spacing w:line="360" w:lineRule="auto"/>
              <w:jc w:val="left"/>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详见竞争性磋商公告。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2" w:hRule="atLeast"/>
          <w:jc w:val="center"/>
        </w:trPr>
        <w:tc>
          <w:tcPr>
            <w:tcW w:w="871"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20.6</w:t>
            </w:r>
          </w:p>
        </w:tc>
        <w:tc>
          <w:tcPr>
            <w:tcW w:w="2640"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备份响应文件</w:t>
            </w:r>
          </w:p>
        </w:tc>
        <w:tc>
          <w:tcPr>
            <w:tcW w:w="6765" w:type="dxa"/>
            <w:noWrap w:val="0"/>
            <w:vAlign w:val="center"/>
          </w:tcPr>
          <w:p>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本项目不接受备份响应文件。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2" w:hRule="atLeast"/>
          <w:jc w:val="center"/>
        </w:trPr>
        <w:tc>
          <w:tcPr>
            <w:tcW w:w="871"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21</w:t>
            </w:r>
          </w:p>
        </w:tc>
        <w:tc>
          <w:tcPr>
            <w:tcW w:w="2640"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首次响应文件的退回</w:t>
            </w:r>
          </w:p>
        </w:tc>
        <w:tc>
          <w:tcPr>
            <w:tcW w:w="6765" w:type="dxa"/>
            <w:noWrap w:val="0"/>
            <w:vAlign w:val="center"/>
          </w:tcPr>
          <w:p>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详见竞争性磋商公告。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24" w:hRule="atLeast"/>
          <w:jc w:val="center"/>
        </w:trPr>
        <w:tc>
          <w:tcPr>
            <w:tcW w:w="871" w:type="dxa"/>
            <w:vMerge w:val="restart"/>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26.2</w:t>
            </w:r>
          </w:p>
        </w:tc>
        <w:tc>
          <w:tcPr>
            <w:tcW w:w="2640"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负偏离要求</w:t>
            </w:r>
          </w:p>
        </w:tc>
        <w:tc>
          <w:tcPr>
            <w:tcW w:w="6765" w:type="dxa"/>
            <w:noWrap w:val="0"/>
            <w:vAlign w:val="center"/>
          </w:tcPr>
          <w:p>
            <w:pPr>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商务条款评审中允许负偏离的条款数为</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single"/>
                <w:lang w:val="en-US" w:eastAsia="zh-CN"/>
              </w:rPr>
              <w:t xml:space="preserve">0 </w:t>
            </w:r>
            <w:r>
              <w:rPr>
                <w:rFonts w:hint="eastAsia" w:ascii="宋体" w:hAnsi="宋体" w:eastAsia="宋体" w:cs="宋体"/>
                <w:color w:val="auto"/>
                <w:szCs w:val="21"/>
                <w:highlight w:val="none"/>
              </w:rPr>
              <w:t>项。</w:t>
            </w:r>
          </w:p>
          <w:p>
            <w:pPr>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服务需求评审中允许负偏离的条款数为</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single"/>
                <w:lang w:val="en-US" w:eastAsia="zh-CN"/>
              </w:rPr>
              <w:t>0</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71" w:type="dxa"/>
            <w:vMerge w:val="continue"/>
            <w:noWrap w:val="0"/>
            <w:vAlign w:val="center"/>
          </w:tcPr>
          <w:p>
            <w:pPr>
              <w:spacing w:line="360" w:lineRule="auto"/>
              <w:jc w:val="center"/>
              <w:rPr>
                <w:rFonts w:hint="eastAsia" w:ascii="宋体" w:hAnsi="宋体" w:eastAsia="宋体" w:cs="宋体"/>
                <w:color w:val="auto"/>
                <w:szCs w:val="21"/>
                <w:highlight w:val="none"/>
              </w:rPr>
            </w:pPr>
          </w:p>
        </w:tc>
        <w:tc>
          <w:tcPr>
            <w:tcW w:w="2640" w:type="dxa"/>
            <w:noWrap w:val="0"/>
            <w:vAlign w:val="center"/>
          </w:tcPr>
          <w:p>
            <w:pPr>
              <w:snapToGrid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磋商的顺序</w:t>
            </w:r>
          </w:p>
          <w:p>
            <w:pPr>
              <w:spacing w:line="360" w:lineRule="auto"/>
              <w:jc w:val="center"/>
              <w:rPr>
                <w:rFonts w:hint="eastAsia" w:ascii="宋体" w:hAnsi="宋体" w:eastAsia="宋体" w:cs="宋体"/>
                <w:color w:val="auto"/>
                <w:szCs w:val="21"/>
                <w:highlight w:val="none"/>
              </w:rPr>
            </w:pPr>
          </w:p>
        </w:tc>
        <w:tc>
          <w:tcPr>
            <w:tcW w:w="6765" w:type="dxa"/>
            <w:noWrap w:val="0"/>
            <w:vAlign w:val="center"/>
          </w:tcPr>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按照提交首次响应文件的顺序，通知磋商时，若某供应商不在通知现场时，该供应商排序到最后磋商，按照签到的顺序由其下一位供应商先参与磋商。</w:t>
            </w:r>
          </w:p>
          <w:p>
            <w:pPr>
              <w:snapToGrid w:val="0"/>
              <w:spacing w:line="360" w:lineRule="auto"/>
              <w:rPr>
                <w:rFonts w:hint="eastAsia" w:ascii="宋体" w:hAnsi="宋体" w:eastAsia="宋体" w:cs="宋体"/>
                <w:b/>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随机排序。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71"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28</w:t>
            </w:r>
          </w:p>
        </w:tc>
        <w:tc>
          <w:tcPr>
            <w:tcW w:w="2640"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履约保证金</w:t>
            </w:r>
          </w:p>
        </w:tc>
        <w:tc>
          <w:tcPr>
            <w:tcW w:w="6765" w:type="dxa"/>
            <w:noWrap w:val="0"/>
            <w:vAlign w:val="center"/>
          </w:tcPr>
          <w:p>
            <w:pPr>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本项目不收取履约保证金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71"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29.5</w:t>
            </w:r>
          </w:p>
        </w:tc>
        <w:tc>
          <w:tcPr>
            <w:tcW w:w="2640"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签订合同携带的材料</w:t>
            </w:r>
          </w:p>
        </w:tc>
        <w:tc>
          <w:tcPr>
            <w:tcW w:w="6765" w:type="dxa"/>
            <w:noWrap w:val="0"/>
            <w:vAlign w:val="center"/>
          </w:tcPr>
          <w:p>
            <w:pPr>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使用的有效CA证书加盖单位电子公章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71" w:type="dxa"/>
            <w:vMerge w:val="restart"/>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31.2</w:t>
            </w:r>
          </w:p>
        </w:tc>
        <w:tc>
          <w:tcPr>
            <w:tcW w:w="2640" w:type="dxa"/>
            <w:noWrap w:val="0"/>
            <w:vAlign w:val="center"/>
          </w:tcPr>
          <w:p>
            <w:pPr>
              <w:spacing w:line="38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接收质疑函方式</w:t>
            </w:r>
          </w:p>
        </w:tc>
        <w:tc>
          <w:tcPr>
            <w:tcW w:w="6765" w:type="dxa"/>
            <w:noWrap w:val="0"/>
            <w:vAlign w:val="center"/>
          </w:tcPr>
          <w:p>
            <w:pPr>
              <w:snapToGrid w:val="0"/>
              <w:spacing w:line="38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以书面形式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71" w:type="dxa"/>
            <w:vMerge w:val="continue"/>
            <w:noWrap w:val="0"/>
            <w:vAlign w:val="center"/>
          </w:tcPr>
          <w:p>
            <w:pPr>
              <w:spacing w:line="360" w:lineRule="auto"/>
              <w:jc w:val="center"/>
              <w:rPr>
                <w:rFonts w:hint="eastAsia" w:ascii="宋体" w:hAnsi="宋体" w:eastAsia="宋体" w:cs="宋体"/>
                <w:color w:val="auto"/>
                <w:szCs w:val="21"/>
                <w:highlight w:val="none"/>
              </w:rPr>
            </w:pPr>
          </w:p>
        </w:tc>
        <w:tc>
          <w:tcPr>
            <w:tcW w:w="2640" w:type="dxa"/>
            <w:noWrap w:val="0"/>
            <w:vAlign w:val="center"/>
          </w:tcPr>
          <w:p>
            <w:pPr>
              <w:spacing w:line="38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质疑联系部门及联系方式</w:t>
            </w:r>
          </w:p>
        </w:tc>
        <w:tc>
          <w:tcPr>
            <w:tcW w:w="6765" w:type="dxa"/>
            <w:noWrap w:val="0"/>
            <w:vAlign w:val="center"/>
          </w:tcPr>
          <w:p>
            <w:pPr>
              <w:snapToGrid w:val="0"/>
              <w:spacing w:line="38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u w:val="single"/>
              </w:rPr>
              <w:t>（1）</w:t>
            </w:r>
            <w:r>
              <w:rPr>
                <w:rFonts w:hint="eastAsia" w:ascii="宋体" w:hAnsi="宋体" w:eastAsia="宋体" w:cs="宋体"/>
                <w:color w:val="auto"/>
                <w:szCs w:val="21"/>
                <w:highlight w:val="none"/>
                <w:u w:val="single"/>
                <w:lang w:eastAsia="zh-CN"/>
              </w:rPr>
              <w:t>广西星木工程咨询有限公司</w:t>
            </w:r>
            <w:r>
              <w:rPr>
                <w:rFonts w:hint="eastAsia" w:ascii="宋体" w:hAnsi="宋体" w:eastAsia="宋体" w:cs="宋体"/>
                <w:color w:val="auto"/>
                <w:szCs w:val="21"/>
                <w:highlight w:val="none"/>
              </w:rPr>
              <w:t>；</w:t>
            </w:r>
          </w:p>
          <w:p>
            <w:pPr>
              <w:snapToGrid w:val="0"/>
              <w:spacing w:line="38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联系电话</w:t>
            </w:r>
            <w:r>
              <w:rPr>
                <w:rFonts w:hint="eastAsia" w:ascii="宋体" w:hAnsi="宋体" w:eastAsia="宋体" w:cs="宋体"/>
                <w:color w:val="auto"/>
                <w:szCs w:val="21"/>
                <w:highlight w:val="none"/>
                <w:u w:val="single"/>
              </w:rPr>
              <w:t>：</w:t>
            </w:r>
            <w:r>
              <w:rPr>
                <w:rFonts w:hint="eastAsia" w:ascii="宋体" w:hAnsi="宋体" w:eastAsia="宋体" w:cs="宋体"/>
                <w:color w:val="auto"/>
                <w:szCs w:val="21"/>
                <w:highlight w:val="none"/>
                <w:u w:val="single"/>
                <w:lang w:eastAsia="zh-CN"/>
              </w:rPr>
              <w:t>0771-3132669</w:t>
            </w:r>
            <w:r>
              <w:rPr>
                <w:rFonts w:hint="eastAsia" w:ascii="宋体" w:hAnsi="宋体" w:eastAsia="宋体" w:cs="宋体"/>
                <w:color w:val="auto"/>
                <w:szCs w:val="21"/>
                <w:highlight w:val="none"/>
              </w:rPr>
              <w:t>，</w:t>
            </w:r>
          </w:p>
          <w:p>
            <w:pPr>
              <w:snapToGrid w:val="0"/>
              <w:spacing w:line="380" w:lineRule="exact"/>
              <w:rPr>
                <w:rFonts w:hint="eastAsia" w:ascii="宋体" w:hAnsi="宋体" w:eastAsia="宋体" w:cs="宋体"/>
                <w:color w:val="auto"/>
                <w:szCs w:val="21"/>
                <w:highlight w:val="none"/>
                <w:lang w:val="en-US"/>
              </w:rPr>
            </w:pPr>
            <w:r>
              <w:rPr>
                <w:rFonts w:hint="eastAsia" w:ascii="宋体" w:hAnsi="宋体" w:eastAsia="宋体" w:cs="宋体"/>
                <w:color w:val="auto"/>
                <w:szCs w:val="21"/>
                <w:highlight w:val="none"/>
              </w:rPr>
              <w:t>通讯地址：</w:t>
            </w:r>
            <w:r>
              <w:rPr>
                <w:rFonts w:hint="eastAsia" w:ascii="宋体" w:hAnsi="宋体" w:eastAsia="宋体" w:cs="宋体"/>
                <w:color w:val="auto"/>
                <w:szCs w:val="21"/>
                <w:highlight w:val="none"/>
                <w:u w:val="single"/>
                <w:lang w:val="en-US" w:eastAsia="zh-CN"/>
              </w:rPr>
              <w:t>南宁市青秀区佛子岭路18号德利国际·东盟文化广场B1栋十五层1508、1509号办公室</w:t>
            </w:r>
          </w:p>
          <w:p>
            <w:pPr>
              <w:snapToGrid w:val="0"/>
              <w:spacing w:line="38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u w:val="single"/>
              </w:rPr>
              <w:t>（2）</w:t>
            </w:r>
            <w:r>
              <w:rPr>
                <w:rFonts w:hint="eastAsia" w:ascii="宋体" w:hAnsi="宋体" w:eastAsia="宋体" w:cs="宋体"/>
                <w:color w:val="auto"/>
                <w:szCs w:val="21"/>
                <w:highlight w:val="none"/>
                <w:u w:val="single"/>
                <w:lang w:val="en-US" w:eastAsia="zh-CN"/>
              </w:rPr>
              <w:t>横州市民政局</w:t>
            </w:r>
            <w:r>
              <w:rPr>
                <w:rFonts w:hint="eastAsia" w:ascii="宋体" w:hAnsi="宋体" w:eastAsia="宋体" w:cs="宋体"/>
                <w:color w:val="auto"/>
                <w:szCs w:val="21"/>
                <w:highlight w:val="none"/>
              </w:rPr>
              <w:t>；</w:t>
            </w:r>
          </w:p>
          <w:p>
            <w:pPr>
              <w:snapToGrid w:val="0"/>
              <w:spacing w:line="38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联系电话：</w:t>
            </w:r>
            <w:r>
              <w:rPr>
                <w:rFonts w:hint="eastAsia" w:ascii="宋体" w:hAnsi="宋体" w:cs="宋体"/>
                <w:color w:val="auto"/>
                <w:szCs w:val="21"/>
                <w:highlight w:val="none"/>
                <w:u w:val="single"/>
                <w:lang w:val="en-US" w:eastAsia="zh-CN"/>
              </w:rPr>
              <w:t xml:space="preserve"> 0771-7223700</w:t>
            </w:r>
            <w:r>
              <w:rPr>
                <w:rFonts w:hint="eastAsia" w:ascii="宋体" w:hAnsi="宋体" w:eastAsia="宋体" w:cs="宋体"/>
                <w:color w:val="auto"/>
                <w:szCs w:val="21"/>
                <w:highlight w:val="none"/>
              </w:rPr>
              <w:t>，</w:t>
            </w:r>
          </w:p>
          <w:p>
            <w:pPr>
              <w:snapToGrid w:val="0"/>
              <w:spacing w:line="38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通讯地址：</w:t>
            </w:r>
            <w:r>
              <w:rPr>
                <w:rFonts w:hint="eastAsia" w:ascii="宋体" w:hAnsi="宋体" w:eastAsia="宋体" w:cs="宋体"/>
                <w:color w:val="auto"/>
                <w:szCs w:val="21"/>
                <w:highlight w:val="none"/>
                <w:u w:val="single"/>
                <w:lang w:val="en-US" w:eastAsia="zh-CN"/>
              </w:rPr>
              <w:t xml:space="preserve">横州市横州镇柳明路130号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71" w:type="dxa"/>
            <w:vMerge w:val="continue"/>
            <w:noWrap w:val="0"/>
            <w:vAlign w:val="center"/>
          </w:tcPr>
          <w:p>
            <w:pPr>
              <w:spacing w:line="360" w:lineRule="auto"/>
              <w:jc w:val="center"/>
              <w:rPr>
                <w:rFonts w:hint="eastAsia" w:ascii="宋体" w:hAnsi="宋体" w:eastAsia="宋体" w:cs="宋体"/>
                <w:color w:val="auto"/>
                <w:szCs w:val="21"/>
                <w:highlight w:val="none"/>
              </w:rPr>
            </w:pPr>
          </w:p>
        </w:tc>
        <w:tc>
          <w:tcPr>
            <w:tcW w:w="2640" w:type="dxa"/>
            <w:noWrap w:val="0"/>
            <w:vAlign w:val="center"/>
          </w:tcPr>
          <w:p>
            <w:pPr>
              <w:spacing w:line="380" w:lineRule="exact"/>
              <w:jc w:val="center"/>
              <w:rPr>
                <w:rFonts w:hint="eastAsia" w:ascii="宋体" w:hAnsi="宋体" w:eastAsia="宋体" w:cs="宋体"/>
                <w:color w:val="auto"/>
                <w:szCs w:val="21"/>
                <w:highlight w:val="none"/>
              </w:rPr>
            </w:pPr>
            <w:r>
              <w:rPr>
                <w:rFonts w:hint="eastAsia" w:ascii="宋体" w:hAnsi="宋体" w:eastAsia="宋体" w:cs="宋体"/>
                <w:color w:val="auto"/>
                <w:highlight w:val="none"/>
              </w:rPr>
              <w:t>现场提交质疑办理业务时间</w:t>
            </w:r>
          </w:p>
        </w:tc>
        <w:tc>
          <w:tcPr>
            <w:tcW w:w="6765" w:type="dxa"/>
            <w:noWrap w:val="0"/>
            <w:vAlign w:val="center"/>
          </w:tcPr>
          <w:p>
            <w:pPr>
              <w:snapToGrid w:val="0"/>
              <w:spacing w:line="380" w:lineRule="exact"/>
              <w:rPr>
                <w:rFonts w:hint="eastAsia" w:ascii="宋体" w:hAnsi="宋体" w:eastAsia="宋体" w:cs="宋体"/>
                <w:color w:val="auto"/>
                <w:szCs w:val="21"/>
                <w:highlight w:val="none"/>
              </w:rPr>
            </w:pPr>
            <w:r>
              <w:rPr>
                <w:rFonts w:hint="eastAsia" w:ascii="宋体" w:hAnsi="宋体" w:eastAsia="宋体" w:cs="宋体"/>
                <w:color w:val="auto"/>
                <w:highlight w:val="none"/>
              </w:rPr>
              <w:t>质疑期内每个工作日</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0</w:t>
            </w:r>
            <w:r>
              <w:rPr>
                <w:rFonts w:hint="eastAsia" w:ascii="宋体" w:hAnsi="宋体" w:eastAsia="宋体" w:cs="宋体"/>
                <w:color w:val="auto"/>
                <w:highlight w:val="none"/>
                <w:u w:val="single"/>
              </w:rPr>
              <w:t xml:space="preserve">8 </w:t>
            </w:r>
            <w:r>
              <w:rPr>
                <w:rFonts w:hint="eastAsia" w:ascii="宋体" w:hAnsi="宋体" w:eastAsia="宋体" w:cs="宋体"/>
                <w:color w:val="auto"/>
                <w:highlight w:val="none"/>
              </w:rPr>
              <w:t>时</w:t>
            </w:r>
            <w:r>
              <w:rPr>
                <w:rFonts w:hint="eastAsia" w:ascii="宋体" w:hAnsi="宋体" w:eastAsia="宋体" w:cs="宋体"/>
                <w:color w:val="auto"/>
                <w:highlight w:val="none"/>
                <w:u w:val="single"/>
              </w:rPr>
              <w:t xml:space="preserve"> 00 </w:t>
            </w:r>
            <w:r>
              <w:rPr>
                <w:rFonts w:hint="eastAsia" w:ascii="宋体" w:hAnsi="宋体" w:eastAsia="宋体" w:cs="宋体"/>
                <w:color w:val="auto"/>
                <w:highlight w:val="none"/>
              </w:rPr>
              <w:t>分到</w:t>
            </w:r>
            <w:r>
              <w:rPr>
                <w:rFonts w:hint="eastAsia" w:ascii="宋体" w:hAnsi="宋体" w:eastAsia="宋体" w:cs="宋体"/>
                <w:color w:val="auto"/>
                <w:highlight w:val="none"/>
                <w:u w:val="single"/>
              </w:rPr>
              <w:t xml:space="preserve"> 12 </w:t>
            </w:r>
            <w:r>
              <w:rPr>
                <w:rFonts w:hint="eastAsia" w:ascii="宋体" w:hAnsi="宋体" w:eastAsia="宋体" w:cs="宋体"/>
                <w:color w:val="auto"/>
                <w:highlight w:val="none"/>
              </w:rPr>
              <w:t>时</w:t>
            </w:r>
            <w:r>
              <w:rPr>
                <w:rFonts w:hint="eastAsia" w:ascii="宋体" w:hAnsi="宋体" w:eastAsia="宋体" w:cs="宋体"/>
                <w:color w:val="auto"/>
                <w:highlight w:val="none"/>
                <w:u w:val="single"/>
              </w:rPr>
              <w:t xml:space="preserve"> 00 </w:t>
            </w:r>
            <w:r>
              <w:rPr>
                <w:rFonts w:hint="eastAsia" w:ascii="宋体" w:hAnsi="宋体" w:eastAsia="宋体" w:cs="宋体"/>
                <w:color w:val="auto"/>
                <w:highlight w:val="none"/>
              </w:rPr>
              <w:t>分，</w:t>
            </w:r>
            <w:r>
              <w:rPr>
                <w:rFonts w:hint="eastAsia" w:ascii="宋体" w:hAnsi="宋体" w:eastAsia="宋体" w:cs="宋体"/>
                <w:color w:val="auto"/>
                <w:highlight w:val="none"/>
                <w:u w:val="single"/>
              </w:rPr>
              <w:t xml:space="preserve"> 15 </w:t>
            </w:r>
            <w:r>
              <w:rPr>
                <w:rFonts w:hint="eastAsia" w:ascii="宋体" w:hAnsi="宋体" w:eastAsia="宋体" w:cs="宋体"/>
                <w:color w:val="auto"/>
                <w:highlight w:val="none"/>
              </w:rPr>
              <w:t>时</w:t>
            </w:r>
            <w:r>
              <w:rPr>
                <w:rFonts w:hint="eastAsia" w:ascii="宋体" w:hAnsi="宋体" w:eastAsia="宋体" w:cs="宋体"/>
                <w:color w:val="auto"/>
                <w:highlight w:val="none"/>
                <w:u w:val="single"/>
              </w:rPr>
              <w:t>00</w:t>
            </w:r>
            <w:r>
              <w:rPr>
                <w:rFonts w:hint="eastAsia" w:ascii="宋体" w:hAnsi="宋体" w:eastAsia="宋体" w:cs="宋体"/>
                <w:color w:val="auto"/>
                <w:highlight w:val="none"/>
              </w:rPr>
              <w:t>分到</w:t>
            </w:r>
            <w:r>
              <w:rPr>
                <w:rFonts w:hint="eastAsia" w:ascii="宋体" w:hAnsi="宋体" w:eastAsia="宋体" w:cs="宋体"/>
                <w:color w:val="auto"/>
                <w:highlight w:val="none"/>
                <w:u w:val="single"/>
              </w:rPr>
              <w:t xml:space="preserve"> 18 </w:t>
            </w:r>
            <w:r>
              <w:rPr>
                <w:rFonts w:hint="eastAsia" w:ascii="宋体" w:hAnsi="宋体" w:eastAsia="宋体" w:cs="宋体"/>
                <w:color w:val="auto"/>
                <w:highlight w:val="none"/>
              </w:rPr>
              <w:t>时</w:t>
            </w:r>
            <w:r>
              <w:rPr>
                <w:rFonts w:hint="eastAsia" w:ascii="宋体" w:hAnsi="宋体" w:eastAsia="宋体" w:cs="宋体"/>
                <w:color w:val="auto"/>
                <w:highlight w:val="none"/>
                <w:u w:val="single"/>
              </w:rPr>
              <w:t xml:space="preserve"> 00</w:t>
            </w:r>
            <w:r>
              <w:rPr>
                <w:rFonts w:hint="eastAsia" w:ascii="宋体" w:hAnsi="宋体" w:eastAsia="宋体" w:cs="宋体"/>
                <w:color w:val="auto"/>
                <w:highlight w:val="none"/>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315" w:hRule="atLeast"/>
          <w:jc w:val="center"/>
        </w:trPr>
        <w:tc>
          <w:tcPr>
            <w:tcW w:w="871"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31.6</w:t>
            </w:r>
          </w:p>
        </w:tc>
        <w:tc>
          <w:tcPr>
            <w:tcW w:w="2640"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受理投诉方式</w:t>
            </w:r>
          </w:p>
        </w:tc>
        <w:tc>
          <w:tcPr>
            <w:tcW w:w="6765" w:type="dxa"/>
            <w:noWrap w:val="0"/>
            <w:vAlign w:val="center"/>
          </w:tcPr>
          <w:p>
            <w:pPr>
              <w:snapToGrid w:val="0"/>
              <w:spacing w:line="380" w:lineRule="exact"/>
              <w:rPr>
                <w:rFonts w:hint="eastAsia" w:ascii="宋体" w:hAnsi="宋体" w:eastAsia="宋体" w:cs="宋体"/>
                <w:color w:val="auto"/>
                <w:highlight w:val="none"/>
              </w:rPr>
            </w:pPr>
            <w:r>
              <w:rPr>
                <w:rFonts w:hint="eastAsia" w:ascii="宋体" w:hAnsi="宋体" w:eastAsia="宋体" w:cs="宋体"/>
                <w:color w:val="auto"/>
                <w:highlight w:val="none"/>
              </w:rPr>
              <w:t>1、受理方式：纸质方式受理，投诉书正、副本（经过质疑的事项才可投诉）。</w:t>
            </w:r>
          </w:p>
          <w:p>
            <w:pPr>
              <w:snapToGrid w:val="0"/>
              <w:spacing w:line="380" w:lineRule="exact"/>
              <w:rPr>
                <w:rFonts w:hint="eastAsia" w:ascii="宋体" w:hAnsi="宋体" w:eastAsia="宋体" w:cs="宋体"/>
                <w:color w:val="auto"/>
                <w:highlight w:val="none"/>
              </w:rPr>
            </w:pPr>
            <w:r>
              <w:rPr>
                <w:rFonts w:hint="eastAsia" w:ascii="宋体" w:hAnsi="宋体" w:eastAsia="宋体" w:cs="宋体"/>
                <w:color w:val="auto"/>
                <w:highlight w:val="none"/>
              </w:rPr>
              <w:t>2、邮寄地址：</w:t>
            </w:r>
          </w:p>
          <w:p>
            <w:pPr>
              <w:snapToGrid w:val="0"/>
              <w:spacing w:line="380" w:lineRule="exact"/>
              <w:ind w:firstLine="420" w:firstLineChars="200"/>
              <w:rPr>
                <w:rFonts w:ascii="宋体" w:hAnsi="宋体" w:cs="宋体"/>
                <w:color w:val="auto"/>
                <w:highlight w:val="none"/>
              </w:rPr>
            </w:pPr>
            <w:r>
              <w:rPr>
                <w:rFonts w:hint="eastAsia" w:ascii="宋体" w:hAnsi="宋体" w:cs="宋体"/>
                <w:color w:val="auto"/>
                <w:highlight w:val="none"/>
              </w:rPr>
              <w:t>名称：南宁市横州市财政局</w:t>
            </w:r>
          </w:p>
          <w:p>
            <w:pPr>
              <w:snapToGrid w:val="0"/>
              <w:spacing w:line="380" w:lineRule="exact"/>
              <w:ind w:firstLine="420" w:firstLineChars="200"/>
              <w:rPr>
                <w:rFonts w:hint="eastAsia" w:ascii="宋体" w:hAnsi="宋体" w:cs="宋体"/>
                <w:color w:val="auto"/>
                <w:highlight w:val="none"/>
              </w:rPr>
            </w:pPr>
            <w:r>
              <w:rPr>
                <w:rFonts w:hint="eastAsia" w:ascii="宋体" w:hAnsi="宋体" w:cs="宋体"/>
                <w:color w:val="auto"/>
                <w:highlight w:val="none"/>
              </w:rPr>
              <w:t>地址：广西横州市横州镇柳明路022号</w:t>
            </w:r>
          </w:p>
          <w:p>
            <w:pPr>
              <w:snapToGrid w:val="0"/>
              <w:spacing w:line="380" w:lineRule="exact"/>
              <w:ind w:firstLine="420" w:firstLineChars="200"/>
              <w:rPr>
                <w:rFonts w:hint="default" w:ascii="宋体" w:hAnsi="宋体" w:eastAsia="宋体" w:cs="宋体"/>
                <w:color w:val="auto"/>
                <w:highlight w:val="none"/>
                <w:lang w:val="en-US" w:eastAsia="zh-CN"/>
              </w:rPr>
            </w:pPr>
            <w:r>
              <w:rPr>
                <w:rFonts w:hint="eastAsia" w:ascii="宋体" w:hAnsi="宋体" w:cs="宋体"/>
                <w:color w:val="auto"/>
                <w:highlight w:val="none"/>
              </w:rPr>
              <w:t>联系电话：0771-7233567</w:t>
            </w:r>
            <w:r>
              <w:rPr>
                <w:rFonts w:hint="eastAsia" w:ascii="宋体" w:hAnsi="宋体" w:cs="宋体"/>
                <w:color w:val="auto"/>
                <w:highlight w:val="none"/>
                <w:lang w:val="en-US" w:eastAsia="zh-CN"/>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71"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33</w:t>
            </w:r>
          </w:p>
        </w:tc>
        <w:tc>
          <w:tcPr>
            <w:tcW w:w="2640"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采购代理费</w:t>
            </w:r>
          </w:p>
        </w:tc>
        <w:tc>
          <w:tcPr>
            <w:tcW w:w="6765" w:type="dxa"/>
            <w:noWrap w:val="0"/>
            <w:vAlign w:val="center"/>
          </w:tcPr>
          <w:p>
            <w:pPr>
              <w:pStyle w:val="16"/>
              <w:snapToGrid w:val="0"/>
              <w:spacing w:line="400" w:lineRule="exact"/>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1、采购代理服务费支付方式：本项目代理服务费由成交供应商在领取成交通知书前，一次性向采购代理机构支付。</w:t>
            </w:r>
          </w:p>
          <w:p>
            <w:pPr>
              <w:pStyle w:val="16"/>
              <w:snapToGrid w:val="0"/>
              <w:spacing w:line="400" w:lineRule="exact"/>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2、采购代理服务费收取标准：</w:t>
            </w:r>
          </w:p>
          <w:p>
            <w:pPr>
              <w:pStyle w:val="16"/>
              <w:snapToGrid w:val="0"/>
              <w:spacing w:line="400" w:lineRule="exact"/>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以成交金额为计费额，按照国家发展计划委员会计价格[2002]1980号《招标代理服务费管理暂行办法》收费标准及发改价格[2011]534号文规定的（服务类）标准计取。</w:t>
            </w:r>
          </w:p>
          <w:p>
            <w:pPr>
              <w:pStyle w:val="16"/>
              <w:snapToGrid w:val="0"/>
              <w:spacing w:line="400" w:lineRule="exact"/>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3、开户名称：广西星木工程咨询有限公司</w:t>
            </w:r>
          </w:p>
          <w:p>
            <w:pPr>
              <w:pStyle w:val="16"/>
              <w:snapToGrid w:val="0"/>
              <w:spacing w:line="400" w:lineRule="exact"/>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银行账号：660000019017100018</w:t>
            </w:r>
          </w:p>
          <w:p>
            <w:pPr>
              <w:pStyle w:val="16"/>
              <w:snapToGrid w:val="0"/>
              <w:spacing w:line="400" w:lineRule="exact"/>
              <w:rPr>
                <w:rFonts w:hint="eastAsia" w:ascii="宋体" w:hAnsi="宋体" w:eastAsia="宋体" w:cs="宋体"/>
                <w:color w:val="auto"/>
                <w:kern w:val="0"/>
                <w:szCs w:val="21"/>
                <w:highlight w:val="none"/>
              </w:rPr>
            </w:pPr>
            <w:r>
              <w:rPr>
                <w:rFonts w:hint="eastAsia" w:ascii="宋体" w:hAnsi="宋体" w:eastAsia="宋体" w:cs="宋体"/>
                <w:color w:val="auto"/>
                <w:sz w:val="21"/>
                <w:highlight w:val="none"/>
                <w:lang w:val="en-US" w:eastAsia="zh-CN"/>
              </w:rPr>
              <w:t xml:space="preserve">开户银行：桂林银行股份有限公司南宁桃源支行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71"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34.1</w:t>
            </w:r>
          </w:p>
        </w:tc>
        <w:tc>
          <w:tcPr>
            <w:tcW w:w="2640"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highlight w:val="none"/>
              </w:rPr>
              <w:t>解释</w:t>
            </w:r>
          </w:p>
        </w:tc>
        <w:tc>
          <w:tcPr>
            <w:tcW w:w="6765" w:type="dxa"/>
            <w:noWrap w:val="0"/>
            <w:vAlign w:val="center"/>
          </w:tcPr>
          <w:p>
            <w:pPr>
              <w:pStyle w:val="16"/>
              <w:snapToGrid w:val="0"/>
              <w:spacing w:line="360" w:lineRule="auto"/>
              <w:rPr>
                <w:rFonts w:hint="eastAsia" w:ascii="宋体" w:hAnsi="宋体" w:eastAsia="宋体" w:cs="宋体"/>
                <w:b/>
                <w:color w:val="auto"/>
                <w:sz w:val="21"/>
                <w:highlight w:val="none"/>
                <w:lang w:val="en-US" w:eastAsia="zh-CN"/>
              </w:rPr>
            </w:pPr>
            <w:r>
              <w:rPr>
                <w:rFonts w:hint="eastAsia" w:ascii="宋体" w:hAnsi="宋体" w:eastAsia="宋体" w:cs="宋体"/>
                <w:b/>
                <w:color w:val="auto"/>
                <w:sz w:val="21"/>
                <w:highlight w:val="none"/>
                <w:lang w:val="en-US" w:eastAsia="zh-CN"/>
              </w:rPr>
              <w:t>解释权：</w:t>
            </w:r>
            <w:r>
              <w:rPr>
                <w:rFonts w:hint="eastAsia" w:ascii="宋体" w:hAnsi="宋体" w:eastAsia="宋体" w:cs="宋体"/>
                <w:color w:val="auto"/>
                <w:sz w:val="21"/>
                <w:highlight w:val="none"/>
                <w:lang w:val="en-US" w:eastAsia="zh-CN"/>
              </w:rPr>
              <w:t>构成本磋商文件的各个组成文件应互为解释，互为说明；除磋商文件中有特别规定外，仅适用于竞标阶段的规定，按更正公告（澄清公告）、竞争性磋商公告、供应商须知、采购需求、评审程序、评审方法和评审标准、响应文件格式、合同文本的先后顺序解释；同一组成文件中就同一事项的规定或者约定不一致的，以编排顺序在后者为准；同一组成文件不同版本之间有不一致的，以形成时间在后者为准；更正公告（澄清公告）与同步更新的磋商文件不一致时以更正公告（澄清公告）为准。按本款前述规定仍不能形成结论的，</w:t>
            </w:r>
            <w:r>
              <w:rPr>
                <w:rFonts w:hint="eastAsia" w:ascii="宋体" w:hAnsi="宋体" w:eastAsia="宋体" w:cs="宋体"/>
                <w:b/>
                <w:color w:val="auto"/>
                <w:sz w:val="21"/>
                <w:highlight w:val="none"/>
                <w:lang w:val="en-US" w:eastAsia="zh-CN"/>
              </w:rPr>
              <w:t>由采购人或者采购代理机构负责解释。</w:t>
            </w:r>
          </w:p>
          <w:p>
            <w:pPr>
              <w:pStyle w:val="16"/>
              <w:snapToGrid w:val="0"/>
              <w:spacing w:line="360" w:lineRule="auto"/>
              <w:rPr>
                <w:rFonts w:hint="eastAsia" w:ascii="宋体" w:hAnsi="宋体" w:eastAsia="宋体" w:cs="宋体"/>
                <w:b/>
                <w:color w:val="auto"/>
                <w:sz w:val="21"/>
                <w:highlight w:val="none"/>
                <w:lang w:val="en-US" w:eastAsia="zh-CN"/>
              </w:rPr>
            </w:pPr>
            <w:r>
              <w:rPr>
                <w:rFonts w:hint="eastAsia" w:ascii="宋体" w:hAnsi="宋体" w:eastAsia="宋体" w:cs="宋体"/>
                <w:b/>
                <w:color w:val="auto"/>
                <w:sz w:val="21"/>
                <w:highlight w:val="none"/>
                <w:lang w:val="en-US" w:eastAsia="zh-CN"/>
              </w:rPr>
              <w:t>法律责任：</w:t>
            </w:r>
          </w:p>
          <w:p>
            <w:pPr>
              <w:pStyle w:val="16"/>
              <w:snapToGrid w:val="0"/>
              <w:spacing w:line="360" w:lineRule="auto"/>
              <w:rPr>
                <w:rFonts w:hint="eastAsia" w:ascii="宋体" w:hAnsi="宋体" w:eastAsia="宋体" w:cs="宋体"/>
                <w:color w:val="auto"/>
                <w:sz w:val="21"/>
                <w:highlight w:val="none"/>
                <w:lang w:val="en-US" w:eastAsia="zh-CN"/>
              </w:rPr>
            </w:pPr>
            <w:r>
              <w:rPr>
                <w:rFonts w:hint="eastAsia" w:ascii="宋体" w:hAnsi="宋体" w:eastAsia="宋体" w:cs="宋体"/>
                <w:b/>
                <w:color w:val="auto"/>
                <w:sz w:val="21"/>
                <w:highlight w:val="none"/>
                <w:lang w:val="en-US" w:eastAsia="zh-CN"/>
              </w:rPr>
              <w:t>1.</w:t>
            </w:r>
            <w:r>
              <w:rPr>
                <w:rFonts w:hint="eastAsia" w:ascii="宋体" w:hAnsi="宋体" w:eastAsia="宋体" w:cs="宋体"/>
                <w:color w:val="auto"/>
                <w:sz w:val="21"/>
                <w:highlight w:val="none"/>
                <w:lang w:val="en-US" w:eastAsia="zh-CN"/>
              </w:rPr>
              <w:t>本采购文件根据《中华人民共和国政府采购法》、《中华人民共和国民法典》；《中华人民共和国政府采购法实施条例》、《政府采购竞争性磋商采购方式管理暂行办法》等有关法律、法规编制，参与本项目的各政府采购当事人依法享有上述法律法规所赋予的权利与义务。</w:t>
            </w:r>
          </w:p>
          <w:p>
            <w:pPr>
              <w:spacing w:line="360" w:lineRule="auto"/>
              <w:rPr>
                <w:rFonts w:hint="eastAsia" w:ascii="宋体" w:hAnsi="宋体" w:eastAsia="宋体" w:cs="宋体"/>
                <w:color w:val="auto"/>
                <w:highlight w:val="none"/>
              </w:rPr>
            </w:pPr>
            <w:r>
              <w:rPr>
                <w:rFonts w:hint="eastAsia" w:ascii="宋体" w:hAnsi="宋体" w:eastAsia="宋体" w:cs="宋体"/>
                <w:b/>
                <w:color w:val="auto"/>
                <w:highlight w:val="none"/>
              </w:rPr>
              <w:t>2.</w:t>
            </w:r>
            <w:r>
              <w:rPr>
                <w:rFonts w:hint="eastAsia" w:ascii="宋体" w:hAnsi="宋体" w:eastAsia="宋体" w:cs="宋体"/>
                <w:b/>
                <w:color w:val="auto"/>
                <w:szCs w:val="21"/>
                <w:highlight w:val="none"/>
              </w:rPr>
              <w:t>本项目采购代理机构应严格按照</w:t>
            </w:r>
            <w:r>
              <w:rPr>
                <w:rFonts w:hint="eastAsia" w:ascii="宋体" w:hAnsi="宋体" w:eastAsia="宋体" w:cs="宋体"/>
                <w:b/>
                <w:color w:val="auto"/>
                <w:szCs w:val="21"/>
                <w:highlight w:val="none"/>
                <w:lang w:eastAsia="zh-CN"/>
              </w:rPr>
              <w:t>“广西政府采购云平台”</w:t>
            </w:r>
            <w:r>
              <w:rPr>
                <w:rFonts w:hint="eastAsia" w:ascii="宋体" w:hAnsi="宋体" w:eastAsia="宋体" w:cs="宋体"/>
                <w:b/>
                <w:color w:val="auto"/>
                <w:szCs w:val="21"/>
                <w:highlight w:val="none"/>
              </w:rPr>
              <w:t>项目采购全流程电子化电子开评标规程执行项目采购活动，代理机构在</w:t>
            </w:r>
            <w:r>
              <w:rPr>
                <w:rFonts w:hint="eastAsia" w:ascii="宋体" w:hAnsi="宋体" w:eastAsia="宋体" w:cs="宋体"/>
                <w:b/>
                <w:color w:val="auto"/>
                <w:szCs w:val="21"/>
                <w:highlight w:val="none"/>
                <w:lang w:eastAsia="zh-CN"/>
              </w:rPr>
              <w:t>“广西政府采购云平台”</w:t>
            </w:r>
            <w:r>
              <w:rPr>
                <w:rFonts w:hint="eastAsia" w:ascii="宋体" w:hAnsi="宋体" w:eastAsia="宋体" w:cs="宋体"/>
                <w:b/>
                <w:color w:val="auto"/>
                <w:szCs w:val="21"/>
                <w:highlight w:val="none"/>
              </w:rPr>
              <w:t>的“项目管理”—“采购文件管理”内开评标规则设置作为本采购文件的组成部分，截标之后不可更改，因代理机构开评标规则设置错误导致采购活动无法开展下去的情况，由代理机构负责解释并承担其后果。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71"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34.2</w:t>
            </w:r>
          </w:p>
        </w:tc>
        <w:tc>
          <w:tcPr>
            <w:tcW w:w="2640"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其他</w:t>
            </w:r>
          </w:p>
        </w:tc>
        <w:tc>
          <w:tcPr>
            <w:tcW w:w="6765" w:type="dxa"/>
            <w:noWrap w:val="0"/>
            <w:vAlign w:val="center"/>
          </w:tcPr>
          <w:p>
            <w:pPr>
              <w:snapToGrid w:val="0"/>
              <w:spacing w:line="36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本磋商文件中描述供应商的“公章”是指根据我国对公章的管理规定，用供应商法定主体行为名称制作的印章，除本磋商文件有特殊规定外，供应商的财务章、部门章、分公司章、工会章、合同章、竞标/投标专用章、业务专用章及银行的转账章、现金收讫章、现金付讫章等其他形式印章均不能代替公章。</w:t>
            </w:r>
          </w:p>
          <w:p>
            <w:pPr>
              <w:snapToGrid w:val="0"/>
              <w:spacing w:line="36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pPr>
              <w:snapToGrid w:val="0"/>
              <w:spacing w:line="36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3.本磋商文件中描述供应商的“签字”是指供应商的法定代表人或者委托代理人亲自在文件规定签署处亲笔写上个人的名字的行为，私章、签字章、印鉴、影印等其他形式均不能代替亲笔签字。</w:t>
            </w:r>
          </w:p>
          <w:p>
            <w:pPr>
              <w:snapToGrid w:val="0"/>
              <w:spacing w:line="36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4.自然人竞标的，磋商文件规定盖公章处由自然人摁手指指印。</w:t>
            </w:r>
          </w:p>
          <w:p>
            <w:pPr>
              <w:snapToGrid w:val="0"/>
              <w:spacing w:line="36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5.本磋商文件所称的“以上”“以下”“以内”“届满”，包括本数；所称的“不满”“超过”“以外”，不包括本数。</w:t>
            </w:r>
          </w:p>
        </w:tc>
      </w:tr>
    </w:tbl>
    <w:p>
      <w:pPr>
        <w:keepNext/>
        <w:keepLines/>
        <w:pageBreakBefore w:val="0"/>
        <w:widowControl w:val="0"/>
        <w:kinsoku/>
        <w:wordWrap/>
        <w:overflowPunct/>
        <w:topLinePunct w:val="0"/>
        <w:autoSpaceDE/>
        <w:autoSpaceDN/>
        <w:bidi w:val="0"/>
        <w:adjustRightInd/>
        <w:snapToGrid/>
        <w:spacing w:line="420" w:lineRule="exact"/>
        <w:jc w:val="center"/>
        <w:textAlignment w:val="auto"/>
        <w:outlineLvl w:val="1"/>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br w:type="page"/>
      </w:r>
      <w:bookmarkStart w:id="63" w:name="_Toc5418"/>
      <w:bookmarkStart w:id="64" w:name="_Toc28498"/>
      <w:r>
        <w:rPr>
          <w:rFonts w:hint="eastAsia" w:ascii="宋体" w:hAnsi="宋体" w:eastAsia="宋体" w:cs="宋体"/>
          <w:bCs/>
          <w:color w:val="auto"/>
          <w:sz w:val="32"/>
          <w:szCs w:val="32"/>
          <w:highlight w:val="none"/>
        </w:rPr>
        <w:t>第二节 供应商须知正文</w:t>
      </w:r>
      <w:bookmarkEnd w:id="63"/>
      <w:bookmarkEnd w:id="64"/>
    </w:p>
    <w:p>
      <w:pPr>
        <w:keepNext/>
        <w:keepLines/>
        <w:spacing w:line="360" w:lineRule="auto"/>
        <w:ind w:firstLine="320" w:firstLineChars="100"/>
        <w:outlineLvl w:val="2"/>
        <w:rPr>
          <w:rFonts w:hint="eastAsia" w:ascii="宋体" w:hAnsi="宋体" w:eastAsia="宋体" w:cs="宋体"/>
          <w:bCs/>
          <w:color w:val="auto"/>
          <w:sz w:val="32"/>
          <w:szCs w:val="32"/>
          <w:highlight w:val="none"/>
        </w:rPr>
      </w:pPr>
      <w:bookmarkStart w:id="65" w:name="_Toc10969"/>
      <w:bookmarkStart w:id="66" w:name="_Toc485"/>
      <w:r>
        <w:rPr>
          <w:rFonts w:hint="eastAsia" w:ascii="宋体" w:hAnsi="宋体" w:eastAsia="宋体" w:cs="宋体"/>
          <w:bCs/>
          <w:color w:val="auto"/>
          <w:sz w:val="32"/>
          <w:szCs w:val="32"/>
          <w:highlight w:val="none"/>
        </w:rPr>
        <w:t>一、总则</w:t>
      </w:r>
      <w:bookmarkEnd w:id="65"/>
      <w:bookmarkEnd w:id="66"/>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1.适用范围</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1.1本项目采购人、采购代理机构、供应商、磋商小组的相关行为均受《中华人民共和国政府采购法》《中华人民共和国政府采购法实施条例》《政府采购竞争性磋商采购方式管理暂行办法》《财政部关于政府采购竞争性磋商采购方式管理暂行办法有关问题的补充通知》及本项目本级和上级财政部门政府采购有关规定的约束和保护。</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w:t>
      </w:r>
      <w:r>
        <w:rPr>
          <w:rFonts w:hint="eastAsia" w:ascii="宋体" w:hAnsi="宋体" w:eastAsia="宋体" w:cs="宋体"/>
          <w:color w:val="auto"/>
          <w:spacing w:val="-6"/>
          <w:szCs w:val="21"/>
          <w:highlight w:val="none"/>
        </w:rPr>
        <w:t>本竞争性磋商文件（以下简称磋商文件）适用于本项目的所有采购程序和环节（法律、法规另有规定的，从其规定）。</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2.定义</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2.1“采购人”是指依法进行政府采购的国家机关、事业单位、团体组织。</w:t>
      </w:r>
    </w:p>
    <w:p>
      <w:pPr>
        <w:spacing w:line="360" w:lineRule="auto"/>
        <w:ind w:firstLine="420" w:firstLineChars="20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2.2“采购代理机构”是指政府采购集中采购机构和集中采购机构以外的采购代理机构。</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2.3“供应商”是指向采购人提供货物、工程或者服务的法人、其他组织或者自然人。</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2.4“服务”是指除货物和工程以外的其他政府采购对象。</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2.5“竞标”是指供应商按照本项目竞争性磋商公告或者邀请函规定的方式获取磋商文件、提交响应文件并希望获得标的的行为。</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2.6“响应文件”</w:t>
      </w:r>
      <w:r>
        <w:rPr>
          <w:rFonts w:hint="eastAsia" w:ascii="宋体" w:hAnsi="宋体" w:eastAsia="宋体" w:cs="宋体"/>
          <w:color w:val="auto"/>
          <w:spacing w:val="-6"/>
          <w:szCs w:val="21"/>
          <w:highlight w:val="none"/>
        </w:rPr>
        <w:t>是指：供应商根据本磋商文件要求，编制包含资格证明、报价商务技术等所有内容的文件。</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2.7“实质性要求”是指磋商文件中已经指明不满足则响应文件按无效响应处理的条款，或者不能负偏离的条款，或者采购需求中带“▲”的条款。</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2.8“正偏离”，是指响应文件对磋商文件“采购需求”中有关条款作出的响应优于条款要求并有利于采购人的情形。</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2.9“负偏离”，是指响应文件对磋商文件“采购需求”中有关条款作出的响应不满足条款要求，导致采购人要求不能得到满足的情形。</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2.10“允许负偏离的条款”是指采购需求中的不属于“实质性要求”的条款。</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2.11“书面形式”是指合同书、信件和数据电文（包括电报、电传、传真、电子数据交换和电子邮件）等可以有形地表现所载内容的形式。</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2.12“首次报价”是指供应商提交的首次响应文件中的报价。</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2.13“评审报价”是指供应商提交的最后报价并经修正（如有）和政策功能价格扣除（如有）后的价格。</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3.供应商的资格条件</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供应商的资格条件详见“供应商须知前附表”。</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4.磋商费用</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供应商应承担参与本次采购活动有关的所有费用，包括但不限于、勘查现场、编制和提交响应文件、参加磋商与应答、签订合同等，不论竞标结果如何，均应自行承担。</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5.联合体竞标</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5.1本项目是否接受联合体竞标，详见“供应商须知前附表”。</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5.2</w:t>
      </w:r>
      <w:r>
        <w:rPr>
          <w:rFonts w:hint="eastAsia" w:ascii="宋体" w:hAnsi="宋体" w:eastAsia="宋体" w:cs="宋体"/>
          <w:color w:val="auto"/>
          <w:highlight w:val="none"/>
        </w:rPr>
        <w:t>如接受联合体竞标，</w:t>
      </w:r>
      <w:r>
        <w:rPr>
          <w:rFonts w:hint="eastAsia" w:ascii="宋体" w:hAnsi="宋体" w:eastAsia="宋体" w:cs="宋体"/>
          <w:color w:val="auto"/>
          <w:szCs w:val="21"/>
          <w:highlight w:val="none"/>
        </w:rPr>
        <w:t>联合体竞标要求详见“供应商须知前附表”。</w:t>
      </w:r>
    </w:p>
    <w:p>
      <w:pPr>
        <w:spacing w:line="360" w:lineRule="auto"/>
        <w:ind w:firstLine="420" w:firstLineChars="200"/>
        <w:rPr>
          <w:rFonts w:hint="eastAsia" w:ascii="宋体" w:hAnsi="宋体" w:eastAsia="宋体" w:cs="宋体"/>
          <w:bCs/>
          <w:color w:val="auto"/>
          <w:szCs w:val="21"/>
          <w:highlight w:val="none"/>
        </w:rPr>
      </w:pPr>
      <w:r>
        <w:rPr>
          <w:rFonts w:hint="eastAsia" w:ascii="宋体" w:hAnsi="宋体" w:eastAsia="宋体" w:cs="宋体"/>
          <w:color w:val="auto"/>
          <w:szCs w:val="21"/>
          <w:highlight w:val="none"/>
        </w:rPr>
        <w:t>5.3</w:t>
      </w:r>
      <w:r>
        <w:rPr>
          <w:rFonts w:hint="eastAsia" w:ascii="宋体" w:hAnsi="宋体" w:eastAsia="宋体" w:cs="宋体"/>
          <w:bCs/>
          <w:color w:val="auto"/>
          <w:szCs w:val="21"/>
          <w:highlight w:val="none"/>
        </w:rPr>
        <w:t>根据《政府采购促进中小企业发展暂行办法》（财库[2020]46号）第九条规定，接受大中型企业与小微企业组成联合体的采购项目，对于联合协议约定小微企业的合同份额占到合同总金额 30%以上的，采购人、采购代理机构应当对联合体的报价给予 2%-3%（工程项目为 1%—2%）的扣除，用扣除后的价格参加评审。组成联合体的小微企业与联合体内其他企业、分包企业之间存在直接控股、管理关系的，不享受价格扣除优惠政策。</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 xml:space="preserve">6.转包与分包             </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6.1本项目是否允许分包详见“供应商须知前附表”，本项目不允许违法分包。</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6.2</w:t>
      </w:r>
      <w:r>
        <w:rPr>
          <w:rFonts w:hint="eastAsia" w:ascii="宋体" w:hAnsi="宋体" w:eastAsia="宋体" w:cs="宋体"/>
          <w:bCs/>
          <w:color w:val="auto"/>
          <w:szCs w:val="21"/>
          <w:highlight w:val="none"/>
        </w:rPr>
        <w:t>根据《政府采购促进中小企业发展暂行办法》（财库[2020]46号）第九条规定，允许大中型企业向一家或者多家小微企业分包的采购项目，对于分包意向协议约定小微企业的合同份额占到合同总金额 30%以上的，采购人、采购代理机构应当对大中型企业的报价给予 2%-3%的扣除，用扣除后的价格参加评审。接受分包的小微企业与分包企业之间存在直接控股、管理关系的，不享受价格扣除优惠政策。</w:t>
      </w:r>
    </w:p>
    <w:p>
      <w:pPr>
        <w:spacing w:line="360" w:lineRule="auto"/>
        <w:ind w:firstLine="482" w:firstLineChars="200"/>
        <w:rPr>
          <w:rFonts w:hint="eastAsia" w:ascii="宋体" w:hAnsi="宋体" w:eastAsia="宋体" w:cs="宋体"/>
          <w:b/>
          <w:bCs/>
          <w:color w:val="auto"/>
          <w:sz w:val="24"/>
          <w:highlight w:val="none"/>
        </w:rPr>
      </w:pPr>
      <w:bookmarkStart w:id="67" w:name="_Toc254970673"/>
      <w:bookmarkStart w:id="68" w:name="_Toc254970532"/>
      <w:r>
        <w:rPr>
          <w:rFonts w:hint="eastAsia" w:ascii="宋体" w:hAnsi="宋体" w:eastAsia="宋体" w:cs="宋体"/>
          <w:b/>
          <w:bCs/>
          <w:color w:val="auto"/>
          <w:sz w:val="24"/>
          <w:highlight w:val="none"/>
        </w:rPr>
        <w:t>7.特别说明</w:t>
      </w:r>
      <w:bookmarkEnd w:id="67"/>
      <w:bookmarkEnd w:id="68"/>
    </w:p>
    <w:p>
      <w:pPr>
        <w:spacing w:line="360" w:lineRule="auto"/>
        <w:ind w:firstLine="420" w:firstLineChars="200"/>
        <w:rPr>
          <w:rFonts w:hint="eastAsia" w:ascii="宋体" w:hAnsi="宋体" w:eastAsia="宋体" w:cs="宋体"/>
          <w:color w:val="auto"/>
          <w:szCs w:val="21"/>
          <w:highlight w:val="none"/>
        </w:rPr>
      </w:pPr>
      <w:bookmarkStart w:id="69" w:name="_8.1提供相同品牌产品且通过资格审查、符合性审查的不同投标人参加同一合"/>
      <w:bookmarkEnd w:id="69"/>
      <w:r>
        <w:rPr>
          <w:rFonts w:hint="eastAsia" w:ascii="宋体" w:hAnsi="宋体" w:eastAsia="宋体" w:cs="宋体"/>
          <w:color w:val="auto"/>
          <w:szCs w:val="21"/>
          <w:highlight w:val="none"/>
        </w:rPr>
        <w:t>7.1</w:t>
      </w:r>
      <w:bookmarkStart w:id="70" w:name="_Hlk65832145"/>
      <w:r>
        <w:rPr>
          <w:rFonts w:hint="eastAsia" w:ascii="宋体" w:hAnsi="宋体" w:eastAsia="宋体" w:cs="宋体"/>
          <w:color w:val="auto"/>
          <w:szCs w:val="21"/>
          <w:highlight w:val="none"/>
        </w:rPr>
        <w:t>如果本磋商文件要求提供供应商或制造商的资格、信誉、荣誉、业绩与企业认证等材料的，资格、信誉、荣誉、业绩与企业认证等必须为供应商或者制造商所拥有或自身获得 。</w:t>
      </w:r>
    </w:p>
    <w:bookmarkEnd w:id="70"/>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7.2供应商应仔细阅读磋商文件的所有内容，按照磋商文件的要求提交响应文件，并对所提供的全部资料的真实性承担法律责任。</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7.3供应商在竞标活动中提供任何疑似虚假材料，将报监管部门查处；签订合同后发现的，成交供应商须依照《中华人民共和国消费者权益保护法》规定赔偿采购人，且民事赔偿并不免除违法供应商的行政与刑事责任。</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7.4在政府采购活动中，采购人员及相关人员与供应商有下列利害关系之一的，应当回避：</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（1）参加采购活动前3年内与供应商存在劳动关系；</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（2）参加采购活动前3年内担任供应商的董事、监事；</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（3）参加采购活动前3年内是供应商的控股股东或者实际控制人；</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（4）与供应商的法定代表人或者负责人有夫妻、直系血亲、三代以内旁系血亲或者近姻亲关系；</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（5）与供应商有其他可能影响政府采购活动公平、公正进行的关系。</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7.5有下列情形之一的视为供应商相互串通竞标，响应文件将被视为无效：</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（1）不同供应商的响应文件由同一单位或者个人编制； </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（2）不同供应商委托同一单位或者个人办理竞标事宜；</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（3）不同的供应商的响应文件载明的项目管理员为同一个人；</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（4）不同供应商的响应文件异常一致或者报价呈规律性差异；</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（5）不同供应商的响应文件相互混装；</w:t>
      </w:r>
    </w:p>
    <w:p>
      <w:pPr>
        <w:tabs>
          <w:tab w:val="left" w:pos="6931"/>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（6）不同供应商的磋商保证金从同一单位或者个人账户转出。</w:t>
      </w:r>
      <w:r>
        <w:rPr>
          <w:rFonts w:hint="eastAsia" w:ascii="宋体" w:hAnsi="宋体" w:eastAsia="宋体" w:cs="宋体"/>
          <w:color w:val="auto"/>
          <w:szCs w:val="21"/>
          <w:highlight w:val="none"/>
        </w:rPr>
        <w:tab/>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7.6供应商有下列情形之一的，属于恶意串通行为，将报同级监督管理部门：</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（1）供应商直接或者间接从采购人或者采购代理机构处获得其他供应商的相关信息并修改其响应文件；</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（2）供应商按照采购人或者采购代理机构的授意撤换、修改响应文件；</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（3）供应商之间协商报价、技术方案等响应文件或者响应文件的实质性内容；</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（4）属于同一集团、协会、商会等组织成员的供应商按照该组织要求协同参加政府采购活动；</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（5）供应商之间事先约定一致抬高或者压低报价，或者在政府采购活动中事先约定轮流以高价位或者低价位成交，或者事先约定由某一特定供应商成交，然后再参加竞标；</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（6）供应商之间商定部分供应商放弃参加政府采购活动或者放弃成交；</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（7）供应商与采购人或者采购代理机构之间、供应商相互之间，为谋求特定供应商成交或者排斥其他供应商的其他串通行为。</w:t>
      </w:r>
    </w:p>
    <w:p>
      <w:pPr>
        <w:keepNext/>
        <w:keepLines/>
        <w:spacing w:line="360" w:lineRule="auto"/>
        <w:ind w:firstLine="640" w:firstLineChars="200"/>
        <w:outlineLvl w:val="2"/>
        <w:rPr>
          <w:rFonts w:hint="eastAsia" w:ascii="宋体" w:hAnsi="宋体" w:eastAsia="宋体" w:cs="宋体"/>
          <w:color w:val="auto"/>
          <w:sz w:val="32"/>
          <w:szCs w:val="32"/>
          <w:highlight w:val="none"/>
        </w:rPr>
      </w:pPr>
      <w:bookmarkStart w:id="71" w:name="_Toc30154"/>
      <w:bookmarkStart w:id="72" w:name="_Toc254970534"/>
      <w:bookmarkStart w:id="73" w:name="_Toc254970675"/>
      <w:bookmarkStart w:id="74" w:name="_Toc32580"/>
      <w:r>
        <w:rPr>
          <w:rFonts w:hint="eastAsia" w:ascii="宋体" w:hAnsi="宋体" w:eastAsia="宋体" w:cs="宋体"/>
          <w:color w:val="auto"/>
          <w:sz w:val="32"/>
          <w:szCs w:val="32"/>
          <w:highlight w:val="none"/>
        </w:rPr>
        <w:t>二、磋商文件</w:t>
      </w:r>
      <w:bookmarkEnd w:id="71"/>
      <w:bookmarkEnd w:id="72"/>
      <w:bookmarkEnd w:id="73"/>
      <w:bookmarkEnd w:id="74"/>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8.磋商文件的构成</w:t>
      </w:r>
    </w:p>
    <w:p>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第一章 竞争性磋商公告；</w:t>
      </w:r>
    </w:p>
    <w:p>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第二章 采购需求；</w:t>
      </w:r>
    </w:p>
    <w:p>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第三章 供应商须知； </w:t>
      </w:r>
    </w:p>
    <w:p>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第四章 评审程序、评审方法和评审标准；</w:t>
      </w:r>
    </w:p>
    <w:p>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第五章 响应文件格式；</w:t>
      </w:r>
    </w:p>
    <w:p>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第六章 合同文本；</w:t>
      </w:r>
    </w:p>
    <w:p>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第七章 质疑、投诉材料格式。</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9.供应商的询问</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供应商应认真阅读磋商文件的采购需求，如供应商对磋商文件有疑问的，如要求采购人作出澄清或者修改的，供应商尽应在提交首次响应文件截止之日前，以书面形式向采购人、采购代理机构提出。</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10.磋商文件的澄清和修改</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10.1已获取磋商文件的潜在供应商，若有问题需要澄清，应于应标截止时间前，以书面形式向采购代理机构提出，采购代理机构与采购人研究后，对认为有必要回答的问题，按照本章10.3的内容处理。</w:t>
      </w:r>
    </w:p>
    <w:p>
      <w:pPr>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10.2采购人或者采购代理机构可以对已发出的磋商文件进行必要的澄清或者修改，但不得改变采购标的和资格条件。澄清或者修改应当在原公告发布媒体上发布澄清公告。澄清或者修改的内容为磋商文件的组成部分。</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10.3提交首次响应文件截止之日前，采购人、采购代理机构或者磋商小组可以对已发出的磋商文件进行必要的澄清或者修改，澄清或者修改的内容作为磋商文件的组成部分。澄清或者修改的内容可能影响响应文件编制的，采购人、采购代理机构或者磋商小组在提交首次响应文件截止之日3个工作日前，以书面形式（目前为网上公告和系统短信等形式）通知所有获取磋商文件的供应商，不足3个工作日的，应当顺延提交首次响应文件截止之日。</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10.4</w:t>
      </w:r>
      <w:r>
        <w:rPr>
          <w:rFonts w:hint="eastAsia" w:ascii="宋体" w:hAnsi="宋体" w:eastAsia="宋体" w:cs="宋体"/>
          <w:color w:val="auto"/>
          <w:highlight w:val="none"/>
          <w:shd w:val="clear" w:color="auto" w:fill="FFFFFF"/>
        </w:rPr>
        <w:t>采购信息更正公告的内容应当包括采购人和采购代理机构名称、地址、联系方式，原公告的采购项目名称及首次公告日期，更正事项、内容及日期，采购项目联系人和电话。</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10.5  采购人和采购代理机构可以视采购具体情况，变更提交首次响应文件截止时间和竞谈时间，将变更时间将在“采购文件公告”中“七、其他补充事宜3.网上查询地址”规定的政府采购信息发布媒体上发布更正公告。</w:t>
      </w:r>
    </w:p>
    <w:p>
      <w:pPr>
        <w:spacing w:line="360" w:lineRule="auto"/>
        <w:ind w:firstLine="400" w:firstLineChars="200"/>
        <w:rPr>
          <w:rFonts w:hint="eastAsia" w:ascii="宋体" w:hAnsi="宋体" w:eastAsia="宋体" w:cs="宋体"/>
          <w:color w:val="auto"/>
          <w:kern w:val="0"/>
          <w:sz w:val="20"/>
          <w:szCs w:val="21"/>
          <w:highlight w:val="none"/>
        </w:rPr>
      </w:pPr>
      <w:r>
        <w:rPr>
          <w:rFonts w:hint="eastAsia" w:ascii="宋体" w:hAnsi="宋体" w:eastAsia="宋体" w:cs="宋体"/>
          <w:color w:val="auto"/>
          <w:kern w:val="0"/>
          <w:sz w:val="20"/>
          <w:szCs w:val="21"/>
          <w:highlight w:val="none"/>
        </w:rPr>
        <w:t>▲</w:t>
      </w:r>
      <w:r>
        <w:rPr>
          <w:rFonts w:hint="eastAsia" w:ascii="宋体" w:hAnsi="宋体" w:eastAsia="宋体" w:cs="宋体"/>
          <w:b/>
          <w:color w:val="auto"/>
          <w:kern w:val="0"/>
          <w:sz w:val="20"/>
          <w:szCs w:val="21"/>
          <w:highlight w:val="none"/>
        </w:rPr>
        <w:t>响应文件未按磋商文件的澄清、修改的内容编制，又不符合实质性要求的，其响应文件作无效处理。</w:t>
      </w:r>
    </w:p>
    <w:p>
      <w:pPr>
        <w:keepNext/>
        <w:keepLines/>
        <w:spacing w:line="360" w:lineRule="auto"/>
        <w:ind w:firstLine="640" w:firstLineChars="200"/>
        <w:outlineLvl w:val="2"/>
        <w:rPr>
          <w:rFonts w:hint="eastAsia" w:ascii="宋体" w:hAnsi="宋体" w:eastAsia="宋体" w:cs="宋体"/>
          <w:color w:val="auto"/>
          <w:sz w:val="32"/>
          <w:szCs w:val="32"/>
          <w:highlight w:val="none"/>
        </w:rPr>
      </w:pPr>
      <w:bookmarkStart w:id="75" w:name="_Toc16874"/>
      <w:bookmarkStart w:id="76" w:name="_Toc31762"/>
      <w:r>
        <w:rPr>
          <w:rFonts w:hint="eastAsia" w:ascii="宋体" w:hAnsi="宋体" w:eastAsia="宋体" w:cs="宋体"/>
          <w:color w:val="auto"/>
          <w:sz w:val="32"/>
          <w:szCs w:val="32"/>
          <w:highlight w:val="none"/>
        </w:rPr>
        <w:t>三、响应文件的编制</w:t>
      </w:r>
      <w:bookmarkEnd w:id="75"/>
      <w:bookmarkEnd w:id="76"/>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11.响应文件的编制原则</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供应商必须按照磋商文件的要求编制响应文件，并对其提交的响应文件的真实性、合法性承担法律责任。响应文件必须对磋商文件作出实质性响应。</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12.响应文件的组成</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12.1响应文件由资格证明文件、报价文件、商务和技术文件三部分组成。</w:t>
      </w:r>
    </w:p>
    <w:p>
      <w:pPr>
        <w:spacing w:line="360" w:lineRule="auto"/>
        <w:ind w:left="420" w:leftChars="200"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12.1.1资格证明文件：详见须知前附表</w:t>
      </w:r>
    </w:p>
    <w:p>
      <w:pPr>
        <w:spacing w:line="360" w:lineRule="auto"/>
        <w:ind w:left="420" w:leftChars="200"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12.1.2商务技术文件：详见须知前附表</w:t>
      </w:r>
    </w:p>
    <w:p>
      <w:pPr>
        <w:spacing w:line="360" w:lineRule="auto"/>
        <w:ind w:left="420" w:leftChars="200"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12.1.3报价文件：详见须知前附表</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12.2响应文件电子版：详见须知前附表</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13.计量单位</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磋商文件已有明确规定的，使用磋商文件规定的计量单位；磋商文件没有规定的，应采用中华人民共和国法定计量单位，货币种类为人民币，否则视同未响应。</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14.竞标的风险</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供应商没有按照磋商文件要求提供全部资料，或者供应商没有对磋商文件在各方面作出实质性响应可能导致其响应无效，是供应商应当考虑的风险。</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15.响应报价要求和构成</w:t>
      </w:r>
    </w:p>
    <w:p>
      <w:pPr>
        <w:tabs>
          <w:tab w:val="left" w:pos="2492"/>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15.1响应报价应按“第五章 响应文件格式”中“响应报价表”格式填写。</w:t>
      </w:r>
    </w:p>
    <w:p>
      <w:pPr>
        <w:tabs>
          <w:tab w:val="left" w:pos="2492"/>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15.2响应报价的价格构成见“供应商须知前附表”。</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15.3响应报价要求</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15.3.1供应商的响应报价应符合以下要求，否则响应文件按无效响应处理：</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（1）供应商必须就“采购需求”中所竞标的每个分标的全部内容分别作完整唯一总价报价，不得存在漏项报价；</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（2）供应商必须就所竞标的分标的单项内容作唯一报价。</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15.3.2响应报价（包含首次报价、最后报价）超过所竞标分标规定的采购预算金额或者最高限价的，其响应文件将作无效处理。</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15.3.3</w:t>
      </w:r>
      <w:bookmarkStart w:id="77" w:name="_Hlk42592874"/>
      <w:r>
        <w:rPr>
          <w:rFonts w:hint="eastAsia" w:ascii="宋体" w:hAnsi="宋体" w:eastAsia="宋体" w:cs="宋体"/>
          <w:color w:val="auto"/>
          <w:szCs w:val="21"/>
          <w:highlight w:val="none"/>
        </w:rPr>
        <w:t>响应报价（包含首次报价、最后报价）超过分项采购预算金额或者最高限价的，其响应文件将作无效处理。</w:t>
      </w:r>
    </w:p>
    <w:bookmarkEnd w:id="77"/>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16.竞标有效期</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16.1竞标有效期是指为保证采购人有足够的时间在提交响应文件后完成评审、确定成交供应商、合同签订等工作而要求供应商提交的响应文件在一定时间内保持有效的期限。</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16.2 竞标有效期应由供应商按“供应商须知前附表”规定的期限作出响应。</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16.3供应商的响应文件在竞标有效期内均保持有效。</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17.磋商保证金</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详见“供应商须知前附表”。</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18.响应文件编制的要求</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18.1各供应商在编制响应文件时请按照磋商文件“第五章 响应文件格式”规定的格式进行，混乱的编排导致响应文件被误读或磋商小组查找不到有效文件是供应商的风险。不完整、编排混乱导致响应文件被误读、漏读或者查找不到相关内容的，</w:t>
      </w:r>
      <w:r>
        <w:rPr>
          <w:rFonts w:hint="eastAsia" w:ascii="宋体" w:hAnsi="宋体" w:eastAsia="宋体" w:cs="宋体"/>
          <w:color w:val="auto"/>
          <w:highlight w:val="none"/>
        </w:rPr>
        <w:t>由此引发的</w:t>
      </w:r>
      <w:r>
        <w:rPr>
          <w:rFonts w:hint="eastAsia" w:ascii="宋体" w:hAnsi="宋体" w:eastAsia="宋体" w:cs="宋体"/>
          <w:color w:val="auto"/>
          <w:szCs w:val="21"/>
          <w:highlight w:val="none"/>
        </w:rPr>
        <w:t>后果由供应商承担。</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18.2响应文件应按资格证明、报价分别编制，商务技术文件合并编制，本磋商只接受电子版响应文件，要求见本章“12.2响应文件电子版要求”。</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w:t>
      </w:r>
      <w:bookmarkStart w:id="78" w:name="_Hlk65832699"/>
      <w:r>
        <w:rPr>
          <w:rFonts w:hint="eastAsia" w:ascii="宋体" w:hAnsi="宋体" w:eastAsia="宋体" w:cs="宋体"/>
          <w:color w:val="auto"/>
          <w:szCs w:val="21"/>
          <w:highlight w:val="none"/>
        </w:rPr>
        <w:t>3响应文件须由供应商在</w:t>
      </w:r>
      <w:r>
        <w:rPr>
          <w:rFonts w:hint="eastAsia" w:ascii="宋体" w:hAnsi="宋体" w:eastAsia="宋体" w:cs="宋体"/>
          <w:color w:val="auto"/>
          <w:kern w:val="0"/>
          <w:szCs w:val="21"/>
          <w:highlight w:val="none"/>
          <w:lang w:val="zh-CN"/>
        </w:rPr>
        <w:t>“</w:t>
      </w:r>
      <w:r>
        <w:rPr>
          <w:rFonts w:hint="eastAsia" w:ascii="宋体" w:hAnsi="宋体" w:eastAsia="宋体" w:cs="宋体"/>
          <w:color w:val="auto"/>
          <w:szCs w:val="21"/>
          <w:highlight w:val="none"/>
        </w:rPr>
        <w:t>第五章 响应文件格式</w:t>
      </w:r>
      <w:r>
        <w:rPr>
          <w:rFonts w:hint="eastAsia" w:ascii="宋体" w:hAnsi="宋体" w:eastAsia="宋体" w:cs="宋体"/>
          <w:color w:val="auto"/>
          <w:kern w:val="0"/>
          <w:szCs w:val="21"/>
          <w:highlight w:val="none"/>
          <w:lang w:val="zh-CN"/>
        </w:rPr>
        <w:t>”</w:t>
      </w:r>
      <w:r>
        <w:rPr>
          <w:rFonts w:hint="eastAsia" w:ascii="宋体" w:hAnsi="宋体" w:eastAsia="宋体" w:cs="宋体"/>
          <w:color w:val="auto"/>
          <w:szCs w:val="21"/>
          <w:highlight w:val="none"/>
        </w:rPr>
        <w:t>规定位置进行签署、盖章</w:t>
      </w:r>
      <w:bookmarkEnd w:id="78"/>
      <w:r>
        <w:rPr>
          <w:rFonts w:hint="eastAsia" w:ascii="宋体" w:hAnsi="宋体" w:eastAsia="宋体" w:cs="宋体"/>
          <w:color w:val="auto"/>
          <w:szCs w:val="21"/>
          <w:highlight w:val="none"/>
        </w:rPr>
        <w:t>，否则其响应文件按无效响应处理。骑缝盖公章不视为在规定位置盖章。</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18.4响应文件中标注的供应商名称应与营业执照（事业单位法人证书、执业许可证、自然人身份证）及电子公章一致，否则其响应文件按无效响应处理。</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18.5响应文件应避免涂改、行间插字或者删除，否则其响应文件按无效响应处理。</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19.响应文件的密封和标记</w:t>
      </w:r>
    </w:p>
    <w:p>
      <w:pPr>
        <w:spacing w:line="360" w:lineRule="auto"/>
        <w:ind w:firstLine="420" w:firstLineChars="200"/>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19.1供应商进行电子交易应安装客户端软件—“</w:t>
      </w:r>
      <w:r>
        <w:rPr>
          <w:rFonts w:hint="eastAsia" w:ascii="宋体" w:hAnsi="宋体" w:cs="宋体"/>
          <w:color w:val="auto"/>
          <w:kern w:val="0"/>
          <w:szCs w:val="21"/>
          <w:highlight w:val="none"/>
          <w:lang w:val="zh-CN"/>
        </w:rPr>
        <w:t>广西政府采购云平台客户端</w:t>
      </w:r>
      <w:r>
        <w:rPr>
          <w:rFonts w:hint="eastAsia" w:ascii="宋体" w:hAnsi="宋体" w:eastAsia="宋体" w:cs="宋体"/>
          <w:color w:val="auto"/>
          <w:kern w:val="0"/>
          <w:szCs w:val="21"/>
          <w:highlight w:val="none"/>
          <w:lang w:val="zh-CN"/>
        </w:rPr>
        <w:t>”，并按照磋商文件和电子交易平台的要求编制并加密响应文件。供应商未按规定加密的响应文件，电子交易平台将拒收并提示。</w:t>
      </w:r>
    </w:p>
    <w:p>
      <w:pPr>
        <w:spacing w:line="360" w:lineRule="auto"/>
        <w:ind w:firstLine="420" w:firstLineChars="200"/>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19.2使用“</w:t>
      </w:r>
      <w:r>
        <w:rPr>
          <w:rFonts w:hint="eastAsia" w:ascii="宋体" w:hAnsi="宋体" w:cs="宋体"/>
          <w:color w:val="auto"/>
          <w:kern w:val="0"/>
          <w:szCs w:val="21"/>
          <w:highlight w:val="none"/>
          <w:lang w:val="zh-CN"/>
        </w:rPr>
        <w:t>广西政府采购云平台客户端</w:t>
      </w:r>
      <w:r>
        <w:rPr>
          <w:rFonts w:hint="eastAsia" w:ascii="宋体" w:hAnsi="宋体" w:eastAsia="宋体" w:cs="宋体"/>
          <w:color w:val="auto"/>
          <w:kern w:val="0"/>
          <w:szCs w:val="21"/>
          <w:highlight w:val="none"/>
          <w:lang w:val="zh-CN"/>
        </w:rPr>
        <w:t>”需要提前申领CA数字证书，申领流程见该项目采购公告附件。</w:t>
      </w:r>
    </w:p>
    <w:p>
      <w:pPr>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19.3为确保网上操作合法、有效和安全，供应商应当在响应文件提交截止时间前完成在“政府采购云平台”的身份认证，确保在电子交易过程中能够对相关数据电文进行加密和使用电子签名。</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20.响应文件的提交</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20.1供应商必须在“供应商须知前附表”规定的时间和地点提交响应文件。</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20.2 在响应文件提交截止时间以后，不能补充、修改响应文件。</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20.3 在提交“最后报价”后，供应商不能退出谈判。</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20.4 电子交易平台收到响应文件，将妥善保存并即时向供应商发出确认回执通知。在响应文件提交截止时间前，除供应商补充、修改或者撤回响应文件外，任何单位和个人不得解密或提取响应文件。</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20.5 采购机构不可视情况延长提交响应文件的截止时间。</w:t>
      </w:r>
    </w:p>
    <w:p>
      <w:pPr>
        <w:spacing w:line="360" w:lineRule="auto"/>
        <w:ind w:firstLine="420" w:firstLineChars="200"/>
        <w:rPr>
          <w:rFonts w:hint="eastAsia" w:ascii="宋体" w:hAnsi="宋体" w:eastAsia="宋体" w:cs="宋体"/>
          <w:color w:val="auto"/>
          <w:sz w:val="24"/>
          <w:highlight w:val="none"/>
        </w:rPr>
      </w:pPr>
      <w:r>
        <w:rPr>
          <w:rFonts w:hint="eastAsia" w:ascii="宋体" w:hAnsi="宋体" w:eastAsia="宋体" w:cs="宋体"/>
          <w:color w:val="auto"/>
          <w:szCs w:val="21"/>
          <w:highlight w:val="none"/>
        </w:rPr>
        <w:t>20.6备份响应文件。</w:t>
      </w:r>
      <w:r>
        <w:rPr>
          <w:rFonts w:hint="eastAsia" w:ascii="宋体" w:hAnsi="宋体" w:eastAsia="宋体" w:cs="宋体"/>
          <w:bCs/>
          <w:color w:val="auto"/>
          <w:szCs w:val="21"/>
          <w:highlight w:val="none"/>
        </w:rPr>
        <w:t>详见在“供应商须知前附表”。</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21.首次响应文件的补充、修改与撤回</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详见“供应商须知前附表”。</w:t>
      </w:r>
    </w:p>
    <w:p>
      <w:pPr>
        <w:spacing w:line="360" w:lineRule="auto"/>
        <w:ind w:firstLine="482" w:firstLineChars="200"/>
        <w:rPr>
          <w:rFonts w:hint="eastAsia" w:ascii="宋体" w:hAnsi="宋体" w:eastAsia="宋体" w:cs="宋体"/>
          <w:b/>
          <w:bCs/>
          <w:color w:val="auto"/>
          <w:sz w:val="24"/>
          <w:highlight w:val="none"/>
        </w:rPr>
      </w:pPr>
      <w:bookmarkStart w:id="79" w:name="_Hlk45702405"/>
      <w:r>
        <w:rPr>
          <w:rFonts w:hint="eastAsia" w:ascii="宋体" w:hAnsi="宋体" w:eastAsia="宋体" w:cs="宋体"/>
          <w:b/>
          <w:bCs/>
          <w:color w:val="auto"/>
          <w:sz w:val="24"/>
          <w:highlight w:val="none"/>
        </w:rPr>
        <w:t>22. 首次响应文件的退回</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在首次响应文件提交截止时间止提交响应文件的供应商不足3家时电子响应文件由代理机构在</w:t>
      </w:r>
      <w:r>
        <w:rPr>
          <w:rFonts w:hint="eastAsia" w:ascii="宋体" w:hAnsi="宋体" w:eastAsia="宋体" w:cs="宋体"/>
          <w:color w:val="auto"/>
          <w:szCs w:val="21"/>
          <w:highlight w:val="none"/>
          <w:lang w:eastAsia="zh-CN"/>
        </w:rPr>
        <w:t>“广西政府采购云平台”</w:t>
      </w:r>
      <w:r>
        <w:rPr>
          <w:rFonts w:hint="eastAsia" w:ascii="宋体" w:hAnsi="宋体" w:eastAsia="宋体" w:cs="宋体"/>
          <w:color w:val="auto"/>
          <w:szCs w:val="21"/>
          <w:highlight w:val="none"/>
        </w:rPr>
        <w:t>操作退回，除此之外采购人和采购代理机构对已提交的电子响应文件概不退回。</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23. 截止时间后的撤回</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本项目不收取磋商保证金，供应商在首次响应文件提交截止时间后可向采购人、采购代理机构书面申请撤回电子响应文件。</w:t>
      </w:r>
      <w:bookmarkEnd w:id="79"/>
    </w:p>
    <w:p>
      <w:pPr>
        <w:keepNext/>
        <w:keepLines/>
        <w:spacing w:line="360" w:lineRule="auto"/>
        <w:ind w:firstLine="640" w:firstLineChars="200"/>
        <w:outlineLvl w:val="2"/>
        <w:rPr>
          <w:rFonts w:hint="eastAsia" w:ascii="宋体" w:hAnsi="宋体" w:eastAsia="宋体" w:cs="宋体"/>
          <w:color w:val="auto"/>
          <w:sz w:val="32"/>
          <w:szCs w:val="32"/>
          <w:highlight w:val="none"/>
        </w:rPr>
      </w:pPr>
      <w:bookmarkStart w:id="80" w:name="_Toc9190"/>
      <w:bookmarkStart w:id="81" w:name="_Toc10841"/>
      <w:r>
        <w:rPr>
          <w:rFonts w:hint="eastAsia" w:ascii="宋体" w:hAnsi="宋体" w:eastAsia="宋体" w:cs="宋体"/>
          <w:color w:val="auto"/>
          <w:sz w:val="32"/>
          <w:szCs w:val="32"/>
          <w:highlight w:val="none"/>
        </w:rPr>
        <w:t>四、评审及磋商</w:t>
      </w:r>
      <w:bookmarkEnd w:id="80"/>
      <w:bookmarkEnd w:id="81"/>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24.磋商小组成立</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24.1磋商小组由采购人代表和评审专家共3人以上单数组成，其中评审专家人数不得少于磋商小组成员总数的2/3。采购人代表不得以评审专家身份参加本部门或者本单位采购项目的评审。采购代理机构人员不得参加本机构代理的采购项目的评审。达到公开招标数额标准的货物或者服务采购项目，或者达到公开招标规模标准的政府采购工程，经批准采用竞争性磋商方式采购的，磋商小组由5人以上单数组成。</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24.2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专业性强的采购项目，评审专家中应当包含1名法律专家。</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25.首次响应文件的开启</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25.1首次响应文件由磋商小组或者采购代理机构在“供应商须知前附表”规定的时间开启。</w:t>
      </w:r>
    </w:p>
    <w:p>
      <w:pPr>
        <w:spacing w:line="360" w:lineRule="auto"/>
        <w:ind w:firstLine="420" w:firstLineChars="200"/>
        <w:rPr>
          <w:rFonts w:hint="eastAsia" w:ascii="宋体" w:hAnsi="宋体" w:eastAsia="宋体" w:cs="宋体"/>
          <w:bCs/>
          <w:color w:val="auto"/>
          <w:kern w:val="0"/>
          <w:szCs w:val="21"/>
          <w:highlight w:val="none"/>
        </w:rPr>
      </w:pPr>
      <w:r>
        <w:rPr>
          <w:rFonts w:hint="eastAsia" w:ascii="宋体" w:hAnsi="宋体" w:eastAsia="宋体" w:cs="宋体"/>
          <w:color w:val="auto"/>
          <w:kern w:val="0"/>
          <w:szCs w:val="21"/>
          <w:highlight w:val="none"/>
        </w:rPr>
        <w:t xml:space="preserve">25.2 </w:t>
      </w:r>
      <w:r>
        <w:rPr>
          <w:rFonts w:hint="eastAsia" w:ascii="宋体" w:hAnsi="宋体" w:eastAsia="宋体" w:cs="宋体"/>
          <w:bCs/>
          <w:color w:val="auto"/>
          <w:kern w:val="0"/>
          <w:szCs w:val="21"/>
          <w:highlight w:val="none"/>
        </w:rPr>
        <w:t>响应文件解密</w:t>
      </w:r>
    </w:p>
    <w:p>
      <w:pPr>
        <w:snapToGrid w:val="0"/>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bCs/>
          <w:color w:val="auto"/>
          <w:kern w:val="0"/>
          <w:szCs w:val="21"/>
          <w:highlight w:val="none"/>
        </w:rPr>
        <w:t>采购代理机构将在“供应商须知前附表”规定的时</w:t>
      </w:r>
      <w:r>
        <w:rPr>
          <w:rFonts w:hint="eastAsia" w:ascii="宋体" w:hAnsi="宋体" w:eastAsia="宋体" w:cs="宋体"/>
          <w:color w:val="auto"/>
          <w:kern w:val="0"/>
          <w:szCs w:val="21"/>
          <w:highlight w:val="none"/>
        </w:rPr>
        <w:t>间通过电子交易平台组织响应文件开启，采购机构依托电子交易平台发起开始解密指令，供应商的法定代表人或其委托代理人</w:t>
      </w:r>
      <w:r>
        <w:rPr>
          <w:rFonts w:hint="eastAsia" w:ascii="宋体" w:hAnsi="宋体" w:eastAsia="宋体" w:cs="宋体"/>
          <w:b/>
          <w:color w:val="auto"/>
          <w:kern w:val="0"/>
          <w:szCs w:val="21"/>
          <w:highlight w:val="none"/>
        </w:rPr>
        <w:t>须携带加密时所用的CA锁按平台提示和采购文件的规定登录到</w:t>
      </w:r>
      <w:r>
        <w:rPr>
          <w:rFonts w:hint="eastAsia" w:ascii="宋体" w:hAnsi="宋体" w:eastAsia="宋体" w:cs="宋体"/>
          <w:b/>
          <w:color w:val="auto"/>
          <w:kern w:val="0"/>
          <w:szCs w:val="21"/>
          <w:highlight w:val="none"/>
          <w:lang w:eastAsia="zh-CN"/>
        </w:rPr>
        <w:t>“广西政府采购云平台”</w:t>
      </w:r>
      <w:r>
        <w:rPr>
          <w:rFonts w:hint="eastAsia" w:ascii="宋体" w:hAnsi="宋体" w:eastAsia="宋体" w:cs="宋体"/>
          <w:b/>
          <w:color w:val="auto"/>
          <w:kern w:val="0"/>
          <w:szCs w:val="21"/>
          <w:highlight w:val="none"/>
        </w:rPr>
        <w:t>电子开标大厅签到并在发起解密指令之时起30分钟内完成对电子响应文件在线解密</w:t>
      </w:r>
      <w:r>
        <w:rPr>
          <w:rFonts w:hint="eastAsia" w:ascii="宋体" w:hAnsi="宋体" w:eastAsia="宋体" w:cs="宋体"/>
          <w:color w:val="auto"/>
          <w:kern w:val="0"/>
          <w:szCs w:val="21"/>
          <w:highlight w:val="none"/>
        </w:rPr>
        <w:t>。发起解密指令之时起5分钟内供应商还未进行解密的，代理机构要通知供应商，供应商没预留联系方式或预留联系方式无效，导致代理机构无法联系到供应商进行解密的，</w:t>
      </w:r>
      <w:r>
        <w:rPr>
          <w:rFonts w:hint="eastAsia" w:ascii="宋体" w:hAnsi="宋体" w:eastAsia="宋体" w:cs="宋体"/>
          <w:b/>
          <w:color w:val="auto"/>
          <w:kern w:val="0"/>
          <w:szCs w:val="21"/>
          <w:highlight w:val="none"/>
        </w:rPr>
        <w:t>视为响应文件无效。</w:t>
      </w:r>
      <w:r>
        <w:rPr>
          <w:rFonts w:hint="eastAsia" w:ascii="宋体" w:hAnsi="宋体" w:eastAsia="宋体" w:cs="宋体"/>
          <w:color w:val="auto"/>
          <w:kern w:val="0"/>
          <w:szCs w:val="21"/>
          <w:highlight w:val="none"/>
        </w:rPr>
        <w:t>（解密</w:t>
      </w:r>
      <w:r>
        <w:rPr>
          <w:rFonts w:hint="eastAsia" w:ascii="宋体" w:hAnsi="宋体" w:eastAsia="宋体" w:cs="宋体"/>
          <w:bCs/>
          <w:color w:val="auto"/>
          <w:kern w:val="0"/>
          <w:szCs w:val="21"/>
          <w:highlight w:val="none"/>
        </w:rPr>
        <w:t>异常情况处理：详见本章</w:t>
      </w:r>
      <w:r>
        <w:rPr>
          <w:rFonts w:hint="eastAsia" w:ascii="宋体" w:hAnsi="宋体" w:eastAsia="宋体" w:cs="宋体"/>
          <w:color w:val="auto"/>
          <w:kern w:val="0"/>
          <w:szCs w:val="21"/>
          <w:highlight w:val="none"/>
        </w:rPr>
        <w:t>26.3 电子交易活动的中止。）</w:t>
      </w:r>
    </w:p>
    <w:p>
      <w:pPr>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如</w:t>
      </w:r>
      <w:r>
        <w:rPr>
          <w:rFonts w:hint="eastAsia" w:ascii="宋体" w:hAnsi="宋体" w:eastAsia="宋体" w:cs="宋体"/>
          <w:bCs/>
          <w:color w:val="auto"/>
          <w:kern w:val="0"/>
          <w:szCs w:val="21"/>
          <w:highlight w:val="none"/>
        </w:rPr>
        <w:t>供应商成功解密响应文件，但未在“广西政府采购云平台”电子开标大厅参加谈判的，视同认可谈判过程和结果，</w:t>
      </w:r>
      <w:r>
        <w:rPr>
          <w:rFonts w:hint="eastAsia" w:ascii="宋体" w:hAnsi="宋体" w:eastAsia="宋体" w:cs="宋体"/>
          <w:color w:val="auto"/>
          <w:kern w:val="0"/>
          <w:szCs w:val="21"/>
          <w:highlight w:val="none"/>
        </w:rPr>
        <w:t>由此产生的后果由供应商自行负责。 参与谈判的供应商不足3家的，不得谈判。</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26.评审程序、评审方法和评审标准</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26.1磋商小组按照“第四章 评审程序、评审方法和评审标准”规定的方法、评审因素、标准和程序对响应文件进行评审。</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26.2 采购需求负偏离要求及磋商顺序详见 “ 供应商须知前附表”。</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26.3电子交易活动的中止。采购过程中出现以下情形，导致电子交易平台无法正常运行，或者无法保证电子交易的公平、公正和安全时，采购机构可中止电子交易活动：</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 xml:space="preserve">（1）电子交易平台发生故障而无法登录访问的； </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（2）电子交易平台应用或数据库出现错误，不能进行正常操作的；</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（3）电子交易平台发现严重安全漏洞，有潜在泄密危险的；</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 xml:space="preserve">（4）病毒发作导致不能进行正常操作的； </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（4）其他无法保证电子交易的公平、公正和安全的情况。</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26.4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pPr>
        <w:keepNext/>
        <w:keepLines/>
        <w:spacing w:line="360" w:lineRule="auto"/>
        <w:ind w:firstLine="480" w:firstLineChars="150"/>
        <w:outlineLvl w:val="2"/>
        <w:rPr>
          <w:rFonts w:hint="eastAsia" w:ascii="宋体" w:hAnsi="宋体" w:eastAsia="宋体" w:cs="宋体"/>
          <w:color w:val="auto"/>
          <w:sz w:val="32"/>
          <w:szCs w:val="32"/>
          <w:highlight w:val="none"/>
        </w:rPr>
      </w:pPr>
      <w:bookmarkStart w:id="82" w:name="_Toc847"/>
      <w:bookmarkStart w:id="83" w:name="_Toc26399"/>
      <w:r>
        <w:rPr>
          <w:rFonts w:hint="eastAsia" w:ascii="宋体" w:hAnsi="宋体" w:eastAsia="宋体" w:cs="宋体"/>
          <w:color w:val="auto"/>
          <w:sz w:val="32"/>
          <w:szCs w:val="32"/>
          <w:highlight w:val="none"/>
        </w:rPr>
        <w:t>五、成交及合同</w:t>
      </w:r>
      <w:bookmarkEnd w:id="82"/>
      <w:bookmarkEnd w:id="83"/>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27.确定成交供应商及结果公告</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27.1确定成交供应商。</w:t>
      </w:r>
      <w:r>
        <w:rPr>
          <w:rFonts w:hint="eastAsia" w:ascii="宋体" w:hAnsi="宋体" w:eastAsia="宋体" w:cs="宋体"/>
          <w:color w:val="auto"/>
          <w:kern w:val="0"/>
          <w:szCs w:val="21"/>
          <w:highlight w:val="none"/>
          <w:u w:val="single"/>
        </w:rPr>
        <w:t xml:space="preserve"> 由采购人直接委托评审专家确定</w:t>
      </w:r>
      <w:r>
        <w:rPr>
          <w:rFonts w:hint="eastAsia" w:ascii="宋体" w:hAnsi="宋体" w:eastAsia="宋体" w:cs="宋体"/>
          <w:color w:val="auto"/>
          <w:szCs w:val="21"/>
          <w:highlight w:val="none"/>
          <w:u w:val="single"/>
        </w:rPr>
        <w:t>，评审报告提出的排序第一的供应商为成交供应商。</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27.2成交通知及成交结果公告。</w:t>
      </w:r>
      <w:r>
        <w:rPr>
          <w:rFonts w:hint="eastAsia" w:ascii="宋体" w:hAnsi="宋体" w:eastAsia="宋体" w:cs="宋体"/>
          <w:color w:val="auto"/>
          <w:kern w:val="0"/>
          <w:szCs w:val="21"/>
          <w:highlight w:val="none"/>
        </w:rPr>
        <w:t>成交</w:t>
      </w:r>
      <w:r>
        <w:rPr>
          <w:rFonts w:hint="eastAsia" w:ascii="宋体" w:hAnsi="宋体" w:eastAsia="宋体" w:cs="宋体"/>
          <w:color w:val="auto"/>
          <w:szCs w:val="21"/>
          <w:highlight w:val="none"/>
        </w:rPr>
        <w:t>供应商确定后2个工作日内，在省级以上财政部门指定的媒体上公</w:t>
      </w:r>
      <w:r>
        <w:rPr>
          <w:rFonts w:hint="eastAsia" w:ascii="宋体" w:hAnsi="宋体" w:eastAsia="宋体" w:cs="宋体"/>
          <w:color w:val="auto"/>
          <w:kern w:val="0"/>
          <w:szCs w:val="21"/>
          <w:highlight w:val="none"/>
        </w:rPr>
        <w:t>告成交结果（成交通知及成交结果公告应使用南宁市模板进行公告，公告内容除包含《政府采购公告和公示信息格式规范（2020年版）》要求内容外，还应包含采购人专门面向中小企业预留份额情况及成交供应商评审价格、优惠率等内容），</w:t>
      </w:r>
      <w:r>
        <w:rPr>
          <w:rFonts w:hint="eastAsia" w:ascii="宋体" w:hAnsi="宋体" w:eastAsia="宋体" w:cs="宋体"/>
          <w:color w:val="auto"/>
          <w:szCs w:val="21"/>
          <w:highlight w:val="none"/>
        </w:rPr>
        <w:t>同时向成交供应商发出成交通知书，成交通知书规定签订合同的时间不得超过25日。</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27.3采购人或者采购代理机构发出成交通知书前，应当对成交供应商信用进行查询核实，对列入失信被执行人、</w:t>
      </w:r>
      <w:r>
        <w:rPr>
          <w:rFonts w:hint="eastAsia" w:ascii="宋体" w:hAnsi="宋体" w:eastAsia="宋体" w:cs="宋体"/>
          <w:color w:val="auto"/>
          <w:szCs w:val="21"/>
          <w:highlight w:val="none"/>
          <w:lang w:eastAsia="zh-CN"/>
        </w:rPr>
        <w:t>重大税收违法失信主体</w:t>
      </w:r>
      <w:r>
        <w:rPr>
          <w:rFonts w:hint="eastAsia" w:ascii="宋体" w:hAnsi="宋体" w:eastAsia="宋体" w:cs="宋体"/>
          <w:color w:val="auto"/>
          <w:szCs w:val="21"/>
          <w:highlight w:val="none"/>
        </w:rPr>
        <w:t>、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此类推。以上信息查询记录及相关证据与竞磋文件一并保存。成交供应商享受《政府采购促进中小企业发展管理办法》（财库〔2020〕46号）规定的中小企业扶持政策的，采购人、采购代理机构应当随成交结果公开成交供应商的《中小企业声明函》。</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27.4采购人、采购代理机构认为供应商对采购过程、成交结果提出的质疑成立且影响或者可能影响成交结果的，合格供应商符合法定数量时，可以从合格的成交候选人中另行确定成交供应商的，应当依法另行确定成交供应商；否则应当重新开展采购活动。</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bCs/>
          <w:color w:val="auto"/>
          <w:szCs w:val="21"/>
          <w:highlight w:val="none"/>
        </w:rPr>
        <w:t>27.5</w:t>
      </w:r>
      <w:r>
        <w:rPr>
          <w:rFonts w:hint="eastAsia" w:ascii="宋体" w:hAnsi="宋体" w:eastAsia="宋体" w:cs="宋体"/>
          <w:color w:val="auto"/>
          <w:szCs w:val="21"/>
          <w:highlight w:val="none"/>
        </w:rPr>
        <w:t>排名第一的成交候选人放弃成交、因不可抗力提出不能履行合同，采购人可以确定排名第二的成交候选人为成交供应商。排名第二的成交候选人因前款规定的同样原因不能签订合同的，采购人可以确定排名第三的成交候选人为成交供应商。</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28.履约保证金</w:t>
      </w:r>
    </w:p>
    <w:p>
      <w:pPr>
        <w:spacing w:line="360" w:lineRule="auto"/>
        <w:ind w:firstLine="420" w:firstLineChars="200"/>
        <w:rPr>
          <w:rFonts w:hint="eastAsia" w:ascii="宋体" w:hAnsi="宋体" w:eastAsia="宋体" w:cs="宋体"/>
          <w:b/>
          <w:bCs/>
          <w:color w:val="auto"/>
          <w:sz w:val="24"/>
          <w:highlight w:val="none"/>
        </w:rPr>
      </w:pPr>
      <w:r>
        <w:rPr>
          <w:rFonts w:hint="eastAsia" w:ascii="宋体" w:hAnsi="宋体" w:eastAsia="宋体" w:cs="宋体"/>
          <w:color w:val="auto"/>
          <w:szCs w:val="21"/>
          <w:highlight w:val="none"/>
        </w:rPr>
        <w:t>详见 “供应商须知前附表”</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29.签订合同</w:t>
      </w:r>
    </w:p>
    <w:p>
      <w:pPr>
        <w:adjustRightInd w:val="0"/>
        <w:snapToGrid w:val="0"/>
        <w:spacing w:line="360" w:lineRule="auto"/>
        <w:ind w:firstLine="420" w:firstLineChars="200"/>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rPr>
        <w:t>29.1采购人与成交供应商应当在成交通知书规定的时间内，按照磋商文件确定的合同文本以及采购标的、服务技术、采购金额、采购数量、技术和服务要求等事项签订政府采购合同。</w:t>
      </w:r>
      <w:r>
        <w:rPr>
          <w:rFonts w:hint="eastAsia" w:ascii="宋体" w:hAnsi="宋体" w:eastAsia="宋体" w:cs="宋体"/>
          <w:color w:val="auto"/>
          <w:kern w:val="0"/>
          <w:szCs w:val="21"/>
          <w:highlight w:val="none"/>
          <w:lang w:val="zh-CN"/>
        </w:rPr>
        <w:t>如成交供应商为联合体的，由联合体成员各方法定代表人或其授权代表与采购人代表签订合同。</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29.2采购人不得向成交供应商提出超出磋商文件以外的任何要求作为签订合同的条件，不得与成交供应商订立背离磋商文件确定的合同文本以及采购标的、服务技术、采购金额、采购数量、技术和服务要求等实质性内容的协议。</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29.3成交供应商拒绝签订政府采购合同的，采购人可以按照评审报告推荐的成交候选人名单排序，确定下一候选人为成交供应商，也可以重新开展采购活动。拒绝签订政府采购合同的成交供应商不得参加对该项目重新开展的采购活动。</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29.4如签订合同并生效后，供应商无故拒绝或延期，除按照合同条款处理外，列入不良行为记录，并给予通报。</w:t>
      </w:r>
    </w:p>
    <w:p>
      <w:pPr>
        <w:adjustRightInd w:val="0"/>
        <w:spacing w:line="360" w:lineRule="auto"/>
        <w:ind w:firstLine="420" w:firstLineChars="200"/>
        <w:rPr>
          <w:rFonts w:hint="eastAsia" w:ascii="宋体" w:hAnsi="宋体" w:eastAsia="宋体" w:cs="宋体"/>
          <w:color w:val="auto"/>
          <w:kern w:val="0"/>
          <w:sz w:val="24"/>
          <w:szCs w:val="21"/>
          <w:highlight w:val="none"/>
        </w:rPr>
      </w:pPr>
      <w:r>
        <w:rPr>
          <w:rFonts w:hint="eastAsia" w:ascii="宋体" w:hAnsi="宋体" w:eastAsia="宋体" w:cs="宋体"/>
          <w:color w:val="auto"/>
          <w:kern w:val="0"/>
          <w:szCs w:val="21"/>
          <w:highlight w:val="none"/>
        </w:rPr>
        <w:t>29.5采购合同由采购人与成交供应商根据磋商文件、响应文件等内容通过政府采购电子交易平台在线签订，自动备案，在线签订须携带的材料见“供应商须知前附表”。</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30.政府采购合同公告</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采购人或者受托采购代理机构应当自政府采购合同签订之日起2个工作日内，将政府采购合同</w:t>
      </w:r>
      <w:r>
        <w:rPr>
          <w:rFonts w:hint="eastAsia" w:ascii="宋体" w:hAnsi="宋体" w:eastAsia="宋体" w:cs="宋体"/>
          <w:bCs/>
          <w:color w:val="auto"/>
          <w:highlight w:val="none"/>
        </w:rPr>
        <w:t>在以下媒体上发布</w:t>
      </w:r>
      <w:r>
        <w:rPr>
          <w:rFonts w:hint="eastAsia" w:ascii="宋体" w:hAnsi="宋体" w:eastAsia="宋体" w:cs="宋体"/>
          <w:color w:val="auto"/>
          <w:kern w:val="0"/>
          <w:szCs w:val="21"/>
          <w:highlight w:val="none"/>
        </w:rPr>
        <w:t xml:space="preserve"> “广西政府采购网”（http://zfcg.gxzf.gov.cn）</w:t>
      </w:r>
      <w:r>
        <w:rPr>
          <w:rFonts w:hint="eastAsia" w:ascii="宋体" w:hAnsi="宋体" w:eastAsia="宋体" w:cs="宋体"/>
          <w:color w:val="auto"/>
          <w:highlight w:val="none"/>
        </w:rPr>
        <w:t>上公告，但政府采购合同中涉及国家秘密、商业秘密的内容除外。</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31. 询问、质疑和投诉</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31.1供应商对政府采购活动事项有疑问的，可以向采购人、采购代理机构提出询问，采购人或者采购代理机构应当在3个工作日内对供应商依法提出的询问作出答复。</w:t>
      </w:r>
    </w:p>
    <w:p>
      <w:pPr>
        <w:spacing w:line="360" w:lineRule="auto"/>
        <w:ind w:firstLine="420" w:firstLineChars="200"/>
        <w:rPr>
          <w:rFonts w:hint="eastAsia" w:ascii="宋体" w:hAnsi="宋体" w:eastAsia="宋体" w:cs="宋体"/>
          <w:b/>
          <w:color w:val="auto"/>
          <w:szCs w:val="21"/>
          <w:highlight w:val="none"/>
        </w:rPr>
      </w:pPr>
      <w:r>
        <w:rPr>
          <w:rFonts w:hint="eastAsia" w:ascii="宋体" w:hAnsi="宋体" w:eastAsia="宋体" w:cs="宋体"/>
          <w:color w:val="auto"/>
          <w:highlight w:val="none"/>
        </w:rPr>
        <w:t>31.2供应商认为磋商文件、采购过程或者成交结果使自己的合法权益受到损害的，应当在知道或者应知其权益受到损害之日起7个工作日内，以书面形式向采购人、采购代理机构提出质疑，</w:t>
      </w:r>
      <w:r>
        <w:rPr>
          <w:rFonts w:hint="eastAsia" w:ascii="宋体" w:hAnsi="宋体" w:eastAsia="宋体" w:cs="宋体"/>
          <w:color w:val="auto"/>
          <w:highlight w:val="none"/>
          <w:shd w:val="clear" w:color="auto" w:fill="FFFFFF"/>
        </w:rPr>
        <w:t>接收质疑函的方式、联系部门、联系电话和通讯地址等信息详见</w:t>
      </w:r>
      <w:r>
        <w:rPr>
          <w:rFonts w:hint="eastAsia" w:ascii="宋体" w:hAnsi="宋体" w:eastAsia="宋体" w:cs="宋体"/>
          <w:color w:val="auto"/>
          <w:szCs w:val="21"/>
          <w:highlight w:val="none"/>
        </w:rPr>
        <w:t>“供应商须知前附表”</w:t>
      </w:r>
      <w:r>
        <w:rPr>
          <w:rFonts w:hint="eastAsia" w:ascii="宋体" w:hAnsi="宋体" w:eastAsia="宋体" w:cs="宋体"/>
          <w:color w:val="auto"/>
          <w:highlight w:val="none"/>
        </w:rPr>
        <w:t>。</w:t>
      </w:r>
      <w:r>
        <w:rPr>
          <w:rFonts w:hint="eastAsia" w:ascii="宋体" w:hAnsi="宋体" w:eastAsia="宋体" w:cs="宋体"/>
          <w:b/>
          <w:color w:val="auto"/>
          <w:szCs w:val="21"/>
          <w:highlight w:val="none"/>
        </w:rPr>
        <w:t xml:space="preserve">具体质疑起算时间及处理方式如下： </w:t>
      </w:r>
    </w:p>
    <w:p>
      <w:pPr>
        <w:spacing w:line="360" w:lineRule="auto"/>
        <w:ind w:firstLine="420" w:firstLineChars="200"/>
        <w:rPr>
          <w:rFonts w:hint="eastAsia" w:ascii="宋体" w:hAnsi="宋体" w:eastAsia="宋体" w:cs="宋体"/>
          <w:bCs/>
          <w:color w:val="auto"/>
          <w:highlight w:val="none"/>
        </w:rPr>
      </w:pPr>
      <w:r>
        <w:rPr>
          <w:rFonts w:hint="eastAsia" w:ascii="宋体" w:hAnsi="宋体" w:eastAsia="宋体" w:cs="宋体"/>
          <w:bCs/>
          <w:color w:val="auto"/>
          <w:highlight w:val="none"/>
        </w:rPr>
        <w:t>（1）潜在供应商依法获取采购文件后，认为采购文件使自己的权益受到损害的，应当在竞争性磋商采购文件公告期限届满之日起7个工作日内提出质疑。</w:t>
      </w:r>
      <w:r>
        <w:rPr>
          <w:rFonts w:hint="eastAsia" w:ascii="宋体" w:hAnsi="宋体" w:eastAsia="宋体" w:cs="宋体"/>
          <w:color w:val="auto"/>
          <w:highlight w:val="none"/>
        </w:rPr>
        <w:t>委托代理协议无特殊约定的，</w:t>
      </w:r>
      <w:r>
        <w:rPr>
          <w:rFonts w:hint="eastAsia" w:ascii="宋体" w:hAnsi="宋体" w:eastAsia="宋体" w:cs="宋体"/>
          <w:bCs/>
          <w:color w:val="auto"/>
          <w:highlight w:val="none"/>
        </w:rPr>
        <w:t>对竞争性磋商文件中采购需求（含资格要求、采购预算和评分办法）的质疑由采购人受理并负责答复；对竞争性磋商文件中的采购执行程序的质疑由采购代理机构受理并负责答复。</w:t>
      </w:r>
    </w:p>
    <w:p>
      <w:pPr>
        <w:spacing w:line="360" w:lineRule="auto"/>
        <w:ind w:firstLine="420" w:firstLineChars="200"/>
        <w:rPr>
          <w:rFonts w:hint="eastAsia" w:ascii="宋体" w:hAnsi="宋体" w:eastAsia="宋体" w:cs="宋体"/>
          <w:bCs/>
          <w:color w:val="auto"/>
          <w:highlight w:val="none"/>
        </w:rPr>
      </w:pPr>
      <w:r>
        <w:rPr>
          <w:rFonts w:hint="eastAsia" w:ascii="宋体" w:hAnsi="宋体" w:eastAsia="宋体" w:cs="宋体"/>
          <w:bCs/>
          <w:color w:val="auto"/>
          <w:highlight w:val="none"/>
        </w:rPr>
        <w:t>（2）供应商认为采购过程使自己的权益受到损害的，应当在各采购程序环节结束之日起7个工作日内提出质疑。对采购过程中资格审查、符合性审查等具体评审情况的质疑应向采购人或代理机构提出，由采购人或代理机构受理并负责答复；对采购过程中采购执行程序的质疑由采购代理机构受理并负责答复。</w:t>
      </w:r>
    </w:p>
    <w:p>
      <w:pPr>
        <w:spacing w:line="360" w:lineRule="auto"/>
        <w:ind w:firstLine="420" w:firstLineChars="200"/>
        <w:rPr>
          <w:rFonts w:hint="eastAsia" w:ascii="宋体" w:hAnsi="宋体" w:eastAsia="宋体" w:cs="宋体"/>
          <w:bCs/>
          <w:color w:val="auto"/>
          <w:highlight w:val="none"/>
        </w:rPr>
      </w:pPr>
      <w:r>
        <w:rPr>
          <w:rFonts w:hint="eastAsia" w:ascii="宋体" w:hAnsi="宋体" w:eastAsia="宋体" w:cs="宋体"/>
          <w:bCs/>
          <w:color w:val="auto"/>
          <w:highlight w:val="none"/>
        </w:rPr>
        <w:t>（3）供应商认为成交结果使自己的权益受到损害的，应当在成交结果公告期限届满之日起7个工作日内提出质疑，由采购人受理并负责答复。</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31.3供应商提出的询问或者质疑超出采购人对采购代理机构委托授权范围的，采购代理机构应当告知供应商向采购人提出。政府采购评审专家应当配合采购人或者采购代理机构答复供应商的询问和质疑。</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31.4 供应商提出质疑应当提交质疑函和必要的证明材料，针对同一采购程序环节的质疑必须在法定质疑期内一次性提出。质疑函应当包括下列内容</w:t>
      </w:r>
      <w:r>
        <w:rPr>
          <w:rFonts w:hint="eastAsia" w:ascii="宋体" w:hAnsi="宋体" w:eastAsia="宋体" w:cs="宋体"/>
          <w:bCs/>
          <w:color w:val="auto"/>
          <w:highlight w:val="none"/>
        </w:rPr>
        <w:t>（质疑函格式后附）</w:t>
      </w:r>
      <w:r>
        <w:rPr>
          <w:rFonts w:hint="eastAsia" w:ascii="宋体" w:hAnsi="宋体" w:eastAsia="宋体" w:cs="宋体"/>
          <w:color w:val="auto"/>
          <w:highlight w:val="none"/>
        </w:rPr>
        <w:t>：</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（1）供应商的姓名或者名称、地址、邮编、联系人及联系电话；</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（2）质疑项目的名称、编号；</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（3）具体、明确的质疑事项和与质疑事项相关的请求；</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（4）事实依据；</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（5）必要的法律依据；</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（6）提出质疑的日期。</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供应商为自然人的，应当由本人签字；供应商为法人或者其他组织的，应当由法定代表人、主要负责人，或者其委托代理人签字或者盖章，并加盖公章。</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31.5采购人、采购代理机构认为供应商质疑不成立，或者成立但未对成交结果构成影响的，继续开展采购活动；认为供应商质疑成立且影响或者可能影响成交结果的，按照下列情况处理：</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（一）对采购文件提出的质疑，依法通过澄清或者修改可以继续开展采购活动的，澄清或者修改采购文件后继续开展采购活动；否则应当修改采购文件后重新开展采购活动。</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（二）对采购过程或者成交结果提出的质疑，合格供应商符合法定数量时，可以从合格的成交候选人中另行确定成交供应商的，应当依法另行确定成交供应商；否则应当重新开展采购活动。</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质疑答复导致成交结果改变的，采购人或者采购代理机构应当将有关情况书面报告本级财政部门。</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31.6投诉的权利。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受理投诉方式见“供应商须知前附表”。</w:t>
      </w:r>
      <w:bookmarkStart w:id="84" w:name="_Toc80205930"/>
    </w:p>
    <w:p>
      <w:pPr>
        <w:keepNext/>
        <w:keepLines/>
        <w:spacing w:line="360" w:lineRule="auto"/>
        <w:ind w:firstLine="315" w:firstLineChars="98"/>
        <w:outlineLvl w:val="2"/>
        <w:rPr>
          <w:rFonts w:hint="eastAsia" w:ascii="宋体" w:hAnsi="宋体" w:eastAsia="宋体" w:cs="宋体"/>
          <w:bCs/>
          <w:color w:val="auto"/>
          <w:sz w:val="32"/>
          <w:szCs w:val="32"/>
          <w:highlight w:val="none"/>
        </w:rPr>
      </w:pPr>
      <w:bookmarkStart w:id="85" w:name="_Toc2984"/>
      <w:bookmarkStart w:id="86" w:name="_Toc30955"/>
      <w:r>
        <w:rPr>
          <w:rFonts w:hint="eastAsia" w:ascii="宋体" w:hAnsi="宋体" w:eastAsia="宋体" w:cs="宋体"/>
          <w:b/>
          <w:bCs/>
          <w:color w:val="auto"/>
          <w:sz w:val="32"/>
          <w:szCs w:val="32"/>
          <w:highlight w:val="none"/>
        </w:rPr>
        <w:t>六</w:t>
      </w:r>
      <w:r>
        <w:rPr>
          <w:rFonts w:hint="eastAsia" w:ascii="宋体" w:hAnsi="宋体" w:eastAsia="宋体" w:cs="宋体"/>
          <w:bCs/>
          <w:color w:val="auto"/>
          <w:sz w:val="32"/>
          <w:szCs w:val="32"/>
          <w:highlight w:val="none"/>
        </w:rPr>
        <w:t>、验收</w:t>
      </w:r>
      <w:bookmarkEnd w:id="84"/>
      <w:bookmarkEnd w:id="85"/>
      <w:bookmarkEnd w:id="86"/>
    </w:p>
    <w:p>
      <w:pPr>
        <w:pageBreakBefore w:val="0"/>
        <w:widowControl w:val="0"/>
        <w:tabs>
          <w:tab w:val="left" w:pos="0"/>
        </w:tabs>
        <w:kinsoku/>
        <w:wordWrap/>
        <w:overflowPunct/>
        <w:topLinePunct w:val="0"/>
        <w:autoSpaceDE/>
        <w:autoSpaceDN/>
        <w:bidi w:val="0"/>
        <w:adjustRightInd/>
        <w:snapToGrid/>
        <w:spacing w:line="400" w:lineRule="exact"/>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32.验收</w:t>
      </w:r>
    </w:p>
    <w:p>
      <w:pPr>
        <w:pageBreakBefore w:val="0"/>
        <w:widowControl w:val="0"/>
        <w:tabs>
          <w:tab w:val="left" w:pos="0"/>
        </w:tabs>
        <w:kinsoku/>
        <w:wordWrap/>
        <w:overflowPunct/>
        <w:topLinePunct w:val="0"/>
        <w:autoSpaceDE/>
        <w:autoSpaceDN/>
        <w:bidi w:val="0"/>
        <w:adjustRightInd/>
        <w:snapToGrid/>
        <w:spacing w:line="400" w:lineRule="exact"/>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32.1采购人会同实际使用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pageBreakBefore w:val="0"/>
        <w:widowControl w:val="0"/>
        <w:tabs>
          <w:tab w:val="left" w:pos="0"/>
        </w:tabs>
        <w:kinsoku/>
        <w:wordWrap/>
        <w:overflowPunct/>
        <w:topLinePunct w:val="0"/>
        <w:autoSpaceDE/>
        <w:autoSpaceDN/>
        <w:bidi w:val="0"/>
        <w:adjustRightInd/>
        <w:snapToGrid/>
        <w:spacing w:line="400" w:lineRule="exact"/>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32.2采购人可以邀请参加本项目的其他供应商或者第三方机构参与验收。参与验收的供应商或者第三方机构的意见作为验收书的参考资料一并存档。</w:t>
      </w:r>
    </w:p>
    <w:p>
      <w:pPr>
        <w:pageBreakBefore w:val="0"/>
        <w:widowControl w:val="0"/>
        <w:tabs>
          <w:tab w:val="left" w:pos="0"/>
        </w:tabs>
        <w:kinsoku/>
        <w:wordWrap/>
        <w:overflowPunct/>
        <w:topLinePunct w:val="0"/>
        <w:autoSpaceDE/>
        <w:autoSpaceDN/>
        <w:bidi w:val="0"/>
        <w:adjustRightInd/>
        <w:snapToGrid/>
        <w:spacing w:line="400" w:lineRule="exact"/>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32.3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pageBreakBefore w:val="0"/>
        <w:widowControl w:val="0"/>
        <w:tabs>
          <w:tab w:val="left" w:pos="0"/>
        </w:tabs>
        <w:kinsoku/>
        <w:wordWrap/>
        <w:overflowPunct/>
        <w:topLinePunct w:val="0"/>
        <w:autoSpaceDE/>
        <w:autoSpaceDN/>
        <w:bidi w:val="0"/>
        <w:adjustRightInd/>
        <w:snapToGrid/>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32.4验收合格的项目，实际使用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pPr>
        <w:keepNext/>
        <w:keepLines/>
        <w:pageBreakBefore w:val="0"/>
        <w:widowControl w:val="0"/>
        <w:kinsoku/>
        <w:wordWrap/>
        <w:overflowPunct/>
        <w:topLinePunct w:val="0"/>
        <w:autoSpaceDE/>
        <w:autoSpaceDN/>
        <w:bidi w:val="0"/>
        <w:adjustRightInd/>
        <w:snapToGrid/>
        <w:spacing w:line="400" w:lineRule="exact"/>
        <w:ind w:firstLine="320" w:firstLineChars="100"/>
        <w:outlineLvl w:val="2"/>
        <w:rPr>
          <w:rFonts w:hint="eastAsia" w:ascii="宋体" w:hAnsi="宋体" w:eastAsia="宋体" w:cs="宋体"/>
          <w:color w:val="auto"/>
          <w:sz w:val="32"/>
          <w:szCs w:val="32"/>
          <w:highlight w:val="none"/>
        </w:rPr>
      </w:pPr>
      <w:bookmarkStart w:id="87" w:name="_Toc6859"/>
      <w:bookmarkStart w:id="88" w:name="_Toc20059"/>
      <w:r>
        <w:rPr>
          <w:rFonts w:hint="eastAsia" w:ascii="宋体" w:hAnsi="宋体" w:eastAsia="宋体" w:cs="宋体"/>
          <w:color w:val="auto"/>
          <w:sz w:val="32"/>
          <w:szCs w:val="32"/>
          <w:highlight w:val="none"/>
        </w:rPr>
        <w:t>七、其他事项</w:t>
      </w:r>
      <w:bookmarkEnd w:id="87"/>
      <w:bookmarkEnd w:id="88"/>
    </w:p>
    <w:p>
      <w:pPr>
        <w:pageBreakBefore w:val="0"/>
        <w:widowControl w:val="0"/>
        <w:kinsoku/>
        <w:wordWrap/>
        <w:overflowPunct/>
        <w:topLinePunct w:val="0"/>
        <w:autoSpaceDE/>
        <w:autoSpaceDN/>
        <w:bidi w:val="0"/>
        <w:adjustRightInd/>
        <w:snapToGrid/>
        <w:spacing w:line="400" w:lineRule="exact"/>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33.代理服务费</w:t>
      </w:r>
    </w:p>
    <w:p>
      <w:pPr>
        <w:pageBreakBefore w:val="0"/>
        <w:widowControl w:val="0"/>
        <w:tabs>
          <w:tab w:val="left" w:pos="2835"/>
        </w:tabs>
        <w:kinsoku/>
        <w:wordWrap/>
        <w:overflowPunct/>
        <w:topLinePunct w:val="0"/>
        <w:autoSpaceDE/>
        <w:autoSpaceDN/>
        <w:bidi w:val="0"/>
        <w:adjustRightInd/>
        <w:snapToGrid/>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代理服务收费标准及缴费账户详见“供应商须知前附表”，供应商为联合体的，可以由联合体中的一方或者多方共同交纳代理服务费。</w:t>
      </w:r>
    </w:p>
    <w:p>
      <w:pPr>
        <w:pageBreakBefore w:val="0"/>
        <w:widowControl w:val="0"/>
        <w:kinsoku/>
        <w:wordWrap/>
        <w:overflowPunct/>
        <w:topLinePunct w:val="0"/>
        <w:autoSpaceDE/>
        <w:autoSpaceDN/>
        <w:bidi w:val="0"/>
        <w:adjustRightInd/>
        <w:snapToGrid/>
        <w:spacing w:line="400" w:lineRule="exact"/>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34.需要补充的其他内容</w:t>
      </w:r>
    </w:p>
    <w:p>
      <w:pPr>
        <w:pageBreakBefore w:val="0"/>
        <w:widowControl w:val="0"/>
        <w:kinsoku/>
        <w:wordWrap/>
        <w:overflowPunct/>
        <w:topLinePunct w:val="0"/>
        <w:autoSpaceDE/>
        <w:autoSpaceDN/>
        <w:bidi w:val="0"/>
        <w:adjustRightInd/>
        <w:snapToGrid/>
        <w:spacing w:line="400" w:lineRule="exact"/>
        <w:ind w:firstLine="420" w:firstLineChars="200"/>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34.1本磋商文件解释规则详见“供应商须知前附表”。</w:t>
      </w:r>
    </w:p>
    <w:p>
      <w:pPr>
        <w:pageBreakBefore w:val="0"/>
        <w:widowControl w:val="0"/>
        <w:kinsoku/>
        <w:wordWrap/>
        <w:overflowPunct/>
        <w:topLinePunct w:val="0"/>
        <w:autoSpaceDE/>
        <w:autoSpaceDN/>
        <w:bidi w:val="0"/>
        <w:adjustRightInd/>
        <w:snapToGrid/>
        <w:spacing w:line="400" w:lineRule="exact"/>
        <w:ind w:firstLine="420" w:firstLineChars="200"/>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34.2 其他事项详见“供应商须知前附表”。</w:t>
      </w:r>
    </w:p>
    <w:p>
      <w:pPr>
        <w:pageBreakBefore w:val="0"/>
        <w:widowControl w:val="0"/>
        <w:kinsoku/>
        <w:wordWrap/>
        <w:overflowPunct/>
        <w:topLinePunct w:val="0"/>
        <w:autoSpaceDE/>
        <w:autoSpaceDN/>
        <w:bidi w:val="0"/>
        <w:adjustRightInd/>
        <w:snapToGrid/>
        <w:spacing w:line="400" w:lineRule="exact"/>
        <w:ind w:firstLine="420" w:firstLineChars="200"/>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34.3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w:t>
      </w:r>
      <w:r>
        <w:rPr>
          <w:rFonts w:hint="eastAsia" w:ascii="宋体" w:hAnsi="宋体" w:eastAsia="宋体" w:cs="宋体"/>
          <w:color w:val="auto"/>
          <w:kern w:val="0"/>
          <w:szCs w:val="21"/>
          <w:highlight w:val="none"/>
        </w:rPr>
        <w:t>服务由中小企业承接，即提供服务的人员为中小企业依照《中华人民共和国劳动合同法》订立劳动合同的从业人员，不对其中涉及的货物的制造商和工程承建商作出要求的</w:t>
      </w:r>
      <w:r>
        <w:rPr>
          <w:rFonts w:hint="eastAsia" w:ascii="宋体" w:hAnsi="宋体" w:eastAsia="宋体" w:cs="宋体"/>
          <w:color w:val="auto"/>
          <w:szCs w:val="21"/>
          <w:highlight w:val="none"/>
        </w:rPr>
        <w:t>，享受本文件规定的中小企业扶持政策。</w:t>
      </w:r>
    </w:p>
    <w:p>
      <w:pPr>
        <w:pageBreakBefore w:val="0"/>
        <w:widowControl w:val="0"/>
        <w:kinsoku/>
        <w:wordWrap/>
        <w:overflowPunct/>
        <w:topLinePunct w:val="0"/>
        <w:autoSpaceDE/>
        <w:autoSpaceDN/>
        <w:bidi w:val="0"/>
        <w:adjustRightInd/>
        <w:snapToGrid/>
        <w:spacing w:line="400" w:lineRule="exact"/>
        <w:ind w:firstLine="420" w:firstLineChars="200"/>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以联合体形式参加政府采购活动，联合体各方均为中小企业的，联合体视同中小企业。其中，联合体各方均为小微企业的，联合体视同小微企业。</w:t>
      </w:r>
    </w:p>
    <w:p>
      <w:pPr>
        <w:pageBreakBefore w:val="0"/>
        <w:widowControl w:val="0"/>
        <w:kinsoku/>
        <w:wordWrap/>
        <w:overflowPunct/>
        <w:topLinePunct w:val="0"/>
        <w:autoSpaceDE/>
        <w:autoSpaceDN/>
        <w:bidi w:val="0"/>
        <w:adjustRightInd/>
        <w:snapToGrid/>
        <w:spacing w:line="400" w:lineRule="exact"/>
        <w:ind w:firstLine="420" w:firstLineChars="200"/>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依据本文件规定享受扶持政策获得政府采购合同的，小微企业不得将合同分包给大中型企业，中型企业不得将合同分包给大型企业。</w:t>
      </w:r>
    </w:p>
    <w:p>
      <w:pPr>
        <w:pageBreakBefore w:val="0"/>
        <w:widowControl w:val="0"/>
        <w:kinsoku/>
        <w:wordWrap/>
        <w:overflowPunct/>
        <w:topLinePunct w:val="0"/>
        <w:autoSpaceDE/>
        <w:autoSpaceDN/>
        <w:bidi w:val="0"/>
        <w:adjustRightInd/>
        <w:snapToGrid/>
        <w:spacing w:line="4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35. 政采贷相关说明</w:t>
      </w:r>
    </w:p>
    <w:p>
      <w:pPr>
        <w:pageBreakBefore w:val="0"/>
        <w:widowControl w:val="0"/>
        <w:kinsoku/>
        <w:wordWrap/>
        <w:overflowPunct/>
        <w:topLinePunct w:val="0"/>
        <w:autoSpaceDE/>
        <w:autoSpaceDN/>
        <w:bidi w:val="0"/>
        <w:adjustRightInd/>
        <w:snapToGrid/>
        <w:spacing w:line="400" w:lineRule="exact"/>
        <w:ind w:firstLine="420" w:firstLineChars="200"/>
        <w:textAlignment w:val="center"/>
        <w:rPr>
          <w:rFonts w:hint="eastAsia" w:ascii="宋体" w:hAnsi="宋体" w:eastAsia="宋体" w:cs="宋体"/>
          <w:color w:val="auto"/>
          <w:kern w:val="0"/>
          <w:sz w:val="20"/>
          <w:szCs w:val="21"/>
          <w:highlight w:val="none"/>
        </w:rPr>
      </w:pPr>
      <w:r>
        <w:rPr>
          <w:rFonts w:hint="eastAsia" w:ascii="宋体" w:hAnsi="宋体" w:eastAsia="宋体" w:cs="宋体"/>
          <w:color w:val="auto"/>
          <w:kern w:val="0"/>
          <w:szCs w:val="21"/>
          <w:highlight w:val="none"/>
        </w:rPr>
        <w:t>为优化政府采购营商环境，缓解供应商资金难题，南宁市政府采购试行政府采购信用融资制度，中标供应商如有融资需求，可凭政府采购合同在“南宁市公共资源交易中心”官网（网址：http://www.nnggzy.org.cn）“交易信息-政府采购-政府采购信用融资”中融资银行和南宁市企业融资服务中心专栏信息申请政府采购信用融资。</w:t>
      </w:r>
      <w:r>
        <w:rPr>
          <w:rFonts w:hint="eastAsia" w:ascii="宋体" w:hAnsi="宋体" w:eastAsia="宋体" w:cs="宋体"/>
          <w:b/>
          <w:color w:val="auto"/>
          <w:kern w:val="0"/>
          <w:sz w:val="20"/>
          <w:szCs w:val="21"/>
          <w:highlight w:val="none"/>
        </w:rPr>
        <w:br w:type="page"/>
      </w:r>
    </w:p>
    <w:p>
      <w:pPr>
        <w:keepNext/>
        <w:keepLines/>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宋体" w:hAnsi="宋体" w:eastAsia="宋体" w:cs="宋体"/>
          <w:b/>
          <w:bCs/>
          <w:color w:val="auto"/>
          <w:kern w:val="44"/>
          <w:sz w:val="44"/>
          <w:szCs w:val="44"/>
          <w:highlight w:val="none"/>
        </w:rPr>
      </w:pPr>
      <w:bookmarkStart w:id="89" w:name="_Toc24842"/>
      <w:bookmarkStart w:id="90" w:name="_Toc17410"/>
      <w:r>
        <w:rPr>
          <w:rFonts w:hint="eastAsia" w:ascii="宋体" w:hAnsi="宋体" w:eastAsia="宋体" w:cs="宋体"/>
          <w:b/>
          <w:bCs/>
          <w:color w:val="auto"/>
          <w:kern w:val="44"/>
          <w:sz w:val="44"/>
          <w:szCs w:val="44"/>
          <w:highlight w:val="none"/>
        </w:rPr>
        <w:t>第四章</w:t>
      </w:r>
      <w:r>
        <w:rPr>
          <w:rFonts w:hint="eastAsia" w:ascii="宋体" w:hAnsi="宋体" w:eastAsia="宋体" w:cs="宋体"/>
          <w:b/>
          <w:bCs/>
          <w:color w:val="auto"/>
          <w:kern w:val="44"/>
          <w:sz w:val="44"/>
          <w:szCs w:val="44"/>
          <w:highlight w:val="none"/>
          <w:lang w:val="en-US" w:eastAsia="zh-CN"/>
        </w:rPr>
        <w:t xml:space="preserve"> </w:t>
      </w:r>
      <w:r>
        <w:rPr>
          <w:rFonts w:hint="eastAsia" w:ascii="宋体" w:hAnsi="宋体" w:eastAsia="宋体" w:cs="宋体"/>
          <w:b/>
          <w:bCs/>
          <w:color w:val="auto"/>
          <w:kern w:val="44"/>
          <w:sz w:val="44"/>
          <w:szCs w:val="44"/>
          <w:highlight w:val="none"/>
        </w:rPr>
        <w:t>评审程序、评审方法和评审标准</w:t>
      </w:r>
      <w:bookmarkEnd w:id="89"/>
      <w:bookmarkEnd w:id="90"/>
    </w:p>
    <w:p>
      <w:pPr>
        <w:keepNext/>
        <w:keepLines/>
        <w:spacing w:before="260" w:after="260" w:line="416" w:lineRule="auto"/>
        <w:jc w:val="center"/>
        <w:outlineLvl w:val="1"/>
        <w:rPr>
          <w:rFonts w:hint="eastAsia" w:ascii="宋体" w:hAnsi="宋体" w:eastAsia="宋体" w:cs="宋体"/>
          <w:bCs/>
          <w:color w:val="auto"/>
          <w:sz w:val="32"/>
          <w:szCs w:val="32"/>
          <w:highlight w:val="none"/>
        </w:rPr>
      </w:pPr>
      <w:bookmarkStart w:id="91" w:name="_Toc11974"/>
      <w:bookmarkStart w:id="92" w:name="_Toc32216"/>
      <w:r>
        <w:rPr>
          <w:rFonts w:hint="eastAsia" w:ascii="宋体" w:hAnsi="宋体" w:eastAsia="宋体" w:cs="宋体"/>
          <w:bCs/>
          <w:color w:val="auto"/>
          <w:sz w:val="32"/>
          <w:szCs w:val="32"/>
          <w:highlight w:val="none"/>
        </w:rPr>
        <w:t>第一节 评审程序和评审方法</w:t>
      </w:r>
      <w:bookmarkEnd w:id="91"/>
      <w:bookmarkEnd w:id="92"/>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1.确认磋商文件</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由磋商小组确认磋商文件。</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2.资格审查</w:t>
      </w:r>
    </w:p>
    <w:p>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2.1响应文件开启后，磋商小组依法对供应商的资格证明文件进行审查。</w:t>
      </w:r>
    </w:p>
    <w:p>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注：采购人代表或者采购代理机构在资格审查结束前，对供应商进行信用查询。</w:t>
      </w:r>
    </w:p>
    <w:p>
      <w:pPr>
        <w:snapToGrid w:val="0"/>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（1）查询渠道：</w:t>
      </w:r>
      <w:r>
        <w:rPr>
          <w:rFonts w:hint="eastAsia" w:ascii="宋体" w:hAnsi="宋体" w:eastAsia="宋体" w:cs="宋体"/>
          <w:color w:val="auto"/>
          <w:szCs w:val="21"/>
          <w:highlight w:val="none"/>
          <w:lang w:eastAsia="zh-CN"/>
        </w:rPr>
        <w:t>“广西政府采购云平台”</w:t>
      </w:r>
      <w:r>
        <w:rPr>
          <w:rFonts w:hint="eastAsia" w:ascii="宋体" w:hAnsi="宋体" w:eastAsia="宋体" w:cs="宋体"/>
          <w:color w:val="auto"/>
          <w:szCs w:val="21"/>
          <w:highlight w:val="none"/>
        </w:rPr>
        <w:t>“信用中国”网站(</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HYPERLINK "http://www.creditchina.gov.cn"</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u w:val="single"/>
        </w:rPr>
        <w:t>www.creditchina.gov.cn</w:t>
      </w:r>
      <w:r>
        <w:rPr>
          <w:rFonts w:hint="eastAsia" w:ascii="宋体" w:hAnsi="宋体" w:eastAsia="宋体" w:cs="宋体"/>
          <w:color w:val="auto"/>
          <w:highlight w:val="none"/>
        </w:rPr>
        <w:fldChar w:fldCharType="end"/>
      </w:r>
      <w:r>
        <w:rPr>
          <w:rFonts w:hint="eastAsia" w:ascii="宋体" w:hAnsi="宋体" w:eastAsia="宋体" w:cs="宋体"/>
          <w:color w:val="auto"/>
          <w:szCs w:val="21"/>
          <w:highlight w:val="none"/>
        </w:rPr>
        <w:t>)、中国政府采购网(</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HYPERLINK "http://www.ccgp.gov.cn"</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u w:val="single"/>
        </w:rPr>
        <w:t>www.ccgp.gov.cn</w:t>
      </w:r>
      <w:r>
        <w:rPr>
          <w:rFonts w:hint="eastAsia" w:ascii="宋体" w:hAnsi="宋体" w:eastAsia="宋体" w:cs="宋体"/>
          <w:color w:val="auto"/>
          <w:highlight w:val="none"/>
        </w:rPr>
        <w:fldChar w:fldCharType="end"/>
      </w:r>
      <w:r>
        <w:rPr>
          <w:rFonts w:hint="eastAsia" w:ascii="宋体" w:hAnsi="宋体" w:eastAsia="宋体" w:cs="宋体"/>
          <w:color w:val="auto"/>
          <w:szCs w:val="21"/>
          <w:highlight w:val="none"/>
        </w:rPr>
        <w:t>)链接入口。</w:t>
      </w:r>
    </w:p>
    <w:p>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（2）信用查询截止时点：资格审查结束前。</w:t>
      </w:r>
    </w:p>
    <w:p>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查询记录和证据留存方式：在查询网站中直接打印查询记录，截图另存为电子文档作为评审资料保存。</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（3）信用信息使用规则：对在“信用中国”网站(www.creditchina.gov.cn) 、中国政府采购网(www.ccgp.gov.cn)被列入失信被执行人、</w:t>
      </w:r>
      <w:r>
        <w:rPr>
          <w:rFonts w:hint="eastAsia" w:ascii="宋体" w:hAnsi="宋体" w:eastAsia="宋体" w:cs="宋体"/>
          <w:color w:val="auto"/>
          <w:szCs w:val="21"/>
          <w:highlight w:val="none"/>
          <w:lang w:eastAsia="zh-CN"/>
        </w:rPr>
        <w:t>重大税收违法失信主体</w:t>
      </w:r>
      <w:r>
        <w:rPr>
          <w:rFonts w:hint="eastAsia" w:ascii="宋体" w:hAnsi="宋体" w:eastAsia="宋体" w:cs="宋体"/>
          <w:color w:val="auto"/>
          <w:szCs w:val="21"/>
          <w:highlight w:val="none"/>
        </w:rPr>
        <w:t>、政府采购严重违法失信行为记录名单及其他不符合《中华人民共和国政府采购法》第二十二条规定条件的供应商，资格审查不通过，不得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2.2资格审查标准为本磋商文件中载明对供应商资格要求的条件。资格审查采用合格制，凡符合磋商文件规定的供应商资格要求的响应文件均通过资格审查。</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2.3供应商有下列情形之一的，资格审查不通过，其响应文件按无效响应处理：</w:t>
      </w:r>
    </w:p>
    <w:p>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（1）不具备磋商文件中规定的资格要求的；</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（2）响应文件未提供任一项“供应商须知前附表”资格证明文件规定的“必须提供”的文件资料的；</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（3）响应文件提供的资格证明文件出现任一项不符合“供应商须知前附表”资格证明文件规定的“必须提供”的文件资料要求或者无效的。</w:t>
      </w:r>
    </w:p>
    <w:p>
      <w:pPr>
        <w:spacing w:line="360" w:lineRule="auto"/>
        <w:ind w:firstLine="420" w:firstLineChars="200"/>
        <w:rPr>
          <w:rFonts w:hint="eastAsia" w:ascii="宋体" w:hAnsi="宋体" w:eastAsia="宋体" w:cs="宋体"/>
          <w:color w:val="auto"/>
          <w:szCs w:val="21"/>
          <w:highlight w:val="none"/>
        </w:rPr>
      </w:pPr>
      <w:bookmarkStart w:id="93" w:name="_Hlk68601553"/>
      <w:r>
        <w:rPr>
          <w:rFonts w:hint="eastAsia" w:ascii="宋体" w:hAnsi="宋体" w:eastAsia="宋体" w:cs="宋体"/>
          <w:color w:val="auto"/>
          <w:szCs w:val="21"/>
          <w:highlight w:val="none"/>
        </w:rPr>
        <w:t>（4）同一合同项下的不同供应商，单位负责人为同一人或者存在直接控股、管理关系的；为本项目提供过整体设计、规范编制或者项目管理、监理、检测等服务的。</w:t>
      </w:r>
      <w:bookmarkEnd w:id="93"/>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2.4通过资格审查的合格供应商不足3家的，不得进入符合性审查环节，采购人或者采购代理机构应当重新开展采购活动。</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3.符合性审查</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3.1由磋商小组对通过资格审查的合格供应商的响应文件的响应报价、商务、技术等实质性要求进行符合性审查，以确定其是否满足磋商文件的实质性要求。</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3.2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360" w:lineRule="auto"/>
        <w:ind w:firstLine="420" w:firstLineChars="200"/>
        <w:rPr>
          <w:rFonts w:hint="eastAsia" w:ascii="宋体" w:hAnsi="宋体" w:eastAsia="宋体" w:cs="宋体"/>
          <w:color w:val="auto"/>
          <w:spacing w:val="-6"/>
          <w:szCs w:val="21"/>
          <w:highlight w:val="none"/>
        </w:rPr>
      </w:pPr>
      <w:r>
        <w:rPr>
          <w:rFonts w:hint="eastAsia" w:ascii="宋体" w:hAnsi="宋体" w:eastAsia="宋体" w:cs="宋体"/>
          <w:color w:val="auto"/>
          <w:szCs w:val="21"/>
          <w:highlight w:val="none"/>
        </w:rPr>
        <w:t>3.3磋商小组要求供应商澄清、说明或者更正响应文件应当以电子澄清函形式作出。供应商的澄清、说明或者更正应当已电子回函形式按照磋商小组的要求作出明确的澄清、说明或者更正，未按磋商小组的要求作出明确澄清、说明或者更正的供应商的响应文件将按照有利于采购人的原则由磋商小组进行判定。供应商的澄清、说明或者更正必须加盖电子公章</w:t>
      </w:r>
      <w:r>
        <w:rPr>
          <w:rFonts w:hint="eastAsia" w:ascii="宋体" w:hAnsi="宋体" w:eastAsia="宋体" w:cs="宋体"/>
          <w:color w:val="auto"/>
          <w:spacing w:val="-6"/>
          <w:szCs w:val="21"/>
          <w:highlight w:val="none"/>
        </w:rPr>
        <w:t>。供应商为自然人的，必须由本人签字并附身份证明。</w:t>
      </w:r>
    </w:p>
    <w:p>
      <w:pPr>
        <w:spacing w:line="360" w:lineRule="auto"/>
        <w:ind w:firstLine="396" w:firstLineChars="200"/>
        <w:rPr>
          <w:rFonts w:hint="eastAsia" w:ascii="宋体" w:hAnsi="宋体" w:eastAsia="宋体" w:cs="宋体"/>
          <w:color w:val="auto"/>
          <w:szCs w:val="21"/>
          <w:highlight w:val="none"/>
        </w:rPr>
      </w:pPr>
      <w:r>
        <w:rPr>
          <w:rFonts w:hint="eastAsia" w:ascii="宋体" w:hAnsi="宋体" w:eastAsia="宋体" w:cs="宋体"/>
          <w:color w:val="auto"/>
          <w:spacing w:val="-6"/>
          <w:szCs w:val="21"/>
          <w:highlight w:val="none"/>
        </w:rPr>
        <w:t>3.4</w:t>
      </w:r>
      <w:r>
        <w:rPr>
          <w:rFonts w:hint="eastAsia" w:ascii="宋体" w:hAnsi="宋体" w:eastAsia="宋体" w:cs="宋体"/>
          <w:color w:val="auto"/>
          <w:szCs w:val="21"/>
          <w:highlight w:val="none"/>
        </w:rPr>
        <w:t xml:space="preserve">首次响应文件报价出现前后不一致的，按照下列规定修正： </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（1）响应文件中报价表内容与响应文件中相应内容不一致的，以报价表为准；</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（2）大写金额和小写金额不一致的，以大写金额为准；</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（3）单价金额小数点或者百分比有明显错位的，以报价表的总价为准，并修改单价；</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（4）总价金额与按单价汇总金额不一致的，以单价金额计算结果为准。</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同时出现两种以上不一致的，按照以上（1）-（4）规定的顺序逐条进行修正。修正后的报价经供应商确认后产生约束力，供应商不确认的，其响应文件按无效响应处理。</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3.5商务技术、报价评审</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在评审时，如发现下列情形之一的，将被视为响应文件无效处理：</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（1）商务技术评审</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1）响应文件未按磋商文件要求签署、盖章；</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2）委托代理人未能出具有效身份证明或者出具的身份证明与授权委托书中的信息不符； </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3）响应文件未提供任一项“供应商须知前附表” 商务技术文件中 “必须提供”或者“委托时必须提供”的文件资料；响应文件提供的商务技术文件出现任一项不符合“供应商须知前附表”商务技术文件中 “必须提供”或者“委托时必须提供”文件资料要求的规定或者提供的商务技术文件无效。</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4）商务条款中标“▲”的条款发生负偏离的或者允许负偏离的条款数超过“供应商须知前附表”规定项数的或者标明实质性的要求发生负偏离；</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5）未对竞标有效期作出响应或者响应文件承诺的竞标有效期不满足磋商文件要求；</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6）响应文件的实质性内容未使用中文表述、使用计量单位不符合磋商文件要求；</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7）响应文件中的文件资料因填写不齐全或者内容虚假或者出现其他情形而导致被磋商小组认定无效；</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8）响应文件含有采购人不能接受的附加条件；</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9）属于“供应商须知正文”第7.5条情形；</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10）技术需求允许负偏离的条款数超过“供应商须知前附表”规定项数；</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11）虚假竞标，或者出现其他情形而导致被磋商小组认定无效；</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12）竞标技术方案不明确，磋商文件未允许但响应文件中存在一个或者一个以上备选（替代）竞标方案；</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13）响应文件标注的项目名称或者项目编号与竞争性磋商文件标注的项目名称或者项目编号不一致的；</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14）未响应磋商文件实质性要求；</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15）法律、法规和磋商文件规定的其他无效情形。</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（2）报价评审</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1)响应文件未提供“供应商须知前附表” 报价文件中规定的“响应报价表”；</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2）未采用人民币报价或者未按照磋商文件标明的币种报价；</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供应商未就所竞标分标进行报价或者存在漏项报价；供应商未就所竞标分标的单项内容作唯一报价；供应商未就所竞标分标的全部内容作唯一总价报价；供应商响应文件中存在有选择、有条件报价的（磋商文件允许有备选方案或者其他约定的除外）；</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响应报价（包含首次报价、最后报价）超过所竞标分标规定的采购预算金额或者最高限价的（如本项目公布了最高限价）；响应报价（包含首次报价、最后报价）超过磋商文件分项采购预算金额或者最高限价的（如本项目公布了最高限价）；</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修正后的报价，供应商不确认的；或者经供应商确认修正后的响应报价（包含首次报价、最后报价）超过所竞标分标规定的采购预算金额或者最高限价（如本项目公布了最高限价）；或者经供应商确认修正后响应报价（包含首次报价、最后报价）超过磋商文件分项采购预算金额或者最高限价的（如本项目公布了最高限价）。</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6）响应文件响应的标的数量及单位与竞争性磋商采购文件要求实质性不一致的。</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3.6磋商小组对响应文件进行评审，未实质性响应磋商文件的响应文件按无效处理，磋商小组应当将资格和符合性不通过的情况告知有关供应商。磋商小组从符合磋商文件规定的相应资格条件的供应商名单中确定不少于3家的供应商参加磋商。</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3.7非政府购买服务项目，通过符合性审查的合格供应商不足3家的，不得进入磋商环节，采购人或者采购代理机构应当重新开展采购活动。政府购买服务项目，按《财政部关于政府采购竞争性磋商采购方式管理暂行办法有关问题的补充通知》（财库〔2015〕124号）规定，采购过程中通过符合性审查的供应商（社会资本）只有2家的，磋商采购活动可以继续进行。</w:t>
      </w:r>
    </w:p>
    <w:p>
      <w:pPr>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4.磋商程序</w:t>
      </w:r>
    </w:p>
    <w:p>
      <w:pPr>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4.1磋商小组按照“供应商须知前附表”确定的</w:t>
      </w:r>
      <w:r>
        <w:rPr>
          <w:rFonts w:hint="eastAsia" w:ascii="宋体" w:hAnsi="宋体" w:eastAsia="宋体" w:cs="宋体"/>
          <w:color w:val="auto"/>
          <w:szCs w:val="21"/>
          <w:highlight w:val="none"/>
        </w:rPr>
        <w:t>顺序，集中与单一供应商分别进行磋商，并给予所有参加磋商的供应商平等的磋商机会。符合磋商资格的供应商必须在接到磋商通知后规定时间内参加磋商，未在规定时间内参加磋商的视同放弃参加磋商权利，其响应文件按无效响应处理。</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4.2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4.3对磋商文件作出的实质性变动是磋商文件的有效组成部分，由磋商小组及时以电子澄清函形式同时通知所有参加磋商的供应商。</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4.4供应商必须按照磋商文件的变动情况和磋商小组的要求以回函的形式重新提交响应文件，并加盖电子公章。供应商为自然人的，必须由本人签字并附身份证明。参加磋商的供应商未在规定时间内重新提交响应文件的，视同退出磋商。</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4.5磋商中，</w:t>
      </w:r>
      <w:r>
        <w:rPr>
          <w:rFonts w:hint="eastAsia" w:ascii="宋体" w:hAnsi="宋体" w:eastAsia="宋体" w:cs="宋体"/>
          <w:color w:val="auto"/>
          <w:spacing w:val="-6"/>
          <w:szCs w:val="21"/>
          <w:highlight w:val="none"/>
        </w:rPr>
        <w:t>磋商的任何一方不得透露与磋商有关的其他供应商的技术资料、价格和其他信息。</w:t>
      </w:r>
    </w:p>
    <w:p>
      <w:pPr>
        <w:widowControl/>
        <w:tabs>
          <w:tab w:val="left" w:pos="540"/>
        </w:tabs>
        <w:spacing w:line="360" w:lineRule="auto"/>
        <w:ind w:firstLine="420" w:firstLineChars="200"/>
        <w:jc w:val="left"/>
        <w:rPr>
          <w:rFonts w:hint="eastAsia" w:ascii="宋体" w:hAnsi="宋体" w:eastAsia="宋体" w:cs="宋体"/>
          <w:b/>
          <w:color w:val="auto"/>
          <w:highlight w:val="none"/>
        </w:rPr>
      </w:pPr>
      <w:r>
        <w:rPr>
          <w:rFonts w:hint="eastAsia" w:ascii="宋体" w:hAnsi="宋体" w:eastAsia="宋体" w:cs="宋体"/>
          <w:color w:val="auto"/>
          <w:szCs w:val="21"/>
          <w:highlight w:val="none"/>
        </w:rPr>
        <w:t>4.6磋商小组应对磋商过程和重要磋商内容进行记录，作为评标报告一部分，磋商小组在记录上签字确认。</w:t>
      </w:r>
      <w:r>
        <w:rPr>
          <w:rFonts w:hint="eastAsia" w:ascii="宋体" w:hAnsi="宋体" w:eastAsia="宋体" w:cs="宋体"/>
          <w:b/>
          <w:color w:val="auto"/>
          <w:highlight w:val="none"/>
        </w:rPr>
        <w:t>主要内容包括：</w:t>
      </w:r>
    </w:p>
    <w:p>
      <w:pPr>
        <w:adjustRightInd w:val="0"/>
        <w:spacing w:line="360" w:lineRule="auto"/>
        <w:ind w:firstLine="396" w:firstLineChars="200"/>
        <w:rPr>
          <w:rFonts w:hint="eastAsia"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（1）按照相关规定进行公示的，公示情况说明；</w:t>
      </w:r>
    </w:p>
    <w:p>
      <w:pPr>
        <w:adjustRightInd w:val="0"/>
        <w:spacing w:line="360" w:lineRule="auto"/>
        <w:ind w:firstLine="396" w:firstLineChars="200"/>
        <w:rPr>
          <w:rFonts w:hint="eastAsia"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（2）磋商日期和地点，磋商人员名单；</w:t>
      </w:r>
    </w:p>
    <w:p>
      <w:pPr>
        <w:adjustRightInd w:val="0"/>
        <w:spacing w:line="360" w:lineRule="auto"/>
        <w:ind w:firstLine="396" w:firstLineChars="200"/>
        <w:rPr>
          <w:rFonts w:hint="eastAsia"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（3）合同主要条款及价格商定情况。</w:t>
      </w:r>
    </w:p>
    <w:p>
      <w:pPr>
        <w:widowControl/>
        <w:tabs>
          <w:tab w:val="left" w:pos="540"/>
        </w:tabs>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4.7磋商过程中重新提交的响应文件，供应商可以在开启前补充、修改。</w:t>
      </w:r>
    </w:p>
    <w:p>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4.8对磋商过程提交的响应文件进行有效性、完整性和响应程度审查，通过审查的合格供应商不足3家的，采购人或者采购代理机构应当重新开展采购活动。</w:t>
      </w:r>
    </w:p>
    <w:p>
      <w:pPr>
        <w:ind w:firstLine="200"/>
        <w:rPr>
          <w:rFonts w:hint="eastAsia" w:ascii="宋体" w:hAnsi="宋体" w:eastAsia="宋体" w:cs="宋体"/>
          <w:color w:val="auto"/>
          <w:szCs w:val="21"/>
          <w:highlight w:val="none"/>
        </w:rPr>
      </w:pPr>
      <w:r>
        <w:rPr>
          <w:rFonts w:hint="eastAsia" w:ascii="宋体" w:hAnsi="宋体" w:eastAsia="宋体" w:cs="宋体"/>
          <w:b/>
          <w:bCs/>
          <w:color w:val="auto"/>
          <w:sz w:val="24"/>
          <w:highlight w:val="none"/>
        </w:rPr>
        <w:t>5. 最后报价</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5.1磋商文件能够详细列明采购标的的技术、服务要求的，磋商结束后，由磋商小组要求所有继续参加磋商的供应商在规定时间内密封提交最后报价，除本章第5.3条外，提交最后报价的供应商不得少于3家，否则必须重新采购。</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5.2磋商文件不能详细列明采购标的的技术、服务要求，需经磋商由供应商提供最后设计方案或者解决方案的，磋商结束后，由磋商小组按照少数服从多数的原则投票推荐3家以上供应商的设计方案或者解决方案，并要求其在规定时间内密封提交最后报价。</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5.3 最后报价是供应商响应文件的有效组成部分。符合《政府采购竞争性磋商采购方式管理暂行办法》（财库〔2014〕214号）第三条第四项“市场竞争不充分的科研项目，以及需要扶持的科技成果转化项目”的，提交最后报价的供应商可以为2家。</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5.4已经提交响应文件的供应商，在提交最后报价之前，可以根据磋商情况退出磋商，退出磋商的供应商的响应文件按无效响应处理。</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5.5供应商未在规定时间内提交最后报价的，视同退出磋商。</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5.6磋商小组收齐某一分标最后报价后统一开启，磋商小组对最后报价进行有效性、完整性和响应程度的审查。</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5.7最终响应文件的报价出现前后不一致的，按照本章第3.4条的规定修正。 </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5.8修正后的最终报价出现下列情形的，按无效响应处理：</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（1）供应商不确认的（全流程电子化评标采取在线确认）；</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（2）经供应商确认修正后的响应报价（包含首次报价、最后报价）超过所竞标分标规定的采购预算金额或者最高限价的（如本项目公布了最高限价）；</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（3）经供应商确认修正后的响应报价（包含首次报价、最后报价）超过分项采购预算金额或者最高限价的（如本项目公布了最高限价）。</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5.9经供应商确认修正后的最后报价作为评审及签订合同的依据。</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5.10供应商出现最后报价按无效响应处理或者响应文件按无效处理时</w:t>
      </w:r>
      <w:r>
        <w:rPr>
          <w:rFonts w:hint="eastAsia" w:ascii="宋体" w:hAnsi="宋体" w:eastAsia="宋体" w:cs="宋体"/>
          <w:color w:val="auto"/>
          <w:sz w:val="22"/>
          <w:szCs w:val="22"/>
          <w:highlight w:val="none"/>
        </w:rPr>
        <w:t>，磋商小组应当告知有关供应商</w:t>
      </w:r>
      <w:r>
        <w:rPr>
          <w:rFonts w:hint="eastAsia" w:ascii="宋体" w:hAnsi="宋体" w:eastAsia="宋体" w:cs="宋体"/>
          <w:color w:val="auto"/>
          <w:szCs w:val="21"/>
          <w:highlight w:val="none"/>
        </w:rPr>
        <w:t>。</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5.11最后报价结束后，磋商小组不得再与供应商进行任何形式的商谈。</w:t>
      </w:r>
    </w:p>
    <w:p>
      <w:pPr>
        <w:ind w:firstLine="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6.比较与评价</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6.1评审方法：综合评分法。</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6.2经磋商确定最终采购需求和提交最后报价的供应商后，由磋商小组采用综合评分法对提交最后报价的供应商的响应文件和最后报价进行综合评分。</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6.3评审时，磋商小组各成员应当独立对每个有效响应的文件进行评价、打分，然后汇总每个供应商每项评分因素的得分。</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（1）磋商小组按照磋商文件中规定的评审标准计算各供应商的报价得分。项目评审过程中，不得去掉最后报价中的最高报价和最低报价。</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（2）各供应商的得分为磋商小组所有成员的有效评分的算术平均数。</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6.4评审价为供应商的最后报价进行政策性扣除后的价格，评审价只是作为评审时使用。最终成交供应商的成交金额等于最后报价（如有修正，以确认修正后的最后报价为准）。</w:t>
      </w:r>
    </w:p>
    <w:p>
      <w:pPr>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szCs w:val="21"/>
          <w:highlight w:val="none"/>
        </w:rPr>
        <w:t>6.5由磋商小组根据综合评分情况，按照评审得分由高到低顺序推荐3名以上成交候选供应商，并编写评</w:t>
      </w:r>
      <w:r>
        <w:rPr>
          <w:rFonts w:hint="eastAsia" w:ascii="宋体" w:hAnsi="宋体" w:eastAsia="宋体" w:cs="宋体"/>
          <w:color w:val="auto"/>
          <w:kern w:val="0"/>
          <w:szCs w:val="21"/>
          <w:highlight w:val="none"/>
        </w:rPr>
        <w:t>审报告。符合本章第4.3条情形的，可以推荐2家成交候选供应商。评审得分相同的，按照最后报价由低到高的顺序推荐。评审得分且最后报价相同的，按照技术指标优劣顺序推荐。</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6.6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pPr>
        <w:ind w:firstLine="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7.评审标准</w:t>
      </w:r>
    </w:p>
    <w:p>
      <w:pPr>
        <w:spacing w:line="360" w:lineRule="auto"/>
        <w:ind w:firstLine="420" w:firstLineChars="200"/>
        <w:rPr>
          <w:rFonts w:hint="eastAsia" w:ascii="宋体" w:hAnsi="宋体" w:eastAsia="宋体" w:cs="宋体"/>
          <w:bCs/>
          <w:color w:val="auto"/>
          <w:szCs w:val="21"/>
          <w:highlight w:val="none"/>
        </w:rPr>
      </w:pPr>
      <w:r>
        <w:rPr>
          <w:rFonts w:hint="eastAsia" w:ascii="宋体" w:hAnsi="宋体" w:eastAsia="宋体" w:cs="宋体"/>
          <w:b w:val="0"/>
          <w:bCs/>
          <w:color w:val="auto"/>
          <w:highlight w:val="none"/>
        </w:rPr>
        <w:t>7.</w:t>
      </w:r>
      <w:r>
        <w:rPr>
          <w:rFonts w:hint="eastAsia" w:ascii="宋体" w:hAnsi="宋体" w:eastAsia="宋体" w:cs="宋体"/>
          <w:b w:val="0"/>
          <w:bCs/>
          <w:color w:val="auto"/>
          <w:szCs w:val="21"/>
          <w:highlight w:val="none"/>
        </w:rPr>
        <w:t>1评审</w:t>
      </w:r>
      <w:r>
        <w:rPr>
          <w:rFonts w:hint="eastAsia" w:ascii="宋体" w:hAnsi="宋体" w:eastAsia="宋体" w:cs="宋体"/>
          <w:bCs/>
          <w:color w:val="auto"/>
          <w:szCs w:val="21"/>
          <w:highlight w:val="none"/>
        </w:rPr>
        <w:t>依据：磋商小组将以磋商响应文件为评审依据，对供应商的报价、技术等方面内容按百分制打分。（计分方法按四舍五入取至百分位）</w:t>
      </w:r>
    </w:p>
    <w:p>
      <w:pPr>
        <w:spacing w:line="360" w:lineRule="auto"/>
        <w:ind w:firstLine="420" w:firstLineChars="200"/>
        <w:rPr>
          <w:rFonts w:hint="eastAsia" w:ascii="宋体" w:hAnsi="宋体" w:eastAsia="宋体" w:cs="宋体"/>
          <w:bCs/>
          <w:color w:val="auto"/>
          <w:szCs w:val="21"/>
          <w:highlight w:val="none"/>
        </w:rPr>
      </w:pPr>
    </w:p>
    <w:tbl>
      <w:tblPr>
        <w:tblStyle w:val="28"/>
        <w:tblW w:w="94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9"/>
        <w:gridCol w:w="1539"/>
        <w:gridCol w:w="6338"/>
        <w:gridCol w:w="7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9" w:type="dxa"/>
            <w:noWrap w:val="0"/>
            <w:vAlign w:val="center"/>
          </w:tcPr>
          <w:p>
            <w:pPr>
              <w:spacing w:line="360" w:lineRule="auto"/>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序号</w:t>
            </w:r>
          </w:p>
        </w:tc>
        <w:tc>
          <w:tcPr>
            <w:tcW w:w="1539" w:type="dxa"/>
            <w:noWrap w:val="0"/>
            <w:vAlign w:val="center"/>
          </w:tcPr>
          <w:p>
            <w:pPr>
              <w:spacing w:line="360" w:lineRule="auto"/>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评分类型</w:t>
            </w:r>
          </w:p>
        </w:tc>
        <w:tc>
          <w:tcPr>
            <w:tcW w:w="6338" w:type="dxa"/>
            <w:noWrap w:val="0"/>
            <w:vAlign w:val="center"/>
          </w:tcPr>
          <w:p>
            <w:pPr>
              <w:spacing w:line="360" w:lineRule="auto"/>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评分标准</w:t>
            </w:r>
          </w:p>
        </w:tc>
        <w:tc>
          <w:tcPr>
            <w:tcW w:w="735" w:type="dxa"/>
            <w:noWrap w:val="0"/>
            <w:vAlign w:val="center"/>
          </w:tcPr>
          <w:p>
            <w:pPr>
              <w:spacing w:line="360" w:lineRule="auto"/>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9" w:type="dxa"/>
            <w:noWrap w:val="0"/>
            <w:vAlign w:val="center"/>
          </w:tcPr>
          <w:p>
            <w:pPr>
              <w:spacing w:line="360" w:lineRule="auto"/>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1</w:t>
            </w:r>
          </w:p>
        </w:tc>
        <w:tc>
          <w:tcPr>
            <w:tcW w:w="1539" w:type="dxa"/>
            <w:noWrap w:val="0"/>
            <w:vAlign w:val="center"/>
          </w:tcPr>
          <w:p>
            <w:pPr>
              <w:spacing w:line="360" w:lineRule="auto"/>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报价分</w:t>
            </w:r>
          </w:p>
          <w:p>
            <w:pPr>
              <w:spacing w:line="360" w:lineRule="auto"/>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（满分</w:t>
            </w:r>
            <w:r>
              <w:rPr>
                <w:rFonts w:hint="eastAsia" w:ascii="宋体" w:hAnsi="宋体" w:cs="宋体"/>
                <w:color w:val="auto"/>
                <w:kern w:val="0"/>
                <w:sz w:val="21"/>
                <w:szCs w:val="21"/>
                <w:highlight w:val="none"/>
                <w:lang w:val="en-US" w:eastAsia="zh-CN" w:bidi="ar-SA"/>
              </w:rPr>
              <w:t>1</w:t>
            </w:r>
            <w:r>
              <w:rPr>
                <w:rFonts w:hint="eastAsia" w:ascii="宋体" w:hAnsi="宋体" w:eastAsia="宋体" w:cs="宋体"/>
                <w:color w:val="auto"/>
                <w:kern w:val="0"/>
                <w:sz w:val="21"/>
                <w:szCs w:val="21"/>
                <w:highlight w:val="none"/>
                <w:lang w:val="en-US" w:eastAsia="zh-CN" w:bidi="ar-SA"/>
              </w:rPr>
              <w:t>0分）</w:t>
            </w:r>
          </w:p>
        </w:tc>
        <w:tc>
          <w:tcPr>
            <w:tcW w:w="6338" w:type="dxa"/>
            <w:noWrap w:val="0"/>
            <w:vAlign w:val="top"/>
          </w:tcPr>
          <w:p>
            <w:pPr>
              <w:pStyle w:val="16"/>
              <w:spacing w:line="400" w:lineRule="exact"/>
              <w:ind w:firstLine="420" w:firstLineChars="200"/>
              <w:rPr>
                <w:rFonts w:hint="eastAsia" w:hAnsi="宋体" w:cs="Courier New"/>
                <w:bCs/>
                <w:color w:val="auto"/>
                <w:kern w:val="2"/>
                <w:sz w:val="21"/>
                <w:szCs w:val="21"/>
                <w:highlight w:val="none"/>
              </w:rPr>
            </w:pPr>
            <w:r>
              <w:rPr>
                <w:rFonts w:hint="eastAsia" w:hAnsi="宋体" w:cs="Courier New"/>
                <w:bCs/>
                <w:color w:val="auto"/>
                <w:kern w:val="2"/>
                <w:sz w:val="21"/>
                <w:szCs w:val="21"/>
                <w:highlight w:val="none"/>
              </w:rPr>
              <w:t>（1）本项目为专门面向</w:t>
            </w:r>
            <w:r>
              <w:rPr>
                <w:rFonts w:hint="eastAsia" w:hAnsi="宋体" w:cs="Courier New"/>
                <w:bCs/>
                <w:color w:val="auto"/>
                <w:kern w:val="2"/>
                <w:sz w:val="21"/>
                <w:szCs w:val="21"/>
                <w:highlight w:val="none"/>
                <w:lang w:val="en-US" w:eastAsia="zh-CN"/>
              </w:rPr>
              <w:t>中</w:t>
            </w:r>
            <w:r>
              <w:rPr>
                <w:rFonts w:hint="eastAsia" w:hAnsi="宋体" w:cs="Courier New"/>
                <w:bCs/>
                <w:color w:val="auto"/>
                <w:kern w:val="2"/>
                <w:sz w:val="21"/>
                <w:szCs w:val="21"/>
                <w:highlight w:val="none"/>
              </w:rPr>
              <w:t>小微企业采购项目，不执行价格扣除优惠政策，评审报价＝最后报价；</w:t>
            </w:r>
          </w:p>
          <w:p>
            <w:pPr>
              <w:pStyle w:val="16"/>
              <w:spacing w:line="400" w:lineRule="exact"/>
              <w:ind w:firstLine="420" w:firstLineChars="200"/>
              <w:rPr>
                <w:rFonts w:hint="eastAsia" w:hAnsi="宋体" w:cs="Courier New"/>
                <w:bCs/>
                <w:color w:val="auto"/>
                <w:kern w:val="2"/>
                <w:sz w:val="21"/>
                <w:szCs w:val="21"/>
                <w:highlight w:val="none"/>
              </w:rPr>
            </w:pPr>
            <w:r>
              <w:rPr>
                <w:rFonts w:hint="eastAsia" w:hAnsi="宋体" w:cs="Courier New"/>
                <w:bCs/>
                <w:color w:val="auto"/>
                <w:kern w:val="2"/>
                <w:sz w:val="21"/>
                <w:szCs w:val="21"/>
                <w:highlight w:val="none"/>
              </w:rPr>
              <w:t>（2）竞标</w:t>
            </w:r>
            <w:r>
              <w:rPr>
                <w:rFonts w:hint="eastAsia" w:hAnsi="宋体" w:cs="Courier New"/>
                <w:bCs/>
                <w:color w:val="auto"/>
                <w:kern w:val="2"/>
                <w:sz w:val="21"/>
                <w:szCs w:val="21"/>
                <w:highlight w:val="none"/>
                <w:lang w:eastAsia="zh-CN"/>
              </w:rPr>
              <w:t>服务</w:t>
            </w:r>
            <w:r>
              <w:rPr>
                <w:rFonts w:hint="eastAsia" w:hAnsi="宋体" w:cs="Courier New"/>
                <w:bCs/>
                <w:color w:val="auto"/>
                <w:kern w:val="2"/>
                <w:sz w:val="21"/>
                <w:szCs w:val="21"/>
                <w:highlight w:val="none"/>
                <w:lang w:val="en-US" w:eastAsia="zh-CN"/>
              </w:rPr>
              <w:t>/</w:t>
            </w:r>
            <w:r>
              <w:rPr>
                <w:rFonts w:hint="eastAsia" w:hAnsi="宋体" w:cs="Courier New"/>
                <w:bCs/>
                <w:color w:val="auto"/>
                <w:kern w:val="2"/>
                <w:sz w:val="21"/>
                <w:szCs w:val="21"/>
                <w:highlight w:val="none"/>
              </w:rPr>
              <w:t>产品提供企业按《关于政府采购支持监狱企业发展有关问题的通知》（财库[2014]68号）认定为监狱企业的，在政府采购活动中，监狱企业视同小型、微型企业，享受预留份额。监狱企业参加政府采购活动时，应当提供由省级以上监狱管理局、戒毒管理局（含新疆生产建设兵团）出具的属于监狱企业的证明文件；</w:t>
            </w:r>
          </w:p>
          <w:p>
            <w:pPr>
              <w:pStyle w:val="16"/>
              <w:spacing w:line="400" w:lineRule="exact"/>
              <w:ind w:firstLine="420" w:firstLineChars="200"/>
              <w:rPr>
                <w:rFonts w:hint="eastAsia" w:hAnsi="宋体" w:cs="Courier New"/>
                <w:bCs/>
                <w:color w:val="auto"/>
                <w:kern w:val="2"/>
                <w:sz w:val="21"/>
                <w:szCs w:val="21"/>
                <w:highlight w:val="none"/>
              </w:rPr>
            </w:pPr>
            <w:r>
              <w:rPr>
                <w:rFonts w:hint="eastAsia" w:hAnsi="宋体" w:cs="Courier New"/>
                <w:bCs/>
                <w:color w:val="auto"/>
                <w:kern w:val="2"/>
                <w:sz w:val="21"/>
                <w:szCs w:val="21"/>
                <w:highlight w:val="none"/>
              </w:rPr>
              <w:t>（3）竞标</w:t>
            </w:r>
            <w:r>
              <w:rPr>
                <w:rFonts w:hint="eastAsia" w:hAnsi="宋体" w:cs="Courier New"/>
                <w:bCs/>
                <w:color w:val="auto"/>
                <w:kern w:val="2"/>
                <w:sz w:val="21"/>
                <w:szCs w:val="21"/>
                <w:highlight w:val="none"/>
                <w:lang w:eastAsia="zh-CN"/>
              </w:rPr>
              <w:t>服务</w:t>
            </w:r>
            <w:r>
              <w:rPr>
                <w:rFonts w:hint="eastAsia" w:hAnsi="宋体" w:cs="Courier New"/>
                <w:bCs/>
                <w:color w:val="auto"/>
                <w:kern w:val="2"/>
                <w:sz w:val="21"/>
                <w:szCs w:val="21"/>
                <w:highlight w:val="none"/>
                <w:lang w:val="en-US" w:eastAsia="zh-CN"/>
              </w:rPr>
              <w:t>/</w:t>
            </w:r>
            <w:r>
              <w:rPr>
                <w:rFonts w:hint="eastAsia" w:hAnsi="宋体" w:cs="Courier New"/>
                <w:bCs/>
                <w:color w:val="auto"/>
                <w:kern w:val="2"/>
                <w:sz w:val="21"/>
                <w:szCs w:val="21"/>
                <w:highlight w:val="none"/>
              </w:rPr>
              <w:t>产品提供企业按《关于促进残疾人就业政府采购政策的通知》（财库〔2017〕141号）认定为残疾人福利性单位的，在政府采购活动中，残疾人福利性单位视同小型、微型企业，享受预留份额。残疾人福利性单位参加政府采购活动时，应当提供该《残疾人福利性单位声明函》为证明文件（格式见第五章“响应文件格式”）。</w:t>
            </w:r>
          </w:p>
          <w:p>
            <w:pPr>
              <w:pStyle w:val="16"/>
              <w:spacing w:line="400" w:lineRule="exact"/>
              <w:ind w:firstLine="420" w:firstLineChars="200"/>
              <w:rPr>
                <w:rFonts w:hint="eastAsia" w:hAnsi="宋体" w:cs="Courier New"/>
                <w:bCs/>
                <w:color w:val="auto"/>
                <w:kern w:val="2"/>
                <w:sz w:val="21"/>
                <w:szCs w:val="21"/>
                <w:highlight w:val="none"/>
              </w:rPr>
            </w:pPr>
            <w:r>
              <w:rPr>
                <w:rFonts w:hint="eastAsia" w:hAnsi="宋体" w:cs="Courier New"/>
                <w:bCs/>
                <w:color w:val="auto"/>
                <w:kern w:val="2"/>
                <w:sz w:val="21"/>
                <w:szCs w:val="21"/>
                <w:highlight w:val="none"/>
              </w:rPr>
              <w:t>（4）以进入比较与评价环节的最低的评审报价为基准价，基准价得分为</w:t>
            </w:r>
            <w:r>
              <w:rPr>
                <w:rFonts w:hint="eastAsia" w:hAnsi="宋体" w:cs="Courier New"/>
                <w:bCs/>
                <w:color w:val="auto"/>
                <w:kern w:val="2"/>
                <w:sz w:val="21"/>
                <w:szCs w:val="21"/>
                <w:highlight w:val="none"/>
                <w:u w:val="single" w:color="auto"/>
              </w:rPr>
              <w:t xml:space="preserve"> 1</w:t>
            </w:r>
            <w:r>
              <w:rPr>
                <w:rFonts w:hint="eastAsia" w:hAnsi="宋体" w:cs="Courier New"/>
                <w:bCs/>
                <w:color w:val="auto"/>
                <w:kern w:val="2"/>
                <w:sz w:val="21"/>
                <w:szCs w:val="21"/>
                <w:highlight w:val="none"/>
                <w:u w:val="single" w:color="auto"/>
                <w:lang w:val="en-US" w:eastAsia="zh-CN"/>
              </w:rPr>
              <w:t>0</w:t>
            </w:r>
            <w:r>
              <w:rPr>
                <w:rFonts w:hint="eastAsia" w:hAnsi="宋体" w:cs="Courier New"/>
                <w:bCs/>
                <w:color w:val="auto"/>
                <w:kern w:val="2"/>
                <w:sz w:val="21"/>
                <w:szCs w:val="21"/>
                <w:highlight w:val="none"/>
                <w:u w:val="single" w:color="auto"/>
              </w:rPr>
              <w:t xml:space="preserve"> </w:t>
            </w:r>
            <w:r>
              <w:rPr>
                <w:rFonts w:hint="eastAsia" w:hAnsi="宋体" w:cs="Courier New"/>
                <w:bCs/>
                <w:color w:val="auto"/>
                <w:kern w:val="2"/>
                <w:sz w:val="21"/>
                <w:szCs w:val="21"/>
                <w:highlight w:val="none"/>
              </w:rPr>
              <w:t>分。</w:t>
            </w:r>
          </w:p>
          <w:p>
            <w:pPr>
              <w:pStyle w:val="16"/>
              <w:spacing w:line="400" w:lineRule="exact"/>
              <w:ind w:firstLine="420" w:firstLineChars="200"/>
              <w:rPr>
                <w:rFonts w:hint="eastAsia" w:hAnsi="宋体" w:cs="Courier New"/>
                <w:bCs/>
                <w:color w:val="auto"/>
                <w:kern w:val="2"/>
                <w:sz w:val="21"/>
                <w:szCs w:val="21"/>
                <w:highlight w:val="none"/>
              </w:rPr>
            </w:pPr>
            <w:r>
              <w:rPr>
                <w:rFonts w:hint="eastAsia" w:hAnsi="宋体" w:cs="Courier New"/>
                <w:bCs/>
                <w:color w:val="auto"/>
                <w:kern w:val="2"/>
                <w:sz w:val="21"/>
                <w:szCs w:val="21"/>
                <w:highlight w:val="none"/>
              </w:rPr>
              <w:t>（5）价格分计算公式：</w:t>
            </w:r>
          </w:p>
          <w:p>
            <w:pPr>
              <w:pStyle w:val="16"/>
              <w:spacing w:line="400" w:lineRule="exact"/>
              <w:ind w:firstLine="420" w:firstLineChars="200"/>
              <w:rPr>
                <w:rFonts w:hint="eastAsia" w:ascii="宋体" w:hAnsi="宋体" w:eastAsia="宋体" w:cs="宋体"/>
                <w:color w:val="auto"/>
                <w:kern w:val="0"/>
                <w:sz w:val="21"/>
                <w:szCs w:val="21"/>
                <w:highlight w:val="none"/>
                <w:lang w:val="en-US" w:eastAsia="zh-CN" w:bidi="ar-SA"/>
              </w:rPr>
            </w:pPr>
            <w:r>
              <w:rPr>
                <w:rFonts w:hint="eastAsia" w:hAnsi="宋体" w:cs="Courier New"/>
                <w:bCs/>
                <w:color w:val="auto"/>
                <w:kern w:val="2"/>
                <w:sz w:val="21"/>
                <w:szCs w:val="21"/>
                <w:highlight w:val="none"/>
              </w:rPr>
              <w:t>报价得分=基准价/最后报价×</w:t>
            </w:r>
            <w:r>
              <w:rPr>
                <w:rFonts w:hint="eastAsia" w:hAnsi="宋体" w:cs="Courier New"/>
                <w:bCs/>
                <w:color w:val="auto"/>
                <w:kern w:val="2"/>
                <w:sz w:val="21"/>
                <w:szCs w:val="21"/>
                <w:highlight w:val="none"/>
                <w:u w:val="single" w:color="auto"/>
              </w:rPr>
              <w:t xml:space="preserve"> </w:t>
            </w:r>
            <w:r>
              <w:rPr>
                <w:rFonts w:hint="eastAsia" w:hAnsi="宋体" w:cs="Courier New"/>
                <w:bCs/>
                <w:color w:val="auto"/>
                <w:kern w:val="2"/>
                <w:sz w:val="21"/>
                <w:szCs w:val="21"/>
                <w:highlight w:val="none"/>
                <w:u w:val="single" w:color="auto"/>
                <w:lang w:val="en-US" w:eastAsia="zh-CN"/>
              </w:rPr>
              <w:t>10</w:t>
            </w:r>
            <w:r>
              <w:rPr>
                <w:rFonts w:hint="eastAsia" w:hAnsi="宋体" w:cs="Courier New"/>
                <w:bCs/>
                <w:color w:val="auto"/>
                <w:kern w:val="2"/>
                <w:sz w:val="21"/>
                <w:szCs w:val="21"/>
                <w:highlight w:val="none"/>
                <w:u w:val="single" w:color="auto"/>
              </w:rPr>
              <w:t xml:space="preserve"> </w:t>
            </w:r>
            <w:r>
              <w:rPr>
                <w:rFonts w:hint="eastAsia" w:hAnsi="宋体" w:cs="Courier New"/>
                <w:bCs/>
                <w:color w:val="auto"/>
                <w:kern w:val="2"/>
                <w:sz w:val="21"/>
                <w:szCs w:val="21"/>
                <w:highlight w:val="none"/>
              </w:rPr>
              <w:t>分</w:t>
            </w:r>
          </w:p>
        </w:tc>
        <w:tc>
          <w:tcPr>
            <w:tcW w:w="735" w:type="dxa"/>
            <w:noWrap w:val="0"/>
            <w:vAlign w:val="center"/>
          </w:tcPr>
          <w:p>
            <w:pPr>
              <w:spacing w:line="360" w:lineRule="auto"/>
              <w:jc w:val="center"/>
              <w:rPr>
                <w:rFonts w:hint="default"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0~</w:t>
            </w:r>
            <w:r>
              <w:rPr>
                <w:rFonts w:hint="eastAsia" w:ascii="宋体" w:hAnsi="宋体" w:cs="宋体"/>
                <w:bCs/>
                <w:color w:val="auto"/>
                <w:szCs w:val="21"/>
                <w:highlight w:val="none"/>
                <w:lang w:val="en-US" w:eastAsia="zh-CN"/>
              </w:rPr>
              <w:t>1</w:t>
            </w:r>
            <w:r>
              <w:rPr>
                <w:rFonts w:hint="eastAsia" w:ascii="宋体" w:hAnsi="宋体" w:eastAsia="宋体" w:cs="宋体"/>
                <w:bCs/>
                <w:color w:val="auto"/>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9" w:type="dxa"/>
            <w:noWrap w:val="0"/>
            <w:vAlign w:val="top"/>
          </w:tcPr>
          <w:p>
            <w:pPr>
              <w:pStyle w:val="1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2</w:t>
            </w:r>
          </w:p>
        </w:tc>
        <w:tc>
          <w:tcPr>
            <w:tcW w:w="1539" w:type="dxa"/>
            <w:noWrap w:val="0"/>
            <w:vAlign w:val="top"/>
          </w:tcPr>
          <w:p>
            <w:pPr>
              <w:pStyle w:val="1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技术分</w:t>
            </w:r>
          </w:p>
        </w:tc>
        <w:tc>
          <w:tcPr>
            <w:tcW w:w="6338" w:type="dxa"/>
            <w:noWrap w:val="0"/>
            <w:vAlign w:val="top"/>
          </w:tcPr>
          <w:p>
            <w:pPr>
              <w:pStyle w:val="1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评审因素具体内容</w:t>
            </w:r>
          </w:p>
        </w:tc>
        <w:tc>
          <w:tcPr>
            <w:tcW w:w="735" w:type="dxa"/>
            <w:noWrap w:val="0"/>
            <w:vAlign w:val="center"/>
          </w:tcPr>
          <w:p>
            <w:pPr>
              <w:pStyle w:val="1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0~</w:t>
            </w:r>
            <w:r>
              <w:rPr>
                <w:rFonts w:hint="eastAsia" w:hAnsi="宋体" w:cs="宋体"/>
                <w:color w:val="auto"/>
                <w:kern w:val="0"/>
                <w:sz w:val="21"/>
                <w:szCs w:val="21"/>
                <w:highlight w:val="none"/>
                <w:lang w:val="en-US" w:eastAsia="zh-CN"/>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43" w:hRule="atLeast"/>
        </w:trPr>
        <w:tc>
          <w:tcPr>
            <w:tcW w:w="819" w:type="dxa"/>
            <w:noWrap w:val="0"/>
            <w:vAlign w:val="center"/>
          </w:tcPr>
          <w:p>
            <w:pPr>
              <w:spacing w:line="360" w:lineRule="auto"/>
              <w:jc w:val="center"/>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rPr>
              <w:t>2</w:t>
            </w:r>
            <w:r>
              <w:rPr>
                <w:rFonts w:hint="eastAsia" w:ascii="宋体" w:hAnsi="宋体" w:eastAsia="宋体" w:cs="宋体"/>
                <w:bCs/>
                <w:color w:val="auto"/>
                <w:szCs w:val="21"/>
                <w:highlight w:val="none"/>
                <w:lang w:val="en-US" w:eastAsia="zh-CN"/>
              </w:rPr>
              <w:t>.1</w:t>
            </w:r>
          </w:p>
        </w:tc>
        <w:tc>
          <w:tcPr>
            <w:tcW w:w="1539" w:type="dxa"/>
            <w:noWrap w:val="0"/>
            <w:vAlign w:val="center"/>
          </w:tcPr>
          <w:p>
            <w:pPr>
              <w:adjustRightInd w:val="0"/>
              <w:spacing w:line="360" w:lineRule="auto"/>
              <w:jc w:val="center"/>
              <w:textAlignment w:val="baseline"/>
              <w:rPr>
                <w:rFonts w:hint="eastAsia" w:ascii="宋体" w:hAnsi="宋体" w:eastAsia="宋体" w:cs="宋体"/>
                <w:color w:val="auto"/>
                <w:kern w:val="0"/>
                <w:sz w:val="21"/>
                <w:szCs w:val="21"/>
                <w:highlight w:val="none"/>
                <w:lang w:val="en-US" w:eastAsia="zh-CN" w:bidi="ar-SA"/>
              </w:rPr>
            </w:pPr>
            <w:bookmarkStart w:id="94" w:name="OLE_LINK30"/>
            <w:r>
              <w:rPr>
                <w:rFonts w:hint="eastAsia" w:ascii="宋体" w:hAnsi="宋体" w:eastAsia="宋体" w:cs="宋体"/>
                <w:b w:val="0"/>
                <w:bCs w:val="0"/>
                <w:color w:val="auto"/>
                <w:kern w:val="0"/>
                <w:szCs w:val="21"/>
                <w:highlight w:val="none"/>
                <w:shd w:val="clear" w:color="auto" w:fill="auto"/>
                <w:lang w:eastAsia="zh-CN"/>
              </w:rPr>
              <w:t>项目理解方案（</w:t>
            </w:r>
            <w:r>
              <w:rPr>
                <w:rFonts w:hint="eastAsia" w:ascii="宋体" w:hAnsi="宋体" w:eastAsia="宋体" w:cs="宋体"/>
                <w:b w:val="0"/>
                <w:bCs w:val="0"/>
                <w:color w:val="auto"/>
                <w:kern w:val="0"/>
                <w:szCs w:val="21"/>
                <w:highlight w:val="none"/>
                <w:shd w:val="clear" w:color="auto" w:fill="auto"/>
                <w:lang w:val="en-US" w:eastAsia="zh-CN"/>
              </w:rPr>
              <w:t>满分20分</w:t>
            </w:r>
            <w:r>
              <w:rPr>
                <w:rFonts w:hint="eastAsia" w:ascii="宋体" w:hAnsi="宋体" w:eastAsia="宋体" w:cs="宋体"/>
                <w:b w:val="0"/>
                <w:bCs w:val="0"/>
                <w:color w:val="auto"/>
                <w:kern w:val="0"/>
                <w:szCs w:val="21"/>
                <w:highlight w:val="none"/>
                <w:shd w:val="clear" w:color="auto" w:fill="auto"/>
                <w:lang w:eastAsia="zh-CN"/>
              </w:rPr>
              <w:t>）</w:t>
            </w:r>
            <w:bookmarkEnd w:id="94"/>
          </w:p>
        </w:tc>
        <w:tc>
          <w:tcPr>
            <w:tcW w:w="6338" w:type="dxa"/>
            <w:noWrap w:val="0"/>
            <w:vAlign w:val="top"/>
          </w:tcPr>
          <w:p>
            <w:pPr>
              <w:widowControl/>
              <w:spacing w:line="360" w:lineRule="auto"/>
              <w:ind w:firstLine="420" w:firstLineChars="200"/>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一档（5分）：项目实施整体方案简单、包含简单的工作安排、人员安排等。</w:t>
            </w:r>
          </w:p>
          <w:p>
            <w:pPr>
              <w:widowControl/>
              <w:spacing w:line="360" w:lineRule="auto"/>
              <w:ind w:firstLine="420" w:firstLineChars="200"/>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二档（10分）：方案根据残疾人特点和需求，确定困难重度残疾人家庭无障碍改造内容，对受助残疾人的基本情况进行了分析理解一般，方案较简单粗略，对项目整体规划缺少针对性的。</w:t>
            </w:r>
          </w:p>
          <w:p>
            <w:pPr>
              <w:widowControl/>
              <w:spacing w:line="360" w:lineRule="auto"/>
              <w:ind w:firstLine="420" w:firstLineChars="200"/>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三档（15分）：方案有根据残疾人特点和需求，确定困难重度残疾人家庭无障碍改造内容，对受助残疾人的基本情况进行了分析理解较到位，方案内容基本完整、较详细描述了对残疾人家庭无障碍改造内容的实现方式，对项目整体规划有针对性。</w:t>
            </w:r>
          </w:p>
          <w:p>
            <w:pPr>
              <w:widowControl/>
              <w:spacing w:line="360" w:lineRule="auto"/>
              <w:ind w:firstLine="420" w:firstLineChars="200"/>
              <w:jc w:val="left"/>
              <w:rPr>
                <w:rFonts w:hint="eastAsia"/>
                <w:color w:val="auto"/>
                <w:highlight w:val="none"/>
                <w:lang w:val="en-US" w:eastAsia="zh-CN"/>
              </w:rPr>
            </w:pPr>
            <w:r>
              <w:rPr>
                <w:rFonts w:hint="eastAsia" w:ascii="宋体" w:hAnsi="宋体" w:eastAsia="宋体" w:cs="宋体"/>
                <w:color w:val="auto"/>
                <w:szCs w:val="21"/>
                <w:highlight w:val="none"/>
                <w:lang w:val="en-US" w:eastAsia="zh-CN"/>
              </w:rPr>
              <w:t>四档（20分）：方案有根据残疾人特点和需求，科学确定困难重度残疾人家庭无障碍改造内容，对受助残疾人的基本情况有充分深入的了解，详细描述了对残疾人家庭无障碍改造内容的实现方式，技术方案详细可行，对不同类别的残疾人家庭无障碍改造内容提出合理化建议、针对性的配合措施及相关方案描述，方案方面有全面而详细的描述，对本方案所采用技术的优势有充分的分析。</w:t>
            </w:r>
          </w:p>
          <w:p>
            <w:pPr>
              <w:widowControl/>
              <w:spacing w:line="360" w:lineRule="auto"/>
              <w:ind w:firstLine="420" w:firstLineChars="200"/>
              <w:jc w:val="left"/>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szCs w:val="21"/>
                <w:highlight w:val="none"/>
                <w:lang w:val="en-US" w:eastAsia="zh-CN"/>
              </w:rPr>
              <w:t>注：未提供方案或不满足采购文件要求不得分。</w:t>
            </w:r>
          </w:p>
        </w:tc>
        <w:tc>
          <w:tcPr>
            <w:tcW w:w="735" w:type="dxa"/>
            <w:noWrap w:val="0"/>
            <w:vAlign w:val="center"/>
          </w:tcPr>
          <w:p>
            <w:pPr>
              <w:keepNext w:val="0"/>
              <w:keepLines w:val="0"/>
              <w:pageBreakBefore w:val="0"/>
              <w:widowControl/>
              <w:kinsoku/>
              <w:wordWrap/>
              <w:overflowPunct/>
              <w:topLinePunct w:val="0"/>
              <w:autoSpaceDE/>
              <w:autoSpaceDN/>
              <w:bidi w:val="0"/>
              <w:adjustRightInd/>
              <w:snapToGrid/>
              <w:spacing w:line="420" w:lineRule="exact"/>
              <w:jc w:val="center"/>
              <w:textAlignment w:val="auto"/>
              <w:rPr>
                <w:rFonts w:hint="default" w:ascii="宋体" w:hAnsi="宋体" w:eastAsia="宋体" w:cs="宋体"/>
                <w:bCs/>
                <w:color w:val="auto"/>
                <w:szCs w:val="21"/>
                <w:highlight w:val="none"/>
                <w:lang w:val="en-US" w:eastAsia="zh-CN"/>
              </w:rPr>
            </w:pPr>
            <w:r>
              <w:rPr>
                <w:rFonts w:hint="eastAsia" w:ascii="宋体" w:hAnsi="宋体" w:eastAsia="宋体" w:cs="Tahoma"/>
                <w:color w:val="auto"/>
                <w:kern w:val="0"/>
                <w:szCs w:val="21"/>
                <w:highlight w:val="none"/>
                <w:lang w:val="en-US" w:eastAsia="zh-CN"/>
              </w:rPr>
              <w:t>20</w:t>
            </w:r>
            <w:r>
              <w:rPr>
                <w:rFonts w:hint="eastAsia" w:ascii="宋体" w:hAnsi="宋体" w:eastAsia="宋体" w:cs="Tahoma"/>
                <w:color w:val="auto"/>
                <w:kern w:val="0"/>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3" w:hRule="atLeast"/>
        </w:trPr>
        <w:tc>
          <w:tcPr>
            <w:tcW w:w="819" w:type="dxa"/>
            <w:noWrap w:val="0"/>
            <w:vAlign w:val="center"/>
          </w:tcPr>
          <w:p>
            <w:pPr>
              <w:spacing w:line="360" w:lineRule="auto"/>
              <w:jc w:val="center"/>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2.2</w:t>
            </w:r>
          </w:p>
        </w:tc>
        <w:tc>
          <w:tcPr>
            <w:tcW w:w="1539" w:type="dxa"/>
            <w:noWrap w:val="0"/>
            <w:vAlign w:val="center"/>
          </w:tcPr>
          <w:p>
            <w:pPr>
              <w:adjustRightInd w:val="0"/>
              <w:spacing w:line="360" w:lineRule="auto"/>
              <w:jc w:val="center"/>
              <w:textAlignment w:val="baseline"/>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b w:val="0"/>
                <w:bCs w:val="0"/>
                <w:color w:val="auto"/>
                <w:kern w:val="0"/>
                <w:szCs w:val="21"/>
                <w:highlight w:val="none"/>
                <w:shd w:val="clear" w:color="auto" w:fill="auto"/>
                <w:lang w:eastAsia="zh-CN"/>
              </w:rPr>
              <w:t>项目实施方案（满分</w:t>
            </w:r>
            <w:r>
              <w:rPr>
                <w:rFonts w:hint="eastAsia" w:ascii="宋体" w:hAnsi="宋体" w:eastAsia="宋体" w:cs="宋体"/>
                <w:b w:val="0"/>
                <w:bCs w:val="0"/>
                <w:color w:val="auto"/>
                <w:kern w:val="0"/>
                <w:szCs w:val="21"/>
                <w:highlight w:val="none"/>
                <w:shd w:val="clear" w:color="auto" w:fill="auto"/>
                <w:lang w:val="en-US" w:eastAsia="zh-CN"/>
              </w:rPr>
              <w:t>20</w:t>
            </w:r>
            <w:r>
              <w:rPr>
                <w:rFonts w:hint="eastAsia" w:ascii="宋体" w:hAnsi="宋体" w:eastAsia="宋体" w:cs="宋体"/>
                <w:b w:val="0"/>
                <w:bCs w:val="0"/>
                <w:color w:val="auto"/>
                <w:kern w:val="0"/>
                <w:szCs w:val="21"/>
                <w:highlight w:val="none"/>
                <w:shd w:val="clear" w:color="auto" w:fill="auto"/>
                <w:lang w:eastAsia="zh-CN"/>
              </w:rPr>
              <w:t>分）</w:t>
            </w:r>
          </w:p>
        </w:tc>
        <w:tc>
          <w:tcPr>
            <w:tcW w:w="6338" w:type="dxa"/>
            <w:noWrap w:val="0"/>
            <w:vAlign w:val="top"/>
          </w:tcPr>
          <w:p>
            <w:pPr>
              <w:widowControl/>
              <w:spacing w:line="360" w:lineRule="auto"/>
              <w:ind w:firstLine="420" w:firstLineChars="200"/>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包括对象筛查评估及确认、制定个性化改造方案（包含具体改造内容及货物数量等）、实施改造（包含改造材料、运输、施工等）、无障碍设施使用包教包会等，配合县残联验收、档案录入及管理等，在各实施环节中与残疾人及其家属的沟通协调、信息保密等</w:t>
            </w:r>
          </w:p>
          <w:p>
            <w:pPr>
              <w:widowControl/>
              <w:spacing w:line="360" w:lineRule="auto"/>
              <w:ind w:firstLine="420" w:firstLineChars="200"/>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一档（6分）：</w:t>
            </w:r>
            <w:r>
              <w:rPr>
                <w:rFonts w:hint="eastAsia"/>
                <w:color w:val="auto"/>
                <w:highlight w:val="none"/>
              </w:rPr>
              <w:t>项目实施方案</w:t>
            </w:r>
            <w:r>
              <w:rPr>
                <w:rFonts w:hint="eastAsia"/>
                <w:color w:val="auto"/>
                <w:highlight w:val="none"/>
                <w:lang w:eastAsia="zh-CN"/>
              </w:rPr>
              <w:t>简单</w:t>
            </w:r>
            <w:r>
              <w:rPr>
                <w:rFonts w:hint="eastAsia"/>
                <w:color w:val="auto"/>
                <w:highlight w:val="none"/>
              </w:rPr>
              <w:t>、不完整，部分措施不具体，没有根据服务对象制定个性化、专业的服务，无服务流程的</w:t>
            </w:r>
            <w:r>
              <w:rPr>
                <w:rFonts w:hint="eastAsia" w:ascii="宋体" w:hAnsi="宋体" w:eastAsia="宋体" w:cs="宋体"/>
                <w:color w:val="auto"/>
                <w:szCs w:val="21"/>
                <w:highlight w:val="none"/>
                <w:lang w:val="en-US" w:eastAsia="zh-CN"/>
              </w:rPr>
              <w:t>。</w:t>
            </w:r>
          </w:p>
          <w:p>
            <w:pPr>
              <w:widowControl/>
              <w:spacing w:line="360" w:lineRule="auto"/>
              <w:ind w:firstLine="420" w:firstLineChars="200"/>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二档（13分）：</w:t>
            </w:r>
            <w:r>
              <w:rPr>
                <w:rFonts w:hint="eastAsia"/>
                <w:color w:val="auto"/>
                <w:highlight w:val="none"/>
              </w:rPr>
              <w:t>项目实施方案</w:t>
            </w:r>
            <w:r>
              <w:rPr>
                <w:rFonts w:hint="eastAsia"/>
                <w:color w:val="auto"/>
                <w:highlight w:val="none"/>
                <w:lang w:eastAsia="zh-CN"/>
              </w:rPr>
              <w:t>详细</w:t>
            </w:r>
            <w:r>
              <w:rPr>
                <w:rFonts w:hint="eastAsia"/>
                <w:color w:val="auto"/>
                <w:highlight w:val="none"/>
              </w:rPr>
              <w:t>、完整，措施具体，根据服务对象制定个性化、专业的服务，有简单服务流程的</w:t>
            </w:r>
            <w:r>
              <w:rPr>
                <w:rFonts w:hint="eastAsia" w:ascii="宋体" w:hAnsi="宋体" w:eastAsia="宋体" w:cs="宋体"/>
                <w:color w:val="auto"/>
                <w:szCs w:val="21"/>
                <w:highlight w:val="none"/>
                <w:lang w:val="en-US" w:eastAsia="zh-CN"/>
              </w:rPr>
              <w:t>。</w:t>
            </w:r>
          </w:p>
          <w:p>
            <w:pPr>
              <w:widowControl/>
              <w:spacing w:line="360" w:lineRule="auto"/>
              <w:ind w:firstLine="420" w:firstLineChars="200"/>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三档（20分）：</w:t>
            </w:r>
            <w:r>
              <w:rPr>
                <w:rFonts w:hint="eastAsia"/>
                <w:color w:val="auto"/>
                <w:highlight w:val="none"/>
              </w:rPr>
              <w:t>项目实施方案</w:t>
            </w:r>
            <w:r>
              <w:rPr>
                <w:rFonts w:hint="eastAsia" w:ascii="宋体" w:hAnsi="宋体" w:eastAsia="宋体" w:cs="宋体"/>
                <w:color w:val="auto"/>
                <w:szCs w:val="21"/>
                <w:highlight w:val="none"/>
                <w:lang w:val="en-US" w:eastAsia="zh-CN"/>
              </w:rPr>
              <w:t>详细周密</w:t>
            </w:r>
            <w:r>
              <w:rPr>
                <w:rFonts w:hint="eastAsia"/>
                <w:color w:val="auto"/>
                <w:highlight w:val="none"/>
              </w:rPr>
              <w:t>、完整，根据服务对象制定个性化、专业的服务，有详细服务流程、有服务监督、评价、考核方案</w:t>
            </w:r>
            <w:r>
              <w:rPr>
                <w:rFonts w:hint="eastAsia" w:ascii="宋体" w:hAnsi="宋体" w:eastAsia="宋体" w:cs="宋体"/>
                <w:color w:val="auto"/>
                <w:szCs w:val="21"/>
                <w:highlight w:val="none"/>
                <w:lang w:val="en-US" w:eastAsia="zh-CN"/>
              </w:rPr>
              <w:t>，技术服务内容和各项措施充分考虑到本项目的具体情况。</w:t>
            </w:r>
          </w:p>
          <w:p>
            <w:pPr>
              <w:widowControl/>
              <w:spacing w:line="360" w:lineRule="auto"/>
              <w:ind w:firstLine="420" w:firstLineChars="200"/>
              <w:jc w:val="left"/>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szCs w:val="21"/>
                <w:highlight w:val="none"/>
                <w:lang w:val="en-US" w:eastAsia="zh-CN"/>
              </w:rPr>
              <w:t>注：未提供方案或不满足采购文件要求不得分。</w:t>
            </w:r>
          </w:p>
        </w:tc>
        <w:tc>
          <w:tcPr>
            <w:tcW w:w="735" w:type="dxa"/>
            <w:noWrap w:val="0"/>
            <w:vAlign w:val="center"/>
          </w:tcPr>
          <w:p>
            <w:pPr>
              <w:keepNext w:val="0"/>
              <w:keepLines w:val="0"/>
              <w:pageBreakBefore w:val="0"/>
              <w:widowControl/>
              <w:kinsoku/>
              <w:wordWrap/>
              <w:overflowPunct/>
              <w:topLinePunct w:val="0"/>
              <w:autoSpaceDE/>
              <w:autoSpaceDN/>
              <w:bidi w:val="0"/>
              <w:adjustRightInd/>
              <w:snapToGrid/>
              <w:spacing w:line="420" w:lineRule="exact"/>
              <w:jc w:val="center"/>
              <w:textAlignment w:val="auto"/>
              <w:rPr>
                <w:rFonts w:hint="default" w:ascii="宋体" w:hAnsi="宋体" w:eastAsia="宋体" w:cs="宋体"/>
                <w:bCs/>
                <w:color w:val="auto"/>
                <w:szCs w:val="21"/>
                <w:highlight w:val="none"/>
                <w:lang w:val="en-US" w:eastAsia="zh-CN"/>
              </w:rPr>
            </w:pPr>
            <w:r>
              <w:rPr>
                <w:rFonts w:hint="eastAsia" w:ascii="宋体" w:hAnsi="宋体" w:eastAsia="宋体" w:cs="Tahoma"/>
                <w:color w:val="auto"/>
                <w:kern w:val="0"/>
                <w:szCs w:val="21"/>
                <w:highlight w:val="none"/>
                <w:lang w:val="en-US" w:eastAsia="zh-CN"/>
              </w:rPr>
              <w:t>20</w:t>
            </w:r>
            <w:r>
              <w:rPr>
                <w:rFonts w:hint="eastAsia" w:ascii="宋体" w:hAnsi="宋体" w:eastAsia="宋体" w:cs="Tahoma"/>
                <w:color w:val="auto"/>
                <w:kern w:val="0"/>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7" w:hRule="atLeast"/>
        </w:trPr>
        <w:tc>
          <w:tcPr>
            <w:tcW w:w="819" w:type="dxa"/>
            <w:noWrap w:val="0"/>
            <w:vAlign w:val="center"/>
          </w:tcPr>
          <w:p>
            <w:pPr>
              <w:spacing w:line="360" w:lineRule="auto"/>
              <w:jc w:val="center"/>
              <w:rPr>
                <w:rFonts w:hint="default"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2.3</w:t>
            </w:r>
          </w:p>
        </w:tc>
        <w:tc>
          <w:tcPr>
            <w:tcW w:w="1539" w:type="dxa"/>
            <w:noWrap w:val="0"/>
            <w:vAlign w:val="center"/>
          </w:tcPr>
          <w:p>
            <w:pPr>
              <w:adjustRightInd w:val="0"/>
              <w:spacing w:line="360" w:lineRule="auto"/>
              <w:jc w:val="center"/>
              <w:textAlignment w:val="baseline"/>
              <w:rPr>
                <w:rFonts w:hint="eastAsia" w:ascii="宋体" w:hAnsi="宋体" w:eastAsia="宋体" w:cs="宋体"/>
                <w:bCs/>
                <w:color w:val="auto"/>
                <w:szCs w:val="21"/>
                <w:highlight w:val="none"/>
                <w:lang w:val="en-US" w:eastAsia="zh-CN"/>
              </w:rPr>
            </w:pPr>
            <w:r>
              <w:rPr>
                <w:rFonts w:hint="eastAsia" w:ascii="宋体" w:hAnsi="宋体" w:cs="宋体"/>
                <w:b w:val="0"/>
                <w:bCs w:val="0"/>
                <w:color w:val="auto"/>
                <w:szCs w:val="21"/>
                <w:highlight w:val="none"/>
              </w:rPr>
              <w:t>项目进度计划（</w:t>
            </w:r>
            <w:r>
              <w:rPr>
                <w:rFonts w:hint="eastAsia" w:ascii="宋体" w:hAnsi="宋体" w:eastAsia="宋体" w:cs="宋体"/>
                <w:b w:val="0"/>
                <w:bCs w:val="0"/>
                <w:color w:val="auto"/>
                <w:kern w:val="0"/>
                <w:szCs w:val="21"/>
                <w:highlight w:val="none"/>
                <w:shd w:val="clear" w:color="auto" w:fill="auto"/>
                <w:lang w:val="en-US" w:eastAsia="zh-CN"/>
              </w:rPr>
              <w:t>满分20分</w:t>
            </w:r>
            <w:r>
              <w:rPr>
                <w:rFonts w:hint="eastAsia" w:ascii="宋体" w:hAnsi="宋体" w:cs="宋体"/>
                <w:b w:val="0"/>
                <w:bCs w:val="0"/>
                <w:color w:val="auto"/>
                <w:szCs w:val="21"/>
                <w:highlight w:val="none"/>
              </w:rPr>
              <w:t>）</w:t>
            </w:r>
          </w:p>
        </w:tc>
        <w:tc>
          <w:tcPr>
            <w:tcW w:w="6338" w:type="dxa"/>
            <w:noWrap w:val="0"/>
            <w:vAlign w:val="top"/>
          </w:tcPr>
          <w:p>
            <w:pPr>
              <w:widowControl/>
              <w:spacing w:line="360" w:lineRule="auto"/>
              <w:ind w:firstLine="420" w:firstLineChars="200"/>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一档（7分）：项目实施进度计划简单，无针对性的时间节点及工作计划安排；</w:t>
            </w:r>
          </w:p>
          <w:p>
            <w:pPr>
              <w:widowControl/>
              <w:spacing w:line="360" w:lineRule="auto"/>
              <w:ind w:firstLine="420" w:firstLineChars="200"/>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二档（14分）：项目实施进度计划合理，时间节点基本明确；有基本的进度保障措施和各阶段人员分工安排；</w:t>
            </w:r>
          </w:p>
          <w:p>
            <w:pPr>
              <w:widowControl/>
              <w:spacing w:line="360" w:lineRule="auto"/>
              <w:ind w:firstLine="420" w:firstLineChars="200"/>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三档（20分）：项目实施进度计划合理详尽，各阶段时间节点清晰明确，项目整体进度保障措施全面得当、各阶段人员分工安排科学，对各阶段重点难点理解分析恰当，确保项目按预期的进度计划按质按量完成。</w:t>
            </w:r>
          </w:p>
          <w:p>
            <w:pPr>
              <w:widowControl/>
              <w:spacing w:line="360" w:lineRule="auto"/>
              <w:ind w:firstLine="420" w:firstLineChars="200"/>
              <w:jc w:val="left"/>
              <w:rPr>
                <w:rFonts w:hint="eastAsia" w:ascii="宋体" w:hAnsi="宋体" w:eastAsia="宋体" w:cs="宋体"/>
                <w:bCs/>
                <w:color w:val="auto"/>
                <w:szCs w:val="21"/>
                <w:highlight w:val="none"/>
                <w:lang w:val="en-US" w:eastAsia="zh-CN"/>
              </w:rPr>
            </w:pPr>
            <w:r>
              <w:rPr>
                <w:rFonts w:hint="eastAsia" w:ascii="宋体" w:hAnsi="宋体" w:eastAsia="宋体" w:cs="宋体"/>
                <w:color w:val="auto"/>
                <w:szCs w:val="21"/>
                <w:highlight w:val="none"/>
                <w:lang w:val="en-US" w:eastAsia="zh-CN"/>
              </w:rPr>
              <w:t>注：未提供方案或不满足采购文件要求不得分。</w:t>
            </w:r>
          </w:p>
        </w:tc>
        <w:tc>
          <w:tcPr>
            <w:tcW w:w="735" w:type="dxa"/>
            <w:noWrap w:val="0"/>
            <w:vAlign w:val="center"/>
          </w:tcPr>
          <w:p>
            <w:pPr>
              <w:spacing w:line="400" w:lineRule="exact"/>
              <w:contextualSpacing/>
              <w:jc w:val="center"/>
              <w:rPr>
                <w:rFonts w:hint="eastAsia" w:ascii="宋体" w:hAnsi="宋体" w:eastAsia="宋体" w:cs="宋体"/>
                <w:bCs/>
                <w:color w:val="auto"/>
                <w:szCs w:val="21"/>
                <w:highlight w:val="none"/>
                <w:lang w:val="en-US" w:eastAsia="zh-CN"/>
              </w:rPr>
            </w:pPr>
            <w:r>
              <w:rPr>
                <w:rFonts w:hint="eastAsia" w:ascii="宋体" w:hAnsi="宋体" w:eastAsia="宋体" w:cs="Tahoma"/>
                <w:color w:val="auto"/>
                <w:kern w:val="0"/>
                <w:szCs w:val="21"/>
                <w:highlight w:val="none"/>
                <w:lang w:val="en-US" w:eastAsia="zh-CN"/>
              </w:rPr>
              <w:t>20</w:t>
            </w:r>
            <w:r>
              <w:rPr>
                <w:rFonts w:hint="eastAsia" w:ascii="宋体" w:hAnsi="宋体" w:eastAsia="宋体" w:cs="Tahoma"/>
                <w:color w:val="auto"/>
                <w:kern w:val="0"/>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41" w:hRule="atLeast"/>
        </w:trPr>
        <w:tc>
          <w:tcPr>
            <w:tcW w:w="819" w:type="dxa"/>
            <w:noWrap w:val="0"/>
            <w:vAlign w:val="center"/>
          </w:tcPr>
          <w:p>
            <w:pPr>
              <w:spacing w:line="360" w:lineRule="auto"/>
              <w:jc w:val="center"/>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2.4</w:t>
            </w:r>
          </w:p>
        </w:tc>
        <w:tc>
          <w:tcPr>
            <w:tcW w:w="1539" w:type="dxa"/>
            <w:noWrap w:val="0"/>
            <w:vAlign w:val="center"/>
          </w:tcPr>
          <w:p>
            <w:pPr>
              <w:spacing w:line="360" w:lineRule="auto"/>
              <w:jc w:val="center"/>
              <w:rPr>
                <w:rFonts w:hint="eastAsia" w:ascii="宋体" w:hAnsi="宋体" w:eastAsia="宋体" w:cs="宋体"/>
                <w:b w:val="0"/>
                <w:bCs w:val="0"/>
                <w:color w:val="auto"/>
                <w:szCs w:val="21"/>
                <w:highlight w:val="none"/>
                <w:lang w:eastAsia="zh-CN"/>
              </w:rPr>
            </w:pPr>
            <w:r>
              <w:rPr>
                <w:rFonts w:hint="eastAsia" w:ascii="宋体" w:hAnsi="宋体" w:cs="宋体"/>
                <w:b w:val="0"/>
                <w:bCs w:val="0"/>
                <w:color w:val="auto"/>
                <w:szCs w:val="21"/>
                <w:highlight w:val="none"/>
              </w:rPr>
              <w:t>质量保障</w:t>
            </w:r>
            <w:r>
              <w:rPr>
                <w:rFonts w:hint="eastAsia" w:ascii="宋体" w:hAnsi="宋体" w:cs="宋体"/>
                <w:b w:val="0"/>
                <w:bCs w:val="0"/>
                <w:color w:val="auto"/>
                <w:szCs w:val="21"/>
                <w:highlight w:val="none"/>
                <w:lang w:val="en-US" w:eastAsia="zh-CN"/>
              </w:rPr>
              <w:t xml:space="preserve">措施 </w:t>
            </w:r>
          </w:p>
          <w:p>
            <w:pPr>
              <w:spacing w:line="360" w:lineRule="auto"/>
              <w:jc w:val="center"/>
              <w:rPr>
                <w:rFonts w:hint="eastAsia" w:ascii="Times New Roman" w:hAnsi="Times New Roman" w:eastAsia="宋体" w:cs="Times New Roman"/>
                <w:b w:val="0"/>
                <w:bCs w:val="0"/>
                <w:color w:val="auto"/>
                <w:highlight w:val="none"/>
              </w:rPr>
            </w:pPr>
            <w:r>
              <w:rPr>
                <w:rFonts w:hint="eastAsia" w:ascii="宋体" w:hAnsi="宋体" w:cs="宋体"/>
                <w:b w:val="0"/>
                <w:bCs w:val="0"/>
                <w:color w:val="auto"/>
                <w:szCs w:val="21"/>
                <w:highlight w:val="none"/>
              </w:rPr>
              <w:t>（满分</w:t>
            </w:r>
            <w:r>
              <w:rPr>
                <w:rFonts w:hint="eastAsia" w:ascii="宋体" w:hAnsi="宋体" w:cs="宋体"/>
                <w:b w:val="0"/>
                <w:bCs w:val="0"/>
                <w:color w:val="auto"/>
                <w:szCs w:val="21"/>
                <w:highlight w:val="none"/>
                <w:lang w:val="en-US" w:eastAsia="zh-CN"/>
              </w:rPr>
              <w:t>15</w:t>
            </w:r>
            <w:r>
              <w:rPr>
                <w:rFonts w:ascii="宋体" w:hAnsi="宋体" w:cs="宋体"/>
                <w:b w:val="0"/>
                <w:bCs w:val="0"/>
                <w:color w:val="auto"/>
                <w:szCs w:val="21"/>
                <w:highlight w:val="none"/>
              </w:rPr>
              <w:t>分）</w:t>
            </w:r>
          </w:p>
          <w:p>
            <w:pPr>
              <w:adjustRightInd w:val="0"/>
              <w:spacing w:line="360" w:lineRule="auto"/>
              <w:jc w:val="center"/>
              <w:textAlignment w:val="baseline"/>
              <w:rPr>
                <w:rFonts w:hint="eastAsia" w:ascii="宋体" w:hAnsi="宋体" w:cs="微软雅黑"/>
                <w:color w:val="auto"/>
                <w:szCs w:val="21"/>
                <w:highlight w:val="none"/>
              </w:rPr>
            </w:pPr>
          </w:p>
        </w:tc>
        <w:tc>
          <w:tcPr>
            <w:tcW w:w="6338" w:type="dxa"/>
            <w:noWrap w:val="0"/>
            <w:vAlign w:val="top"/>
          </w:tcPr>
          <w:p>
            <w:pPr>
              <w:widowControl/>
              <w:spacing w:line="360" w:lineRule="auto"/>
              <w:ind w:firstLine="420" w:firstLineChars="200"/>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一档（5分）：质量保障措施简单，包含简单的施工改造质量保证措施、应急保障方案等内容。</w:t>
            </w:r>
          </w:p>
          <w:p>
            <w:pPr>
              <w:widowControl/>
              <w:spacing w:line="360" w:lineRule="auto"/>
              <w:ind w:firstLine="420" w:firstLineChars="200"/>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二档（10分）：质量保障措施较详细、包含项目材料、产品选用计划、施工改造项目质量保证措施、应急保障方案等，且描述了实现方式，方案较详细。</w:t>
            </w:r>
          </w:p>
          <w:p>
            <w:pPr>
              <w:widowControl/>
              <w:spacing w:line="360" w:lineRule="auto"/>
              <w:ind w:firstLine="420" w:firstLineChars="200"/>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三档（15分）：质量保障措施合理、保证交货期措施得当，完全满足项目要求，且详细可行、有针对性、符合实际，方案包含有项目材料选用计划、施工改造项目质量保证措施、应急保障方案且描述了项目使用维护方案和应急保障方案的方法以及实现方式。具有完善的质量服务体系，专业的质量服务队伍，完善的服务流程及配套资源，确保向本项目提供专业、快捷、规范的质量服务。</w:t>
            </w:r>
          </w:p>
          <w:p>
            <w:pPr>
              <w:widowControl/>
              <w:spacing w:line="360" w:lineRule="auto"/>
              <w:ind w:firstLine="420" w:firstLineChars="200"/>
              <w:jc w:val="left"/>
              <w:rPr>
                <w:rFonts w:hint="eastAsia" w:ascii="宋体" w:hAnsi="宋体" w:eastAsia="宋体" w:cs="Times New Roman"/>
                <w:bCs/>
                <w:color w:val="auto"/>
                <w:szCs w:val="21"/>
                <w:highlight w:val="none"/>
              </w:rPr>
            </w:pPr>
            <w:r>
              <w:rPr>
                <w:rFonts w:hint="eastAsia" w:ascii="宋体" w:hAnsi="宋体" w:eastAsia="宋体" w:cs="宋体"/>
                <w:color w:val="auto"/>
                <w:szCs w:val="21"/>
                <w:highlight w:val="none"/>
                <w:lang w:val="en-US" w:eastAsia="zh-CN"/>
              </w:rPr>
              <w:t>注：未提供或不满足采购文件要求不得分。</w:t>
            </w:r>
          </w:p>
        </w:tc>
        <w:tc>
          <w:tcPr>
            <w:tcW w:w="735" w:type="dxa"/>
            <w:noWrap w:val="0"/>
            <w:vAlign w:val="center"/>
          </w:tcPr>
          <w:p>
            <w:pPr>
              <w:spacing w:line="400" w:lineRule="exact"/>
              <w:contextualSpacing/>
              <w:jc w:val="center"/>
              <w:rPr>
                <w:rFonts w:hint="default" w:ascii="宋体" w:hAnsi="宋体" w:eastAsia="宋体" w:cs="宋体"/>
                <w:bCs/>
                <w:color w:val="auto"/>
                <w:szCs w:val="21"/>
                <w:highlight w:val="none"/>
                <w:lang w:val="en-US"/>
              </w:rPr>
            </w:pPr>
            <w:r>
              <w:rPr>
                <w:rFonts w:hint="eastAsia" w:ascii="宋体" w:hAnsi="宋体" w:eastAsia="宋体" w:cs="Tahoma"/>
                <w:color w:val="auto"/>
                <w:kern w:val="0"/>
                <w:szCs w:val="21"/>
                <w:highlight w:val="none"/>
                <w:lang w:val="en-US" w:eastAsia="zh-CN"/>
              </w:rPr>
              <w:t>15</w:t>
            </w:r>
            <w:r>
              <w:rPr>
                <w:rFonts w:hint="eastAsia" w:ascii="宋体" w:hAnsi="宋体" w:eastAsia="宋体" w:cs="Tahoma"/>
                <w:color w:val="auto"/>
                <w:kern w:val="0"/>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39" w:hRule="atLeast"/>
        </w:trPr>
        <w:tc>
          <w:tcPr>
            <w:tcW w:w="819" w:type="dxa"/>
            <w:noWrap w:val="0"/>
            <w:vAlign w:val="center"/>
          </w:tcPr>
          <w:p>
            <w:pPr>
              <w:spacing w:line="360" w:lineRule="auto"/>
              <w:jc w:val="center"/>
              <w:rPr>
                <w:rFonts w:hint="default" w:ascii="宋体" w:hAnsi="宋体" w:eastAsia="宋体" w:cs="宋体"/>
                <w:bCs/>
                <w:color w:val="auto"/>
                <w:szCs w:val="21"/>
                <w:highlight w:val="none"/>
                <w:lang w:val="en-US" w:eastAsia="zh-CN"/>
              </w:rPr>
            </w:pPr>
            <w:r>
              <w:rPr>
                <w:rFonts w:hint="eastAsia" w:ascii="宋体" w:hAnsi="宋体" w:cs="宋体"/>
                <w:bCs/>
                <w:color w:val="auto"/>
                <w:szCs w:val="21"/>
                <w:highlight w:val="none"/>
                <w:lang w:val="en-US" w:eastAsia="zh-CN"/>
              </w:rPr>
              <w:t>2.5</w:t>
            </w:r>
          </w:p>
        </w:tc>
        <w:tc>
          <w:tcPr>
            <w:tcW w:w="1539" w:type="dxa"/>
            <w:noWrap w:val="0"/>
            <w:vAlign w:val="center"/>
          </w:tcPr>
          <w:p>
            <w:pPr>
              <w:spacing w:line="360" w:lineRule="auto"/>
              <w:jc w:val="center"/>
              <w:rPr>
                <w:rFonts w:hint="eastAsia"/>
                <w:b w:val="0"/>
                <w:bCs w:val="0"/>
                <w:color w:val="auto"/>
                <w:highlight w:val="none"/>
                <w:lang w:eastAsia="zh-CN"/>
              </w:rPr>
            </w:pPr>
            <w:r>
              <w:rPr>
                <w:rFonts w:hint="eastAsia"/>
                <w:b w:val="0"/>
                <w:bCs w:val="0"/>
                <w:color w:val="auto"/>
                <w:highlight w:val="none"/>
                <w:lang w:eastAsia="zh-CN"/>
              </w:rPr>
              <w:t>服务承诺分</w:t>
            </w:r>
          </w:p>
          <w:p>
            <w:pPr>
              <w:adjustRightInd w:val="0"/>
              <w:spacing w:line="360" w:lineRule="auto"/>
              <w:jc w:val="center"/>
              <w:textAlignment w:val="baseline"/>
              <w:rPr>
                <w:rFonts w:hint="eastAsia" w:ascii="宋体" w:hAnsi="宋体" w:eastAsia="宋体" w:cs="宋体"/>
                <w:bCs/>
                <w:color w:val="auto"/>
                <w:szCs w:val="21"/>
                <w:highlight w:val="none"/>
                <w:lang w:val="en-US" w:eastAsia="zh-CN"/>
              </w:rPr>
            </w:pPr>
            <w:r>
              <w:rPr>
                <w:rFonts w:hint="eastAsia"/>
                <w:b w:val="0"/>
                <w:bCs w:val="0"/>
                <w:color w:val="auto"/>
                <w:highlight w:val="none"/>
                <w:lang w:eastAsia="zh-CN"/>
              </w:rPr>
              <w:t>（满分</w:t>
            </w:r>
            <w:r>
              <w:rPr>
                <w:rFonts w:hint="eastAsia"/>
                <w:b w:val="0"/>
                <w:bCs w:val="0"/>
                <w:color w:val="auto"/>
                <w:highlight w:val="none"/>
                <w:lang w:val="en-US" w:eastAsia="zh-CN"/>
              </w:rPr>
              <w:t>10</w:t>
            </w:r>
            <w:r>
              <w:rPr>
                <w:rFonts w:hint="eastAsia"/>
                <w:b w:val="0"/>
                <w:bCs w:val="0"/>
                <w:color w:val="auto"/>
                <w:highlight w:val="none"/>
                <w:lang w:eastAsia="zh-CN"/>
              </w:rPr>
              <w:t>分）</w:t>
            </w:r>
          </w:p>
        </w:tc>
        <w:tc>
          <w:tcPr>
            <w:tcW w:w="6338" w:type="dxa"/>
            <w:noWrap w:val="0"/>
            <w:vAlign w:val="top"/>
          </w:tcPr>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一档（</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分）：</w:t>
            </w:r>
            <w:r>
              <w:rPr>
                <w:rFonts w:hint="eastAsia" w:ascii="宋体" w:hAnsi="宋体" w:eastAsia="宋体" w:cs="Times New Roman"/>
                <w:bCs/>
                <w:color w:val="auto"/>
                <w:szCs w:val="21"/>
                <w:highlight w:val="none"/>
                <w:lang w:val="en-US" w:eastAsia="zh-CN"/>
              </w:rPr>
              <w:t>售后服务承诺简单描述了服务响应时间、服务响应方式等内容</w:t>
            </w:r>
            <w:r>
              <w:rPr>
                <w:rFonts w:hint="eastAsia" w:ascii="宋体" w:hAnsi="宋体" w:cs="宋体"/>
                <w:color w:val="auto"/>
                <w:szCs w:val="21"/>
                <w:highlight w:val="none"/>
              </w:rPr>
              <w:t xml:space="preserve">； </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二档（</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分）：</w:t>
            </w:r>
            <w:r>
              <w:rPr>
                <w:rFonts w:hint="eastAsia" w:ascii="宋体" w:hAnsi="宋体" w:eastAsia="宋体" w:cs="Times New Roman"/>
                <w:bCs/>
                <w:color w:val="auto"/>
                <w:szCs w:val="21"/>
                <w:highlight w:val="none"/>
                <w:lang w:val="en-US" w:eastAsia="zh-CN"/>
              </w:rPr>
              <w:t>售后服务承诺优于一档，较详细的体现了服务响应时间、服务响应方式，质保期承诺，售后服务技术人员安排，项目完成后出现问题所采取的措施等内容</w:t>
            </w:r>
            <w:r>
              <w:rPr>
                <w:rFonts w:hint="eastAsia" w:ascii="宋体" w:hAnsi="宋体" w:cs="宋体"/>
                <w:color w:val="auto"/>
                <w:szCs w:val="21"/>
                <w:highlight w:val="none"/>
              </w:rPr>
              <w:t xml:space="preserve">； </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三档（</w:t>
            </w:r>
            <w:r>
              <w:rPr>
                <w:rFonts w:hint="eastAsia" w:ascii="宋体" w:hAnsi="宋体" w:cs="宋体"/>
                <w:color w:val="auto"/>
                <w:szCs w:val="21"/>
                <w:highlight w:val="none"/>
                <w:lang w:val="en-US" w:eastAsia="zh-CN"/>
              </w:rPr>
              <w:t>10</w:t>
            </w:r>
            <w:r>
              <w:rPr>
                <w:rFonts w:hint="eastAsia" w:ascii="宋体" w:hAnsi="宋体" w:cs="宋体"/>
                <w:color w:val="auto"/>
                <w:szCs w:val="21"/>
                <w:highlight w:val="none"/>
              </w:rPr>
              <w:t>分）：</w:t>
            </w:r>
            <w:r>
              <w:rPr>
                <w:rFonts w:hint="eastAsia" w:ascii="宋体" w:hAnsi="宋体" w:eastAsia="宋体" w:cs="Times New Roman"/>
                <w:bCs/>
                <w:color w:val="auto"/>
                <w:szCs w:val="21"/>
                <w:highlight w:val="none"/>
                <w:lang w:val="en-US" w:eastAsia="zh-CN"/>
              </w:rPr>
              <w:t>售后服务承诺优于二档，详细的体现了服务响应时间、服务响应方式，质保期承诺，售后服务技术人员安排，项目完成后出现问题所采取的措施</w:t>
            </w:r>
            <w:r>
              <w:rPr>
                <w:rFonts w:hint="eastAsia" w:ascii="宋体" w:hAnsi="宋体" w:cs="宋体"/>
                <w:color w:val="auto"/>
                <w:szCs w:val="21"/>
                <w:highlight w:val="none"/>
              </w:rPr>
              <w:t>，服务承诺的内容能为采购人考虑周全，可行性高，有较为可行的服务保障措施。对项目的服务有正确深刻理解与充分认识，</w:t>
            </w:r>
            <w:r>
              <w:rPr>
                <w:rFonts w:hint="eastAsia" w:ascii="宋体" w:hAnsi="宋体" w:cs="宋体"/>
                <w:color w:val="auto"/>
                <w:szCs w:val="21"/>
                <w:highlight w:val="none"/>
                <w:lang w:val="en-US" w:eastAsia="zh-CN"/>
              </w:rPr>
              <w:t>能提供本地化服务，</w:t>
            </w:r>
            <w:r>
              <w:rPr>
                <w:rFonts w:hint="eastAsia" w:ascii="宋体" w:hAnsi="宋体" w:cs="宋体"/>
                <w:color w:val="auto"/>
                <w:szCs w:val="21"/>
                <w:highlight w:val="none"/>
              </w:rPr>
              <w:t>接到用户服务请求电话承诺</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小时内到达现场解决问题，</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小时内提出问题解决方案，并提供售后服务联系人姓名、电话、详细地址等信息。</w:t>
            </w:r>
          </w:p>
          <w:p>
            <w:pPr>
              <w:spacing w:line="460" w:lineRule="exact"/>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color w:val="auto"/>
                <w:kern w:val="2"/>
                <w:sz w:val="21"/>
                <w:szCs w:val="21"/>
                <w:highlight w:val="none"/>
                <w:lang w:val="en-US" w:eastAsia="zh-CN" w:bidi="ar-SA"/>
              </w:rPr>
              <w:t>备注：未提供服务承诺或不进档，得0分。</w:t>
            </w:r>
          </w:p>
        </w:tc>
        <w:tc>
          <w:tcPr>
            <w:tcW w:w="735" w:type="dxa"/>
            <w:noWrap w:val="0"/>
            <w:vAlign w:val="center"/>
          </w:tcPr>
          <w:p>
            <w:pPr>
              <w:spacing w:line="400" w:lineRule="exact"/>
              <w:contextualSpacing/>
              <w:jc w:val="center"/>
              <w:rPr>
                <w:rFonts w:hint="eastAsia" w:ascii="宋体" w:hAnsi="宋体" w:eastAsia="宋体" w:cs="宋体"/>
                <w:bCs/>
                <w:color w:val="auto"/>
                <w:szCs w:val="21"/>
                <w:highlight w:val="none"/>
                <w:lang w:val="en-US" w:eastAsia="zh-CN"/>
              </w:rPr>
            </w:pPr>
            <w:r>
              <w:rPr>
                <w:rFonts w:ascii="宋体" w:hAnsi="宋体" w:eastAsia="宋体" w:cs="Tahoma"/>
                <w:color w:val="auto"/>
                <w:kern w:val="0"/>
                <w:szCs w:val="21"/>
                <w:highlight w:val="none"/>
              </w:rPr>
              <w:t>1</w:t>
            </w:r>
            <w:r>
              <w:rPr>
                <w:rFonts w:hint="eastAsia" w:ascii="宋体" w:hAnsi="宋体" w:eastAsia="宋体" w:cs="Tahoma"/>
                <w:color w:val="auto"/>
                <w:kern w:val="0"/>
                <w:szCs w:val="21"/>
                <w:highlight w:val="none"/>
                <w:lang w:val="en-US" w:eastAsia="zh-CN"/>
              </w:rPr>
              <w:t>0</w:t>
            </w:r>
            <w:r>
              <w:rPr>
                <w:rFonts w:hint="eastAsia" w:ascii="宋体" w:hAnsi="宋体" w:eastAsia="宋体" w:cs="Tahoma"/>
                <w:color w:val="auto"/>
                <w:kern w:val="0"/>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2" w:hRule="atLeast"/>
        </w:trPr>
        <w:tc>
          <w:tcPr>
            <w:tcW w:w="819" w:type="dxa"/>
            <w:noWrap w:val="0"/>
            <w:vAlign w:val="top"/>
          </w:tcPr>
          <w:p>
            <w:pPr>
              <w:pStyle w:val="1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Cs/>
                <w:color w:val="auto"/>
                <w:szCs w:val="21"/>
                <w:highlight w:val="none"/>
                <w:lang w:val="en-US" w:eastAsia="zh-CN"/>
              </w:rPr>
            </w:pPr>
            <w:r>
              <w:rPr>
                <w:rFonts w:hint="eastAsia" w:ascii="宋体" w:hAnsi="宋体" w:eastAsia="宋体" w:cs="宋体"/>
                <w:color w:val="auto"/>
                <w:kern w:val="0"/>
                <w:sz w:val="21"/>
                <w:szCs w:val="21"/>
                <w:highlight w:val="none"/>
                <w:lang w:val="en-US" w:eastAsia="zh-CN"/>
              </w:rPr>
              <w:t>3</w:t>
            </w:r>
          </w:p>
        </w:tc>
        <w:tc>
          <w:tcPr>
            <w:tcW w:w="1539" w:type="dxa"/>
            <w:noWrap w:val="0"/>
            <w:vAlign w:val="top"/>
          </w:tcPr>
          <w:p>
            <w:pPr>
              <w:pStyle w:val="1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Cs/>
                <w:color w:val="auto"/>
                <w:szCs w:val="21"/>
                <w:highlight w:val="none"/>
                <w:lang w:val="en-US" w:eastAsia="zh-CN"/>
              </w:rPr>
            </w:pPr>
            <w:bookmarkStart w:id="95" w:name="OLE_LINK31"/>
            <w:r>
              <w:rPr>
                <w:rFonts w:hint="eastAsia" w:ascii="宋体" w:hAnsi="宋体" w:eastAsia="宋体" w:cs="宋体"/>
                <w:color w:val="auto"/>
                <w:kern w:val="0"/>
                <w:sz w:val="21"/>
                <w:szCs w:val="21"/>
                <w:highlight w:val="none"/>
                <w:lang w:val="en-US" w:eastAsia="zh-CN"/>
              </w:rPr>
              <w:t>商务分</w:t>
            </w:r>
            <w:bookmarkEnd w:id="95"/>
          </w:p>
        </w:tc>
        <w:tc>
          <w:tcPr>
            <w:tcW w:w="6338" w:type="dxa"/>
            <w:noWrap w:val="0"/>
            <w:vAlign w:val="top"/>
          </w:tcPr>
          <w:p>
            <w:pPr>
              <w:pStyle w:val="1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Cs/>
                <w:color w:val="auto"/>
                <w:szCs w:val="21"/>
                <w:highlight w:val="none"/>
                <w:lang w:val="en-US" w:eastAsia="zh-CN"/>
              </w:rPr>
            </w:pPr>
            <w:r>
              <w:rPr>
                <w:rFonts w:hint="eastAsia" w:ascii="宋体" w:hAnsi="宋体" w:eastAsia="宋体" w:cs="宋体"/>
                <w:color w:val="auto"/>
                <w:kern w:val="0"/>
                <w:sz w:val="21"/>
                <w:szCs w:val="21"/>
                <w:highlight w:val="none"/>
                <w:lang w:val="en-US" w:eastAsia="zh-CN"/>
              </w:rPr>
              <w:t>评审因素具体内容</w:t>
            </w:r>
          </w:p>
        </w:tc>
        <w:tc>
          <w:tcPr>
            <w:tcW w:w="735" w:type="dxa"/>
            <w:noWrap w:val="0"/>
            <w:vAlign w:val="center"/>
          </w:tcPr>
          <w:p>
            <w:pPr>
              <w:pStyle w:val="1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Cs/>
                <w:color w:val="auto"/>
                <w:szCs w:val="21"/>
                <w:highlight w:val="none"/>
                <w:lang w:val="en-US" w:eastAsia="zh-CN"/>
              </w:rPr>
            </w:pPr>
            <w:r>
              <w:rPr>
                <w:rFonts w:hint="eastAsia" w:ascii="宋体" w:hAnsi="宋体" w:eastAsia="宋体" w:cs="宋体"/>
                <w:color w:val="auto"/>
                <w:kern w:val="0"/>
                <w:sz w:val="21"/>
                <w:szCs w:val="21"/>
                <w:highlight w:val="none"/>
                <w:lang w:val="en-US" w:eastAsia="zh-CN"/>
              </w:rPr>
              <w:t>0~</w:t>
            </w:r>
            <w:r>
              <w:rPr>
                <w:rFonts w:hint="eastAsia" w:hAnsi="宋体" w:cs="宋体"/>
                <w:color w:val="auto"/>
                <w:kern w:val="0"/>
                <w:sz w:val="21"/>
                <w:szCs w:val="21"/>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3" w:hRule="atLeast"/>
        </w:trPr>
        <w:tc>
          <w:tcPr>
            <w:tcW w:w="819" w:type="dxa"/>
            <w:noWrap w:val="0"/>
            <w:vAlign w:val="center"/>
          </w:tcPr>
          <w:p>
            <w:pPr>
              <w:spacing w:line="360" w:lineRule="auto"/>
              <w:jc w:val="center"/>
              <w:rPr>
                <w:rFonts w:hint="default" w:ascii="宋体" w:hAnsi="宋体" w:eastAsia="宋体" w:cs="宋体"/>
                <w:bCs/>
                <w:color w:val="auto"/>
                <w:szCs w:val="21"/>
                <w:highlight w:val="none"/>
                <w:lang w:val="en-US" w:eastAsia="zh-CN"/>
              </w:rPr>
            </w:pPr>
            <w:r>
              <w:rPr>
                <w:rFonts w:hint="eastAsia" w:ascii="宋体" w:hAnsi="宋体" w:cs="宋体"/>
                <w:bCs/>
                <w:color w:val="auto"/>
                <w:szCs w:val="21"/>
                <w:highlight w:val="none"/>
                <w:lang w:val="en-US" w:eastAsia="zh-CN"/>
              </w:rPr>
              <w:t>3.1</w:t>
            </w:r>
          </w:p>
        </w:tc>
        <w:tc>
          <w:tcPr>
            <w:tcW w:w="1539" w:type="dxa"/>
            <w:noWrap w:val="0"/>
            <w:vAlign w:val="center"/>
          </w:tcPr>
          <w:p>
            <w:pPr>
              <w:snapToGrid w:val="0"/>
              <w:spacing w:line="360" w:lineRule="auto"/>
              <w:jc w:val="center"/>
              <w:rPr>
                <w:rFonts w:hint="eastAsia" w:ascii="宋体" w:hAnsi="宋体" w:eastAsia="宋体" w:cs="宋体"/>
                <w:bCs/>
                <w:color w:val="auto"/>
                <w:szCs w:val="21"/>
                <w:highlight w:val="none"/>
                <w:lang w:val="en-US" w:eastAsia="zh-CN"/>
              </w:rPr>
            </w:pPr>
            <w:bookmarkStart w:id="96" w:name="OLE_LINK32"/>
            <w:r>
              <w:rPr>
                <w:rFonts w:hint="eastAsia" w:ascii="宋体" w:hAnsi="宋体" w:cs="微软雅黑"/>
                <w:color w:val="auto"/>
                <w:szCs w:val="21"/>
                <w:highlight w:val="none"/>
                <w:lang w:eastAsia="zh-CN"/>
              </w:rPr>
              <w:t>业绩分</w:t>
            </w:r>
            <w:r>
              <w:rPr>
                <w:rFonts w:hint="eastAsia" w:ascii="宋体" w:hAnsi="宋体" w:cs="微软雅黑"/>
                <w:color w:val="auto"/>
                <w:szCs w:val="21"/>
                <w:highlight w:val="none"/>
              </w:rPr>
              <w:t>（满分</w:t>
            </w:r>
            <w:r>
              <w:rPr>
                <w:rFonts w:hint="eastAsia" w:ascii="宋体" w:hAnsi="宋体" w:cs="微软雅黑"/>
                <w:color w:val="auto"/>
                <w:szCs w:val="21"/>
                <w:highlight w:val="none"/>
                <w:lang w:val="en-US" w:eastAsia="zh-CN"/>
              </w:rPr>
              <w:t>5</w:t>
            </w:r>
            <w:r>
              <w:rPr>
                <w:rFonts w:hint="eastAsia" w:ascii="宋体" w:hAnsi="宋体" w:cs="微软雅黑"/>
                <w:color w:val="auto"/>
                <w:szCs w:val="21"/>
                <w:highlight w:val="none"/>
              </w:rPr>
              <w:t>分）</w:t>
            </w:r>
            <w:bookmarkEnd w:id="96"/>
          </w:p>
        </w:tc>
        <w:tc>
          <w:tcPr>
            <w:tcW w:w="6338" w:type="dxa"/>
            <w:noWrap w:val="0"/>
            <w:vAlign w:val="center"/>
          </w:tcPr>
          <w:p>
            <w:pPr>
              <w:spacing w:line="400" w:lineRule="exact"/>
              <w:ind w:firstLine="420" w:firstLineChars="200"/>
              <w:contextualSpacing/>
              <w:rPr>
                <w:rFonts w:hint="eastAsia" w:ascii="宋体" w:hAnsi="宋体" w:eastAsia="宋体" w:cs="宋体"/>
                <w:bCs/>
                <w:color w:val="auto"/>
                <w:szCs w:val="21"/>
                <w:highlight w:val="none"/>
                <w:lang w:val="en-US" w:eastAsia="zh-CN"/>
              </w:rPr>
            </w:pPr>
            <w:r>
              <w:rPr>
                <w:rFonts w:hint="eastAsia" w:ascii="宋体" w:hAnsi="宋体" w:eastAsia="宋体" w:cs="Times New Roman"/>
                <w:bCs/>
                <w:color w:val="auto"/>
                <w:szCs w:val="21"/>
                <w:highlight w:val="none"/>
              </w:rPr>
              <w:t>供应商自202</w:t>
            </w:r>
            <w:r>
              <w:rPr>
                <w:rFonts w:hint="eastAsia" w:ascii="宋体" w:hAnsi="宋体" w:cs="Times New Roman"/>
                <w:bCs/>
                <w:color w:val="auto"/>
                <w:szCs w:val="21"/>
                <w:highlight w:val="none"/>
                <w:lang w:val="en-US" w:eastAsia="zh-CN"/>
              </w:rPr>
              <w:t>2</w:t>
            </w:r>
            <w:r>
              <w:rPr>
                <w:rFonts w:hint="eastAsia" w:ascii="宋体" w:hAnsi="宋体" w:eastAsia="宋体" w:cs="Times New Roman"/>
                <w:bCs/>
                <w:color w:val="auto"/>
                <w:szCs w:val="21"/>
                <w:highlight w:val="none"/>
              </w:rPr>
              <w:t>年1月1日起承担过类似项目</w:t>
            </w:r>
            <w:r>
              <w:rPr>
                <w:rFonts w:hint="eastAsia" w:ascii="宋体" w:hAnsi="宋体" w:eastAsia="宋体" w:cs="Times New Roman"/>
                <w:bCs/>
                <w:color w:val="auto"/>
                <w:szCs w:val="21"/>
                <w:highlight w:val="none"/>
                <w:lang w:val="en-US" w:eastAsia="zh-CN"/>
              </w:rPr>
              <w:t>业绩的</w:t>
            </w:r>
            <w:r>
              <w:rPr>
                <w:rFonts w:hint="eastAsia" w:ascii="宋体" w:hAnsi="宋体" w:eastAsia="宋体" w:cs="Times New Roman"/>
                <w:bCs/>
                <w:color w:val="auto"/>
                <w:szCs w:val="21"/>
                <w:highlight w:val="none"/>
              </w:rPr>
              <w:t>，</w:t>
            </w:r>
            <w:r>
              <w:rPr>
                <w:rFonts w:hint="eastAsia" w:ascii="宋体" w:hAnsi="宋体" w:eastAsia="宋体" w:cs="Times New Roman"/>
                <w:bCs/>
                <w:color w:val="auto"/>
                <w:szCs w:val="21"/>
                <w:highlight w:val="none"/>
                <w:lang w:val="en-US" w:eastAsia="zh-CN"/>
              </w:rPr>
              <w:t>每</w:t>
            </w:r>
            <w:r>
              <w:rPr>
                <w:rFonts w:hint="eastAsia" w:ascii="宋体" w:hAnsi="宋体" w:eastAsia="宋体" w:cs="Times New Roman"/>
                <w:bCs/>
                <w:color w:val="auto"/>
                <w:szCs w:val="21"/>
                <w:highlight w:val="none"/>
              </w:rPr>
              <w:t>提供1份合同复印件或中标（成交）通知书复印件的得</w:t>
            </w:r>
            <w:r>
              <w:rPr>
                <w:rFonts w:hint="eastAsia" w:ascii="宋体" w:hAnsi="宋体" w:eastAsia="宋体" w:cs="Times New Roman"/>
                <w:bCs/>
                <w:color w:val="auto"/>
                <w:szCs w:val="21"/>
                <w:highlight w:val="none"/>
                <w:lang w:val="en-US" w:eastAsia="zh-CN"/>
              </w:rPr>
              <w:t>5</w:t>
            </w:r>
            <w:r>
              <w:rPr>
                <w:rFonts w:hint="eastAsia" w:ascii="宋体" w:hAnsi="宋体" w:eastAsia="宋体" w:cs="Times New Roman"/>
                <w:bCs/>
                <w:color w:val="auto"/>
                <w:szCs w:val="21"/>
                <w:highlight w:val="none"/>
              </w:rPr>
              <w:t>分，满分</w:t>
            </w:r>
            <w:r>
              <w:rPr>
                <w:rFonts w:hint="eastAsia" w:ascii="宋体" w:hAnsi="宋体" w:eastAsia="宋体" w:cs="Times New Roman"/>
                <w:bCs/>
                <w:color w:val="auto"/>
                <w:szCs w:val="21"/>
                <w:highlight w:val="none"/>
                <w:lang w:val="en-US" w:eastAsia="zh-CN"/>
              </w:rPr>
              <w:t>5</w:t>
            </w:r>
            <w:r>
              <w:rPr>
                <w:rFonts w:hint="eastAsia" w:ascii="宋体" w:hAnsi="宋体" w:eastAsia="宋体" w:cs="Times New Roman"/>
                <w:bCs/>
                <w:color w:val="auto"/>
                <w:szCs w:val="21"/>
                <w:highlight w:val="none"/>
              </w:rPr>
              <w:t>分</w:t>
            </w:r>
            <w:r>
              <w:rPr>
                <w:rFonts w:hint="eastAsia" w:ascii="Times New Roman" w:hAnsi="Times New Roman" w:eastAsia="宋体" w:cs="Times New Roman"/>
                <w:color w:val="auto"/>
                <w:highlight w:val="none"/>
              </w:rPr>
              <w:t>。</w:t>
            </w:r>
          </w:p>
        </w:tc>
        <w:tc>
          <w:tcPr>
            <w:tcW w:w="735" w:type="dxa"/>
            <w:noWrap w:val="0"/>
            <w:vAlign w:val="center"/>
          </w:tcPr>
          <w:p>
            <w:pPr>
              <w:widowControl/>
              <w:spacing w:line="400" w:lineRule="exact"/>
              <w:contextualSpacing/>
              <w:jc w:val="center"/>
              <w:rPr>
                <w:rFonts w:hint="default" w:ascii="宋体" w:hAnsi="宋体" w:eastAsia="宋体" w:cs="宋体"/>
                <w:bCs/>
                <w:color w:val="auto"/>
                <w:szCs w:val="21"/>
                <w:highlight w:val="none"/>
                <w:lang w:val="en-US" w:eastAsia="zh-CN"/>
              </w:rPr>
            </w:pPr>
            <w:r>
              <w:rPr>
                <w:rFonts w:hint="eastAsia" w:ascii="宋体" w:hAnsi="宋体" w:eastAsia="宋体" w:cs="Tahoma"/>
                <w:color w:val="auto"/>
                <w:kern w:val="0"/>
                <w:szCs w:val="21"/>
                <w:highlight w:val="none"/>
                <w:lang w:val="en-US" w:eastAsia="zh-CN"/>
              </w:rPr>
              <w:t>5</w:t>
            </w:r>
            <w:r>
              <w:rPr>
                <w:rFonts w:hint="eastAsia" w:ascii="宋体" w:hAnsi="宋体" w:eastAsia="宋体" w:cs="Tahoma"/>
                <w:color w:val="auto"/>
                <w:kern w:val="0"/>
                <w:szCs w:val="21"/>
                <w:highlight w:val="none"/>
              </w:rPr>
              <w:t>分</w:t>
            </w:r>
          </w:p>
        </w:tc>
      </w:tr>
    </w:tbl>
    <w:p>
      <w:pPr>
        <w:spacing w:line="360" w:lineRule="auto"/>
        <w:ind w:firstLine="420" w:firstLineChars="200"/>
        <w:rPr>
          <w:rFonts w:hint="eastAsia" w:ascii="宋体" w:hAnsi="宋体" w:eastAsia="宋体" w:cs="宋体"/>
          <w:color w:val="auto"/>
          <w:highlight w:val="none"/>
        </w:rPr>
      </w:pPr>
      <w:bookmarkStart w:id="97" w:name="_Toc80205935"/>
      <w:r>
        <w:rPr>
          <w:rFonts w:hint="eastAsia" w:ascii="宋体" w:hAnsi="宋体" w:eastAsia="宋体" w:cs="宋体"/>
          <w:color w:val="auto"/>
          <w:highlight w:val="none"/>
        </w:rPr>
        <w:t>7.2.终止竞争性磋商采购活动</w:t>
      </w:r>
    </w:p>
    <w:p>
      <w:pPr>
        <w:spacing w:line="360" w:lineRule="auto"/>
        <w:ind w:firstLine="420" w:firstLineChars="200"/>
        <w:rPr>
          <w:rFonts w:hint="eastAsia" w:ascii="宋体" w:hAnsi="宋体" w:eastAsia="宋体" w:cs="宋体"/>
          <w:bCs/>
          <w:color w:val="auto"/>
          <w:sz w:val="32"/>
          <w:szCs w:val="32"/>
          <w:highlight w:val="none"/>
        </w:rPr>
      </w:pPr>
      <w:r>
        <w:rPr>
          <w:rFonts w:hint="eastAsia" w:ascii="宋体" w:hAnsi="宋体" w:eastAsia="宋体" w:cs="宋体"/>
          <w:color w:val="auto"/>
          <w:highlight w:val="none"/>
        </w:rPr>
        <w:t>磋商小组发现竞争性磋商文件存在歧义、重大缺陷导致评审工作无法进行，或者竞争性磋商文件内容违反国家有关规定的，要停止评审工作并向采购人或采购代理机构书面说明情况，采购人或采购代理机构应当修改竞争性磋商文件后重新组织采购活动；发现供应商提供虚假材料、串通等违法违规行为的，要及时向采购人或采购代理机构报告。</w:t>
      </w:r>
    </w:p>
    <w:p>
      <w:pPr>
        <w:keepNext/>
        <w:keepLines/>
        <w:spacing w:line="360" w:lineRule="auto"/>
        <w:ind w:firstLine="640" w:firstLineChars="200"/>
        <w:jc w:val="center"/>
        <w:outlineLvl w:val="1"/>
        <w:rPr>
          <w:rFonts w:hint="eastAsia" w:ascii="宋体" w:hAnsi="宋体" w:eastAsia="宋体" w:cs="宋体"/>
          <w:bCs/>
          <w:color w:val="auto"/>
          <w:sz w:val="32"/>
          <w:szCs w:val="32"/>
          <w:highlight w:val="none"/>
        </w:rPr>
      </w:pPr>
      <w:bookmarkStart w:id="98" w:name="_Toc12763"/>
      <w:bookmarkStart w:id="99" w:name="_Toc18919"/>
      <w:r>
        <w:rPr>
          <w:rFonts w:hint="eastAsia" w:ascii="宋体" w:hAnsi="宋体" w:eastAsia="宋体" w:cs="宋体"/>
          <w:bCs/>
          <w:color w:val="auto"/>
          <w:sz w:val="32"/>
          <w:szCs w:val="32"/>
          <w:highlight w:val="none"/>
        </w:rPr>
        <w:t>第二节 评标报告</w:t>
      </w:r>
      <w:bookmarkEnd w:id="97"/>
      <w:bookmarkEnd w:id="98"/>
      <w:bookmarkEnd w:id="99"/>
    </w:p>
    <w:p>
      <w:pPr>
        <w:spacing w:line="360" w:lineRule="auto"/>
        <w:ind w:firstLine="480" w:firstLineChars="200"/>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1.成交标准</w:t>
      </w:r>
    </w:p>
    <w:p>
      <w:pPr>
        <w:spacing w:line="360" w:lineRule="auto"/>
        <w:ind w:firstLine="420" w:firstLineChars="200"/>
        <w:rPr>
          <w:rFonts w:hint="eastAsia" w:ascii="宋体" w:hAnsi="宋体" w:eastAsia="宋体" w:cs="宋体"/>
          <w:color w:val="auto"/>
          <w:sz w:val="24"/>
          <w:highlight w:val="none"/>
        </w:rPr>
      </w:pPr>
      <w:r>
        <w:rPr>
          <w:rFonts w:hint="eastAsia" w:ascii="宋体" w:hAnsi="宋体" w:eastAsia="宋体" w:cs="宋体"/>
          <w:bCs/>
          <w:color w:val="auto"/>
          <w:szCs w:val="21"/>
          <w:highlight w:val="none"/>
        </w:rPr>
        <w:t>由磋商小组根据综合评分情况，按照评审得分由高到低顺序推荐3名以上成交候选供应商</w:t>
      </w:r>
      <w:r>
        <w:rPr>
          <w:rFonts w:hint="eastAsia" w:ascii="宋体" w:hAnsi="宋体" w:eastAsia="宋体" w:cs="宋体"/>
          <w:color w:val="auto"/>
          <w:highlight w:val="none"/>
        </w:rPr>
        <w:t>,并在线编写电子评审报告</w:t>
      </w:r>
      <w:r>
        <w:rPr>
          <w:rFonts w:hint="eastAsia" w:ascii="宋体" w:hAnsi="宋体" w:eastAsia="宋体" w:cs="宋体"/>
          <w:bCs/>
          <w:color w:val="auto"/>
          <w:szCs w:val="21"/>
          <w:highlight w:val="none"/>
        </w:rPr>
        <w:t>。符合本章第一节第5.3条情形的，可以推荐2家成交候选供应商。评审得分相同的，按照最后报价（不计算价格折扣）由低到高的顺序推荐。评审得分且最后报价（不计算价格折扣）相同的，按照技术指标优劣顺序推荐（按技术得分由高到低排序，技术得分相同的按照服务需求偏离分由高到低排序）。评审得分、最后报价（不计算价格折扣）、技术得分、服务需求偏离分均相同的，由磋商小组随机抽取推荐。</w:t>
      </w:r>
    </w:p>
    <w:p>
      <w:pPr>
        <w:spacing w:line="360" w:lineRule="auto"/>
        <w:ind w:firstLine="480" w:firstLineChars="200"/>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2.评标争议事项处理</w:t>
      </w:r>
    </w:p>
    <w:p>
      <w:pPr>
        <w:adjustRightInd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磋商小组成员对需要共同认定的事项存在争议的，应当按照少数服从多数的原则作出结论。持不同意见的磋商小组成员应当在评标报告上签署不同意见及理由，否则视为同意评标报告。</w:t>
      </w:r>
    </w:p>
    <w:p>
      <w:pPr>
        <w:keepNext/>
        <w:keepLines/>
        <w:spacing w:line="360" w:lineRule="auto"/>
        <w:ind w:firstLine="640" w:firstLineChars="200"/>
        <w:jc w:val="center"/>
        <w:outlineLvl w:val="1"/>
        <w:rPr>
          <w:rFonts w:hint="eastAsia" w:ascii="宋体" w:hAnsi="宋体" w:eastAsia="宋体" w:cs="宋体"/>
          <w:bCs/>
          <w:color w:val="auto"/>
          <w:sz w:val="32"/>
          <w:szCs w:val="32"/>
          <w:highlight w:val="none"/>
        </w:rPr>
      </w:pPr>
      <w:bookmarkStart w:id="100" w:name="_Toc15026"/>
      <w:bookmarkStart w:id="101" w:name="_Toc80205936"/>
      <w:bookmarkStart w:id="102" w:name="_Toc23347"/>
      <w:r>
        <w:rPr>
          <w:rFonts w:hint="eastAsia" w:ascii="宋体" w:hAnsi="宋体" w:eastAsia="宋体" w:cs="宋体"/>
          <w:bCs/>
          <w:color w:val="auto"/>
          <w:sz w:val="32"/>
          <w:szCs w:val="32"/>
          <w:highlight w:val="none"/>
        </w:rPr>
        <w:t>第三节 评审过程的保密与录像</w:t>
      </w:r>
      <w:bookmarkEnd w:id="100"/>
      <w:bookmarkEnd w:id="101"/>
      <w:bookmarkEnd w:id="102"/>
    </w:p>
    <w:p>
      <w:pPr>
        <w:spacing w:line="360" w:lineRule="auto"/>
        <w:ind w:firstLine="480" w:firstLineChars="200"/>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1.保密。</w:t>
      </w:r>
    </w:p>
    <w:p>
      <w:pPr>
        <w:widowControl/>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评审活动在严格保密的情况下进行。评审过程中凡是与采购响应文件评审和比较、中标成交供应商推荐等评审有关的情况，以及涉及国家秘密和商业秘密等信息，评审委员会成员、采购人和采购机构工作人员、相关监督人员等与评审有关的人员应当予以保密。</w:t>
      </w:r>
    </w:p>
    <w:p>
      <w:pPr>
        <w:widowControl/>
        <w:spacing w:line="360" w:lineRule="auto"/>
        <w:ind w:firstLine="480" w:firstLineChars="200"/>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2.录音录像。</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采购代理机构对评审工作现场及操作屏幕进行全过程录音录像，录音录像资料作为采购项目文件随其他文件一并存档。</w:t>
      </w:r>
    </w:p>
    <w:p>
      <w:pPr>
        <w:keepNext/>
        <w:keepLines/>
        <w:spacing w:before="260" w:after="260" w:line="416" w:lineRule="auto"/>
        <w:jc w:val="center"/>
        <w:outlineLvl w:val="9"/>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br w:type="page"/>
      </w:r>
    </w:p>
    <w:p>
      <w:pPr>
        <w:keepNext/>
        <w:keepLines/>
        <w:spacing w:before="260" w:after="260" w:line="416" w:lineRule="auto"/>
        <w:jc w:val="center"/>
        <w:outlineLvl w:val="9"/>
        <w:rPr>
          <w:rFonts w:hint="eastAsia" w:ascii="宋体" w:hAnsi="宋体" w:eastAsia="宋体" w:cs="宋体"/>
          <w:b/>
          <w:bCs/>
          <w:color w:val="auto"/>
          <w:sz w:val="32"/>
          <w:szCs w:val="32"/>
          <w:highlight w:val="none"/>
        </w:rPr>
      </w:pPr>
    </w:p>
    <w:p>
      <w:pPr>
        <w:keepNext/>
        <w:keepLines/>
        <w:spacing w:before="260" w:after="260" w:line="416" w:lineRule="auto"/>
        <w:jc w:val="center"/>
        <w:outlineLvl w:val="9"/>
        <w:rPr>
          <w:rFonts w:hint="eastAsia" w:ascii="宋体" w:hAnsi="宋体" w:eastAsia="宋体" w:cs="宋体"/>
          <w:b/>
          <w:bCs/>
          <w:color w:val="auto"/>
          <w:sz w:val="32"/>
          <w:szCs w:val="32"/>
          <w:highlight w:val="none"/>
        </w:rPr>
      </w:pPr>
    </w:p>
    <w:p>
      <w:pPr>
        <w:keepNext/>
        <w:keepLines/>
        <w:spacing w:before="260" w:after="260" w:line="416" w:lineRule="auto"/>
        <w:jc w:val="center"/>
        <w:outlineLvl w:val="9"/>
        <w:rPr>
          <w:rFonts w:hint="eastAsia" w:ascii="宋体" w:hAnsi="宋体" w:eastAsia="宋体" w:cs="宋体"/>
          <w:b/>
          <w:bCs/>
          <w:color w:val="auto"/>
          <w:sz w:val="32"/>
          <w:szCs w:val="32"/>
          <w:highlight w:val="none"/>
        </w:rPr>
      </w:pPr>
    </w:p>
    <w:p>
      <w:pPr>
        <w:keepNext/>
        <w:keepLines/>
        <w:spacing w:before="260" w:after="260" w:line="416" w:lineRule="auto"/>
        <w:jc w:val="center"/>
        <w:outlineLvl w:val="9"/>
        <w:rPr>
          <w:rFonts w:hint="eastAsia" w:ascii="宋体" w:hAnsi="宋体" w:eastAsia="宋体" w:cs="宋体"/>
          <w:b/>
          <w:bCs/>
          <w:color w:val="auto"/>
          <w:sz w:val="32"/>
          <w:szCs w:val="32"/>
          <w:highlight w:val="none"/>
        </w:rPr>
      </w:pPr>
    </w:p>
    <w:p>
      <w:pPr>
        <w:keepNext/>
        <w:keepLines/>
        <w:spacing w:before="260" w:after="260" w:line="416" w:lineRule="auto"/>
        <w:jc w:val="center"/>
        <w:outlineLvl w:val="9"/>
        <w:rPr>
          <w:rFonts w:hint="eastAsia" w:ascii="宋体" w:hAnsi="宋体" w:eastAsia="宋体" w:cs="宋体"/>
          <w:b/>
          <w:bCs/>
          <w:color w:val="auto"/>
          <w:sz w:val="32"/>
          <w:szCs w:val="32"/>
          <w:highlight w:val="none"/>
        </w:rPr>
      </w:pPr>
    </w:p>
    <w:p>
      <w:pPr>
        <w:keepNext/>
        <w:keepLines/>
        <w:spacing w:before="340" w:after="330" w:line="578" w:lineRule="auto"/>
        <w:jc w:val="center"/>
        <w:outlineLvl w:val="0"/>
        <w:rPr>
          <w:rFonts w:hint="eastAsia" w:ascii="宋体" w:hAnsi="宋体" w:eastAsia="宋体" w:cs="宋体"/>
          <w:b/>
          <w:bCs/>
          <w:color w:val="auto"/>
          <w:kern w:val="44"/>
          <w:sz w:val="44"/>
          <w:szCs w:val="44"/>
          <w:highlight w:val="none"/>
        </w:rPr>
        <w:sectPr>
          <w:footerReference r:id="rId13" w:type="first"/>
          <w:footerReference r:id="rId12" w:type="default"/>
          <w:pgSz w:w="11910" w:h="16840"/>
          <w:pgMar w:top="1440" w:right="1080" w:bottom="1440" w:left="1080" w:header="720" w:footer="720" w:gutter="0"/>
          <w:pgNumType w:fmt="decimal"/>
          <w:cols w:space="720" w:num="1"/>
        </w:sectPr>
      </w:pPr>
      <w:bookmarkStart w:id="103" w:name="_Toc9501"/>
      <w:bookmarkStart w:id="104" w:name="_Toc24663"/>
      <w:r>
        <w:rPr>
          <w:rFonts w:hint="eastAsia" w:ascii="宋体" w:hAnsi="宋体" w:eastAsia="宋体" w:cs="宋体"/>
          <w:b/>
          <w:bCs/>
          <w:color w:val="auto"/>
          <w:kern w:val="44"/>
          <w:sz w:val="44"/>
          <w:szCs w:val="44"/>
          <w:highlight w:val="none"/>
        </w:rPr>
        <w:t>第五章</w:t>
      </w:r>
      <w:r>
        <w:rPr>
          <w:rFonts w:hint="eastAsia" w:ascii="宋体" w:hAnsi="宋体" w:eastAsia="宋体" w:cs="宋体"/>
          <w:b/>
          <w:bCs/>
          <w:color w:val="auto"/>
          <w:kern w:val="44"/>
          <w:sz w:val="44"/>
          <w:szCs w:val="44"/>
          <w:highlight w:val="none"/>
          <w:lang w:val="en-US" w:eastAsia="zh-CN"/>
        </w:rPr>
        <w:t xml:space="preserve"> </w:t>
      </w:r>
      <w:r>
        <w:rPr>
          <w:rFonts w:hint="eastAsia" w:ascii="宋体" w:hAnsi="宋体" w:eastAsia="宋体" w:cs="宋体"/>
          <w:b/>
          <w:bCs/>
          <w:color w:val="auto"/>
          <w:kern w:val="44"/>
          <w:sz w:val="44"/>
          <w:szCs w:val="44"/>
          <w:highlight w:val="none"/>
        </w:rPr>
        <w:t>响应文件格式</w:t>
      </w:r>
      <w:bookmarkEnd w:id="103"/>
      <w:bookmarkEnd w:id="104"/>
    </w:p>
    <w:p>
      <w:pPr>
        <w:pStyle w:val="3"/>
        <w:jc w:val="center"/>
        <w:outlineLvl w:val="1"/>
        <w:rPr>
          <w:rFonts w:hint="eastAsia" w:ascii="宋体" w:hAnsi="宋体" w:eastAsia="宋体" w:cs="宋体"/>
          <w:b w:val="0"/>
          <w:color w:val="auto"/>
          <w:highlight w:val="none"/>
          <w:lang w:val="en-US" w:eastAsia="zh-CN"/>
        </w:rPr>
      </w:pPr>
      <w:bookmarkStart w:id="105" w:name="_Toc80205938"/>
      <w:bookmarkStart w:id="106" w:name="_Toc80886942"/>
      <w:bookmarkStart w:id="107" w:name="_Toc6528"/>
      <w:r>
        <w:rPr>
          <w:rFonts w:hint="eastAsia" w:ascii="宋体" w:hAnsi="宋体" w:eastAsia="宋体" w:cs="宋体"/>
          <w:b w:val="0"/>
          <w:color w:val="auto"/>
          <w:highlight w:val="none"/>
          <w:lang w:val="en-US" w:eastAsia="zh-CN"/>
        </w:rPr>
        <w:t>第一节 封面格式</w:t>
      </w:r>
      <w:bookmarkEnd w:id="105"/>
      <w:bookmarkEnd w:id="106"/>
      <w:bookmarkEnd w:id="107"/>
    </w:p>
    <w:p>
      <w:pPr>
        <w:snapToGrid w:val="0"/>
        <w:spacing w:before="120" w:beforeLines="50" w:after="50"/>
        <w:rPr>
          <w:rFonts w:hint="eastAsia" w:ascii="宋体" w:hAnsi="宋体" w:eastAsia="宋体" w:cs="宋体"/>
          <w:color w:val="auto"/>
          <w:sz w:val="24"/>
          <w:szCs w:val="20"/>
          <w:highlight w:val="none"/>
        </w:rPr>
      </w:pPr>
    </w:p>
    <w:p>
      <w:pPr>
        <w:snapToGrid w:val="0"/>
        <w:spacing w:before="120" w:beforeLines="50" w:after="50"/>
        <w:jc w:val="center"/>
        <w:rPr>
          <w:rFonts w:hint="eastAsia" w:ascii="宋体" w:hAnsi="宋体" w:eastAsia="宋体" w:cs="宋体"/>
          <w:bCs/>
          <w:color w:val="auto"/>
          <w:sz w:val="24"/>
          <w:szCs w:val="20"/>
          <w:highlight w:val="none"/>
        </w:rPr>
      </w:pPr>
    </w:p>
    <w:p>
      <w:pPr>
        <w:snapToGrid w:val="0"/>
        <w:spacing w:before="120" w:beforeLines="50" w:after="50"/>
        <w:jc w:val="center"/>
        <w:rPr>
          <w:rFonts w:hint="eastAsia" w:ascii="宋体" w:hAnsi="宋体" w:eastAsia="宋体" w:cs="宋体"/>
          <w:bCs/>
          <w:color w:val="auto"/>
          <w:sz w:val="44"/>
          <w:szCs w:val="44"/>
          <w:highlight w:val="none"/>
        </w:rPr>
      </w:pPr>
      <w:r>
        <w:rPr>
          <w:rFonts w:hint="eastAsia" w:ascii="宋体" w:hAnsi="宋体" w:eastAsia="宋体" w:cs="宋体"/>
          <w:bCs/>
          <w:color w:val="auto"/>
          <w:sz w:val="44"/>
          <w:szCs w:val="44"/>
          <w:highlight w:val="none"/>
        </w:rPr>
        <w:t>响  应  文  件</w:t>
      </w:r>
    </w:p>
    <w:p>
      <w:pPr>
        <w:snapToGrid w:val="0"/>
        <w:spacing w:before="120" w:beforeLines="50" w:after="50"/>
        <w:rPr>
          <w:rFonts w:hint="eastAsia" w:ascii="宋体" w:hAnsi="宋体" w:eastAsia="宋体" w:cs="宋体"/>
          <w:bCs/>
          <w:color w:val="auto"/>
          <w:sz w:val="24"/>
          <w:szCs w:val="20"/>
          <w:highlight w:val="none"/>
        </w:rPr>
      </w:pPr>
    </w:p>
    <w:p>
      <w:pPr>
        <w:snapToGrid w:val="0"/>
        <w:spacing w:before="120" w:beforeLines="50" w:after="50"/>
        <w:rPr>
          <w:rFonts w:hint="eastAsia" w:ascii="宋体" w:hAnsi="宋体" w:eastAsia="宋体" w:cs="宋体"/>
          <w:bCs/>
          <w:color w:val="auto"/>
          <w:sz w:val="24"/>
          <w:szCs w:val="20"/>
          <w:highlight w:val="none"/>
        </w:rPr>
      </w:pPr>
    </w:p>
    <w:p>
      <w:pPr>
        <w:snapToGrid w:val="0"/>
        <w:spacing w:before="120" w:beforeLines="50" w:after="50"/>
        <w:rPr>
          <w:rFonts w:hint="eastAsia" w:ascii="宋体" w:hAnsi="宋体" w:eastAsia="宋体" w:cs="宋体"/>
          <w:bCs/>
          <w:color w:val="auto"/>
          <w:sz w:val="32"/>
          <w:szCs w:val="32"/>
          <w:highlight w:val="none"/>
        </w:rPr>
      </w:pPr>
    </w:p>
    <w:p>
      <w:pPr>
        <w:snapToGrid w:val="0"/>
        <w:spacing w:before="120" w:beforeLines="50" w:after="50"/>
        <w:ind w:firstLine="640" w:firstLineChars="200"/>
        <w:rPr>
          <w:rFonts w:hint="default" w:ascii="宋体" w:hAnsi="宋体" w:eastAsia="宋体" w:cs="宋体"/>
          <w:bCs/>
          <w:color w:val="auto"/>
          <w:sz w:val="32"/>
          <w:szCs w:val="32"/>
          <w:highlight w:val="none"/>
          <w:lang w:val="en-US"/>
        </w:rPr>
      </w:pPr>
      <w:r>
        <w:rPr>
          <w:rFonts w:hint="eastAsia" w:ascii="宋体" w:hAnsi="宋体" w:eastAsia="宋体" w:cs="宋体"/>
          <w:bCs/>
          <w:color w:val="auto"/>
          <w:sz w:val="32"/>
          <w:szCs w:val="32"/>
          <w:highlight w:val="none"/>
        </w:rPr>
        <w:t>项目名称：</w:t>
      </w:r>
      <w:r>
        <w:rPr>
          <w:rFonts w:hint="eastAsia" w:ascii="宋体" w:hAnsi="宋体" w:eastAsia="宋体" w:cs="宋体"/>
          <w:bCs/>
          <w:color w:val="auto"/>
          <w:sz w:val="32"/>
          <w:szCs w:val="32"/>
          <w:highlight w:val="none"/>
          <w:lang w:val="en-US" w:eastAsia="zh-CN"/>
        </w:rPr>
        <w:t xml:space="preserve"> </w:t>
      </w:r>
    </w:p>
    <w:p>
      <w:pPr>
        <w:snapToGrid w:val="0"/>
        <w:spacing w:before="120" w:beforeLines="50" w:after="50"/>
        <w:ind w:firstLine="640" w:firstLineChars="200"/>
        <w:rPr>
          <w:rFonts w:hint="eastAsia" w:ascii="宋体" w:hAnsi="宋体" w:eastAsia="宋体" w:cs="宋体"/>
          <w:bCs/>
          <w:color w:val="auto"/>
          <w:sz w:val="32"/>
          <w:szCs w:val="32"/>
          <w:highlight w:val="none"/>
        </w:rPr>
      </w:pPr>
    </w:p>
    <w:p>
      <w:pPr>
        <w:snapToGrid w:val="0"/>
        <w:spacing w:before="120" w:beforeLines="50" w:after="50"/>
        <w:ind w:firstLine="640" w:firstLineChars="200"/>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rPr>
        <w:t>项目编号：</w:t>
      </w:r>
    </w:p>
    <w:p>
      <w:pPr>
        <w:snapToGrid w:val="0"/>
        <w:spacing w:before="120" w:beforeLines="50" w:after="50"/>
        <w:ind w:firstLine="480" w:firstLineChars="150"/>
        <w:rPr>
          <w:rFonts w:hint="eastAsia" w:ascii="宋体" w:hAnsi="宋体" w:eastAsia="宋体" w:cs="宋体"/>
          <w:bCs/>
          <w:color w:val="auto"/>
          <w:sz w:val="32"/>
          <w:szCs w:val="32"/>
          <w:highlight w:val="none"/>
        </w:rPr>
      </w:pPr>
    </w:p>
    <w:p>
      <w:pPr>
        <w:snapToGrid w:val="0"/>
        <w:spacing w:before="120" w:beforeLines="50" w:after="50"/>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所竞分标（如有则填写，无分标时填写“无”或者留空）：</w:t>
      </w:r>
    </w:p>
    <w:p>
      <w:pPr>
        <w:snapToGrid w:val="0"/>
        <w:spacing w:before="120" w:beforeLines="50" w:after="50"/>
        <w:rPr>
          <w:rFonts w:hint="eastAsia" w:ascii="宋体" w:hAnsi="宋体" w:eastAsia="宋体" w:cs="宋体"/>
          <w:bCs/>
          <w:color w:val="auto"/>
          <w:sz w:val="32"/>
          <w:szCs w:val="32"/>
          <w:highlight w:val="none"/>
        </w:rPr>
      </w:pPr>
    </w:p>
    <w:p>
      <w:pPr>
        <w:snapToGrid w:val="0"/>
        <w:spacing w:before="120" w:beforeLines="50" w:after="50"/>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供应商名称：</w:t>
      </w:r>
    </w:p>
    <w:p>
      <w:pPr>
        <w:snapToGrid w:val="0"/>
        <w:spacing w:before="120" w:beforeLines="50" w:after="50"/>
        <w:rPr>
          <w:rFonts w:hint="eastAsia" w:ascii="宋体" w:hAnsi="宋体" w:eastAsia="宋体" w:cs="宋体"/>
          <w:bCs/>
          <w:color w:val="auto"/>
          <w:sz w:val="32"/>
          <w:szCs w:val="32"/>
          <w:highlight w:val="none"/>
        </w:rPr>
      </w:pPr>
    </w:p>
    <w:p>
      <w:pPr>
        <w:snapToGrid w:val="0"/>
        <w:spacing w:before="120" w:beforeLines="50" w:after="50"/>
        <w:ind w:firstLine="480" w:firstLineChars="150"/>
        <w:jc w:val="center"/>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首次响应文件提交截止时间前不得解密</w:t>
      </w:r>
    </w:p>
    <w:p>
      <w:pPr>
        <w:snapToGrid w:val="0"/>
        <w:spacing w:before="120" w:beforeLines="50" w:after="50"/>
        <w:ind w:firstLine="5440" w:firstLineChars="1700"/>
        <w:jc w:val="center"/>
        <w:rPr>
          <w:rFonts w:hint="eastAsia" w:ascii="宋体" w:hAnsi="宋体" w:eastAsia="宋体" w:cs="宋体"/>
          <w:bCs/>
          <w:color w:val="auto"/>
          <w:sz w:val="32"/>
          <w:szCs w:val="32"/>
          <w:highlight w:val="none"/>
        </w:rPr>
      </w:pPr>
    </w:p>
    <w:p>
      <w:pPr>
        <w:snapToGrid w:val="0"/>
        <w:spacing w:before="120" w:beforeLines="50" w:after="50"/>
        <w:ind w:firstLine="645"/>
        <w:jc w:val="center"/>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年    月    日</w:t>
      </w:r>
    </w:p>
    <w:p>
      <w:pPr>
        <w:rPr>
          <w:rFonts w:hint="eastAsia" w:ascii="宋体" w:hAnsi="宋体" w:eastAsia="宋体" w:cs="宋体"/>
          <w:color w:val="auto"/>
          <w:highlight w:val="none"/>
        </w:rPr>
        <w:sectPr>
          <w:pgSz w:w="11910" w:h="16840"/>
          <w:pgMar w:top="1440" w:right="1080" w:bottom="1440" w:left="1080" w:header="720" w:footer="720" w:gutter="0"/>
          <w:pgNumType w:fmt="decimal"/>
          <w:cols w:space="720" w:num="1"/>
        </w:sectPr>
      </w:pPr>
    </w:p>
    <w:p>
      <w:pPr>
        <w:pStyle w:val="3"/>
        <w:jc w:val="center"/>
        <w:outlineLvl w:val="1"/>
        <w:rPr>
          <w:rFonts w:hint="eastAsia" w:ascii="宋体" w:hAnsi="宋体" w:eastAsia="宋体" w:cs="宋体"/>
          <w:bCs w:val="0"/>
          <w:color w:val="auto"/>
          <w:highlight w:val="none"/>
        </w:rPr>
      </w:pPr>
      <w:bookmarkStart w:id="108" w:name="_Toc80886943"/>
      <w:bookmarkStart w:id="109" w:name="_Toc80205939"/>
      <w:bookmarkStart w:id="110" w:name="_Toc31031"/>
      <w:r>
        <w:rPr>
          <w:rFonts w:hint="eastAsia" w:ascii="宋体" w:hAnsi="宋体" w:eastAsia="宋体" w:cs="宋体"/>
          <w:bCs w:val="0"/>
          <w:color w:val="auto"/>
          <w:highlight w:val="none"/>
        </w:rPr>
        <w:t>第二节 资格证明文件格式</w:t>
      </w:r>
      <w:bookmarkEnd w:id="108"/>
      <w:bookmarkEnd w:id="109"/>
      <w:bookmarkEnd w:id="110"/>
    </w:p>
    <w:p>
      <w:pPr>
        <w:snapToGrid w:val="0"/>
        <w:spacing w:before="120" w:beforeLines="50" w:after="50"/>
        <w:rPr>
          <w:rFonts w:hint="eastAsia" w:ascii="宋体" w:hAnsi="宋体" w:eastAsia="宋体" w:cs="宋体"/>
          <w:bCs/>
          <w:color w:val="auto"/>
          <w:sz w:val="32"/>
          <w:szCs w:val="20"/>
          <w:highlight w:val="none"/>
        </w:rPr>
      </w:pPr>
      <w:r>
        <w:rPr>
          <w:rFonts w:hint="eastAsia" w:ascii="宋体" w:hAnsi="宋体" w:eastAsia="宋体" w:cs="宋体"/>
          <w:color w:val="auto"/>
          <w:sz w:val="24"/>
          <w:highlight w:val="none"/>
        </w:rPr>
        <w:t xml:space="preserve">                                                    </w:t>
      </w:r>
      <w:r>
        <w:rPr>
          <w:rFonts w:hint="eastAsia" w:ascii="宋体" w:hAnsi="宋体" w:eastAsia="宋体" w:cs="宋体"/>
          <w:bCs/>
          <w:color w:val="auto"/>
          <w:highlight w:val="none"/>
        </w:rPr>
        <w:t>全流程电子文件</w:t>
      </w:r>
    </w:p>
    <w:p>
      <w:pPr>
        <w:snapToGrid w:val="0"/>
        <w:spacing w:before="120" w:beforeLines="50" w:after="50"/>
        <w:rPr>
          <w:rFonts w:hint="eastAsia" w:ascii="宋体" w:hAnsi="宋体" w:eastAsia="宋体" w:cs="宋体"/>
          <w:color w:val="auto"/>
          <w:sz w:val="24"/>
          <w:szCs w:val="20"/>
          <w:highlight w:val="none"/>
        </w:rPr>
      </w:pPr>
    </w:p>
    <w:p>
      <w:pPr>
        <w:snapToGrid w:val="0"/>
        <w:spacing w:before="120" w:beforeLines="50" w:after="50"/>
        <w:rPr>
          <w:rFonts w:hint="eastAsia" w:ascii="宋体" w:hAnsi="宋体" w:eastAsia="宋体" w:cs="宋体"/>
          <w:color w:val="auto"/>
          <w:sz w:val="24"/>
          <w:szCs w:val="20"/>
          <w:highlight w:val="none"/>
        </w:rPr>
      </w:pPr>
    </w:p>
    <w:p>
      <w:pPr>
        <w:snapToGrid w:val="0"/>
        <w:spacing w:before="120" w:beforeLines="50" w:after="50"/>
        <w:jc w:val="center"/>
        <w:rPr>
          <w:rFonts w:hint="eastAsia" w:ascii="宋体" w:hAnsi="宋体" w:eastAsia="宋体" w:cs="宋体"/>
          <w:bCs/>
          <w:color w:val="auto"/>
          <w:sz w:val="44"/>
          <w:szCs w:val="44"/>
          <w:highlight w:val="none"/>
        </w:rPr>
      </w:pPr>
      <w:r>
        <w:rPr>
          <w:rFonts w:hint="eastAsia" w:ascii="宋体" w:hAnsi="宋体" w:eastAsia="宋体" w:cs="宋体"/>
          <w:bCs/>
          <w:color w:val="auto"/>
          <w:sz w:val="44"/>
          <w:szCs w:val="44"/>
          <w:highlight w:val="none"/>
        </w:rPr>
        <w:t>资  格  证  明  文  件（封面）</w:t>
      </w:r>
    </w:p>
    <w:p>
      <w:pPr>
        <w:snapToGrid w:val="0"/>
        <w:spacing w:before="120" w:beforeLines="50" w:after="50"/>
        <w:rPr>
          <w:rFonts w:hint="eastAsia" w:ascii="宋体" w:hAnsi="宋体" w:eastAsia="宋体" w:cs="宋体"/>
          <w:bCs/>
          <w:color w:val="auto"/>
          <w:sz w:val="24"/>
          <w:szCs w:val="20"/>
          <w:highlight w:val="none"/>
        </w:rPr>
      </w:pPr>
    </w:p>
    <w:p>
      <w:pPr>
        <w:snapToGrid w:val="0"/>
        <w:spacing w:before="120" w:beforeLines="50" w:after="50"/>
        <w:rPr>
          <w:rFonts w:hint="eastAsia" w:ascii="宋体" w:hAnsi="宋体" w:eastAsia="宋体" w:cs="宋体"/>
          <w:bCs/>
          <w:color w:val="auto"/>
          <w:sz w:val="24"/>
          <w:szCs w:val="20"/>
          <w:highlight w:val="none"/>
        </w:rPr>
      </w:pPr>
    </w:p>
    <w:p>
      <w:pPr>
        <w:snapToGrid w:val="0"/>
        <w:spacing w:before="120" w:beforeLines="50" w:after="50"/>
        <w:rPr>
          <w:rFonts w:hint="eastAsia" w:ascii="宋体" w:hAnsi="宋体" w:eastAsia="宋体" w:cs="宋体"/>
          <w:bCs/>
          <w:color w:val="auto"/>
          <w:sz w:val="24"/>
          <w:szCs w:val="20"/>
          <w:highlight w:val="none"/>
        </w:rPr>
      </w:pPr>
    </w:p>
    <w:p>
      <w:pPr>
        <w:snapToGrid w:val="0"/>
        <w:spacing w:before="120" w:beforeLines="50" w:after="50"/>
        <w:rPr>
          <w:rFonts w:hint="eastAsia" w:ascii="宋体" w:hAnsi="宋体" w:eastAsia="宋体" w:cs="宋体"/>
          <w:bCs/>
          <w:color w:val="auto"/>
          <w:sz w:val="24"/>
          <w:szCs w:val="20"/>
          <w:highlight w:val="none"/>
        </w:rPr>
      </w:pPr>
    </w:p>
    <w:p>
      <w:pPr>
        <w:snapToGrid w:val="0"/>
        <w:spacing w:before="120" w:beforeLines="50" w:after="50"/>
        <w:rPr>
          <w:rFonts w:hint="eastAsia" w:ascii="宋体" w:hAnsi="宋体" w:eastAsia="宋体" w:cs="宋体"/>
          <w:bCs/>
          <w:color w:val="auto"/>
          <w:sz w:val="24"/>
          <w:szCs w:val="20"/>
          <w:highlight w:val="none"/>
        </w:rPr>
      </w:pPr>
    </w:p>
    <w:p>
      <w:pPr>
        <w:snapToGrid w:val="0"/>
        <w:spacing w:before="120" w:beforeLines="50" w:after="50"/>
        <w:ind w:firstLine="720" w:firstLineChars="225"/>
        <w:rPr>
          <w:rFonts w:hint="eastAsia" w:ascii="宋体" w:hAnsi="宋体" w:eastAsia="宋体" w:cs="宋体"/>
          <w:bCs/>
          <w:color w:val="auto"/>
          <w:sz w:val="32"/>
          <w:szCs w:val="32"/>
          <w:highlight w:val="none"/>
          <w:lang w:val="en-US" w:eastAsia="zh-CN"/>
        </w:rPr>
      </w:pPr>
      <w:r>
        <w:rPr>
          <w:rFonts w:hint="eastAsia" w:ascii="宋体" w:hAnsi="宋体" w:eastAsia="宋体" w:cs="宋体"/>
          <w:bCs/>
          <w:color w:val="auto"/>
          <w:sz w:val="32"/>
          <w:szCs w:val="32"/>
          <w:highlight w:val="none"/>
        </w:rPr>
        <w:t>项目名称：</w:t>
      </w:r>
      <w:r>
        <w:rPr>
          <w:rFonts w:hint="eastAsia" w:ascii="宋体" w:hAnsi="宋体" w:eastAsia="宋体" w:cs="宋体"/>
          <w:bCs/>
          <w:color w:val="auto"/>
          <w:sz w:val="32"/>
          <w:szCs w:val="32"/>
          <w:highlight w:val="none"/>
          <w:lang w:val="en-US" w:eastAsia="zh-CN"/>
        </w:rPr>
        <w:t xml:space="preserve"> </w:t>
      </w:r>
    </w:p>
    <w:p>
      <w:pPr>
        <w:snapToGrid w:val="0"/>
        <w:spacing w:before="120" w:beforeLines="50" w:after="50"/>
        <w:ind w:firstLine="720" w:firstLineChars="225"/>
        <w:rPr>
          <w:rFonts w:hint="eastAsia" w:ascii="宋体" w:hAnsi="宋体" w:eastAsia="宋体" w:cs="宋体"/>
          <w:bCs/>
          <w:color w:val="auto"/>
          <w:sz w:val="32"/>
          <w:szCs w:val="32"/>
          <w:highlight w:val="none"/>
          <w:lang w:val="en-US" w:eastAsia="zh-CN"/>
        </w:rPr>
      </w:pPr>
    </w:p>
    <w:p>
      <w:pPr>
        <w:snapToGrid w:val="0"/>
        <w:spacing w:before="120" w:beforeLines="50" w:after="50"/>
        <w:ind w:firstLine="720" w:firstLineChars="225"/>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rPr>
        <w:t>项目编号：</w:t>
      </w:r>
    </w:p>
    <w:p>
      <w:pPr>
        <w:snapToGrid w:val="0"/>
        <w:spacing w:before="120" w:beforeLines="50" w:after="50"/>
        <w:ind w:firstLine="720" w:firstLineChars="225"/>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 xml:space="preserve"> </w:t>
      </w:r>
    </w:p>
    <w:p>
      <w:pPr>
        <w:snapToGrid w:val="0"/>
        <w:spacing w:before="120" w:beforeLines="50" w:after="50"/>
        <w:ind w:firstLine="720" w:firstLineChars="225"/>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所竞分标（如有则填写，无分标时填写“无”或者留空）：</w:t>
      </w:r>
    </w:p>
    <w:p>
      <w:pPr>
        <w:snapToGrid w:val="0"/>
        <w:spacing w:before="120" w:beforeLines="50" w:after="50"/>
        <w:ind w:firstLine="720" w:firstLineChars="225"/>
        <w:rPr>
          <w:rFonts w:hint="eastAsia" w:ascii="宋体" w:hAnsi="宋体" w:eastAsia="宋体" w:cs="宋体"/>
          <w:bCs/>
          <w:color w:val="auto"/>
          <w:sz w:val="32"/>
          <w:szCs w:val="32"/>
          <w:highlight w:val="none"/>
        </w:rPr>
      </w:pPr>
    </w:p>
    <w:p>
      <w:pPr>
        <w:pStyle w:val="7"/>
        <w:snapToGrid w:val="0"/>
        <w:spacing w:before="50" w:after="50"/>
        <w:ind w:firstLine="720" w:firstLineChars="225"/>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供应商名称：</w:t>
      </w:r>
    </w:p>
    <w:p>
      <w:pPr>
        <w:pStyle w:val="7"/>
        <w:snapToGrid w:val="0"/>
        <w:spacing w:before="50" w:after="50"/>
        <w:ind w:firstLine="720" w:firstLineChars="225"/>
        <w:rPr>
          <w:rFonts w:hint="eastAsia" w:ascii="宋体" w:hAnsi="宋体" w:eastAsia="宋体" w:cs="宋体"/>
          <w:bCs/>
          <w:color w:val="auto"/>
          <w:sz w:val="32"/>
          <w:szCs w:val="32"/>
          <w:highlight w:val="none"/>
        </w:rPr>
      </w:pPr>
    </w:p>
    <w:p>
      <w:pPr>
        <w:pStyle w:val="7"/>
        <w:snapToGrid w:val="0"/>
        <w:spacing w:before="50" w:after="50"/>
        <w:ind w:firstLine="720" w:firstLineChars="225"/>
        <w:rPr>
          <w:rFonts w:hint="eastAsia" w:ascii="宋体" w:hAnsi="宋体" w:eastAsia="宋体" w:cs="宋体"/>
          <w:bCs/>
          <w:color w:val="auto"/>
          <w:sz w:val="32"/>
          <w:szCs w:val="32"/>
          <w:highlight w:val="none"/>
        </w:rPr>
      </w:pPr>
    </w:p>
    <w:p>
      <w:pPr>
        <w:pStyle w:val="7"/>
        <w:snapToGrid w:val="0"/>
        <w:spacing w:before="50" w:after="50"/>
        <w:ind w:firstLine="720" w:firstLineChars="225"/>
        <w:rPr>
          <w:rFonts w:hint="eastAsia" w:ascii="宋体" w:hAnsi="宋体" w:eastAsia="宋体" w:cs="宋体"/>
          <w:bCs/>
          <w:color w:val="auto"/>
          <w:sz w:val="32"/>
          <w:szCs w:val="32"/>
          <w:highlight w:val="none"/>
        </w:rPr>
      </w:pPr>
    </w:p>
    <w:p>
      <w:pPr>
        <w:pStyle w:val="7"/>
        <w:snapToGrid w:val="0"/>
        <w:spacing w:before="50" w:after="50"/>
        <w:ind w:firstLine="1280" w:firstLineChars="400"/>
        <w:rPr>
          <w:rFonts w:hint="eastAsia" w:ascii="宋体" w:hAnsi="宋体" w:eastAsia="宋体" w:cs="宋体"/>
          <w:bCs/>
          <w:color w:val="auto"/>
          <w:sz w:val="32"/>
          <w:szCs w:val="32"/>
          <w:highlight w:val="none"/>
        </w:rPr>
      </w:pPr>
    </w:p>
    <w:p>
      <w:pPr>
        <w:snapToGrid w:val="0"/>
        <w:spacing w:before="120" w:beforeLines="50" w:after="50"/>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年    月    日</w:t>
      </w:r>
    </w:p>
    <w:p>
      <w:pPr>
        <w:snapToGrid w:val="0"/>
        <w:spacing w:before="120" w:beforeLines="50" w:after="50" w:line="360" w:lineRule="auto"/>
        <w:jc w:val="left"/>
        <w:rPr>
          <w:rFonts w:hint="eastAsia" w:ascii="宋体" w:hAnsi="宋体" w:eastAsia="宋体" w:cs="宋体"/>
          <w:b/>
          <w:bCs/>
          <w:color w:val="auto"/>
          <w:sz w:val="32"/>
          <w:szCs w:val="32"/>
          <w:highlight w:val="none"/>
        </w:rPr>
      </w:pPr>
      <w:r>
        <w:rPr>
          <w:rFonts w:hint="eastAsia" w:ascii="宋体" w:hAnsi="宋体" w:eastAsia="宋体" w:cs="宋体"/>
          <w:color w:val="auto"/>
          <w:sz w:val="24"/>
          <w:highlight w:val="none"/>
        </w:rPr>
        <w:br w:type="page"/>
      </w:r>
      <w:r>
        <w:rPr>
          <w:rFonts w:hint="eastAsia" w:ascii="宋体" w:hAnsi="宋体" w:eastAsia="宋体" w:cs="宋体"/>
          <w:b/>
          <w:bCs/>
          <w:color w:val="auto"/>
          <w:sz w:val="32"/>
          <w:szCs w:val="32"/>
          <w:highlight w:val="none"/>
        </w:rPr>
        <w:t xml:space="preserve"> </w:t>
      </w:r>
    </w:p>
    <w:p>
      <w:pPr>
        <w:jc w:val="center"/>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t>资格证明文件目录</w:t>
      </w:r>
    </w:p>
    <w:p>
      <w:pPr>
        <w:snapToGrid w:val="0"/>
        <w:spacing w:line="360" w:lineRule="auto"/>
        <w:rPr>
          <w:rFonts w:hint="eastAsia" w:ascii="宋体" w:hAnsi="宋体" w:eastAsia="宋体" w:cs="宋体"/>
          <w:color w:val="auto"/>
          <w:kern w:val="0"/>
          <w:sz w:val="24"/>
          <w:highlight w:val="none"/>
        </w:rPr>
      </w:pPr>
    </w:p>
    <w:p>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一、</w:t>
      </w:r>
      <w:r>
        <w:rPr>
          <w:rFonts w:hint="eastAsia" w:ascii="宋体" w:hAnsi="宋体" w:eastAsia="宋体" w:cs="宋体"/>
          <w:color w:val="auto"/>
          <w:sz w:val="24"/>
          <w:highlight w:val="none"/>
        </w:rPr>
        <w:t>营业执照(或事业法人登记证或其他工商等登记证明材料)复印件（供应商为自然人的，须提供</w:t>
      </w:r>
      <w:r>
        <w:rPr>
          <w:rFonts w:hint="eastAsia" w:ascii="宋体" w:hAnsi="宋体" w:eastAsia="宋体" w:cs="宋体"/>
          <w:color w:val="auto"/>
          <w:kern w:val="0"/>
          <w:sz w:val="24"/>
          <w:highlight w:val="none"/>
        </w:rPr>
        <w:t>自然人的身份证明</w:t>
      </w: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rPr>
        <w:t>…………………………………………（页码）</w:t>
      </w:r>
    </w:p>
    <w:p>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二、符合参与政府采购活动的资格条件依法缴纳税收、社会保障资金等方面的材料…………………………………………………………………………………（页码）</w:t>
      </w:r>
    </w:p>
    <w:p>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三、财务状况报告方面的材料…………………………………………………（页码）</w:t>
      </w:r>
    </w:p>
    <w:p>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四、供应商直接控股股东信息</w:t>
      </w:r>
      <w:r>
        <w:rPr>
          <w:rFonts w:hint="eastAsia" w:ascii="宋体" w:hAnsi="宋体" w:eastAsia="宋体" w:cs="宋体"/>
          <w:color w:val="auto"/>
          <w:kern w:val="0"/>
          <w:sz w:val="24"/>
          <w:highlight w:val="none"/>
        </w:rPr>
        <w:t>…………………………………………………（页码）</w:t>
      </w:r>
    </w:p>
    <w:p>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五、供应商直接关联关系信息表</w:t>
      </w:r>
      <w:r>
        <w:rPr>
          <w:rFonts w:hint="eastAsia" w:ascii="宋体" w:hAnsi="宋体" w:eastAsia="宋体" w:cs="宋体"/>
          <w:color w:val="auto"/>
          <w:kern w:val="0"/>
          <w:sz w:val="24"/>
          <w:highlight w:val="none"/>
        </w:rPr>
        <w:t>………………………………………………（页码）</w:t>
      </w:r>
    </w:p>
    <w:p>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六、资格声明函…………………………………………………………………（页码）</w:t>
      </w:r>
    </w:p>
    <w:p>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七、中小企业声明函或残疾人福利性单位声明函或供应商属于监狱企业的证明材料……………………………………（页码）</w:t>
      </w:r>
    </w:p>
    <w:p>
      <w:pPr>
        <w:snapToGrid w:val="0"/>
        <w:spacing w:line="360" w:lineRule="auto"/>
        <w:rPr>
          <w:rFonts w:hint="eastAsia" w:ascii="宋体" w:hAnsi="宋体" w:eastAsia="宋体" w:cs="宋体"/>
          <w:color w:val="auto"/>
          <w:kern w:val="0"/>
          <w:sz w:val="24"/>
          <w:highlight w:val="none"/>
        </w:rPr>
      </w:pPr>
      <w:r>
        <w:rPr>
          <w:rFonts w:hint="eastAsia" w:ascii="宋体" w:hAnsi="宋体" w:cs="宋体"/>
          <w:color w:val="auto"/>
          <w:sz w:val="24"/>
          <w:highlight w:val="none"/>
          <w:lang w:val="en-US" w:eastAsia="zh-CN"/>
        </w:rPr>
        <w:t>八、除磋商文件规定必须提供以外，供应商认为需要提供的其他证明材料</w:t>
      </w:r>
      <w:r>
        <w:rPr>
          <w:rFonts w:hint="eastAsia" w:ascii="宋体" w:hAnsi="宋体" w:eastAsia="宋体" w:cs="宋体"/>
          <w:color w:val="auto"/>
          <w:kern w:val="0"/>
          <w:sz w:val="24"/>
          <w:highlight w:val="none"/>
        </w:rPr>
        <w:t>………………（页码）</w:t>
      </w:r>
    </w:p>
    <w:p>
      <w:pPr>
        <w:spacing w:line="360" w:lineRule="auto"/>
        <w:rPr>
          <w:rFonts w:hint="eastAsia" w:ascii="宋体" w:hAnsi="宋体" w:eastAsia="宋体" w:cs="宋体"/>
          <w:b/>
          <w:bCs/>
          <w:color w:val="auto"/>
          <w:sz w:val="24"/>
          <w:highlight w:val="none"/>
        </w:rPr>
      </w:pPr>
    </w:p>
    <w:p>
      <w:pPr>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注：以上目录是编制供应商响应文件的基本格式要求，各供应商可根据自身情况进一步细化。</w:t>
      </w:r>
    </w:p>
    <w:p>
      <w:pPr>
        <w:snapToGrid w:val="0"/>
        <w:spacing w:before="120" w:beforeLines="50" w:after="50" w:line="360" w:lineRule="auto"/>
        <w:ind w:left="142" w:firstLine="420" w:firstLineChars="200"/>
        <w:jc w:val="left"/>
        <w:rPr>
          <w:rFonts w:hint="eastAsia" w:ascii="宋体" w:hAnsi="宋体" w:eastAsia="宋体" w:cs="宋体"/>
          <w:color w:val="auto"/>
          <w:szCs w:val="21"/>
          <w:highlight w:val="none"/>
        </w:rPr>
      </w:pPr>
    </w:p>
    <w:p>
      <w:pPr>
        <w:spacing w:line="300" w:lineRule="auto"/>
        <w:rPr>
          <w:rFonts w:hint="eastAsia" w:ascii="宋体" w:hAnsi="宋体" w:eastAsia="宋体" w:cs="宋体"/>
          <w:color w:val="auto"/>
          <w:szCs w:val="21"/>
          <w:highlight w:val="none"/>
        </w:rPr>
      </w:pPr>
    </w:p>
    <w:p>
      <w:pPr>
        <w:spacing w:line="300" w:lineRule="auto"/>
        <w:rPr>
          <w:rFonts w:hint="eastAsia" w:ascii="宋体" w:hAnsi="宋体" w:eastAsia="宋体" w:cs="宋体"/>
          <w:color w:val="auto"/>
          <w:szCs w:val="21"/>
          <w:highlight w:val="none"/>
        </w:rPr>
      </w:pPr>
    </w:p>
    <w:p>
      <w:pPr>
        <w:spacing w:line="300" w:lineRule="auto"/>
        <w:rPr>
          <w:rFonts w:hint="eastAsia" w:ascii="宋体" w:hAnsi="宋体" w:eastAsia="宋体" w:cs="宋体"/>
          <w:color w:val="auto"/>
          <w:szCs w:val="21"/>
          <w:highlight w:val="none"/>
        </w:rPr>
      </w:pPr>
    </w:p>
    <w:p>
      <w:pPr>
        <w:spacing w:line="300" w:lineRule="auto"/>
        <w:rPr>
          <w:rFonts w:hint="eastAsia" w:ascii="宋体" w:hAnsi="宋体" w:eastAsia="宋体" w:cs="宋体"/>
          <w:color w:val="auto"/>
          <w:szCs w:val="21"/>
          <w:highlight w:val="none"/>
        </w:rPr>
      </w:pPr>
    </w:p>
    <w:p>
      <w:pPr>
        <w:spacing w:line="300" w:lineRule="auto"/>
        <w:rPr>
          <w:rFonts w:hint="eastAsia" w:ascii="宋体" w:hAnsi="宋体" w:eastAsia="宋体" w:cs="宋体"/>
          <w:color w:val="auto"/>
          <w:szCs w:val="21"/>
          <w:highlight w:val="none"/>
        </w:rPr>
      </w:pPr>
    </w:p>
    <w:p>
      <w:pPr>
        <w:spacing w:line="300" w:lineRule="auto"/>
        <w:rPr>
          <w:rFonts w:hint="eastAsia" w:ascii="宋体" w:hAnsi="宋体" w:eastAsia="宋体" w:cs="宋体"/>
          <w:color w:val="auto"/>
          <w:szCs w:val="21"/>
          <w:highlight w:val="none"/>
        </w:rPr>
      </w:pPr>
    </w:p>
    <w:p>
      <w:pPr>
        <w:spacing w:line="300" w:lineRule="auto"/>
        <w:rPr>
          <w:rFonts w:hint="eastAsia" w:ascii="宋体" w:hAnsi="宋体" w:eastAsia="宋体" w:cs="宋体"/>
          <w:color w:val="auto"/>
          <w:szCs w:val="21"/>
          <w:highlight w:val="none"/>
        </w:rPr>
      </w:pPr>
    </w:p>
    <w:p>
      <w:pPr>
        <w:spacing w:line="300" w:lineRule="auto"/>
        <w:rPr>
          <w:rFonts w:hint="eastAsia" w:ascii="宋体" w:hAnsi="宋体" w:eastAsia="宋体" w:cs="宋体"/>
          <w:color w:val="auto"/>
          <w:szCs w:val="21"/>
          <w:highlight w:val="none"/>
        </w:rPr>
      </w:pPr>
    </w:p>
    <w:p>
      <w:pPr>
        <w:spacing w:line="300" w:lineRule="auto"/>
        <w:rPr>
          <w:rFonts w:hint="eastAsia" w:ascii="宋体" w:hAnsi="宋体" w:eastAsia="宋体" w:cs="宋体"/>
          <w:color w:val="auto"/>
          <w:szCs w:val="21"/>
          <w:highlight w:val="none"/>
        </w:rPr>
      </w:pPr>
    </w:p>
    <w:p>
      <w:pPr>
        <w:pStyle w:val="16"/>
        <w:spacing w:line="360" w:lineRule="auto"/>
        <w:ind w:firstLine="400" w:firstLineChars="200"/>
        <w:rPr>
          <w:rFonts w:hint="eastAsia" w:ascii="宋体" w:hAnsi="宋体" w:eastAsia="宋体" w:cs="宋体"/>
          <w:b/>
          <w:color w:val="auto"/>
          <w:sz w:val="30"/>
          <w:szCs w:val="30"/>
          <w:highlight w:val="none"/>
        </w:rPr>
      </w:pPr>
      <w:r>
        <w:rPr>
          <w:rFonts w:hint="eastAsia" w:ascii="宋体" w:hAnsi="宋体" w:eastAsia="宋体" w:cs="宋体"/>
          <w:color w:val="auto"/>
          <w:highlight w:val="none"/>
        </w:rPr>
        <w:br w:type="page"/>
      </w:r>
      <w:r>
        <w:rPr>
          <w:rFonts w:hint="eastAsia" w:ascii="宋体" w:hAnsi="宋体" w:eastAsia="宋体" w:cs="宋体"/>
          <w:color w:val="auto"/>
          <w:highlight w:val="none"/>
        </w:rPr>
        <w:t xml:space="preserve">   </w:t>
      </w:r>
      <w:r>
        <w:rPr>
          <w:rFonts w:hint="eastAsia" w:ascii="宋体" w:hAnsi="宋体" w:eastAsia="宋体" w:cs="宋体"/>
          <w:b/>
          <w:color w:val="auto"/>
          <w:sz w:val="30"/>
          <w:szCs w:val="30"/>
          <w:highlight w:val="none"/>
        </w:rPr>
        <w:t>一、营业执照(或事业法人登记证或其他工商等登记证明材料)复印件（</w:t>
      </w:r>
      <w:r>
        <w:rPr>
          <w:rFonts w:hint="eastAsia" w:ascii="宋体" w:hAnsi="宋体" w:eastAsia="宋体" w:cs="宋体"/>
          <w:b/>
          <w:color w:val="auto"/>
          <w:sz w:val="30"/>
          <w:szCs w:val="30"/>
          <w:highlight w:val="none"/>
          <w:lang w:eastAsia="zh-CN"/>
        </w:rPr>
        <w:t>供应商</w:t>
      </w:r>
      <w:r>
        <w:rPr>
          <w:rFonts w:hint="eastAsia" w:ascii="宋体" w:hAnsi="宋体" w:eastAsia="宋体" w:cs="宋体"/>
          <w:b/>
          <w:color w:val="auto"/>
          <w:sz w:val="30"/>
          <w:szCs w:val="30"/>
          <w:highlight w:val="none"/>
        </w:rPr>
        <w:t>为自然人的，提供自然人的身份证明）</w:t>
      </w:r>
    </w:p>
    <w:p>
      <w:pPr>
        <w:pStyle w:val="16"/>
        <w:spacing w:line="360" w:lineRule="auto"/>
        <w:ind w:firstLine="602" w:firstLineChars="200"/>
        <w:rPr>
          <w:rFonts w:hint="eastAsia" w:ascii="宋体" w:hAnsi="宋体" w:eastAsia="宋体" w:cs="宋体"/>
          <w:b/>
          <w:color w:val="auto"/>
          <w:sz w:val="30"/>
          <w:szCs w:val="30"/>
          <w:highlight w:val="none"/>
        </w:rPr>
      </w:pPr>
    </w:p>
    <w:p>
      <w:pPr>
        <w:autoSpaceDE w:val="0"/>
        <w:autoSpaceDN w:val="0"/>
        <w:spacing w:line="360" w:lineRule="auto"/>
        <w:ind w:left="4365" w:leftChars="1850" w:hanging="480" w:hanging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pPr>
        <w:autoSpaceDE w:val="0"/>
        <w:autoSpaceDN w:val="0"/>
        <w:spacing w:line="360" w:lineRule="auto"/>
        <w:ind w:firstLine="6120" w:firstLineChars="2550"/>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lang w:val="zh-CN"/>
        </w:rPr>
        <w:t>日期：  年  月   日</w:t>
      </w:r>
    </w:p>
    <w:p>
      <w:pPr>
        <w:snapToGrid w:val="0"/>
        <w:spacing w:before="120" w:beforeLines="50" w:after="50"/>
        <w:rPr>
          <w:rFonts w:hint="eastAsia" w:ascii="宋体" w:hAnsi="宋体" w:eastAsia="宋体" w:cs="宋体"/>
          <w:color w:val="auto"/>
          <w:sz w:val="24"/>
          <w:szCs w:val="20"/>
          <w:highlight w:val="none"/>
        </w:rPr>
      </w:pPr>
    </w:p>
    <w:p>
      <w:pPr>
        <w:pStyle w:val="16"/>
        <w:spacing w:line="360" w:lineRule="auto"/>
        <w:ind w:firstLine="602" w:firstLineChars="200"/>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lang w:eastAsia="zh-CN"/>
        </w:rPr>
        <w:t>二、</w:t>
      </w:r>
      <w:r>
        <w:rPr>
          <w:rFonts w:hint="eastAsia" w:ascii="宋体" w:hAnsi="宋体" w:eastAsia="宋体" w:cs="宋体"/>
          <w:b/>
          <w:color w:val="auto"/>
          <w:sz w:val="30"/>
          <w:szCs w:val="30"/>
          <w:highlight w:val="none"/>
        </w:rPr>
        <w:t>符合参与政府采购活动的资格条件依法缴纳税收、社会保障资金等方面的材料</w:t>
      </w:r>
    </w:p>
    <w:p>
      <w:pPr>
        <w:spacing w:line="300" w:lineRule="auto"/>
        <w:rPr>
          <w:rFonts w:hint="eastAsia" w:ascii="宋体" w:hAnsi="宋体" w:eastAsia="宋体" w:cs="宋体"/>
          <w:color w:val="auto"/>
          <w:szCs w:val="21"/>
          <w:highlight w:val="none"/>
        </w:rPr>
      </w:pPr>
    </w:p>
    <w:p>
      <w:pPr>
        <w:autoSpaceDE w:val="0"/>
        <w:autoSpaceDN w:val="0"/>
        <w:spacing w:line="360" w:lineRule="auto"/>
        <w:ind w:left="4365" w:leftChars="1850" w:hanging="480" w:hanging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pPr>
        <w:autoSpaceDE w:val="0"/>
        <w:autoSpaceDN w:val="0"/>
        <w:spacing w:line="360" w:lineRule="auto"/>
        <w:ind w:firstLine="6120" w:firstLineChars="2550"/>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lang w:val="zh-CN"/>
        </w:rPr>
        <w:t>日期：  年  月   日</w:t>
      </w:r>
    </w:p>
    <w:p>
      <w:pPr>
        <w:spacing w:line="300" w:lineRule="auto"/>
        <w:rPr>
          <w:rFonts w:hint="eastAsia" w:ascii="宋体" w:hAnsi="宋体" w:eastAsia="宋体" w:cs="宋体"/>
          <w:color w:val="auto"/>
          <w:szCs w:val="21"/>
          <w:highlight w:val="none"/>
        </w:rPr>
      </w:pPr>
    </w:p>
    <w:p>
      <w:pPr>
        <w:spacing w:line="300" w:lineRule="auto"/>
        <w:ind w:firstLine="596" w:firstLineChars="198"/>
        <w:rPr>
          <w:rFonts w:hint="eastAsia" w:ascii="宋体" w:hAnsi="宋体" w:eastAsia="宋体" w:cs="宋体"/>
          <w:b/>
          <w:color w:val="auto"/>
          <w:kern w:val="0"/>
          <w:sz w:val="30"/>
          <w:szCs w:val="30"/>
          <w:highlight w:val="none"/>
        </w:rPr>
      </w:pPr>
      <w:r>
        <w:rPr>
          <w:rFonts w:hint="eastAsia" w:ascii="宋体" w:hAnsi="宋体" w:eastAsia="宋体" w:cs="宋体"/>
          <w:b/>
          <w:color w:val="auto"/>
          <w:kern w:val="0"/>
          <w:sz w:val="30"/>
          <w:szCs w:val="30"/>
          <w:highlight w:val="none"/>
        </w:rPr>
        <w:t>三、财务状况报告方面的材料</w:t>
      </w:r>
    </w:p>
    <w:p>
      <w:pPr>
        <w:spacing w:line="300" w:lineRule="auto"/>
        <w:rPr>
          <w:rFonts w:hint="eastAsia" w:ascii="宋体" w:hAnsi="宋体" w:eastAsia="宋体" w:cs="宋体"/>
          <w:color w:val="auto"/>
          <w:szCs w:val="21"/>
          <w:highlight w:val="none"/>
        </w:rPr>
      </w:pPr>
    </w:p>
    <w:p>
      <w:pPr>
        <w:autoSpaceDE w:val="0"/>
        <w:autoSpaceDN w:val="0"/>
        <w:spacing w:line="360" w:lineRule="auto"/>
        <w:ind w:left="4365" w:leftChars="1850" w:hanging="480" w:hanging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pPr>
        <w:autoSpaceDE w:val="0"/>
        <w:autoSpaceDN w:val="0"/>
        <w:spacing w:line="360" w:lineRule="auto"/>
        <w:ind w:firstLine="6120" w:firstLineChars="2550"/>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lang w:val="zh-CN"/>
        </w:rPr>
        <w:t>日期：  年  月   日</w:t>
      </w:r>
    </w:p>
    <w:p>
      <w:pPr>
        <w:spacing w:line="320" w:lineRule="exact"/>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w:t>
      </w:r>
    </w:p>
    <w:p>
      <w:pPr>
        <w:snapToGrid w:val="0"/>
        <w:spacing w:before="120" w:beforeLines="50" w:after="50" w:line="360" w:lineRule="auto"/>
        <w:jc w:val="center"/>
        <w:rPr>
          <w:rFonts w:hint="eastAsia" w:ascii="宋体" w:hAnsi="宋体" w:eastAsia="宋体" w:cs="宋体"/>
          <w:b/>
          <w:color w:val="auto"/>
          <w:sz w:val="24"/>
          <w:highlight w:val="none"/>
        </w:rPr>
      </w:pPr>
    </w:p>
    <w:p>
      <w:pPr>
        <w:spacing w:line="360" w:lineRule="auto"/>
        <w:ind w:firstLine="596" w:firstLineChars="198"/>
        <w:contextualSpacing/>
        <w:rPr>
          <w:rFonts w:hint="eastAsia" w:ascii="宋体" w:hAnsi="宋体" w:eastAsia="宋体" w:cs="宋体"/>
          <w:b/>
          <w:color w:val="auto"/>
          <w:kern w:val="0"/>
          <w:sz w:val="30"/>
          <w:szCs w:val="30"/>
          <w:highlight w:val="none"/>
        </w:rPr>
      </w:pPr>
      <w:r>
        <w:rPr>
          <w:rFonts w:hint="eastAsia" w:ascii="宋体" w:hAnsi="宋体" w:eastAsia="宋体" w:cs="宋体"/>
          <w:b/>
          <w:color w:val="auto"/>
          <w:kern w:val="0"/>
          <w:sz w:val="30"/>
          <w:szCs w:val="30"/>
          <w:highlight w:val="none"/>
        </w:rPr>
        <w:t>四、供应商直接控股股东信息</w:t>
      </w:r>
    </w:p>
    <w:p>
      <w:pPr>
        <w:spacing w:line="360" w:lineRule="auto"/>
        <w:contextualSpacing/>
        <w:jc w:val="center"/>
        <w:rPr>
          <w:rFonts w:hint="eastAsia" w:ascii="宋体" w:hAnsi="宋体" w:eastAsia="宋体" w:cs="宋体"/>
          <w:b/>
          <w:color w:val="auto"/>
          <w:sz w:val="24"/>
          <w:highlight w:val="none"/>
        </w:rPr>
      </w:pPr>
    </w:p>
    <w:tbl>
      <w:tblPr>
        <w:tblStyle w:val="28"/>
        <w:tblW w:w="10147" w:type="dxa"/>
        <w:jc w:val="center"/>
        <w:tblInd w:w="0" w:type="dxa"/>
        <w:shd w:val="clear" w:color="auto" w:fill="FBFBFB"/>
        <w:tblLayout w:type="fixed"/>
        <w:tblCellMar>
          <w:top w:w="0" w:type="dxa"/>
          <w:left w:w="0" w:type="dxa"/>
          <w:bottom w:w="0" w:type="dxa"/>
          <w:right w:w="0" w:type="dxa"/>
        </w:tblCellMar>
      </w:tblPr>
      <w:tblGrid>
        <w:gridCol w:w="880"/>
        <w:gridCol w:w="2655"/>
        <w:gridCol w:w="1455"/>
        <w:gridCol w:w="4287"/>
        <w:gridCol w:w="870"/>
      </w:tblGrid>
      <w:tr>
        <w:tblPrEx>
          <w:shd w:val="clear" w:color="auto" w:fill="FBFBFB"/>
          <w:tblLayout w:type="fixed"/>
        </w:tblPrEx>
        <w:trPr>
          <w:tblHeade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序号</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直接控股股东名称</w:t>
            </w: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出资比例</w:t>
            </w: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身份证号码或者统一社会信用代码</w:t>
            </w: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备注</w:t>
            </w:r>
          </w:p>
        </w:tc>
      </w:tr>
      <w:tr>
        <w:tblPrEx>
          <w:shd w:val="clear" w:color="auto" w:fill="FBFBFB"/>
          <w:tblLayout w:type="fixed"/>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宋体" w:hAnsi="宋体" w:eastAsia="宋体" w:cs="宋体"/>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宋体" w:hAnsi="宋体" w:eastAsia="宋体" w:cs="宋体"/>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宋体" w:hAnsi="宋体" w:eastAsia="宋体" w:cs="宋体"/>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宋体" w:hAnsi="宋体" w:eastAsia="宋体" w:cs="宋体"/>
                <w:color w:val="auto"/>
                <w:kern w:val="0"/>
                <w:sz w:val="24"/>
                <w:highlight w:val="none"/>
              </w:rPr>
            </w:pPr>
          </w:p>
        </w:tc>
      </w:tr>
      <w:tr>
        <w:tblPrEx>
          <w:shd w:val="clear" w:color="auto" w:fill="FBFBFB"/>
          <w:tblLayout w:type="fixed"/>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宋体" w:hAnsi="宋体" w:eastAsia="宋体" w:cs="宋体"/>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宋体" w:hAnsi="宋体" w:eastAsia="宋体" w:cs="宋体"/>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宋体" w:hAnsi="宋体" w:eastAsia="宋体" w:cs="宋体"/>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宋体" w:hAnsi="宋体" w:eastAsia="宋体" w:cs="宋体"/>
                <w:color w:val="auto"/>
                <w:kern w:val="0"/>
                <w:sz w:val="24"/>
                <w:highlight w:val="none"/>
              </w:rPr>
            </w:pPr>
          </w:p>
        </w:tc>
      </w:tr>
      <w:tr>
        <w:tblPrEx>
          <w:shd w:val="clear" w:color="auto" w:fill="FBFBFB"/>
          <w:tblLayout w:type="fixed"/>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宋体" w:hAnsi="宋体" w:eastAsia="宋体" w:cs="宋体"/>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宋体" w:hAnsi="宋体" w:eastAsia="宋体" w:cs="宋体"/>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宋体" w:hAnsi="宋体" w:eastAsia="宋体" w:cs="宋体"/>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宋体" w:hAnsi="宋体" w:eastAsia="宋体" w:cs="宋体"/>
                <w:color w:val="auto"/>
                <w:kern w:val="0"/>
                <w:sz w:val="24"/>
                <w:highlight w:val="none"/>
              </w:rPr>
            </w:pPr>
          </w:p>
        </w:tc>
      </w:tr>
      <w:tr>
        <w:tblPrEx>
          <w:shd w:val="clear" w:color="auto" w:fill="FBFBFB"/>
          <w:tblLayout w:type="fixed"/>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宋体" w:hAnsi="宋体" w:eastAsia="宋体" w:cs="宋体"/>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宋体" w:hAnsi="宋体" w:eastAsia="宋体" w:cs="宋体"/>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宋体" w:hAnsi="宋体" w:eastAsia="宋体" w:cs="宋体"/>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宋体" w:hAnsi="宋体" w:eastAsia="宋体" w:cs="宋体"/>
                <w:color w:val="auto"/>
                <w:kern w:val="0"/>
                <w:sz w:val="24"/>
                <w:highlight w:val="none"/>
              </w:rPr>
            </w:pPr>
          </w:p>
        </w:tc>
      </w:tr>
    </w:tbl>
    <w:p>
      <w:pPr>
        <w:spacing w:line="360" w:lineRule="auto"/>
        <w:contextualSpacing/>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注：</w:t>
      </w:r>
    </w:p>
    <w:p>
      <w:pPr>
        <w:spacing w:line="360" w:lineRule="auto"/>
        <w:ind w:firstLine="480" w:firstLineChars="200"/>
        <w:contextualSpacing/>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pPr>
        <w:spacing w:line="360" w:lineRule="auto"/>
        <w:ind w:firstLine="480" w:firstLineChars="200"/>
        <w:contextualSpacing/>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2.本表所指的控股关系仅限于直接控股关系，不包括间接的控股关系。公司实际控制人与公司之间的关系不属于本表所指的直接控股关系。</w:t>
      </w:r>
    </w:p>
    <w:p>
      <w:pPr>
        <w:spacing w:line="360" w:lineRule="auto"/>
        <w:ind w:firstLine="480" w:firstLineChars="200"/>
        <w:contextualSpacing/>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3.供应商不存在直接控股股东的，则填“无”。</w:t>
      </w:r>
    </w:p>
    <w:p>
      <w:pPr>
        <w:snapToGrid w:val="0"/>
        <w:spacing w:line="360" w:lineRule="auto"/>
        <w:jc w:val="left"/>
        <w:rPr>
          <w:rFonts w:hint="eastAsia" w:ascii="宋体" w:hAnsi="宋体" w:eastAsia="宋体" w:cs="宋体"/>
          <w:color w:val="auto"/>
          <w:sz w:val="24"/>
          <w:highlight w:val="none"/>
        </w:rPr>
      </w:pPr>
    </w:p>
    <w:p>
      <w:pPr>
        <w:snapToGrid w:val="0"/>
        <w:spacing w:line="360" w:lineRule="auto"/>
        <w:jc w:val="left"/>
        <w:rPr>
          <w:rFonts w:hint="eastAsia" w:ascii="宋体" w:hAnsi="宋体" w:eastAsia="宋体" w:cs="宋体"/>
          <w:color w:val="auto"/>
          <w:sz w:val="24"/>
          <w:highlight w:val="none"/>
        </w:rPr>
      </w:pPr>
    </w:p>
    <w:p>
      <w:pPr>
        <w:autoSpaceDE w:val="0"/>
        <w:autoSpaceDN w:val="0"/>
        <w:spacing w:line="360" w:lineRule="auto"/>
        <w:ind w:left="4365" w:leftChars="1850" w:hanging="480" w:hanging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pPr>
        <w:autoSpaceDE w:val="0"/>
        <w:autoSpaceDN w:val="0"/>
        <w:spacing w:line="360" w:lineRule="auto"/>
        <w:ind w:firstLine="6120" w:firstLineChars="2550"/>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lang w:val="zh-CN"/>
        </w:rPr>
        <w:t>日期：  年  月   日</w:t>
      </w:r>
    </w:p>
    <w:p>
      <w:pPr>
        <w:snapToGrid w:val="0"/>
        <w:rPr>
          <w:rFonts w:hint="eastAsia" w:ascii="宋体" w:hAnsi="宋体" w:eastAsia="宋体" w:cs="宋体"/>
          <w:b/>
          <w:color w:val="auto"/>
          <w:kern w:val="0"/>
          <w:sz w:val="30"/>
          <w:szCs w:val="30"/>
          <w:highlight w:val="none"/>
        </w:rPr>
      </w:pPr>
    </w:p>
    <w:p>
      <w:pPr>
        <w:snapToGrid w:val="0"/>
        <w:ind w:firstLine="596" w:firstLineChars="198"/>
        <w:rPr>
          <w:rFonts w:hint="eastAsia" w:ascii="宋体" w:hAnsi="宋体" w:eastAsia="宋体" w:cs="宋体"/>
          <w:b/>
          <w:color w:val="auto"/>
          <w:kern w:val="0"/>
          <w:sz w:val="30"/>
          <w:szCs w:val="30"/>
          <w:highlight w:val="none"/>
        </w:rPr>
      </w:pPr>
      <w:r>
        <w:rPr>
          <w:rFonts w:hint="eastAsia" w:ascii="宋体" w:hAnsi="宋体" w:eastAsia="宋体" w:cs="宋体"/>
          <w:b/>
          <w:color w:val="auto"/>
          <w:kern w:val="0"/>
          <w:sz w:val="30"/>
          <w:szCs w:val="30"/>
          <w:highlight w:val="none"/>
        </w:rPr>
        <w:t>五、供应商直接管理关系信息表</w:t>
      </w:r>
    </w:p>
    <w:p>
      <w:pPr>
        <w:snapToGrid w:val="0"/>
        <w:spacing w:line="360" w:lineRule="auto"/>
        <w:jc w:val="center"/>
        <w:rPr>
          <w:rFonts w:hint="eastAsia" w:ascii="宋体" w:hAnsi="宋体" w:eastAsia="宋体" w:cs="宋体"/>
          <w:b/>
          <w:color w:val="auto"/>
          <w:sz w:val="24"/>
          <w:highlight w:val="none"/>
        </w:rPr>
      </w:pPr>
    </w:p>
    <w:tbl>
      <w:tblPr>
        <w:tblStyle w:val="28"/>
        <w:tblW w:w="9652" w:type="dxa"/>
        <w:jc w:val="center"/>
        <w:tblInd w:w="0" w:type="dxa"/>
        <w:shd w:val="clear" w:color="auto" w:fill="FBFBFB"/>
        <w:tblLayout w:type="fixed"/>
        <w:tblCellMar>
          <w:top w:w="0" w:type="dxa"/>
          <w:left w:w="0" w:type="dxa"/>
          <w:bottom w:w="0" w:type="dxa"/>
          <w:right w:w="0" w:type="dxa"/>
        </w:tblCellMar>
      </w:tblPr>
      <w:tblGrid>
        <w:gridCol w:w="808"/>
        <w:gridCol w:w="3600"/>
        <w:gridCol w:w="3555"/>
        <w:gridCol w:w="1689"/>
      </w:tblGrid>
      <w:tr>
        <w:tblPrEx>
          <w:shd w:val="clear" w:color="auto" w:fill="FBFBFB"/>
          <w:tblLayout w:type="fixed"/>
          <w:tblCellMar>
            <w:top w:w="0" w:type="dxa"/>
            <w:left w:w="0" w:type="dxa"/>
            <w:bottom w:w="0" w:type="dxa"/>
            <w:right w:w="0" w:type="dxa"/>
          </w:tblCellMar>
        </w:tblPrEx>
        <w:trPr>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序号</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直接管理关系单位名称</w:t>
            </w: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统一社会信用代码</w:t>
            </w: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备注</w:t>
            </w:r>
          </w:p>
        </w:tc>
      </w:tr>
      <w:tr>
        <w:tblPrEx>
          <w:shd w:val="clear" w:color="auto" w:fill="FBFBFB"/>
          <w:tblLayout w:type="fixed"/>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宋体" w:hAnsi="宋体" w:eastAsia="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宋体" w:hAnsi="宋体" w:eastAsia="宋体" w:cs="宋体"/>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宋体" w:hAnsi="宋体" w:eastAsia="宋体" w:cs="宋体"/>
                <w:color w:val="auto"/>
                <w:kern w:val="0"/>
                <w:sz w:val="24"/>
                <w:highlight w:val="none"/>
              </w:rPr>
            </w:pPr>
          </w:p>
        </w:tc>
      </w:tr>
      <w:tr>
        <w:tblPrEx>
          <w:shd w:val="clear" w:color="auto" w:fill="FBFBFB"/>
          <w:tblLayout w:type="fixed"/>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宋体" w:hAnsi="宋体" w:eastAsia="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宋体" w:hAnsi="宋体" w:eastAsia="宋体" w:cs="宋体"/>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宋体" w:hAnsi="宋体" w:eastAsia="宋体" w:cs="宋体"/>
                <w:color w:val="auto"/>
                <w:kern w:val="0"/>
                <w:sz w:val="24"/>
                <w:highlight w:val="none"/>
              </w:rPr>
            </w:pPr>
          </w:p>
        </w:tc>
      </w:tr>
      <w:tr>
        <w:tblPrEx>
          <w:shd w:val="clear" w:color="auto" w:fill="FBFBFB"/>
          <w:tblLayout w:type="fixed"/>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宋体" w:hAnsi="宋体" w:eastAsia="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宋体" w:hAnsi="宋体" w:eastAsia="宋体" w:cs="宋体"/>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宋体" w:hAnsi="宋体" w:eastAsia="宋体" w:cs="宋体"/>
                <w:color w:val="auto"/>
                <w:kern w:val="0"/>
                <w:sz w:val="24"/>
                <w:highlight w:val="none"/>
              </w:rPr>
            </w:pPr>
          </w:p>
        </w:tc>
      </w:tr>
      <w:tr>
        <w:tblPrEx>
          <w:tblLayout w:type="fixed"/>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宋体" w:hAnsi="宋体" w:eastAsia="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宋体" w:hAnsi="宋体" w:eastAsia="宋体" w:cs="宋体"/>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宋体" w:hAnsi="宋体" w:eastAsia="宋体" w:cs="宋体"/>
                <w:color w:val="auto"/>
                <w:kern w:val="0"/>
                <w:sz w:val="24"/>
                <w:highlight w:val="none"/>
              </w:rPr>
            </w:pPr>
          </w:p>
        </w:tc>
      </w:tr>
    </w:tbl>
    <w:p>
      <w:pPr>
        <w:spacing w:line="360" w:lineRule="auto"/>
        <w:ind w:firstLine="480" w:firstLineChars="200"/>
        <w:contextualSpacing/>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注：</w:t>
      </w:r>
    </w:p>
    <w:p>
      <w:pPr>
        <w:spacing w:line="360" w:lineRule="auto"/>
        <w:ind w:firstLine="480" w:firstLineChars="200"/>
        <w:contextualSpacing/>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1.管理关系：是指不具有出资持股关系的其他单位之间存在的管理与被管理关系，如一些上下级关系的事业单位和团体组织。</w:t>
      </w:r>
    </w:p>
    <w:p>
      <w:pPr>
        <w:spacing w:line="360" w:lineRule="auto"/>
        <w:ind w:firstLine="480" w:firstLineChars="200"/>
        <w:contextualSpacing/>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2.本表所指的管理关系仅限于直接管理关系，不包括间接的管理关系。</w:t>
      </w:r>
    </w:p>
    <w:p>
      <w:pPr>
        <w:spacing w:line="360" w:lineRule="auto"/>
        <w:ind w:firstLine="480" w:firstLineChars="200"/>
        <w:contextualSpacing/>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3.供应商不存在直接管理关系的，则填“无”。</w:t>
      </w:r>
    </w:p>
    <w:p>
      <w:pPr>
        <w:spacing w:line="360" w:lineRule="auto"/>
        <w:contextualSpacing/>
        <w:jc w:val="left"/>
        <w:rPr>
          <w:rFonts w:hint="eastAsia" w:ascii="宋体" w:hAnsi="宋体" w:eastAsia="宋体" w:cs="宋体"/>
          <w:color w:val="auto"/>
          <w:sz w:val="24"/>
          <w:highlight w:val="none"/>
        </w:rPr>
      </w:pPr>
    </w:p>
    <w:p>
      <w:pPr>
        <w:autoSpaceDE w:val="0"/>
        <w:autoSpaceDN w:val="0"/>
        <w:spacing w:line="360" w:lineRule="auto"/>
        <w:ind w:left="4365" w:leftChars="1850" w:hanging="480" w:hanging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pPr>
        <w:autoSpaceDE w:val="0"/>
        <w:autoSpaceDN w:val="0"/>
        <w:spacing w:line="360" w:lineRule="auto"/>
        <w:ind w:firstLine="6120" w:firstLineChars="2550"/>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lang w:val="zh-CN"/>
        </w:rPr>
        <w:t>日期：  年  月   日</w:t>
      </w:r>
    </w:p>
    <w:p>
      <w:pPr>
        <w:spacing w:line="360" w:lineRule="auto"/>
        <w:ind w:right="480" w:firstLine="301" w:firstLineChars="100"/>
        <w:contextualSpacing/>
        <w:jc w:val="center"/>
        <w:rPr>
          <w:rFonts w:hint="eastAsia" w:ascii="宋体" w:hAnsi="宋体" w:eastAsia="宋体" w:cs="宋体"/>
          <w:color w:val="auto"/>
          <w:sz w:val="28"/>
          <w:szCs w:val="28"/>
          <w:highlight w:val="none"/>
        </w:rPr>
      </w:pPr>
      <w:r>
        <w:rPr>
          <w:rFonts w:hint="eastAsia" w:ascii="宋体" w:hAnsi="宋体" w:eastAsia="宋体" w:cs="宋体"/>
          <w:b/>
          <w:color w:val="auto"/>
          <w:kern w:val="0"/>
          <w:sz w:val="30"/>
          <w:szCs w:val="30"/>
          <w:highlight w:val="none"/>
        </w:rPr>
        <w:t>六、资格声明函</w:t>
      </w:r>
    </w:p>
    <w:p>
      <w:pPr>
        <w:spacing w:line="320" w:lineRule="exact"/>
        <w:jc w:val="center"/>
        <w:rPr>
          <w:rFonts w:hint="eastAsia" w:ascii="宋体" w:hAnsi="宋体" w:eastAsia="宋体" w:cs="宋体"/>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资格声明函</w:t>
      </w:r>
    </w:p>
    <w:p>
      <w:pPr>
        <w:spacing w:line="320" w:lineRule="exact"/>
        <w:jc w:val="center"/>
        <w:rPr>
          <w:rFonts w:hint="eastAsia" w:ascii="宋体" w:hAnsi="宋体" w:eastAsia="宋体" w:cs="宋体"/>
          <w:color w:val="auto"/>
          <w:sz w:val="24"/>
          <w:szCs w:val="20"/>
          <w:highlight w:val="none"/>
        </w:rPr>
      </w:pPr>
    </w:p>
    <w:p>
      <w:pPr>
        <w:spacing w:line="360" w:lineRule="auto"/>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致：</w:t>
      </w:r>
      <w:r>
        <w:rPr>
          <w:rFonts w:hint="eastAsia" w:ascii="宋体" w:hAnsi="宋体" w:eastAsia="宋体" w:cs="宋体"/>
          <w:color w:val="auto"/>
          <w:sz w:val="24"/>
          <w:highlight w:val="none"/>
          <w:u w:val="single"/>
          <w:lang w:val="en-US" w:eastAsia="zh-CN"/>
        </w:rPr>
        <w:t xml:space="preserve"> （采购代理机构名称） </w:t>
      </w:r>
      <w:r>
        <w:rPr>
          <w:rFonts w:hint="eastAsia" w:ascii="宋体" w:hAnsi="宋体" w:eastAsia="宋体" w:cs="宋体"/>
          <w:color w:val="auto"/>
          <w:sz w:val="24"/>
          <w:highlight w:val="none"/>
        </w:rPr>
        <w:t>：</w:t>
      </w:r>
    </w:p>
    <w:p>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（供应商名称）</w:t>
      </w:r>
      <w:r>
        <w:rPr>
          <w:rFonts w:hint="eastAsia" w:ascii="宋体" w:hAnsi="宋体" w:eastAsia="宋体" w:cs="宋体"/>
          <w:color w:val="auto"/>
          <w:sz w:val="24"/>
          <w:highlight w:val="none"/>
        </w:rPr>
        <w:t>系中华人民共和国合法供应商，经营地址</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我方愿意参加贵方组织的</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rPr>
        <w:t>项目的竞标，为便于贵方公正、择优地确定成交供应商及其竞标产品和服务，我方就本次竞标有关事项郑重声明如下：</w:t>
      </w:r>
    </w:p>
    <w:p>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1.我方向贵方提交的所有响应文件、资料都是准确的和真实的。</w:t>
      </w:r>
    </w:p>
    <w:p>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2.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3.在此，我方宣布同意如下：</w:t>
      </w:r>
    </w:p>
    <w:p>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（1）将按磋商文件的约定履行合同责任和义务；</w:t>
      </w:r>
    </w:p>
    <w:p>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（2）已详细审查全部磋商文件，包括澄清或者更正公告（如有）；</w:t>
      </w:r>
    </w:p>
    <w:p>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（3）同意提供按照贵方可能要求的与谈判有关的一切数据或者资料；</w:t>
      </w:r>
    </w:p>
    <w:p>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（4）响应磋商文件规定的竞标有效期。</w:t>
      </w:r>
    </w:p>
    <w:p>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4.我方承诺已经具备《中华人民共和国政府采购法》第二十二条中规定的参加政府采购活动的供应商应当具备的条件并按本项目响应文件“第三章”“第二节供应商须知前附表”中“资格证明文件组成”完整提供证明材料。</w:t>
      </w:r>
    </w:p>
    <w:p>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w:t>
      </w:r>
      <w:r>
        <w:rPr>
          <w:rFonts w:hint="eastAsia" w:ascii="宋体" w:hAnsi="宋体" w:eastAsia="宋体" w:cs="宋体"/>
          <w:color w:val="auto"/>
          <w:sz w:val="24"/>
          <w:highlight w:val="none"/>
          <w:lang w:eastAsia="zh-CN"/>
        </w:rPr>
        <w:t>重大税收违法失信主体</w:t>
      </w:r>
      <w:r>
        <w:rPr>
          <w:rFonts w:hint="eastAsia" w:ascii="宋体" w:hAnsi="宋体" w:eastAsia="宋体" w:cs="宋体"/>
          <w:color w:val="auto"/>
          <w:sz w:val="24"/>
          <w:highlight w:val="none"/>
        </w:rPr>
        <w:t>、政府采购严重违法失信行为记录名单，完全符合《中华人民共和国政府采购法》第二十二条规定的供应商资格条件，我方对此声明负全部法律责任。</w:t>
      </w:r>
    </w:p>
    <w:p>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6.根据《中华人民共和国政府采购法实施条例》第五十条要求对政府采购合同进行公告，但政府采购合同中涉及国家秘密、商业秘密的内容除外。我方就对本次响应文件进行注明如下：（两项内容中必须选择一项）</w:t>
      </w:r>
    </w:p>
    <w:p>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□我方本次响应文件</w:t>
      </w:r>
      <w:r>
        <w:rPr>
          <w:rFonts w:hint="eastAsia" w:ascii="宋体" w:hAnsi="宋体" w:eastAsia="宋体" w:cs="宋体"/>
          <w:color w:val="auto"/>
          <w:kern w:val="0"/>
          <w:sz w:val="24"/>
          <w:highlight w:val="none"/>
        </w:rPr>
        <w:t>内容中</w:t>
      </w:r>
      <w:r>
        <w:rPr>
          <w:rFonts w:hint="eastAsia" w:ascii="宋体" w:hAnsi="宋体" w:eastAsia="宋体" w:cs="宋体"/>
          <w:color w:val="auto"/>
          <w:sz w:val="24"/>
          <w:highlight w:val="none"/>
        </w:rPr>
        <w:t>未</w:t>
      </w:r>
      <w:r>
        <w:rPr>
          <w:rFonts w:hint="eastAsia" w:ascii="宋体" w:hAnsi="宋体" w:eastAsia="宋体" w:cs="宋体"/>
          <w:color w:val="auto"/>
          <w:kern w:val="0"/>
          <w:sz w:val="24"/>
          <w:highlight w:val="none"/>
        </w:rPr>
        <w:t>涉及商业秘密；</w:t>
      </w:r>
    </w:p>
    <w:p>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□我方本次响应文件</w:t>
      </w:r>
      <w:r>
        <w:rPr>
          <w:rFonts w:hint="eastAsia" w:ascii="宋体" w:hAnsi="宋体" w:eastAsia="宋体" w:cs="宋体"/>
          <w:color w:val="auto"/>
          <w:kern w:val="0"/>
          <w:sz w:val="24"/>
          <w:highlight w:val="none"/>
        </w:rPr>
        <w:t>涉及商业秘密的内容有：</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w:t>
      </w:r>
    </w:p>
    <w:p>
      <w:pPr>
        <w:pStyle w:val="16"/>
        <w:spacing w:line="360" w:lineRule="auto"/>
        <w:ind w:firstLine="480" w:firstLineChars="200"/>
        <w:contextualSpacing/>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7.与本</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有关的一切正式往来信函请寄：</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邮政编号：</w:t>
      </w:r>
      <w:r>
        <w:rPr>
          <w:rFonts w:hint="eastAsia" w:ascii="宋体" w:hAnsi="宋体" w:eastAsia="宋体" w:cs="宋体"/>
          <w:color w:val="auto"/>
          <w:sz w:val="24"/>
          <w:szCs w:val="24"/>
          <w:highlight w:val="none"/>
          <w:u w:val="single"/>
        </w:rPr>
        <w:t xml:space="preserve">        </w:t>
      </w:r>
    </w:p>
    <w:p>
      <w:pPr>
        <w:pStyle w:val="16"/>
        <w:spacing w:line="360" w:lineRule="auto"/>
        <w:ind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电话/传真：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电子函件：</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p>
      <w:pPr>
        <w:pStyle w:val="14"/>
        <w:tabs>
          <w:tab w:val="left" w:pos="939"/>
        </w:tabs>
        <w:spacing w:line="360" w:lineRule="auto"/>
        <w:ind w:left="141" w:leftChars="67" w:firstLine="360" w:firstLineChars="150"/>
        <w:rPr>
          <w:rFonts w:hint="eastAsia" w:ascii="宋体" w:hAnsi="宋体" w:eastAsia="宋体" w:cs="宋体"/>
          <w:color w:val="auto"/>
          <w:sz w:val="24"/>
          <w:highlight w:val="none"/>
        </w:rPr>
      </w:pPr>
      <w:r>
        <w:rPr>
          <w:rFonts w:hint="eastAsia" w:ascii="宋体" w:hAnsi="宋体" w:eastAsia="宋体" w:cs="宋体"/>
          <w:color w:val="auto"/>
          <w:sz w:val="24"/>
          <w:highlight w:val="none"/>
        </w:rPr>
        <w:t>开户银行：</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帐号：</w:t>
      </w:r>
      <w:r>
        <w:rPr>
          <w:rFonts w:hint="eastAsia" w:ascii="宋体" w:hAnsi="宋体" w:eastAsia="宋体" w:cs="宋体"/>
          <w:color w:val="auto"/>
          <w:sz w:val="24"/>
          <w:highlight w:val="none"/>
          <w:u w:val="single"/>
        </w:rPr>
        <w:t xml:space="preserve">                               </w:t>
      </w:r>
    </w:p>
    <w:p>
      <w:pPr>
        <w:pStyle w:val="14"/>
        <w:tabs>
          <w:tab w:val="left" w:pos="939"/>
        </w:tabs>
        <w:spacing w:line="360" w:lineRule="auto"/>
        <w:ind w:left="0" w:leftChars="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8.以上事项如有虚假或者隐瞒，我方愿意承担一切后果，并不再寻求任何旨在减轻或者免除法律责任的辩解。</w:t>
      </w:r>
    </w:p>
    <w:p>
      <w:pPr>
        <w:pStyle w:val="14"/>
        <w:tabs>
          <w:tab w:val="left" w:pos="939"/>
        </w:tabs>
        <w:spacing w:line="360" w:lineRule="auto"/>
        <w:ind w:left="141" w:leftChars="67" w:firstLine="360" w:firstLineChars="150"/>
        <w:rPr>
          <w:rFonts w:hint="eastAsia" w:ascii="宋体" w:hAnsi="宋体" w:eastAsia="宋体" w:cs="宋体"/>
          <w:color w:val="auto"/>
          <w:sz w:val="24"/>
          <w:highlight w:val="none"/>
        </w:rPr>
      </w:pPr>
      <w:r>
        <w:rPr>
          <w:rFonts w:hint="eastAsia" w:ascii="宋体" w:hAnsi="宋体" w:eastAsia="宋体" w:cs="宋体"/>
          <w:color w:val="auto"/>
          <w:sz w:val="24"/>
          <w:highlight w:val="none"/>
        </w:rPr>
        <w:t>特此承诺。</w:t>
      </w:r>
    </w:p>
    <w:p>
      <w:pPr>
        <w:pStyle w:val="14"/>
        <w:tabs>
          <w:tab w:val="left" w:pos="939"/>
        </w:tabs>
        <w:spacing w:line="360" w:lineRule="auto"/>
        <w:ind w:left="0" w:leftChars="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注：如为联合体竞标，盖章处须加盖联合体各方公章并由联合体各方法定代表人签署，否则其响应文件按无效响应处理。</w:t>
      </w:r>
    </w:p>
    <w:p>
      <w:pPr>
        <w:pStyle w:val="14"/>
        <w:tabs>
          <w:tab w:val="left" w:pos="939"/>
        </w:tabs>
        <w:spacing w:line="360" w:lineRule="auto"/>
        <w:ind w:left="0" w:leftChars="0" w:firstLine="480" w:firstLineChars="200"/>
        <w:rPr>
          <w:rFonts w:hint="eastAsia" w:ascii="宋体" w:hAnsi="宋体" w:eastAsia="宋体" w:cs="宋体"/>
          <w:color w:val="auto"/>
          <w:sz w:val="24"/>
          <w:highlight w:val="none"/>
        </w:rPr>
      </w:pPr>
    </w:p>
    <w:p>
      <w:pPr>
        <w:autoSpaceDE w:val="0"/>
        <w:autoSpaceDN w:val="0"/>
        <w:spacing w:line="360" w:lineRule="auto"/>
        <w:ind w:left="4365" w:leftChars="1850" w:hanging="480" w:hanging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pPr>
        <w:autoSpaceDE w:val="0"/>
        <w:autoSpaceDN w:val="0"/>
        <w:spacing w:line="360" w:lineRule="auto"/>
        <w:ind w:firstLine="6120" w:firstLineChars="2550"/>
        <w:rPr>
          <w:rFonts w:hint="eastAsia" w:ascii="宋体" w:hAnsi="宋体" w:eastAsia="宋体" w:cs="宋体"/>
          <w:color w:val="auto"/>
          <w:kern w:val="0"/>
          <w:sz w:val="24"/>
          <w:highlight w:val="none"/>
          <w:lang w:val="zh-CN"/>
        </w:rPr>
        <w:sectPr>
          <w:pgSz w:w="11910" w:h="16840"/>
          <w:pgMar w:top="1440" w:right="1080" w:bottom="1440" w:left="1080" w:header="720" w:footer="720" w:gutter="0"/>
          <w:pgNumType w:fmt="decimal"/>
          <w:cols w:space="720" w:num="1"/>
        </w:sectPr>
      </w:pPr>
      <w:r>
        <w:rPr>
          <w:rFonts w:hint="eastAsia" w:ascii="宋体" w:hAnsi="宋体" w:eastAsia="宋体" w:cs="宋体"/>
          <w:color w:val="auto"/>
          <w:kern w:val="0"/>
          <w:sz w:val="24"/>
          <w:highlight w:val="none"/>
          <w:lang w:val="zh-CN"/>
        </w:rPr>
        <w:t>日期：  年  月   日</w:t>
      </w:r>
    </w:p>
    <w:p>
      <w:pPr>
        <w:spacing w:line="520" w:lineRule="exact"/>
        <w:rPr>
          <w:rFonts w:hint="eastAsia" w:ascii="宋体" w:hAnsi="宋体" w:eastAsia="宋体" w:cs="宋体"/>
          <w:b/>
          <w:bCs/>
          <w:color w:val="auto"/>
          <w:sz w:val="32"/>
          <w:szCs w:val="32"/>
          <w:highlight w:val="none"/>
        </w:rPr>
      </w:pPr>
      <w:r>
        <w:rPr>
          <w:rFonts w:hint="eastAsia" w:ascii="宋体" w:hAnsi="宋体" w:eastAsia="宋体" w:cs="宋体"/>
          <w:b/>
          <w:color w:val="auto"/>
          <w:kern w:val="0"/>
          <w:sz w:val="30"/>
          <w:szCs w:val="30"/>
          <w:highlight w:val="none"/>
        </w:rPr>
        <w:t>七</w:t>
      </w:r>
      <w:r>
        <w:rPr>
          <w:rFonts w:hint="eastAsia" w:ascii="宋体" w:hAnsi="宋体" w:eastAsia="宋体" w:cs="宋体"/>
          <w:b/>
          <w:color w:val="auto"/>
          <w:sz w:val="30"/>
          <w:szCs w:val="30"/>
          <w:highlight w:val="none"/>
        </w:rPr>
        <w:t>、</w:t>
      </w:r>
      <w:r>
        <w:rPr>
          <w:rFonts w:hint="eastAsia" w:ascii="宋体" w:hAnsi="宋体" w:eastAsia="宋体" w:cs="宋体"/>
          <w:b/>
          <w:bCs/>
          <w:color w:val="auto"/>
          <w:sz w:val="32"/>
          <w:szCs w:val="32"/>
          <w:highlight w:val="none"/>
        </w:rPr>
        <w:t>中小企业声明函或残疾人福利性单位声明函或供应商属于监狱企业的证明材料</w:t>
      </w:r>
    </w:p>
    <w:p>
      <w:pPr>
        <w:spacing w:line="300" w:lineRule="auto"/>
        <w:ind w:firstLine="2200" w:firstLineChars="500"/>
        <w:rPr>
          <w:rFonts w:hint="eastAsia" w:ascii="宋体" w:hAnsi="宋体" w:eastAsia="宋体" w:cs="宋体"/>
          <w:color w:val="auto"/>
          <w:sz w:val="44"/>
          <w:szCs w:val="44"/>
          <w:highlight w:val="none"/>
        </w:rPr>
      </w:pPr>
      <w:r>
        <w:rPr>
          <w:rFonts w:hint="eastAsia" w:ascii="宋体" w:hAnsi="宋体" w:eastAsia="宋体" w:cs="宋体"/>
          <w:color w:val="auto"/>
          <w:sz w:val="44"/>
          <w:szCs w:val="44"/>
          <w:highlight w:val="none"/>
        </w:rPr>
        <w:t>中小企业声明函（服务）</w:t>
      </w:r>
    </w:p>
    <w:p>
      <w:pPr>
        <w:pStyle w:val="12"/>
        <w:spacing w:after="0" w:line="360" w:lineRule="auto"/>
        <w:ind w:left="-426" w:right="142" w:firstLine="64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本公司（联合体）郑重声明，根据《政府采购促进中小企业发展管理办法》（财库﹝2020﹞46号）的规定，本公司（联合体）参加</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仿宋_GB2312"/>
          <w:color w:val="auto"/>
          <w:sz w:val="24"/>
          <w:highlight w:val="none"/>
          <w:u w:val="single"/>
        </w:rPr>
        <w:t>（采购人名称）</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rPr>
        <w:t>的</w:t>
      </w:r>
      <w:r>
        <w:rPr>
          <w:rFonts w:hint="eastAsia" w:ascii="宋体" w:hAnsi="宋体" w:eastAsia="宋体" w:cs="宋体"/>
          <w:color w:val="auto"/>
          <w:sz w:val="24"/>
          <w:highlight w:val="none"/>
          <w:u w:val="single"/>
          <w:lang w:val="en-US" w:eastAsia="zh-CN"/>
        </w:rPr>
        <w:t xml:space="preserve">   </w:t>
      </w:r>
      <w:r>
        <w:rPr>
          <w:rFonts w:hint="eastAsia" w:ascii="宋体" w:hAnsi="宋体" w:cs="宋体"/>
          <w:color w:val="auto"/>
          <w:sz w:val="24"/>
          <w:highlight w:val="none"/>
          <w:u w:val="single"/>
          <w:lang w:val="en-US" w:eastAsia="zh-CN"/>
        </w:rPr>
        <w:t>（项目名称）</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rPr>
        <w:t>采购活动，提供的服务全部由符合政策要求的中小企业制造。相关企业（含联合体中的中小企业、签订分包意向协议的中小企业）的具体情况如下：</w:t>
      </w:r>
    </w:p>
    <w:p>
      <w:pPr>
        <w:tabs>
          <w:tab w:val="left" w:pos="1384"/>
          <w:tab w:val="left" w:pos="4562"/>
          <w:tab w:val="left" w:pos="6803"/>
        </w:tabs>
        <w:spacing w:line="360" w:lineRule="auto"/>
        <w:ind w:left="-426" w:right="-58" w:firstLine="655"/>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u w:val="single"/>
        </w:rPr>
        <w:t>（标的名称）</w:t>
      </w:r>
      <w:r>
        <w:rPr>
          <w:rFonts w:hint="eastAsia" w:ascii="宋体" w:hAnsi="宋体" w:eastAsia="宋体" w:cs="宋体"/>
          <w:color w:val="auto"/>
          <w:sz w:val="24"/>
          <w:highlight w:val="none"/>
        </w:rPr>
        <w:t>，属于</w:t>
      </w:r>
      <w:r>
        <w:rPr>
          <w:rFonts w:hint="eastAsia" w:ascii="宋体" w:hAnsi="宋体" w:eastAsia="宋体" w:cs="宋体"/>
          <w:color w:val="auto"/>
          <w:sz w:val="24"/>
          <w:highlight w:val="none"/>
          <w:u w:val="single"/>
        </w:rPr>
        <w:t>（采购文件中明确的所属行业）</w:t>
      </w:r>
      <w:r>
        <w:rPr>
          <w:rFonts w:hint="eastAsia" w:ascii="宋体" w:hAnsi="宋体" w:eastAsia="宋体" w:cs="宋体"/>
          <w:color w:val="auto"/>
          <w:sz w:val="24"/>
          <w:highlight w:val="none"/>
        </w:rPr>
        <w:t>行业；制造商为</w:t>
      </w:r>
      <w:r>
        <w:rPr>
          <w:rFonts w:hint="eastAsia" w:ascii="宋体" w:hAnsi="宋体" w:eastAsia="宋体" w:cs="宋体"/>
          <w:color w:val="auto"/>
          <w:sz w:val="24"/>
          <w:highlight w:val="none"/>
          <w:u w:val="single"/>
        </w:rPr>
        <w:t>（企业名称）</w:t>
      </w:r>
      <w:r>
        <w:rPr>
          <w:rFonts w:hint="eastAsia" w:ascii="宋体" w:hAnsi="宋体" w:eastAsia="宋体" w:cs="宋体"/>
          <w:color w:val="auto"/>
          <w:sz w:val="24"/>
          <w:highlight w:val="none"/>
        </w:rPr>
        <w:t>，从业人员</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人，营业收入为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万元，资产总额为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万元，属于</w:t>
      </w:r>
      <w:r>
        <w:rPr>
          <w:rFonts w:hint="eastAsia" w:ascii="宋体" w:hAnsi="宋体" w:eastAsia="宋体" w:cs="宋体"/>
          <w:color w:val="auto"/>
          <w:sz w:val="24"/>
          <w:highlight w:val="none"/>
          <w:u w:val="single"/>
        </w:rPr>
        <w:t>（中型企业、小型企业、微型企业）</w:t>
      </w:r>
      <w:r>
        <w:rPr>
          <w:rFonts w:hint="eastAsia" w:ascii="宋体" w:hAnsi="宋体" w:eastAsia="宋体" w:cs="宋体"/>
          <w:color w:val="auto"/>
          <w:sz w:val="24"/>
          <w:highlight w:val="none"/>
        </w:rPr>
        <w:t>；</w:t>
      </w:r>
    </w:p>
    <w:p>
      <w:pPr>
        <w:tabs>
          <w:tab w:val="left" w:pos="1065"/>
          <w:tab w:val="left" w:pos="6477"/>
        </w:tabs>
        <w:spacing w:line="360" w:lineRule="auto"/>
        <w:ind w:left="-426" w:right="-58" w:firstLine="655"/>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u w:val="single"/>
        </w:rPr>
        <w:t>（标的名称）</w:t>
      </w:r>
      <w:r>
        <w:rPr>
          <w:rFonts w:hint="eastAsia" w:ascii="宋体" w:hAnsi="宋体" w:eastAsia="宋体" w:cs="宋体"/>
          <w:color w:val="auto"/>
          <w:sz w:val="24"/>
          <w:highlight w:val="none"/>
        </w:rPr>
        <w:t>，属于</w:t>
      </w:r>
      <w:r>
        <w:rPr>
          <w:rFonts w:hint="eastAsia" w:ascii="宋体" w:hAnsi="宋体" w:eastAsia="宋体" w:cs="宋体"/>
          <w:color w:val="auto"/>
          <w:sz w:val="24"/>
          <w:highlight w:val="none"/>
          <w:u w:val="single"/>
        </w:rPr>
        <w:t>（采购文件中明确的所属行业）</w:t>
      </w:r>
      <w:r>
        <w:rPr>
          <w:rFonts w:hint="eastAsia" w:ascii="宋体" w:hAnsi="宋体" w:eastAsia="宋体" w:cs="宋体"/>
          <w:color w:val="auto"/>
          <w:sz w:val="24"/>
          <w:highlight w:val="none"/>
        </w:rPr>
        <w:t>行业；制造商为</w:t>
      </w:r>
      <w:r>
        <w:rPr>
          <w:rFonts w:hint="eastAsia" w:ascii="宋体" w:hAnsi="宋体" w:eastAsia="宋体" w:cs="宋体"/>
          <w:color w:val="auto"/>
          <w:sz w:val="24"/>
          <w:highlight w:val="none"/>
          <w:u w:val="single"/>
        </w:rPr>
        <w:t>（企业名称）</w:t>
      </w:r>
      <w:r>
        <w:rPr>
          <w:rFonts w:hint="eastAsia" w:ascii="宋体" w:hAnsi="宋体" w:eastAsia="宋体" w:cs="宋体"/>
          <w:color w:val="auto"/>
          <w:sz w:val="24"/>
          <w:highlight w:val="none"/>
        </w:rPr>
        <w:t>，从业人员</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人，营业收入为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万元，资产总额为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万元，属于</w:t>
      </w:r>
      <w:r>
        <w:rPr>
          <w:rFonts w:hint="eastAsia" w:ascii="宋体" w:hAnsi="宋体" w:eastAsia="宋体" w:cs="宋体"/>
          <w:color w:val="auto"/>
          <w:sz w:val="24"/>
          <w:highlight w:val="none"/>
          <w:u w:val="single"/>
        </w:rPr>
        <w:t>（中型企业、小型企业、微型企业）</w:t>
      </w:r>
      <w:r>
        <w:rPr>
          <w:rFonts w:hint="eastAsia" w:ascii="宋体" w:hAnsi="宋体" w:eastAsia="宋体" w:cs="宋体"/>
          <w:color w:val="auto"/>
          <w:sz w:val="24"/>
          <w:highlight w:val="none"/>
        </w:rPr>
        <w:t>；</w:t>
      </w:r>
    </w:p>
    <w:p>
      <w:pPr>
        <w:pStyle w:val="12"/>
        <w:spacing w:after="0" w:line="360" w:lineRule="auto"/>
        <w:ind w:left="142" w:right="142"/>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pStyle w:val="12"/>
        <w:spacing w:after="0" w:line="360" w:lineRule="auto"/>
        <w:ind w:left="-405" w:leftChars="-193" w:right="142" w:firstLine="453" w:firstLineChars="189"/>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以上企业，不属于大企业的分支机构，不存在控股股东为大企业的情形，也不存在与大企业的负责人为同一人的情形。</w:t>
      </w:r>
    </w:p>
    <w:p>
      <w:pPr>
        <w:pStyle w:val="12"/>
        <w:spacing w:after="0" w:line="360" w:lineRule="auto"/>
        <w:ind w:left="-426" w:right="142" w:firstLine="567"/>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本企业对上述声明内容的真实性负责。如有虚假，将依法承担相应责任。</w:t>
      </w:r>
    </w:p>
    <w:p>
      <w:pPr>
        <w:pStyle w:val="12"/>
        <w:spacing w:after="0" w:line="360" w:lineRule="auto"/>
        <w:ind w:left="3960" w:right="1808"/>
        <w:contextualSpacing/>
        <w:rPr>
          <w:rFonts w:hint="eastAsia" w:ascii="宋体" w:hAnsi="宋体" w:eastAsia="宋体" w:cs="宋体"/>
          <w:color w:val="auto"/>
          <w:sz w:val="24"/>
          <w:highlight w:val="none"/>
        </w:rPr>
      </w:pPr>
    </w:p>
    <w:p>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pPr>
        <w:autoSpaceDE w:val="0"/>
        <w:autoSpaceDN w:val="0"/>
        <w:spacing w:line="360" w:lineRule="auto"/>
        <w:ind w:firstLine="6480" w:firstLineChars="27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  年  月   日</w:t>
      </w:r>
    </w:p>
    <w:p>
      <w:pPr>
        <w:pStyle w:val="12"/>
        <w:spacing w:after="0" w:line="360" w:lineRule="auto"/>
        <w:ind w:left="3960" w:right="1808"/>
        <w:contextualSpacing/>
        <w:rPr>
          <w:rFonts w:hint="eastAsia" w:ascii="宋体" w:hAnsi="宋体" w:eastAsia="宋体" w:cs="宋体"/>
          <w:color w:val="auto"/>
          <w:highlight w:val="none"/>
        </w:rPr>
      </w:pPr>
    </w:p>
    <w:p>
      <w:pPr>
        <w:spacing w:line="360" w:lineRule="auto"/>
        <w:contextualSpacing/>
        <w:jc w:val="left"/>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注：享受《政府采购促进中小企业发展管理办法》（财库〔2020〕46号）规定的中小企业扶持政策的，采购人、采购代理机构应当随成交结果公开成交供应商的《中小企业声明函》。从业人员、营业收入、资产总额填报上一年度数据，无上一年度数据的新成立企业可不填报。</w:t>
      </w:r>
    </w:p>
    <w:p>
      <w:pPr>
        <w:snapToGrid w:val="0"/>
        <w:spacing w:before="120" w:beforeLines="50" w:after="50" w:line="360" w:lineRule="auto"/>
        <w:outlineLvl w:val="1"/>
        <w:rPr>
          <w:rFonts w:hint="eastAsia" w:ascii="宋体" w:hAnsi="宋体" w:eastAsia="宋体" w:cs="宋体"/>
          <w:b/>
          <w:bCs/>
          <w:color w:val="auto"/>
          <w:sz w:val="32"/>
          <w:szCs w:val="32"/>
          <w:highlight w:val="none"/>
        </w:rPr>
        <w:sectPr>
          <w:pgSz w:w="11910" w:h="16840"/>
          <w:pgMar w:top="1440" w:right="1080" w:bottom="1440" w:left="1080" w:header="720" w:footer="720" w:gutter="0"/>
          <w:pgNumType w:fmt="decimal"/>
          <w:cols w:space="720" w:num="1"/>
        </w:sectPr>
      </w:pPr>
    </w:p>
    <w:p>
      <w:pPr>
        <w:spacing w:line="520" w:lineRule="exact"/>
        <w:rPr>
          <w:rFonts w:hint="eastAsia" w:ascii="宋体" w:hAnsi="宋体" w:eastAsia="宋体" w:cs="宋体"/>
          <w:color w:val="auto"/>
          <w:sz w:val="24"/>
          <w:highlight w:val="none"/>
        </w:rPr>
      </w:pPr>
    </w:p>
    <w:p>
      <w:pPr>
        <w:spacing w:line="520" w:lineRule="exact"/>
        <w:jc w:val="center"/>
        <w:rPr>
          <w:rFonts w:hint="eastAsia" w:ascii="宋体" w:hAnsi="宋体" w:eastAsia="宋体" w:cs="宋体"/>
          <w:color w:val="auto"/>
          <w:sz w:val="32"/>
          <w:szCs w:val="32"/>
          <w:highlight w:val="none"/>
        </w:rPr>
      </w:pPr>
      <w:r>
        <w:rPr>
          <w:rFonts w:hint="eastAsia" w:ascii="宋体" w:hAnsi="宋体" w:eastAsia="宋体" w:cs="宋体"/>
          <w:color w:val="auto"/>
          <w:sz w:val="44"/>
          <w:szCs w:val="44"/>
          <w:highlight w:val="none"/>
        </w:rPr>
        <w:t>残疾人福利性单位声明函</w:t>
      </w:r>
    </w:p>
    <w:p>
      <w:pPr>
        <w:spacing w:line="520" w:lineRule="exact"/>
        <w:rPr>
          <w:rFonts w:hint="eastAsia" w:ascii="宋体" w:hAnsi="宋体" w:eastAsia="宋体" w:cs="宋体"/>
          <w:color w:val="auto"/>
          <w:sz w:val="32"/>
          <w:szCs w:val="32"/>
          <w:highlight w:val="none"/>
        </w:rPr>
      </w:pPr>
    </w:p>
    <w:p>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仿宋_GB2312"/>
          <w:color w:val="auto"/>
          <w:sz w:val="24"/>
          <w:highlight w:val="none"/>
          <w:u w:val="single"/>
        </w:rPr>
        <w:t>（采购人名称）</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rPr>
        <w:t>单位的</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cs="宋体"/>
          <w:color w:val="auto"/>
          <w:sz w:val="24"/>
          <w:highlight w:val="none"/>
          <w:u w:val="single"/>
          <w:lang w:val="en-US" w:eastAsia="zh-CN"/>
        </w:rPr>
        <w:t>（项目名称）</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rPr>
        <w:t>项目采购活动由本单位提供服务。</w:t>
      </w:r>
    </w:p>
    <w:p>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本单位对上述声明的真实性负责。如有虚假，将依法承担相应责任。</w:t>
      </w:r>
    </w:p>
    <w:p>
      <w:pPr>
        <w:spacing w:line="360" w:lineRule="auto"/>
        <w:contextualSpacing/>
        <w:rPr>
          <w:rFonts w:hint="eastAsia" w:ascii="宋体" w:hAnsi="宋体" w:eastAsia="宋体" w:cs="宋体"/>
          <w:color w:val="auto"/>
          <w:sz w:val="24"/>
          <w:highlight w:val="none"/>
        </w:rPr>
      </w:pPr>
    </w:p>
    <w:p>
      <w:pPr>
        <w:spacing w:line="360" w:lineRule="auto"/>
        <w:contextualSpacing/>
        <w:rPr>
          <w:rFonts w:hint="eastAsia" w:ascii="宋体" w:hAnsi="宋体" w:eastAsia="宋体" w:cs="宋体"/>
          <w:color w:val="auto"/>
          <w:sz w:val="24"/>
          <w:highlight w:val="none"/>
        </w:rPr>
      </w:pPr>
    </w:p>
    <w:p>
      <w:pPr>
        <w:spacing w:line="360" w:lineRule="auto"/>
        <w:contextualSpacing/>
        <w:rPr>
          <w:rFonts w:hint="eastAsia" w:ascii="宋体" w:hAnsi="宋体" w:eastAsia="宋体" w:cs="宋体"/>
          <w:color w:val="auto"/>
          <w:sz w:val="24"/>
          <w:highlight w:val="none"/>
        </w:rPr>
      </w:pPr>
    </w:p>
    <w:p>
      <w:pPr>
        <w:spacing w:line="360" w:lineRule="auto"/>
        <w:ind w:firstLine="2400" w:firstLineChars="10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供应商名称（电子签章）：</w:t>
      </w:r>
    </w:p>
    <w:p>
      <w:pPr>
        <w:spacing w:line="360" w:lineRule="auto"/>
        <w:ind w:firstLine="4320" w:firstLineChars="18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日  期：     年   月   日</w:t>
      </w:r>
    </w:p>
    <w:p>
      <w:pPr>
        <w:spacing w:line="360" w:lineRule="auto"/>
        <w:contextualSpacing/>
        <w:rPr>
          <w:rFonts w:hint="eastAsia" w:ascii="宋体" w:hAnsi="宋体" w:eastAsia="宋体" w:cs="宋体"/>
          <w:color w:val="auto"/>
          <w:sz w:val="24"/>
          <w:highlight w:val="none"/>
        </w:rPr>
      </w:pPr>
    </w:p>
    <w:p>
      <w:pPr>
        <w:spacing w:line="360" w:lineRule="auto"/>
        <w:contextualSpacing/>
        <w:rPr>
          <w:rFonts w:hint="eastAsia" w:ascii="宋体" w:hAnsi="宋体" w:eastAsia="宋体" w:cs="宋体"/>
          <w:color w:val="auto"/>
          <w:sz w:val="24"/>
          <w:highlight w:val="none"/>
        </w:rPr>
      </w:pPr>
    </w:p>
    <w:p>
      <w:pPr>
        <w:spacing w:line="360" w:lineRule="auto"/>
        <w:contextualSpacing/>
        <w:rPr>
          <w:rFonts w:hint="eastAsia" w:ascii="宋体" w:hAnsi="宋体" w:eastAsia="宋体" w:cs="宋体"/>
          <w:color w:val="auto"/>
          <w:sz w:val="24"/>
          <w:highlight w:val="none"/>
        </w:rPr>
      </w:pPr>
    </w:p>
    <w:p>
      <w:pPr>
        <w:spacing w:line="360" w:lineRule="auto"/>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注：请根据自己的真实情况出具《残疾人福利性单位声明函》。依法享受中小企业优惠政策的，采购人或者采购代理机构在公告中标结果时，同时公告其《残疾人福利性单位声明函》，接受社会监督。</w:t>
      </w:r>
    </w:p>
    <w:p>
      <w:pPr>
        <w:spacing w:line="520" w:lineRule="exact"/>
        <w:jc w:val="center"/>
        <w:rPr>
          <w:rFonts w:hint="eastAsia" w:ascii="宋体" w:hAnsi="宋体" w:eastAsia="宋体" w:cs="宋体"/>
          <w:color w:val="auto"/>
          <w:sz w:val="24"/>
          <w:highlight w:val="none"/>
        </w:rPr>
      </w:pPr>
    </w:p>
    <w:p>
      <w:pPr>
        <w:spacing w:line="520" w:lineRule="exact"/>
        <w:jc w:val="center"/>
        <w:rPr>
          <w:rFonts w:hint="eastAsia" w:ascii="宋体" w:hAnsi="宋体" w:eastAsia="宋体" w:cs="宋体"/>
          <w:color w:val="auto"/>
          <w:sz w:val="24"/>
          <w:highlight w:val="none"/>
        </w:rPr>
      </w:pPr>
    </w:p>
    <w:p>
      <w:pPr>
        <w:spacing w:line="520" w:lineRule="exact"/>
        <w:jc w:val="center"/>
        <w:rPr>
          <w:rFonts w:hint="eastAsia" w:ascii="宋体" w:hAnsi="宋体" w:eastAsia="宋体" w:cs="宋体"/>
          <w:color w:val="auto"/>
          <w:sz w:val="24"/>
          <w:highlight w:val="none"/>
        </w:rPr>
      </w:pPr>
    </w:p>
    <w:p>
      <w:pPr>
        <w:spacing w:line="520" w:lineRule="exact"/>
        <w:jc w:val="center"/>
        <w:rPr>
          <w:rFonts w:hint="eastAsia" w:ascii="宋体" w:hAnsi="宋体" w:eastAsia="宋体" w:cs="宋体"/>
          <w:color w:val="auto"/>
          <w:sz w:val="24"/>
          <w:highlight w:val="none"/>
        </w:rPr>
      </w:pPr>
    </w:p>
    <w:p>
      <w:pPr>
        <w:spacing w:line="520" w:lineRule="exact"/>
        <w:jc w:val="center"/>
        <w:rPr>
          <w:rFonts w:hint="eastAsia" w:ascii="宋体" w:hAnsi="宋体" w:eastAsia="宋体" w:cs="宋体"/>
          <w:color w:val="auto"/>
          <w:sz w:val="24"/>
          <w:highlight w:val="none"/>
        </w:rPr>
      </w:pPr>
    </w:p>
    <w:p>
      <w:pPr>
        <w:spacing w:line="520" w:lineRule="exact"/>
        <w:jc w:val="center"/>
        <w:rPr>
          <w:rFonts w:hint="eastAsia" w:ascii="宋体" w:hAnsi="宋体" w:eastAsia="宋体" w:cs="宋体"/>
          <w:color w:val="auto"/>
          <w:sz w:val="24"/>
          <w:highlight w:val="none"/>
        </w:rPr>
      </w:pPr>
    </w:p>
    <w:p>
      <w:pPr>
        <w:jc w:val="center"/>
        <w:outlineLvl w:val="9"/>
        <w:rPr>
          <w:rFonts w:hint="eastAsia" w:ascii="宋体" w:hAnsi="宋体" w:eastAsia="宋体" w:cs="宋体"/>
          <w:color w:val="auto"/>
          <w:highlight w:val="none"/>
          <w:lang w:val="en-US" w:eastAsia="zh-CN"/>
        </w:rPr>
      </w:pPr>
    </w:p>
    <w:p>
      <w:pPr>
        <w:snapToGrid w:val="0"/>
        <w:spacing w:line="360" w:lineRule="auto"/>
        <w:ind w:firstLine="602" w:firstLineChars="200"/>
        <w:rPr>
          <w:rFonts w:hint="eastAsia" w:ascii="宋体" w:hAnsi="宋体" w:eastAsia="宋体" w:cs="宋体"/>
          <w:b/>
          <w:color w:val="auto"/>
          <w:sz w:val="30"/>
          <w:szCs w:val="30"/>
          <w:highlight w:val="none"/>
        </w:rPr>
      </w:pPr>
    </w:p>
    <w:p>
      <w:pPr>
        <w:snapToGrid w:val="0"/>
        <w:spacing w:line="360" w:lineRule="auto"/>
        <w:ind w:firstLine="602" w:firstLineChars="200"/>
        <w:rPr>
          <w:rFonts w:hint="eastAsia" w:ascii="宋体" w:hAnsi="宋体" w:eastAsia="宋体" w:cs="宋体"/>
          <w:b/>
          <w:color w:val="auto"/>
          <w:sz w:val="30"/>
          <w:szCs w:val="30"/>
          <w:highlight w:val="none"/>
        </w:rPr>
      </w:pPr>
    </w:p>
    <w:p>
      <w:pPr>
        <w:snapToGrid w:val="0"/>
        <w:spacing w:line="360" w:lineRule="auto"/>
        <w:ind w:firstLine="602" w:firstLineChars="200"/>
        <w:rPr>
          <w:rFonts w:hint="eastAsia" w:ascii="宋体" w:hAnsi="宋体" w:eastAsia="宋体" w:cs="宋体"/>
          <w:b/>
          <w:color w:val="auto"/>
          <w:sz w:val="30"/>
          <w:szCs w:val="30"/>
          <w:highlight w:val="none"/>
        </w:rPr>
      </w:pPr>
    </w:p>
    <w:p>
      <w:pPr>
        <w:snapToGrid w:val="0"/>
        <w:spacing w:line="360" w:lineRule="auto"/>
        <w:ind w:firstLine="602" w:firstLineChars="200"/>
        <w:rPr>
          <w:rFonts w:hint="eastAsia" w:ascii="宋体" w:hAnsi="宋体" w:eastAsia="宋体" w:cs="宋体"/>
          <w:b/>
          <w:color w:val="auto"/>
          <w:sz w:val="30"/>
          <w:szCs w:val="30"/>
          <w:highlight w:val="none"/>
        </w:rPr>
      </w:pPr>
    </w:p>
    <w:p>
      <w:pPr>
        <w:snapToGrid w:val="0"/>
        <w:spacing w:line="360" w:lineRule="auto"/>
        <w:ind w:firstLine="602" w:firstLineChars="200"/>
        <w:rPr>
          <w:rFonts w:hint="eastAsia" w:ascii="宋体" w:hAnsi="宋体" w:eastAsia="宋体" w:cs="宋体"/>
          <w:b/>
          <w:color w:val="auto"/>
          <w:sz w:val="30"/>
          <w:szCs w:val="30"/>
          <w:highlight w:val="none"/>
        </w:rPr>
      </w:pPr>
      <w:r>
        <w:rPr>
          <w:rFonts w:hint="eastAsia" w:ascii="宋体" w:hAnsi="宋体" w:cs="宋体"/>
          <w:b/>
          <w:color w:val="auto"/>
          <w:sz w:val="30"/>
          <w:szCs w:val="30"/>
          <w:highlight w:val="none"/>
          <w:lang w:val="en-US" w:eastAsia="zh-CN"/>
        </w:rPr>
        <w:t>八、除磋商文件规定必须提供以外，供应商认为需要提供的其他证明材料</w:t>
      </w:r>
    </w:p>
    <w:p>
      <w:pPr>
        <w:snapToGrid w:val="0"/>
        <w:spacing w:line="360" w:lineRule="auto"/>
        <w:ind w:firstLine="602" w:firstLineChars="200"/>
        <w:rPr>
          <w:rFonts w:hint="eastAsia" w:ascii="宋体" w:hAnsi="宋体" w:eastAsia="宋体" w:cs="宋体"/>
          <w:b/>
          <w:color w:val="auto"/>
          <w:sz w:val="30"/>
          <w:szCs w:val="30"/>
          <w:highlight w:val="none"/>
        </w:rPr>
      </w:pPr>
    </w:p>
    <w:p>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pPr>
        <w:autoSpaceDE w:val="0"/>
        <w:autoSpaceDN w:val="0"/>
        <w:spacing w:line="360" w:lineRule="auto"/>
        <w:ind w:firstLine="6480" w:firstLineChars="2700"/>
        <w:rPr>
          <w:rFonts w:hint="eastAsia" w:ascii="宋体" w:hAnsi="宋体" w:eastAsia="宋体" w:cs="宋体"/>
          <w:color w:val="auto"/>
          <w:kern w:val="0"/>
          <w:sz w:val="24"/>
          <w:highlight w:val="none"/>
          <w:lang w:val="zh-CN"/>
        </w:rPr>
        <w:sectPr>
          <w:pgSz w:w="11910" w:h="16840"/>
          <w:pgMar w:top="1440" w:right="1080" w:bottom="1440" w:left="1080" w:header="720" w:footer="720" w:gutter="0"/>
          <w:pgNumType w:fmt="decimal"/>
          <w:cols w:space="720" w:num="1"/>
        </w:sectPr>
      </w:pPr>
      <w:r>
        <w:rPr>
          <w:rFonts w:hint="eastAsia" w:ascii="宋体" w:hAnsi="宋体" w:eastAsia="宋体" w:cs="宋体"/>
          <w:color w:val="auto"/>
          <w:kern w:val="0"/>
          <w:sz w:val="24"/>
          <w:highlight w:val="none"/>
          <w:lang w:val="zh-CN"/>
        </w:rPr>
        <w:t>日期：  年  月   日</w:t>
      </w:r>
    </w:p>
    <w:p>
      <w:pPr>
        <w:pStyle w:val="3"/>
        <w:jc w:val="center"/>
        <w:rPr>
          <w:rFonts w:hint="eastAsia" w:ascii="宋体" w:hAnsi="宋体" w:eastAsia="宋体" w:cs="宋体"/>
          <w:b w:val="0"/>
          <w:color w:val="auto"/>
          <w:highlight w:val="none"/>
        </w:rPr>
      </w:pPr>
      <w:bookmarkStart w:id="111" w:name="_Toc80205940"/>
      <w:bookmarkStart w:id="112" w:name="_Toc80886944"/>
      <w:bookmarkStart w:id="113" w:name="_Toc18859"/>
      <w:r>
        <w:rPr>
          <w:rFonts w:hint="eastAsia" w:ascii="宋体" w:hAnsi="宋体" w:eastAsia="宋体" w:cs="宋体"/>
          <w:b w:val="0"/>
          <w:bCs w:val="0"/>
          <w:color w:val="auto"/>
          <w:highlight w:val="none"/>
        </w:rPr>
        <w:t>第</w:t>
      </w:r>
      <w:r>
        <w:rPr>
          <w:rFonts w:hint="eastAsia" w:ascii="宋体" w:hAnsi="宋体" w:eastAsia="宋体" w:cs="宋体"/>
          <w:b w:val="0"/>
          <w:bCs w:val="0"/>
          <w:color w:val="auto"/>
          <w:highlight w:val="none"/>
          <w:lang w:eastAsia="zh-CN"/>
        </w:rPr>
        <w:t>三</w:t>
      </w:r>
      <w:r>
        <w:rPr>
          <w:rFonts w:hint="eastAsia" w:ascii="宋体" w:hAnsi="宋体" w:eastAsia="宋体" w:cs="宋体"/>
          <w:b w:val="0"/>
          <w:bCs w:val="0"/>
          <w:color w:val="auto"/>
          <w:highlight w:val="none"/>
        </w:rPr>
        <w:t xml:space="preserve">节 </w:t>
      </w:r>
      <w:r>
        <w:rPr>
          <w:rFonts w:hint="eastAsia" w:ascii="宋体" w:hAnsi="宋体" w:eastAsia="宋体" w:cs="宋体"/>
          <w:b w:val="0"/>
          <w:color w:val="auto"/>
          <w:highlight w:val="none"/>
        </w:rPr>
        <w:t>商务技术文件格式</w:t>
      </w:r>
      <w:bookmarkEnd w:id="111"/>
      <w:bookmarkEnd w:id="112"/>
      <w:bookmarkEnd w:id="113"/>
    </w:p>
    <w:p>
      <w:pPr>
        <w:snapToGrid w:val="0"/>
        <w:spacing w:before="120" w:beforeLines="50" w:after="50"/>
        <w:rPr>
          <w:rFonts w:hint="eastAsia" w:ascii="宋体" w:hAnsi="宋体" w:eastAsia="宋体" w:cs="宋体"/>
          <w:bCs/>
          <w:color w:val="auto"/>
          <w:sz w:val="32"/>
          <w:szCs w:val="20"/>
          <w:highlight w:val="none"/>
        </w:rPr>
      </w:pPr>
      <w:r>
        <w:rPr>
          <w:rFonts w:hint="eastAsia" w:ascii="宋体" w:hAnsi="宋体" w:eastAsia="宋体" w:cs="宋体"/>
          <w:color w:val="auto"/>
          <w:sz w:val="24"/>
          <w:highlight w:val="none"/>
        </w:rPr>
        <w:t xml:space="preserve">                                                    </w:t>
      </w:r>
      <w:r>
        <w:rPr>
          <w:rFonts w:hint="eastAsia" w:ascii="宋体" w:hAnsi="宋体" w:eastAsia="宋体" w:cs="宋体"/>
          <w:bCs/>
          <w:color w:val="auto"/>
          <w:highlight w:val="none"/>
        </w:rPr>
        <w:t>全流程电子文件</w:t>
      </w:r>
    </w:p>
    <w:p>
      <w:pPr>
        <w:snapToGrid w:val="0"/>
        <w:spacing w:before="120" w:beforeLines="50" w:after="50"/>
        <w:rPr>
          <w:rFonts w:hint="eastAsia" w:ascii="宋体" w:hAnsi="宋体" w:eastAsia="宋体" w:cs="宋体"/>
          <w:color w:val="auto"/>
          <w:sz w:val="24"/>
          <w:szCs w:val="20"/>
          <w:highlight w:val="none"/>
        </w:rPr>
      </w:pPr>
    </w:p>
    <w:p>
      <w:pPr>
        <w:snapToGrid w:val="0"/>
        <w:spacing w:before="120" w:beforeLines="50" w:after="50"/>
        <w:rPr>
          <w:rFonts w:hint="eastAsia" w:ascii="宋体" w:hAnsi="宋体" w:eastAsia="宋体" w:cs="宋体"/>
          <w:color w:val="auto"/>
          <w:sz w:val="24"/>
          <w:szCs w:val="20"/>
          <w:highlight w:val="none"/>
        </w:rPr>
      </w:pPr>
    </w:p>
    <w:p>
      <w:pPr>
        <w:snapToGrid w:val="0"/>
        <w:spacing w:before="120" w:beforeLines="50" w:after="50"/>
        <w:rPr>
          <w:rFonts w:hint="eastAsia" w:ascii="宋体" w:hAnsi="宋体" w:eastAsia="宋体" w:cs="宋体"/>
          <w:color w:val="auto"/>
          <w:sz w:val="24"/>
          <w:szCs w:val="20"/>
          <w:highlight w:val="none"/>
        </w:rPr>
      </w:pPr>
    </w:p>
    <w:p>
      <w:pPr>
        <w:snapToGrid w:val="0"/>
        <w:spacing w:before="120" w:beforeLines="50" w:after="50"/>
        <w:jc w:val="center"/>
        <w:rPr>
          <w:rFonts w:hint="eastAsia" w:ascii="宋体" w:hAnsi="宋体" w:eastAsia="宋体" w:cs="宋体"/>
          <w:bCs/>
          <w:color w:val="auto"/>
          <w:sz w:val="44"/>
          <w:szCs w:val="44"/>
          <w:highlight w:val="none"/>
        </w:rPr>
      </w:pPr>
      <w:r>
        <w:rPr>
          <w:rFonts w:hint="eastAsia" w:ascii="宋体" w:hAnsi="宋体" w:eastAsia="宋体" w:cs="宋体"/>
          <w:bCs/>
          <w:color w:val="auto"/>
          <w:sz w:val="44"/>
          <w:szCs w:val="44"/>
          <w:highlight w:val="none"/>
        </w:rPr>
        <w:t>商  务  技  术  文  件（封面）</w:t>
      </w:r>
    </w:p>
    <w:p>
      <w:pPr>
        <w:snapToGrid w:val="0"/>
        <w:spacing w:before="120" w:beforeLines="50" w:after="50"/>
        <w:rPr>
          <w:rFonts w:hint="eastAsia" w:ascii="宋体" w:hAnsi="宋体" w:eastAsia="宋体" w:cs="宋体"/>
          <w:bCs/>
          <w:color w:val="auto"/>
          <w:sz w:val="24"/>
          <w:szCs w:val="20"/>
          <w:highlight w:val="none"/>
        </w:rPr>
      </w:pPr>
    </w:p>
    <w:p>
      <w:pPr>
        <w:snapToGrid w:val="0"/>
        <w:spacing w:before="120" w:beforeLines="50" w:after="50"/>
        <w:rPr>
          <w:rFonts w:hint="eastAsia" w:ascii="宋体" w:hAnsi="宋体" w:eastAsia="宋体" w:cs="宋体"/>
          <w:bCs/>
          <w:color w:val="auto"/>
          <w:sz w:val="24"/>
          <w:szCs w:val="20"/>
          <w:highlight w:val="none"/>
        </w:rPr>
      </w:pPr>
    </w:p>
    <w:p>
      <w:pPr>
        <w:snapToGrid w:val="0"/>
        <w:spacing w:before="120" w:beforeLines="50" w:after="50"/>
        <w:rPr>
          <w:rFonts w:hint="eastAsia" w:ascii="宋体" w:hAnsi="宋体" w:eastAsia="宋体" w:cs="宋体"/>
          <w:bCs/>
          <w:color w:val="auto"/>
          <w:sz w:val="24"/>
          <w:szCs w:val="20"/>
          <w:highlight w:val="none"/>
        </w:rPr>
      </w:pPr>
    </w:p>
    <w:p>
      <w:pPr>
        <w:snapToGrid w:val="0"/>
        <w:spacing w:before="120" w:beforeLines="50" w:after="50"/>
        <w:rPr>
          <w:rFonts w:hint="eastAsia" w:ascii="宋体" w:hAnsi="宋体" w:eastAsia="宋体" w:cs="宋体"/>
          <w:bCs/>
          <w:color w:val="auto"/>
          <w:sz w:val="24"/>
          <w:szCs w:val="20"/>
          <w:highlight w:val="none"/>
        </w:rPr>
      </w:pPr>
    </w:p>
    <w:p>
      <w:pPr>
        <w:snapToGrid w:val="0"/>
        <w:spacing w:before="120" w:beforeLines="50" w:after="50"/>
        <w:rPr>
          <w:rFonts w:hint="eastAsia" w:ascii="宋体" w:hAnsi="宋体" w:eastAsia="宋体" w:cs="宋体"/>
          <w:bCs/>
          <w:color w:val="auto"/>
          <w:sz w:val="24"/>
          <w:szCs w:val="20"/>
          <w:highlight w:val="none"/>
        </w:rPr>
      </w:pPr>
    </w:p>
    <w:p>
      <w:pPr>
        <w:snapToGrid w:val="0"/>
        <w:spacing w:before="120" w:beforeLines="50" w:after="50"/>
        <w:ind w:firstLine="640" w:firstLineChars="200"/>
        <w:rPr>
          <w:rFonts w:hint="eastAsia" w:ascii="宋体" w:hAnsi="宋体" w:eastAsia="宋体" w:cs="宋体"/>
          <w:bCs/>
          <w:color w:val="auto"/>
          <w:sz w:val="32"/>
          <w:szCs w:val="32"/>
          <w:highlight w:val="none"/>
          <w:lang w:val="en-US" w:eastAsia="zh-CN"/>
        </w:rPr>
      </w:pPr>
      <w:r>
        <w:rPr>
          <w:rFonts w:hint="eastAsia" w:ascii="宋体" w:hAnsi="宋体" w:eastAsia="宋体" w:cs="宋体"/>
          <w:bCs/>
          <w:color w:val="auto"/>
          <w:sz w:val="32"/>
          <w:szCs w:val="32"/>
          <w:highlight w:val="none"/>
        </w:rPr>
        <w:t>项目名称：</w:t>
      </w:r>
      <w:r>
        <w:rPr>
          <w:rFonts w:hint="eastAsia" w:ascii="宋体" w:hAnsi="宋体" w:eastAsia="宋体" w:cs="宋体"/>
          <w:bCs/>
          <w:color w:val="auto"/>
          <w:sz w:val="32"/>
          <w:szCs w:val="32"/>
          <w:highlight w:val="none"/>
          <w:lang w:val="en-US" w:eastAsia="zh-CN"/>
        </w:rPr>
        <w:t xml:space="preserve"> </w:t>
      </w:r>
    </w:p>
    <w:p>
      <w:pPr>
        <w:snapToGrid w:val="0"/>
        <w:spacing w:before="120" w:beforeLines="50" w:after="50"/>
        <w:ind w:firstLine="720" w:firstLineChars="225"/>
        <w:rPr>
          <w:rFonts w:hint="eastAsia" w:ascii="宋体" w:hAnsi="宋体" w:eastAsia="宋体" w:cs="宋体"/>
          <w:bCs/>
          <w:color w:val="auto"/>
          <w:sz w:val="32"/>
          <w:szCs w:val="32"/>
          <w:highlight w:val="none"/>
          <w:lang w:val="en-US" w:eastAsia="zh-CN"/>
        </w:rPr>
      </w:pPr>
    </w:p>
    <w:p>
      <w:pPr>
        <w:snapToGrid w:val="0"/>
        <w:spacing w:before="120" w:beforeLines="50" w:after="50"/>
        <w:ind w:firstLine="640" w:firstLineChars="200"/>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rPr>
        <w:t>项目编号：</w:t>
      </w:r>
      <w:r>
        <w:rPr>
          <w:rFonts w:hint="eastAsia" w:ascii="宋体" w:hAnsi="宋体" w:eastAsia="宋体" w:cs="宋体"/>
          <w:bCs/>
          <w:color w:val="auto"/>
          <w:sz w:val="32"/>
          <w:szCs w:val="32"/>
          <w:highlight w:val="none"/>
          <w:lang w:val="en-US" w:eastAsia="zh-CN"/>
        </w:rPr>
        <w:t xml:space="preserve"> </w:t>
      </w:r>
    </w:p>
    <w:p>
      <w:pPr>
        <w:snapToGrid w:val="0"/>
        <w:spacing w:before="120" w:beforeLines="50" w:after="50"/>
        <w:ind w:firstLine="720" w:firstLineChars="225"/>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 xml:space="preserve"> </w:t>
      </w:r>
    </w:p>
    <w:p>
      <w:pPr>
        <w:snapToGrid w:val="0"/>
        <w:spacing w:before="120" w:beforeLines="50" w:after="50"/>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所竞分标（如有则填写，无分标时填写“无”或者留空）：</w:t>
      </w:r>
    </w:p>
    <w:p>
      <w:pPr>
        <w:snapToGrid w:val="0"/>
        <w:spacing w:before="120" w:beforeLines="50" w:after="50"/>
        <w:ind w:firstLine="720" w:firstLineChars="225"/>
        <w:rPr>
          <w:rFonts w:hint="eastAsia" w:ascii="宋体" w:hAnsi="宋体" w:eastAsia="宋体" w:cs="宋体"/>
          <w:bCs/>
          <w:color w:val="auto"/>
          <w:sz w:val="32"/>
          <w:szCs w:val="32"/>
          <w:highlight w:val="none"/>
        </w:rPr>
      </w:pPr>
    </w:p>
    <w:p>
      <w:pPr>
        <w:pStyle w:val="7"/>
        <w:snapToGrid w:val="0"/>
        <w:spacing w:before="50" w:after="50"/>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供应商名称：</w:t>
      </w:r>
    </w:p>
    <w:p>
      <w:pPr>
        <w:pStyle w:val="7"/>
        <w:snapToGrid w:val="0"/>
        <w:spacing w:before="50" w:after="50"/>
        <w:ind w:firstLine="720" w:firstLineChars="225"/>
        <w:rPr>
          <w:rFonts w:hint="eastAsia" w:ascii="宋体" w:hAnsi="宋体" w:eastAsia="宋体" w:cs="宋体"/>
          <w:bCs/>
          <w:color w:val="auto"/>
          <w:sz w:val="32"/>
          <w:szCs w:val="32"/>
          <w:highlight w:val="none"/>
        </w:rPr>
      </w:pPr>
    </w:p>
    <w:p>
      <w:pPr>
        <w:pStyle w:val="7"/>
        <w:snapToGrid w:val="0"/>
        <w:spacing w:before="50" w:after="50"/>
        <w:ind w:firstLine="720" w:firstLineChars="225"/>
        <w:rPr>
          <w:rFonts w:hint="eastAsia" w:ascii="宋体" w:hAnsi="宋体" w:eastAsia="宋体" w:cs="宋体"/>
          <w:bCs/>
          <w:color w:val="auto"/>
          <w:sz w:val="32"/>
          <w:szCs w:val="32"/>
          <w:highlight w:val="none"/>
        </w:rPr>
      </w:pPr>
    </w:p>
    <w:p>
      <w:pPr>
        <w:pStyle w:val="7"/>
        <w:snapToGrid w:val="0"/>
        <w:spacing w:before="50" w:after="50"/>
        <w:ind w:firstLine="1280" w:firstLineChars="400"/>
        <w:rPr>
          <w:rFonts w:hint="eastAsia" w:ascii="宋体" w:hAnsi="宋体" w:eastAsia="宋体" w:cs="宋体"/>
          <w:bCs/>
          <w:color w:val="auto"/>
          <w:sz w:val="32"/>
          <w:szCs w:val="32"/>
          <w:highlight w:val="none"/>
        </w:rPr>
      </w:pPr>
    </w:p>
    <w:p>
      <w:pPr>
        <w:snapToGrid w:val="0"/>
        <w:spacing w:before="120" w:beforeLines="50" w:after="50"/>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年    月    日</w:t>
      </w:r>
    </w:p>
    <w:p>
      <w:pPr>
        <w:snapToGrid w:val="0"/>
        <w:spacing w:before="120" w:beforeLines="50" w:after="50" w:line="360" w:lineRule="auto"/>
        <w:ind w:left="142" w:firstLine="643" w:firstLineChars="200"/>
        <w:jc w:val="left"/>
        <w:rPr>
          <w:rFonts w:hint="eastAsia" w:ascii="宋体" w:hAnsi="宋体" w:eastAsia="宋体" w:cs="宋体"/>
          <w:b/>
          <w:bCs/>
          <w:color w:val="auto"/>
          <w:sz w:val="32"/>
          <w:szCs w:val="32"/>
          <w:highlight w:val="none"/>
        </w:rPr>
        <w:sectPr>
          <w:pgSz w:w="11910" w:h="16840"/>
          <w:pgMar w:top="1440" w:right="1080" w:bottom="1440" w:left="1080" w:header="720" w:footer="720" w:gutter="0"/>
          <w:pgNumType w:fmt="decimal"/>
          <w:cols w:space="720" w:num="1"/>
        </w:sectPr>
      </w:pPr>
    </w:p>
    <w:p>
      <w:pPr>
        <w:jc w:val="center"/>
        <w:rPr>
          <w:rFonts w:hint="eastAsia" w:ascii="宋体" w:hAnsi="宋体" w:eastAsia="宋体" w:cs="宋体"/>
          <w:b/>
          <w:color w:val="auto"/>
          <w:kern w:val="0"/>
          <w:sz w:val="28"/>
          <w:szCs w:val="28"/>
          <w:highlight w:val="none"/>
        </w:rPr>
      </w:pPr>
      <w:r>
        <w:rPr>
          <w:rFonts w:hint="eastAsia" w:ascii="宋体" w:hAnsi="宋体" w:eastAsia="宋体" w:cs="宋体"/>
          <w:b/>
          <w:color w:val="auto"/>
          <w:kern w:val="0"/>
          <w:sz w:val="28"/>
          <w:szCs w:val="28"/>
          <w:highlight w:val="none"/>
        </w:rPr>
        <w:t>商务技术文件目录</w:t>
      </w:r>
    </w:p>
    <w:p>
      <w:pPr>
        <w:jc w:val="center"/>
        <w:rPr>
          <w:rFonts w:hint="eastAsia" w:ascii="宋体" w:hAnsi="宋体" w:eastAsia="宋体" w:cs="宋体"/>
          <w:b/>
          <w:color w:val="auto"/>
          <w:kern w:val="0"/>
          <w:sz w:val="28"/>
          <w:szCs w:val="28"/>
          <w:highlight w:val="none"/>
        </w:rPr>
      </w:pPr>
    </w:p>
    <w:p>
      <w:pPr>
        <w:pStyle w:val="94"/>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一、无串标行为承诺函………………………………………………………（页码）</w:t>
      </w:r>
    </w:p>
    <w:p>
      <w:pPr>
        <w:pStyle w:val="94"/>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二、法定代表人身份证明及法定代表人有效身份证正反面复印件………（页码）</w:t>
      </w:r>
    </w:p>
    <w:p>
      <w:pPr>
        <w:pStyle w:val="94"/>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三、法定代表人授权委托书（如有委托时）………………………………（页码）</w:t>
      </w:r>
    </w:p>
    <w:p>
      <w:pPr>
        <w:pStyle w:val="94"/>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四、</w:t>
      </w:r>
      <w:r>
        <w:rPr>
          <w:rFonts w:hint="eastAsia" w:ascii="宋体" w:hAnsi="宋体" w:eastAsia="宋体" w:cs="宋体"/>
          <w:color w:val="auto"/>
          <w:highlight w:val="none"/>
          <w:lang w:val="zh-CN"/>
        </w:rPr>
        <w:t>商务条款偏离表………………………………</w:t>
      </w:r>
      <w:r>
        <w:rPr>
          <w:rFonts w:hint="eastAsia" w:ascii="宋体" w:hAnsi="宋体" w:eastAsia="宋体" w:cs="宋体"/>
          <w:color w:val="auto"/>
          <w:highlight w:val="none"/>
        </w:rPr>
        <w:t>…………………………（页码）</w:t>
      </w:r>
    </w:p>
    <w:p>
      <w:pPr>
        <w:pStyle w:val="94"/>
        <w:spacing w:line="360" w:lineRule="auto"/>
        <w:rPr>
          <w:rFonts w:hint="eastAsia" w:ascii="宋体" w:hAnsi="宋体" w:eastAsia="宋体" w:cs="宋体"/>
          <w:color w:val="auto"/>
          <w:highlight w:val="none"/>
        </w:rPr>
      </w:pPr>
      <w:bookmarkStart w:id="114" w:name="OLE_LINK7"/>
      <w:bookmarkStart w:id="115" w:name="OLE_LINK6"/>
      <w:bookmarkStart w:id="116" w:name="OLE_LINK5"/>
      <w:r>
        <w:rPr>
          <w:rFonts w:hint="eastAsia" w:ascii="宋体" w:hAnsi="宋体" w:eastAsia="宋体" w:cs="宋体"/>
          <w:color w:val="auto"/>
          <w:highlight w:val="none"/>
        </w:rPr>
        <w:t>五、竞标人情况介绍</w:t>
      </w:r>
      <w:r>
        <w:rPr>
          <w:rFonts w:hint="eastAsia" w:ascii="宋体" w:hAnsi="宋体" w:eastAsia="宋体" w:cs="宋体"/>
          <w:color w:val="auto"/>
          <w:highlight w:val="none"/>
          <w:lang w:val="zh-CN"/>
        </w:rPr>
        <w:t>………………………………</w:t>
      </w:r>
      <w:r>
        <w:rPr>
          <w:rFonts w:hint="eastAsia" w:ascii="宋体" w:hAnsi="宋体" w:eastAsia="宋体" w:cs="宋体"/>
          <w:color w:val="auto"/>
          <w:highlight w:val="none"/>
        </w:rPr>
        <w:t>…………………………（页码）</w:t>
      </w:r>
    </w:p>
    <w:p>
      <w:pPr>
        <w:pStyle w:val="94"/>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六、供应商类似业绩的证明文件（如有要求）</w:t>
      </w:r>
      <w:r>
        <w:rPr>
          <w:rFonts w:hint="eastAsia" w:ascii="宋体" w:hAnsi="宋体" w:eastAsia="宋体" w:cs="宋体"/>
          <w:color w:val="auto"/>
          <w:highlight w:val="none"/>
          <w:lang w:val="zh-CN"/>
        </w:rPr>
        <w:t>……………………………</w:t>
      </w:r>
      <w:r>
        <w:rPr>
          <w:rFonts w:hint="eastAsia" w:ascii="宋体" w:hAnsi="宋体" w:eastAsia="宋体" w:cs="宋体"/>
          <w:color w:val="auto"/>
          <w:highlight w:val="none"/>
        </w:rPr>
        <w:t>（页码）</w:t>
      </w:r>
      <w:bookmarkEnd w:id="114"/>
      <w:bookmarkEnd w:id="115"/>
    </w:p>
    <w:bookmarkEnd w:id="116"/>
    <w:p>
      <w:pPr>
        <w:pStyle w:val="94"/>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七、服务需求偏离表…………………………………………………………（页码）</w:t>
      </w:r>
    </w:p>
    <w:p>
      <w:pPr>
        <w:pStyle w:val="94"/>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八、组织服务方案……………………………………………………………（页码）</w:t>
      </w:r>
    </w:p>
    <w:p>
      <w:pPr>
        <w:pStyle w:val="94"/>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九、售后服务</w:t>
      </w:r>
      <w:r>
        <w:rPr>
          <w:rFonts w:hint="eastAsia" w:ascii="宋体" w:hAnsi="宋体" w:eastAsia="宋体" w:cs="宋体"/>
          <w:color w:val="auto"/>
          <w:highlight w:val="none"/>
          <w:lang w:eastAsia="zh-CN"/>
        </w:rPr>
        <w:t>承诺</w:t>
      </w:r>
      <w:r>
        <w:rPr>
          <w:rFonts w:hint="eastAsia" w:ascii="宋体" w:hAnsi="宋体" w:eastAsia="宋体" w:cs="宋体"/>
          <w:color w:val="auto"/>
          <w:highlight w:val="none"/>
        </w:rPr>
        <w:t>………………………………</w:t>
      </w:r>
      <w:r>
        <w:rPr>
          <w:rFonts w:hint="eastAsia" w:ascii="宋体" w:hAnsi="宋体" w:eastAsia="宋体" w:cs="宋体"/>
          <w:color w:val="auto"/>
          <w:highlight w:val="none"/>
          <w:lang w:val="zh-CN"/>
        </w:rPr>
        <w:t>………</w:t>
      </w:r>
      <w:r>
        <w:rPr>
          <w:rFonts w:hint="eastAsia" w:ascii="宋体" w:hAnsi="宋体" w:eastAsia="宋体" w:cs="宋体"/>
          <w:color w:val="auto"/>
          <w:highlight w:val="none"/>
        </w:rPr>
        <w:t>……………………（页码）</w:t>
      </w:r>
    </w:p>
    <w:p>
      <w:pPr>
        <w:pStyle w:val="94"/>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十、</w:t>
      </w:r>
      <w:r>
        <w:rPr>
          <w:rFonts w:hint="eastAsia" w:ascii="宋体" w:hAnsi="宋体" w:eastAsia="宋体" w:cs="宋体"/>
          <w:color w:val="auto"/>
          <w:highlight w:val="none"/>
          <w:lang w:val="zh-CN"/>
        </w:rPr>
        <w:t>项目实施人员一览表………………………………</w:t>
      </w:r>
      <w:r>
        <w:rPr>
          <w:rFonts w:hint="eastAsia" w:ascii="宋体" w:hAnsi="宋体" w:eastAsia="宋体" w:cs="宋体"/>
          <w:color w:val="auto"/>
          <w:highlight w:val="none"/>
        </w:rPr>
        <w:t>……………………（页码）</w:t>
      </w:r>
    </w:p>
    <w:p>
      <w:pPr>
        <w:pStyle w:val="94"/>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十一、服务需求、商务条款要求提供的其他材料</w:t>
      </w:r>
      <w:r>
        <w:rPr>
          <w:rFonts w:hint="eastAsia" w:ascii="宋体" w:hAnsi="宋体" w:eastAsia="宋体" w:cs="宋体"/>
          <w:color w:val="auto"/>
          <w:highlight w:val="none"/>
          <w:lang w:val="zh-CN"/>
        </w:rPr>
        <w:t>…………………</w:t>
      </w:r>
      <w:r>
        <w:rPr>
          <w:rFonts w:hint="eastAsia" w:ascii="宋体" w:hAnsi="宋体" w:eastAsia="宋体" w:cs="宋体"/>
          <w:color w:val="auto"/>
          <w:highlight w:val="none"/>
        </w:rPr>
        <w:t>………（页码）</w:t>
      </w:r>
    </w:p>
    <w:p>
      <w:pPr>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注：以上目录是基本格式要求，各供应商可根据自身情况进一步向下增加内容或细化。</w:t>
      </w:r>
    </w:p>
    <w:p>
      <w:pPr>
        <w:spacing w:line="400" w:lineRule="exact"/>
        <w:rPr>
          <w:rFonts w:hint="eastAsia" w:ascii="宋体" w:hAnsi="宋体" w:eastAsia="宋体" w:cs="宋体"/>
          <w:color w:val="auto"/>
          <w:sz w:val="32"/>
          <w:szCs w:val="32"/>
          <w:highlight w:val="none"/>
        </w:rPr>
      </w:pPr>
    </w:p>
    <w:p>
      <w:pPr>
        <w:spacing w:line="520" w:lineRule="exact"/>
        <w:ind w:firstLine="880" w:firstLineChars="200"/>
        <w:rPr>
          <w:rFonts w:hint="eastAsia" w:ascii="宋体" w:hAnsi="宋体" w:eastAsia="宋体" w:cs="宋体"/>
          <w:color w:val="auto"/>
          <w:sz w:val="44"/>
          <w:szCs w:val="44"/>
          <w:highlight w:val="none"/>
        </w:rPr>
      </w:pPr>
      <w:r>
        <w:rPr>
          <w:rFonts w:hint="eastAsia" w:ascii="宋体" w:hAnsi="宋体" w:eastAsia="宋体" w:cs="宋体"/>
          <w:color w:val="auto"/>
          <w:sz w:val="44"/>
          <w:szCs w:val="44"/>
          <w:highlight w:val="none"/>
        </w:rPr>
        <w:br w:type="page"/>
      </w:r>
      <w:r>
        <w:rPr>
          <w:rFonts w:hint="eastAsia" w:ascii="宋体" w:hAnsi="宋体" w:eastAsia="宋体" w:cs="宋体"/>
          <w:b/>
          <w:color w:val="auto"/>
          <w:sz w:val="30"/>
          <w:szCs w:val="30"/>
          <w:highlight w:val="none"/>
        </w:rPr>
        <w:t>一、无串标行为承诺函</w:t>
      </w:r>
    </w:p>
    <w:p>
      <w:pPr>
        <w:spacing w:line="520" w:lineRule="exact"/>
        <w:jc w:val="center"/>
        <w:rPr>
          <w:rFonts w:hint="eastAsia" w:ascii="宋体" w:hAnsi="宋体" w:eastAsia="宋体" w:cs="宋体"/>
          <w:color w:val="auto"/>
          <w:sz w:val="44"/>
          <w:szCs w:val="44"/>
          <w:highlight w:val="none"/>
        </w:rPr>
      </w:pPr>
    </w:p>
    <w:p>
      <w:pPr>
        <w:spacing w:line="520" w:lineRule="exact"/>
        <w:jc w:val="center"/>
        <w:rPr>
          <w:rFonts w:hint="eastAsia" w:ascii="宋体" w:hAnsi="宋体" w:eastAsia="宋体" w:cs="宋体"/>
          <w:color w:val="auto"/>
          <w:sz w:val="32"/>
          <w:szCs w:val="32"/>
          <w:highlight w:val="none"/>
        </w:rPr>
      </w:pPr>
      <w:r>
        <w:rPr>
          <w:rFonts w:hint="eastAsia" w:ascii="宋体" w:hAnsi="宋体" w:eastAsia="宋体" w:cs="宋体"/>
          <w:color w:val="auto"/>
          <w:sz w:val="44"/>
          <w:szCs w:val="44"/>
          <w:highlight w:val="none"/>
        </w:rPr>
        <w:t>无串通竞标行为的承诺函</w:t>
      </w:r>
    </w:p>
    <w:p>
      <w:pPr>
        <w:spacing w:line="520" w:lineRule="exact"/>
        <w:ind w:firstLine="640" w:firstLineChars="200"/>
        <w:rPr>
          <w:rFonts w:hint="eastAsia" w:ascii="宋体" w:hAnsi="宋体" w:eastAsia="宋体" w:cs="宋体"/>
          <w:color w:val="auto"/>
          <w:sz w:val="32"/>
          <w:szCs w:val="32"/>
          <w:highlight w:val="none"/>
        </w:rPr>
      </w:pPr>
    </w:p>
    <w:p>
      <w:pPr>
        <w:spacing w:line="360" w:lineRule="auto"/>
        <w:ind w:firstLine="482" w:firstLineChars="200"/>
        <w:contextualSpacing/>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一、我方承诺无下列相互串通竞标的情形：</w:t>
      </w:r>
    </w:p>
    <w:p>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1.不同供应商的响应文件由同一单位或者个人编制； </w:t>
      </w:r>
    </w:p>
    <w:p>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2.不同供应商委托同一单位或者个人办理竞标事宜；</w:t>
      </w:r>
    </w:p>
    <w:p>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3.不同供应商的响应文件载明的项目管理员为同一个人；</w:t>
      </w:r>
    </w:p>
    <w:p>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4.不</w:t>
      </w:r>
      <w:r>
        <w:rPr>
          <w:rFonts w:hint="eastAsia" w:ascii="宋体" w:hAnsi="宋体" w:eastAsia="宋体" w:cs="宋体"/>
          <w:color w:val="auto"/>
          <w:spacing w:val="-6"/>
          <w:sz w:val="24"/>
          <w:highlight w:val="none"/>
        </w:rPr>
        <w:t>同供应商的响应文件异常一致或者响应报价呈规律性差异；</w:t>
      </w:r>
    </w:p>
    <w:p>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5.不同供应商的响应文件相互混装；</w:t>
      </w:r>
    </w:p>
    <w:p>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6.不同供应商的磋商保证金从同一单位或者个人账户转出。</w:t>
      </w:r>
    </w:p>
    <w:p>
      <w:pPr>
        <w:spacing w:line="360" w:lineRule="auto"/>
        <w:ind w:firstLine="482" w:firstLineChars="200"/>
        <w:contextualSpacing/>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二、我方承诺无下列恶意串通的情形：</w:t>
      </w:r>
    </w:p>
    <w:p>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1.供应商直接或者间接从采购人或者采购代理机构处获得其他供应商的相关信息并修改其响应文件；</w:t>
      </w:r>
    </w:p>
    <w:p>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2.供应商按照采购人或者采购代理机构的授意撤换、修改响应文件；</w:t>
      </w:r>
    </w:p>
    <w:p>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3.供</w:t>
      </w:r>
      <w:r>
        <w:rPr>
          <w:rFonts w:hint="eastAsia" w:ascii="宋体" w:hAnsi="宋体" w:eastAsia="宋体" w:cs="宋体"/>
          <w:color w:val="auto"/>
          <w:spacing w:val="-6"/>
          <w:sz w:val="24"/>
          <w:highlight w:val="none"/>
        </w:rPr>
        <w:t>应商之间协商报价、技术方案等响应文件的实质性内容；</w:t>
      </w:r>
    </w:p>
    <w:p>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4.属于同一集团、协会、商会等组织成员的供应商按照该组织要求协同参加政府采购活动；</w:t>
      </w:r>
    </w:p>
    <w:p>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5.供应商之间事先约定一致抬高或者压低响应报价，或者在竞争性磋商项目中事先约定轮流以高价位或者低价位成交，或者事先约定由某一特定供应商成交，然后再参加竞标；</w:t>
      </w:r>
    </w:p>
    <w:p>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6.供应商之间商定部分供应商放弃参加政府采购活动或者放弃成交；</w:t>
      </w:r>
    </w:p>
    <w:p>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7.供应商与采购人或者采购代理机构之间、供应商相互之间，为</w:t>
      </w:r>
      <w:r>
        <w:rPr>
          <w:rFonts w:hint="eastAsia" w:ascii="宋体" w:hAnsi="宋体" w:eastAsia="宋体" w:cs="宋体"/>
          <w:color w:val="auto"/>
          <w:spacing w:val="-6"/>
          <w:sz w:val="24"/>
          <w:highlight w:val="none"/>
        </w:rPr>
        <w:t>谋求特定供应商成交或者排斥其他供应商的其他串通行为。</w:t>
      </w:r>
    </w:p>
    <w:p>
      <w:pPr>
        <w:spacing w:line="360" w:lineRule="auto"/>
        <w:ind w:firstLine="480" w:firstLineChars="200"/>
        <w:contextualSpacing/>
        <w:rPr>
          <w:rFonts w:hint="eastAsia" w:ascii="宋体" w:hAnsi="宋体" w:eastAsia="宋体" w:cs="宋体"/>
          <w:color w:val="auto"/>
          <w:sz w:val="24"/>
          <w:highlight w:val="none"/>
        </w:rPr>
      </w:pPr>
    </w:p>
    <w:p>
      <w:pPr>
        <w:spacing w:line="360" w:lineRule="auto"/>
        <w:ind w:firstLine="482" w:firstLineChars="200"/>
        <w:contextualSpacing/>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以上情形一经核查属实，我方愿意承担一切后果，并不再寻求任何旨在减轻或者免除法律责任的辩解。</w:t>
      </w:r>
    </w:p>
    <w:p>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pPr>
        <w:spacing w:line="520" w:lineRule="exact"/>
        <w:ind w:left="239" w:leftChars="114" w:firstLine="6120" w:firstLineChars="2550"/>
        <w:jc w:val="left"/>
        <w:rPr>
          <w:rFonts w:hint="eastAsia" w:ascii="宋体" w:hAnsi="宋体" w:eastAsia="宋体" w:cs="宋体"/>
          <w:bCs/>
          <w:color w:val="auto"/>
          <w:sz w:val="44"/>
          <w:szCs w:val="44"/>
          <w:highlight w:val="none"/>
        </w:rPr>
      </w:pPr>
      <w:r>
        <w:rPr>
          <w:rFonts w:hint="eastAsia" w:ascii="宋体" w:hAnsi="宋体" w:eastAsia="宋体" w:cs="宋体"/>
          <w:color w:val="auto"/>
          <w:kern w:val="0"/>
          <w:sz w:val="24"/>
          <w:highlight w:val="none"/>
          <w:lang w:val="zh-CN"/>
        </w:rPr>
        <w:t xml:space="preserve">日期：  年  月   日   </w:t>
      </w:r>
      <w:r>
        <w:rPr>
          <w:rFonts w:hint="eastAsia" w:ascii="宋体" w:hAnsi="宋体" w:eastAsia="宋体" w:cs="宋体"/>
          <w:b/>
          <w:bCs/>
          <w:color w:val="auto"/>
          <w:sz w:val="32"/>
          <w:szCs w:val="32"/>
          <w:highlight w:val="none"/>
        </w:rPr>
        <w:br w:type="page"/>
      </w:r>
      <w:r>
        <w:rPr>
          <w:rFonts w:hint="eastAsia" w:ascii="宋体" w:hAnsi="宋体" w:eastAsia="宋体" w:cs="宋体"/>
          <w:b/>
          <w:color w:val="auto"/>
          <w:sz w:val="30"/>
          <w:szCs w:val="30"/>
          <w:highlight w:val="none"/>
        </w:rPr>
        <w:t>二、法定代表人身份证明及法定代表人有效身份证正反面复印件</w:t>
      </w:r>
    </w:p>
    <w:p>
      <w:pPr>
        <w:spacing w:line="520" w:lineRule="exact"/>
        <w:jc w:val="center"/>
        <w:rPr>
          <w:rFonts w:hint="eastAsia" w:ascii="宋体" w:hAnsi="宋体" w:eastAsia="宋体" w:cs="宋体"/>
          <w:color w:val="auto"/>
          <w:sz w:val="32"/>
          <w:szCs w:val="32"/>
          <w:highlight w:val="none"/>
        </w:rPr>
      </w:pPr>
      <w:r>
        <w:rPr>
          <w:rFonts w:hint="eastAsia" w:ascii="宋体" w:hAnsi="宋体" w:eastAsia="宋体" w:cs="宋体"/>
          <w:bCs/>
          <w:color w:val="auto"/>
          <w:sz w:val="44"/>
          <w:szCs w:val="44"/>
          <w:highlight w:val="none"/>
        </w:rPr>
        <w:t>法定代表人证明书</w:t>
      </w:r>
    </w:p>
    <w:p>
      <w:pPr>
        <w:spacing w:line="360" w:lineRule="auto"/>
        <w:ind w:left="540"/>
        <w:contextualSpacing/>
        <w:rPr>
          <w:rFonts w:hint="eastAsia" w:ascii="宋体" w:hAnsi="宋体" w:eastAsia="宋体" w:cs="宋体"/>
          <w:color w:val="auto"/>
          <w:sz w:val="32"/>
          <w:szCs w:val="32"/>
          <w:highlight w:val="none"/>
        </w:rPr>
      </w:pPr>
    </w:p>
    <w:p>
      <w:pPr>
        <w:spacing w:line="360" w:lineRule="auto"/>
        <w:ind w:left="54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p>
    <w:p>
      <w:pPr>
        <w:spacing w:line="360" w:lineRule="auto"/>
        <w:ind w:left="54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地    址：</w:t>
      </w:r>
      <w:r>
        <w:rPr>
          <w:rFonts w:hint="eastAsia" w:ascii="宋体" w:hAnsi="宋体" w:eastAsia="宋体" w:cs="宋体"/>
          <w:color w:val="auto"/>
          <w:sz w:val="24"/>
          <w:highlight w:val="none"/>
          <w:u w:val="single"/>
        </w:rPr>
        <w:t xml:space="preserve">                                                        </w:t>
      </w:r>
    </w:p>
    <w:p>
      <w:pPr>
        <w:spacing w:line="360" w:lineRule="auto"/>
        <w:ind w:left="54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姓    名：</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性     别：</w:t>
      </w:r>
      <w:r>
        <w:rPr>
          <w:rFonts w:hint="eastAsia" w:ascii="宋体" w:hAnsi="宋体" w:eastAsia="宋体" w:cs="宋体"/>
          <w:color w:val="auto"/>
          <w:sz w:val="24"/>
          <w:highlight w:val="none"/>
          <w:u w:val="single"/>
        </w:rPr>
        <w:t xml:space="preserve">                </w:t>
      </w:r>
    </w:p>
    <w:p>
      <w:pPr>
        <w:spacing w:line="360" w:lineRule="auto"/>
        <w:ind w:left="540"/>
        <w:contextualSpacing/>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年    龄：</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职     务：</w:t>
      </w:r>
      <w:r>
        <w:rPr>
          <w:rFonts w:hint="eastAsia" w:ascii="宋体" w:hAnsi="宋体" w:eastAsia="宋体" w:cs="宋体"/>
          <w:color w:val="auto"/>
          <w:sz w:val="24"/>
          <w:highlight w:val="none"/>
          <w:u w:val="single"/>
        </w:rPr>
        <w:t xml:space="preserve">                </w:t>
      </w:r>
    </w:p>
    <w:p>
      <w:pPr>
        <w:spacing w:line="360" w:lineRule="auto"/>
        <w:ind w:left="54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身份证号码：</w:t>
      </w:r>
      <w:r>
        <w:rPr>
          <w:rFonts w:hint="eastAsia" w:ascii="宋体" w:hAnsi="宋体" w:eastAsia="宋体" w:cs="宋体"/>
          <w:color w:val="auto"/>
          <w:sz w:val="24"/>
          <w:highlight w:val="none"/>
          <w:u w:val="single"/>
        </w:rPr>
        <w:t xml:space="preserve">                                        </w:t>
      </w:r>
    </w:p>
    <w:p>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系</w:t>
      </w:r>
      <w:r>
        <w:rPr>
          <w:rFonts w:hint="eastAsia" w:ascii="宋体" w:hAnsi="宋体" w:eastAsia="宋体" w:cs="宋体"/>
          <w:color w:val="auto"/>
          <w:sz w:val="24"/>
          <w:highlight w:val="none"/>
          <w:u w:val="single"/>
        </w:rPr>
        <w:t>（供应商名称）</w:t>
      </w:r>
      <w:r>
        <w:rPr>
          <w:rFonts w:hint="eastAsia" w:ascii="宋体" w:hAnsi="宋体" w:eastAsia="宋体" w:cs="宋体"/>
          <w:color w:val="auto"/>
          <w:sz w:val="24"/>
          <w:highlight w:val="none"/>
        </w:rPr>
        <w:t>的法定代表人。</w:t>
      </w:r>
    </w:p>
    <w:p>
      <w:pPr>
        <w:spacing w:line="360" w:lineRule="auto"/>
        <w:ind w:left="54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特此证明。</w:t>
      </w:r>
    </w:p>
    <w:p>
      <w:pPr>
        <w:spacing w:line="360" w:lineRule="auto"/>
        <w:ind w:left="540"/>
        <w:contextualSpacing/>
        <w:rPr>
          <w:rFonts w:hint="eastAsia" w:ascii="宋体" w:hAnsi="宋体" w:eastAsia="宋体" w:cs="宋体"/>
          <w:color w:val="auto"/>
          <w:sz w:val="24"/>
          <w:highlight w:val="none"/>
        </w:rPr>
      </w:pPr>
    </w:p>
    <w:p>
      <w:pPr>
        <w:spacing w:line="360" w:lineRule="auto"/>
        <w:ind w:left="540"/>
        <w:contextualSpacing/>
        <w:rPr>
          <w:rFonts w:hint="eastAsia" w:ascii="宋体" w:hAnsi="宋体" w:eastAsia="宋体" w:cs="宋体"/>
          <w:color w:val="auto"/>
          <w:sz w:val="24"/>
          <w:highlight w:val="none"/>
        </w:rPr>
      </w:pPr>
    </w:p>
    <w:p>
      <w:pPr>
        <w:spacing w:line="360" w:lineRule="auto"/>
        <w:ind w:left="540"/>
        <w:contextualSpacing/>
        <w:rPr>
          <w:rFonts w:hint="eastAsia" w:ascii="宋体" w:hAnsi="宋体" w:eastAsia="宋体" w:cs="宋体"/>
          <w:color w:val="auto"/>
          <w:sz w:val="24"/>
          <w:highlight w:val="none"/>
        </w:rPr>
      </w:pPr>
    </w:p>
    <w:p>
      <w:pPr>
        <w:spacing w:line="360" w:lineRule="auto"/>
        <w:ind w:left="54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附件：法定代表人有效身份证正反面复印件</w:t>
      </w:r>
    </w:p>
    <w:p>
      <w:pPr>
        <w:spacing w:line="360" w:lineRule="auto"/>
        <w:ind w:left="540"/>
        <w:contextualSpacing/>
        <w:rPr>
          <w:rFonts w:hint="eastAsia" w:ascii="宋体" w:hAnsi="宋体" w:eastAsia="宋体" w:cs="宋体"/>
          <w:color w:val="auto"/>
          <w:sz w:val="24"/>
          <w:highlight w:val="none"/>
        </w:rPr>
      </w:pPr>
    </w:p>
    <w:p>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pPr>
        <w:spacing w:line="360" w:lineRule="auto"/>
        <w:contextualSpacing/>
        <w:jc w:val="center"/>
        <w:rPr>
          <w:rFonts w:hint="eastAsia" w:ascii="宋体" w:hAnsi="宋体" w:eastAsia="宋体" w:cs="宋体"/>
          <w:b/>
          <w:color w:val="auto"/>
          <w:sz w:val="24"/>
          <w:highlight w:val="none"/>
        </w:rPr>
      </w:pPr>
      <w:r>
        <w:rPr>
          <w:rFonts w:hint="eastAsia" w:ascii="宋体" w:hAnsi="宋体" w:eastAsia="宋体" w:cs="宋体"/>
          <w:color w:val="auto"/>
          <w:kern w:val="0"/>
          <w:sz w:val="24"/>
          <w:highlight w:val="none"/>
          <w:lang w:val="zh-CN"/>
        </w:rPr>
        <w:t xml:space="preserve">                                                   日期：  年  月   日</w:t>
      </w:r>
    </w:p>
    <w:p>
      <w:pPr>
        <w:spacing w:line="360" w:lineRule="auto"/>
        <w:contextualSpacing/>
        <w:jc w:val="left"/>
        <w:rPr>
          <w:rFonts w:hint="eastAsia" w:ascii="宋体" w:hAnsi="宋体" w:eastAsia="宋体" w:cs="宋体"/>
          <w:color w:val="auto"/>
          <w:sz w:val="24"/>
          <w:highlight w:val="none"/>
        </w:rPr>
      </w:pPr>
    </w:p>
    <w:p>
      <w:pPr>
        <w:spacing w:line="360" w:lineRule="auto"/>
        <w:contextualSpacing/>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注：1.自然人竞标的无需提供，联合体竞标的只需牵头人出具。</w:t>
      </w:r>
    </w:p>
    <w:p>
      <w:pPr>
        <w:spacing w:line="360" w:lineRule="auto"/>
        <w:ind w:firstLine="480" w:firstLineChars="200"/>
        <w:contextualSpacing/>
        <w:jc w:val="left"/>
        <w:rPr>
          <w:rFonts w:hint="eastAsia" w:ascii="宋体" w:hAnsi="宋体" w:eastAsia="宋体" w:cs="宋体"/>
          <w:color w:val="auto"/>
          <w:sz w:val="24"/>
          <w:highlight w:val="none"/>
        </w:rPr>
        <w:sectPr>
          <w:pgSz w:w="11910" w:h="16840"/>
          <w:pgMar w:top="1440" w:right="1080" w:bottom="1440" w:left="1080" w:header="720" w:footer="720" w:gutter="0"/>
          <w:pgNumType w:fmt="decimal"/>
          <w:cols w:space="720" w:num="1"/>
        </w:sectPr>
      </w:pPr>
      <w:r>
        <w:rPr>
          <w:rFonts w:hint="eastAsia" w:ascii="宋体" w:hAnsi="宋体" w:eastAsia="宋体" w:cs="宋体"/>
          <w:color w:val="auto"/>
          <w:sz w:val="24"/>
          <w:highlight w:val="none"/>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tbl>
      <w:tblPr>
        <w:tblStyle w:val="28"/>
        <w:tblpPr w:leftFromText="180" w:rightFromText="180" w:vertAnchor="text" w:horzAnchor="margin" w:tblpXSpec="center" w:tblpY="1169"/>
        <w:tblW w:w="846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8705" w:hRule="atLeast"/>
          <w:jc w:val="center"/>
        </w:trPr>
        <w:tc>
          <w:tcPr>
            <w:tcW w:w="8461" w:type="dxa"/>
            <w:noWrap w:val="0"/>
            <w:vAlign w:val="top"/>
          </w:tcPr>
          <w:p>
            <w:pPr>
              <w:spacing w:line="360" w:lineRule="auto"/>
              <w:rPr>
                <w:rFonts w:hint="eastAsia" w:ascii="宋体" w:hAnsi="宋体" w:eastAsia="宋体" w:cs="宋体"/>
                <w:b/>
                <w:color w:val="auto"/>
                <w:sz w:val="24"/>
                <w:highlight w:val="none"/>
              </w:rPr>
            </w:pPr>
          </w:p>
          <w:p>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法定代表身份证复印件粘帖处（正、反面）</w:t>
            </w:r>
          </w:p>
        </w:tc>
      </w:tr>
    </w:tbl>
    <w:p>
      <w:pPr>
        <w:spacing w:line="360" w:lineRule="auto"/>
        <w:ind w:firstLine="482" w:firstLineChars="200"/>
        <w:contextualSpacing/>
        <w:jc w:val="left"/>
        <w:rPr>
          <w:rFonts w:hint="eastAsia" w:ascii="宋体" w:hAnsi="宋体" w:eastAsia="宋体" w:cs="宋体"/>
          <w:b/>
          <w:color w:val="auto"/>
          <w:sz w:val="32"/>
          <w:szCs w:val="32"/>
          <w:highlight w:val="none"/>
        </w:rPr>
      </w:pPr>
      <w:r>
        <w:rPr>
          <w:rFonts w:hint="eastAsia" w:ascii="宋体" w:hAnsi="宋体" w:eastAsia="宋体" w:cs="宋体"/>
          <w:b/>
          <w:color w:val="auto"/>
          <w:sz w:val="24"/>
          <w:highlight w:val="none"/>
        </w:rPr>
        <w:t>附件：</w:t>
      </w:r>
    </w:p>
    <w:p>
      <w:pPr>
        <w:adjustRightInd w:val="0"/>
        <w:snapToGrid w:val="0"/>
        <w:spacing w:line="300" w:lineRule="auto"/>
        <w:jc w:val="left"/>
        <w:rPr>
          <w:rFonts w:hint="eastAsia" w:ascii="宋体" w:hAnsi="宋体" w:eastAsia="宋体" w:cs="宋体"/>
          <w:b/>
          <w:color w:val="auto"/>
          <w:szCs w:val="21"/>
          <w:highlight w:val="none"/>
        </w:rPr>
      </w:pPr>
    </w:p>
    <w:p>
      <w:pPr>
        <w:spacing w:line="520" w:lineRule="exact"/>
        <w:ind w:firstLine="880"/>
        <w:jc w:val="left"/>
        <w:rPr>
          <w:rFonts w:hint="eastAsia" w:ascii="宋体" w:hAnsi="宋体" w:eastAsia="宋体" w:cs="宋体"/>
          <w:bCs/>
          <w:color w:val="auto"/>
          <w:sz w:val="44"/>
          <w:szCs w:val="44"/>
          <w:highlight w:val="none"/>
        </w:rPr>
      </w:pPr>
      <w:r>
        <w:rPr>
          <w:rFonts w:hint="eastAsia" w:ascii="宋体" w:hAnsi="宋体" w:eastAsia="宋体" w:cs="宋体"/>
          <w:color w:val="auto"/>
          <w:sz w:val="44"/>
          <w:szCs w:val="44"/>
          <w:highlight w:val="none"/>
        </w:rPr>
        <w:br w:type="page"/>
      </w:r>
      <w:r>
        <w:rPr>
          <w:rFonts w:hint="eastAsia" w:ascii="宋体" w:hAnsi="宋体" w:eastAsia="宋体" w:cs="宋体"/>
          <w:b/>
          <w:color w:val="auto"/>
          <w:sz w:val="30"/>
          <w:szCs w:val="30"/>
          <w:highlight w:val="none"/>
        </w:rPr>
        <w:t>三、法定代表人授权委托书</w:t>
      </w:r>
    </w:p>
    <w:p>
      <w:pPr>
        <w:spacing w:line="500" w:lineRule="exact"/>
        <w:jc w:val="center"/>
        <w:rPr>
          <w:rFonts w:hint="eastAsia" w:ascii="宋体" w:hAnsi="宋体" w:eastAsia="宋体" w:cs="宋体"/>
          <w:color w:val="auto"/>
          <w:sz w:val="44"/>
          <w:szCs w:val="44"/>
          <w:highlight w:val="none"/>
        </w:rPr>
      </w:pPr>
    </w:p>
    <w:p>
      <w:pPr>
        <w:spacing w:line="520" w:lineRule="exact"/>
        <w:jc w:val="center"/>
        <w:rPr>
          <w:rFonts w:hint="eastAsia" w:ascii="宋体" w:hAnsi="宋体" w:eastAsia="宋体" w:cs="宋体"/>
          <w:color w:val="auto"/>
          <w:sz w:val="44"/>
          <w:szCs w:val="44"/>
          <w:highlight w:val="none"/>
        </w:rPr>
      </w:pPr>
      <w:r>
        <w:rPr>
          <w:rFonts w:hint="eastAsia" w:ascii="宋体" w:hAnsi="宋体" w:eastAsia="宋体" w:cs="宋体"/>
          <w:color w:val="auto"/>
          <w:sz w:val="44"/>
          <w:szCs w:val="44"/>
          <w:highlight w:val="none"/>
        </w:rPr>
        <w:t>授权委托书（非联合体竞标格式）</w:t>
      </w:r>
    </w:p>
    <w:p>
      <w:pPr>
        <w:spacing w:line="520" w:lineRule="exact"/>
        <w:jc w:val="center"/>
        <w:rPr>
          <w:rFonts w:hint="eastAsia" w:ascii="宋体" w:hAnsi="宋体" w:eastAsia="宋体" w:cs="宋体"/>
          <w:color w:val="auto"/>
          <w:sz w:val="44"/>
          <w:szCs w:val="44"/>
          <w:highlight w:val="none"/>
        </w:rPr>
      </w:pPr>
      <w:r>
        <w:rPr>
          <w:rFonts w:hint="eastAsia" w:ascii="宋体" w:hAnsi="宋体" w:eastAsia="宋体" w:cs="宋体"/>
          <w:color w:val="auto"/>
          <w:sz w:val="44"/>
          <w:szCs w:val="44"/>
          <w:highlight w:val="none"/>
        </w:rPr>
        <w:t>（如有委托时）</w:t>
      </w:r>
    </w:p>
    <w:p>
      <w:pPr>
        <w:spacing w:line="520" w:lineRule="exact"/>
        <w:rPr>
          <w:rFonts w:hint="eastAsia" w:ascii="宋体" w:hAnsi="宋体" w:eastAsia="宋体" w:cs="宋体"/>
          <w:color w:val="auto"/>
          <w:sz w:val="32"/>
          <w:szCs w:val="32"/>
          <w:highlight w:val="none"/>
        </w:rPr>
      </w:pP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致：</w:t>
      </w:r>
      <w:r>
        <w:rPr>
          <w:rFonts w:hint="eastAsia" w:ascii="宋体" w:hAnsi="宋体" w:eastAsia="宋体" w:cs="宋体"/>
          <w:color w:val="auto"/>
          <w:sz w:val="24"/>
          <w:highlight w:val="none"/>
          <w:u w:val="single"/>
          <w:lang w:val="en-US" w:eastAsia="zh-CN"/>
        </w:rPr>
        <w:t xml:space="preserve">  （采购人名称）  </w:t>
      </w:r>
      <w:r>
        <w:rPr>
          <w:rFonts w:hint="eastAsia" w:ascii="宋体" w:hAnsi="宋体" w:eastAsia="宋体" w:cs="宋体"/>
          <w:color w:val="auto"/>
          <w:sz w:val="24"/>
          <w:highlight w:val="none"/>
        </w:rPr>
        <w:t>：</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我</w:t>
      </w:r>
      <w:r>
        <w:rPr>
          <w:rFonts w:hint="eastAsia" w:ascii="宋体" w:hAnsi="宋体" w:eastAsia="宋体" w:cs="宋体"/>
          <w:color w:val="auto"/>
          <w:sz w:val="24"/>
          <w:highlight w:val="none"/>
          <w:u w:val="single"/>
        </w:rPr>
        <w:t xml:space="preserve">  （姓名）  </w:t>
      </w:r>
      <w:r>
        <w:rPr>
          <w:rFonts w:hint="eastAsia" w:ascii="宋体" w:hAnsi="宋体" w:eastAsia="宋体" w:cs="宋体"/>
          <w:color w:val="auto"/>
          <w:sz w:val="24"/>
          <w:highlight w:val="none"/>
        </w:rPr>
        <w:t>系</w:t>
      </w:r>
      <w:r>
        <w:rPr>
          <w:rFonts w:hint="eastAsia" w:ascii="宋体" w:hAnsi="宋体" w:eastAsia="宋体" w:cs="宋体"/>
          <w:color w:val="auto"/>
          <w:sz w:val="24"/>
          <w:highlight w:val="none"/>
          <w:u w:val="single"/>
        </w:rPr>
        <w:t xml:space="preserve">  （供应商名称）  </w:t>
      </w:r>
      <w:r>
        <w:rPr>
          <w:rFonts w:hint="eastAsia" w:ascii="宋体" w:hAnsi="宋体" w:eastAsia="宋体" w:cs="宋体"/>
          <w:color w:val="auto"/>
          <w:sz w:val="24"/>
          <w:highlight w:val="none"/>
        </w:rPr>
        <w:t>的（</w:t>
      </w:r>
      <w:r>
        <w:rPr>
          <w:rFonts w:hint="eastAsia" w:ascii="宋体" w:hAnsi="宋体" w:eastAsia="宋体" w:cs="宋体"/>
          <w:color w:val="auto"/>
          <w:sz w:val="24"/>
          <w:highlight w:val="none"/>
          <w:u w:val="single"/>
        </w:rPr>
        <w:t>□法定代表人/□负责人/□自然人本人</w:t>
      </w:r>
      <w:r>
        <w:rPr>
          <w:rFonts w:hint="eastAsia" w:ascii="宋体" w:hAnsi="宋体" w:eastAsia="宋体" w:cs="宋体"/>
          <w:color w:val="auto"/>
          <w:sz w:val="24"/>
          <w:highlight w:val="none"/>
        </w:rPr>
        <w:t>），现授权</w:t>
      </w:r>
      <w:r>
        <w:rPr>
          <w:rFonts w:hint="eastAsia" w:ascii="宋体" w:hAnsi="宋体" w:eastAsia="宋体" w:cs="宋体"/>
          <w:color w:val="auto"/>
          <w:sz w:val="24"/>
          <w:highlight w:val="none"/>
          <w:u w:val="single"/>
        </w:rPr>
        <w:t xml:space="preserve"> （姓名） </w:t>
      </w:r>
      <w:r>
        <w:rPr>
          <w:rFonts w:hint="eastAsia" w:ascii="宋体" w:hAnsi="宋体" w:eastAsia="宋体" w:cs="宋体"/>
          <w:color w:val="auto"/>
          <w:sz w:val="24"/>
          <w:highlight w:val="none"/>
        </w:rPr>
        <w:t>以我方的名义参加</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项目的竞标活动，并代表我方全权办理针对上述项目的所有采购程序和环节的具体事务和签署相关文件。</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我方对委托代理人的签字事项负全部责任。</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本授权书自签署之日起生效，在撤销授权的书面通知以前，本授权书一直有效。委托代理人在授权书有效期内签署的所有文件不因授权的撤销而失效。</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委托代理人无转委托权，特此委托。</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附：法定代表人身份证明书及委托代理人有效身份证正反面复印件</w:t>
      </w: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委托代理人（签字）：         </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 xml:space="preserve">法定代表人（签字或盖章）：                    </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委托代理人身份证号码：                              </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kern w:val="0"/>
          <w:sz w:val="24"/>
          <w:highlight w:val="none"/>
        </w:rPr>
        <w:t>供应商名称（电子签章）：</w:t>
      </w:r>
    </w:p>
    <w:p>
      <w:pPr>
        <w:spacing w:line="360" w:lineRule="auto"/>
        <w:contextualSpacing/>
        <w:jc w:val="center"/>
        <w:rPr>
          <w:rFonts w:hint="eastAsia" w:ascii="宋体" w:hAnsi="宋体" w:eastAsia="宋体" w:cs="宋体"/>
          <w:b/>
          <w:color w:val="auto"/>
          <w:sz w:val="24"/>
          <w:highlight w:val="none"/>
        </w:rPr>
      </w:pPr>
      <w:r>
        <w:rPr>
          <w:rFonts w:hint="eastAsia" w:ascii="宋体" w:hAnsi="宋体" w:eastAsia="宋体" w:cs="宋体"/>
          <w:color w:val="auto"/>
          <w:kern w:val="0"/>
          <w:sz w:val="24"/>
          <w:highlight w:val="none"/>
          <w:lang w:val="zh-CN"/>
        </w:rPr>
        <w:t xml:space="preserve">                                                   日期：  年  月   日</w:t>
      </w: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注：1. 法定代表人必须在授权委托书上亲笔签字或盖章，委托代理人必须在授权委托书上亲笔签字，</w:t>
      </w:r>
      <w:r>
        <w:rPr>
          <w:rFonts w:hint="eastAsia" w:ascii="宋体" w:hAnsi="宋体" w:eastAsia="宋体" w:cs="宋体"/>
          <w:b/>
          <w:color w:val="auto"/>
          <w:sz w:val="24"/>
          <w:highlight w:val="none"/>
        </w:rPr>
        <w:t>否则其响应文件按无效响应处理。</w:t>
      </w:r>
    </w:p>
    <w:p>
      <w:pP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pPr>
        <w:spacing w:line="360" w:lineRule="auto"/>
        <w:ind w:firstLine="480" w:firstLineChars="200"/>
        <w:jc w:val="left"/>
        <w:rPr>
          <w:rFonts w:hint="eastAsia" w:ascii="宋体" w:hAnsi="宋体" w:eastAsia="宋体" w:cs="宋体"/>
          <w:color w:val="auto"/>
          <w:szCs w:val="21"/>
          <w:highlight w:val="none"/>
        </w:rPr>
      </w:pPr>
      <w:r>
        <w:rPr>
          <w:rFonts w:hint="eastAsia" w:ascii="宋体" w:hAnsi="宋体" w:eastAsia="宋体" w:cs="宋体"/>
          <w:color w:val="auto"/>
          <w:sz w:val="24"/>
          <w:highlight w:val="none"/>
        </w:rPr>
        <w:t>3. 法人、其他组织竞标时“我方”是指“我单位”，自然人竞标时“我方”是指“本人”。</w:t>
      </w:r>
    </w:p>
    <w:p>
      <w:pPr>
        <w:spacing w:line="520" w:lineRule="exact"/>
        <w:ind w:firstLine="420" w:firstLineChars="200"/>
        <w:jc w:val="left"/>
        <w:rPr>
          <w:rFonts w:hint="eastAsia" w:ascii="宋体" w:hAnsi="宋体" w:eastAsia="宋体" w:cs="宋体"/>
          <w:b/>
          <w:color w:val="auto"/>
          <w:sz w:val="30"/>
          <w:szCs w:val="30"/>
          <w:highlight w:val="none"/>
        </w:rPr>
      </w:pPr>
      <w:r>
        <w:rPr>
          <w:rFonts w:hint="eastAsia" w:ascii="宋体" w:hAnsi="宋体" w:eastAsia="宋体" w:cs="宋体"/>
          <w:color w:val="auto"/>
          <w:szCs w:val="21"/>
          <w:highlight w:val="none"/>
        </w:rPr>
        <w:br w:type="page"/>
      </w:r>
      <w:r>
        <w:rPr>
          <w:rFonts w:hint="eastAsia" w:ascii="宋体" w:hAnsi="宋体" w:eastAsia="宋体" w:cs="宋体"/>
          <w:b/>
          <w:color w:val="auto"/>
          <w:sz w:val="30"/>
          <w:szCs w:val="30"/>
          <w:highlight w:val="none"/>
        </w:rPr>
        <w:t>四、商务条款偏离表</w:t>
      </w:r>
    </w:p>
    <w:p>
      <w:pPr>
        <w:spacing w:line="500" w:lineRule="exact"/>
        <w:jc w:val="center"/>
        <w:rPr>
          <w:rFonts w:hint="eastAsia" w:ascii="宋体" w:hAnsi="宋体" w:eastAsia="宋体" w:cs="宋体"/>
          <w:bCs/>
          <w:color w:val="auto"/>
          <w:sz w:val="44"/>
          <w:szCs w:val="44"/>
          <w:highlight w:val="none"/>
        </w:rPr>
      </w:pPr>
      <w:r>
        <w:rPr>
          <w:rFonts w:hint="eastAsia" w:ascii="宋体" w:hAnsi="宋体" w:eastAsia="宋体" w:cs="宋体"/>
          <w:bCs/>
          <w:color w:val="auto"/>
          <w:sz w:val="44"/>
          <w:szCs w:val="44"/>
          <w:highlight w:val="none"/>
        </w:rPr>
        <w:t>商务条款偏离表</w:t>
      </w:r>
    </w:p>
    <w:p>
      <w:pPr>
        <w:spacing w:line="520" w:lineRule="exact"/>
        <w:rPr>
          <w:rFonts w:hint="eastAsia" w:ascii="宋体" w:hAnsi="宋体" w:eastAsia="宋体" w:cs="宋体"/>
          <w:color w:val="auto"/>
          <w:sz w:val="32"/>
          <w:szCs w:val="32"/>
          <w:highlight w:val="none"/>
        </w:rPr>
      </w:pPr>
    </w:p>
    <w:p>
      <w:pPr>
        <w:spacing w:line="360" w:lineRule="auto"/>
        <w:contextualSpacing/>
        <w:rPr>
          <w:rFonts w:hint="eastAsia" w:ascii="宋体" w:hAnsi="宋体" w:eastAsia="宋体" w:cs="宋体"/>
          <w:color w:val="auto"/>
          <w:sz w:val="24"/>
          <w:highlight w:val="none"/>
          <w:u w:val="single"/>
          <w:lang w:eastAsia="zh-CN"/>
        </w:rPr>
      </w:pPr>
      <w:r>
        <w:rPr>
          <w:rFonts w:hint="eastAsia" w:ascii="宋体" w:hAnsi="宋体" w:eastAsia="宋体" w:cs="宋体"/>
          <w:color w:val="auto"/>
          <w:sz w:val="24"/>
          <w:highlight w:val="none"/>
        </w:rPr>
        <w:t>采购</w:t>
      </w:r>
      <w:r>
        <w:rPr>
          <w:rFonts w:hint="eastAsia" w:ascii="宋体" w:hAnsi="宋体" w:eastAsia="宋体" w:cs="宋体"/>
          <w:color w:val="auto"/>
          <w:sz w:val="24"/>
          <w:highlight w:val="none"/>
          <w:lang w:eastAsia="zh-CN"/>
        </w:rPr>
        <w:t xml:space="preserve">项目编号：    </w:t>
      </w:r>
    </w:p>
    <w:p>
      <w:pPr>
        <w:spacing w:line="360" w:lineRule="auto"/>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采购项目名称：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p>
    <w:p>
      <w:pPr>
        <w:spacing w:line="360" w:lineRule="auto"/>
        <w:contextualSpacing/>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分标号</w:t>
      </w:r>
      <w:r>
        <w:rPr>
          <w:rFonts w:hint="eastAsia" w:ascii="宋体" w:hAnsi="宋体" w:eastAsia="宋体" w:cs="宋体"/>
          <w:color w:val="auto"/>
          <w:szCs w:val="21"/>
          <w:highlight w:val="none"/>
        </w:rPr>
        <w:t>（此处有分标时填写具体分标号，无分标时填写“无”）</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w:t>
      </w:r>
    </w:p>
    <w:tbl>
      <w:tblPr>
        <w:tblStyle w:val="28"/>
        <w:tblpPr w:leftFromText="180" w:rightFromText="180" w:vertAnchor="text" w:horzAnchor="margin" w:tblpXSpec="center" w:tblpY="94"/>
        <w:tblW w:w="94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3"/>
        <w:gridCol w:w="4054"/>
        <w:gridCol w:w="3589"/>
        <w:gridCol w:w="1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7" w:hRule="atLeast"/>
        </w:trPr>
        <w:tc>
          <w:tcPr>
            <w:tcW w:w="563" w:type="dxa"/>
            <w:tcBorders>
              <w:top w:val="single" w:color="auto" w:sz="4" w:space="0"/>
              <w:left w:val="single" w:color="auto" w:sz="4" w:space="0"/>
              <w:bottom w:val="single" w:color="auto" w:sz="4" w:space="0"/>
              <w:right w:val="single" w:color="auto" w:sz="4" w:space="0"/>
            </w:tcBorders>
            <w:noWrap w:val="0"/>
            <w:vAlign w:val="center"/>
          </w:tcPr>
          <w:p>
            <w:pPr>
              <w:spacing w:line="3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项号</w:t>
            </w:r>
          </w:p>
        </w:tc>
        <w:tc>
          <w:tcPr>
            <w:tcW w:w="4054" w:type="dxa"/>
            <w:tcBorders>
              <w:top w:val="single" w:color="auto" w:sz="4" w:space="0"/>
              <w:left w:val="single" w:color="auto" w:sz="4" w:space="0"/>
              <w:bottom w:val="single" w:color="auto" w:sz="4" w:space="0"/>
              <w:right w:val="single" w:color="auto" w:sz="4" w:space="0"/>
            </w:tcBorders>
            <w:noWrap w:val="0"/>
            <w:vAlign w:val="center"/>
          </w:tcPr>
          <w:p>
            <w:pPr>
              <w:spacing w:line="3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竞争性磋商采购文件的商务需求</w:t>
            </w:r>
          </w:p>
        </w:tc>
        <w:tc>
          <w:tcPr>
            <w:tcW w:w="3589" w:type="dxa"/>
            <w:tcBorders>
              <w:top w:val="single" w:color="auto" w:sz="4" w:space="0"/>
              <w:left w:val="single" w:color="auto" w:sz="4" w:space="0"/>
              <w:bottom w:val="single" w:color="auto" w:sz="4" w:space="0"/>
              <w:right w:val="single" w:color="auto" w:sz="4" w:space="0"/>
            </w:tcBorders>
            <w:noWrap w:val="0"/>
            <w:vAlign w:val="center"/>
          </w:tcPr>
          <w:p>
            <w:pPr>
              <w:spacing w:line="3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响应文件承诺的商务条款</w:t>
            </w:r>
          </w:p>
        </w:tc>
        <w:tc>
          <w:tcPr>
            <w:tcW w:w="1274" w:type="dxa"/>
            <w:tcBorders>
              <w:top w:val="single" w:color="auto" w:sz="4" w:space="0"/>
              <w:left w:val="single" w:color="auto" w:sz="4" w:space="0"/>
              <w:bottom w:val="single" w:color="auto" w:sz="4" w:space="0"/>
              <w:right w:val="single" w:color="auto" w:sz="4" w:space="0"/>
            </w:tcBorders>
            <w:noWrap w:val="0"/>
            <w:vAlign w:val="center"/>
          </w:tcPr>
          <w:p>
            <w:pPr>
              <w:spacing w:line="3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0" w:hRule="atLeast"/>
        </w:trPr>
        <w:tc>
          <w:tcPr>
            <w:tcW w:w="563" w:type="dxa"/>
            <w:tcBorders>
              <w:top w:val="single" w:color="auto" w:sz="4" w:space="0"/>
              <w:left w:val="single" w:color="auto" w:sz="4" w:space="0"/>
              <w:bottom w:val="single" w:color="auto" w:sz="4" w:space="0"/>
              <w:right w:val="single" w:color="auto" w:sz="4" w:space="0"/>
            </w:tcBorders>
            <w:noWrap w:val="0"/>
            <w:vAlign w:val="top"/>
          </w:tcPr>
          <w:p>
            <w:pPr>
              <w:spacing w:line="34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一</w:t>
            </w:r>
          </w:p>
        </w:tc>
        <w:tc>
          <w:tcPr>
            <w:tcW w:w="4054" w:type="dxa"/>
            <w:tcBorders>
              <w:top w:val="single" w:color="auto" w:sz="4" w:space="0"/>
              <w:left w:val="single" w:color="auto" w:sz="4" w:space="0"/>
              <w:bottom w:val="single" w:color="auto" w:sz="4" w:space="0"/>
              <w:right w:val="single" w:color="auto" w:sz="4" w:space="0"/>
            </w:tcBorders>
            <w:noWrap w:val="0"/>
            <w:vAlign w:val="top"/>
          </w:tcPr>
          <w:p>
            <w:pPr>
              <w:spacing w:line="34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pPr>
              <w:spacing w:line="34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pPr>
              <w:spacing w:line="34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pPr>
              <w:spacing w:line="34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3589" w:type="dxa"/>
            <w:tcBorders>
              <w:top w:val="single" w:color="auto" w:sz="4" w:space="0"/>
              <w:left w:val="single" w:color="auto" w:sz="4" w:space="0"/>
              <w:bottom w:val="single" w:color="auto" w:sz="4" w:space="0"/>
              <w:right w:val="single" w:color="auto" w:sz="4" w:space="0"/>
            </w:tcBorders>
            <w:noWrap w:val="0"/>
            <w:vAlign w:val="top"/>
          </w:tcPr>
          <w:p>
            <w:pPr>
              <w:spacing w:line="34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pPr>
              <w:spacing w:line="34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pPr>
              <w:spacing w:line="34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pPr>
              <w:spacing w:line="34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274" w:type="dxa"/>
            <w:tcBorders>
              <w:top w:val="single" w:color="auto" w:sz="4" w:space="0"/>
              <w:left w:val="single" w:color="auto" w:sz="4" w:space="0"/>
              <w:bottom w:val="single" w:color="auto" w:sz="4" w:space="0"/>
              <w:right w:val="single" w:color="auto" w:sz="4" w:space="0"/>
            </w:tcBorders>
            <w:noWrap w:val="0"/>
            <w:vAlign w:val="top"/>
          </w:tcPr>
          <w:p>
            <w:pPr>
              <w:spacing w:line="300" w:lineRule="exact"/>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0" w:hRule="atLeast"/>
        </w:trPr>
        <w:tc>
          <w:tcPr>
            <w:tcW w:w="563" w:type="dxa"/>
            <w:tcBorders>
              <w:top w:val="single" w:color="auto" w:sz="4" w:space="0"/>
              <w:left w:val="single" w:color="auto" w:sz="4" w:space="0"/>
              <w:bottom w:val="single" w:color="auto" w:sz="4" w:space="0"/>
              <w:right w:val="single" w:color="auto" w:sz="4" w:space="0"/>
            </w:tcBorders>
            <w:noWrap w:val="0"/>
            <w:vAlign w:val="top"/>
          </w:tcPr>
          <w:p>
            <w:pPr>
              <w:spacing w:line="34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二</w:t>
            </w:r>
          </w:p>
        </w:tc>
        <w:tc>
          <w:tcPr>
            <w:tcW w:w="4054" w:type="dxa"/>
            <w:tcBorders>
              <w:top w:val="single" w:color="auto" w:sz="4" w:space="0"/>
              <w:left w:val="single" w:color="auto" w:sz="4" w:space="0"/>
              <w:bottom w:val="single" w:color="auto" w:sz="4" w:space="0"/>
              <w:right w:val="single" w:color="auto" w:sz="4" w:space="0"/>
            </w:tcBorders>
            <w:noWrap w:val="0"/>
            <w:vAlign w:val="top"/>
          </w:tcPr>
          <w:p>
            <w:pPr>
              <w:spacing w:line="34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pPr>
              <w:spacing w:line="34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pPr>
              <w:spacing w:line="34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pPr>
              <w:spacing w:line="34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3589" w:type="dxa"/>
            <w:tcBorders>
              <w:top w:val="single" w:color="auto" w:sz="4" w:space="0"/>
              <w:left w:val="single" w:color="auto" w:sz="4" w:space="0"/>
              <w:bottom w:val="single" w:color="auto" w:sz="4" w:space="0"/>
              <w:right w:val="single" w:color="auto" w:sz="4" w:space="0"/>
            </w:tcBorders>
            <w:noWrap w:val="0"/>
            <w:vAlign w:val="top"/>
          </w:tcPr>
          <w:p>
            <w:pPr>
              <w:spacing w:line="34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pPr>
              <w:spacing w:line="34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pPr>
              <w:spacing w:line="34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pPr>
              <w:spacing w:line="34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274" w:type="dxa"/>
            <w:tcBorders>
              <w:top w:val="single" w:color="auto" w:sz="4" w:space="0"/>
              <w:left w:val="single" w:color="auto" w:sz="4" w:space="0"/>
              <w:bottom w:val="single" w:color="auto" w:sz="4" w:space="0"/>
              <w:right w:val="single" w:color="auto" w:sz="4" w:space="0"/>
            </w:tcBorders>
            <w:noWrap w:val="0"/>
            <w:vAlign w:val="top"/>
          </w:tcPr>
          <w:p>
            <w:pPr>
              <w:spacing w:line="300" w:lineRule="exact"/>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59" w:hRule="atLeast"/>
        </w:trPr>
        <w:tc>
          <w:tcPr>
            <w:tcW w:w="563" w:type="dxa"/>
            <w:tcBorders>
              <w:top w:val="single" w:color="auto" w:sz="4" w:space="0"/>
              <w:left w:val="single" w:color="auto" w:sz="4" w:space="0"/>
              <w:bottom w:val="single" w:color="auto" w:sz="4" w:space="0"/>
              <w:right w:val="single" w:color="auto" w:sz="4" w:space="0"/>
            </w:tcBorders>
            <w:noWrap w:val="0"/>
            <w:vAlign w:val="top"/>
          </w:tcPr>
          <w:p>
            <w:pPr>
              <w:spacing w:line="34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4054" w:type="dxa"/>
            <w:tcBorders>
              <w:top w:val="single" w:color="auto" w:sz="4" w:space="0"/>
              <w:left w:val="single" w:color="auto" w:sz="4" w:space="0"/>
              <w:bottom w:val="single" w:color="auto" w:sz="4" w:space="0"/>
              <w:right w:val="single" w:color="auto" w:sz="4" w:space="0"/>
            </w:tcBorders>
            <w:noWrap w:val="0"/>
            <w:vAlign w:val="top"/>
          </w:tcPr>
          <w:p>
            <w:pPr>
              <w:spacing w:line="34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pPr>
              <w:spacing w:line="34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pPr>
              <w:spacing w:line="34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pPr>
              <w:spacing w:line="34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3589" w:type="dxa"/>
            <w:tcBorders>
              <w:top w:val="single" w:color="auto" w:sz="4" w:space="0"/>
              <w:left w:val="single" w:color="auto" w:sz="4" w:space="0"/>
              <w:bottom w:val="single" w:color="auto" w:sz="4" w:space="0"/>
              <w:right w:val="single" w:color="auto" w:sz="4" w:space="0"/>
            </w:tcBorders>
            <w:noWrap w:val="0"/>
            <w:vAlign w:val="top"/>
          </w:tcPr>
          <w:p>
            <w:pPr>
              <w:spacing w:line="34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pPr>
              <w:spacing w:line="34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pPr>
              <w:spacing w:line="34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pPr>
              <w:spacing w:line="34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274" w:type="dxa"/>
            <w:tcBorders>
              <w:top w:val="single" w:color="auto" w:sz="4" w:space="0"/>
              <w:left w:val="single" w:color="auto" w:sz="4" w:space="0"/>
              <w:bottom w:val="single" w:color="auto" w:sz="4" w:space="0"/>
              <w:right w:val="single" w:color="auto" w:sz="4" w:space="0"/>
            </w:tcBorders>
            <w:noWrap w:val="0"/>
            <w:vAlign w:val="top"/>
          </w:tcPr>
          <w:p>
            <w:pPr>
              <w:spacing w:line="300" w:lineRule="exact"/>
              <w:rPr>
                <w:rFonts w:hint="eastAsia" w:ascii="宋体" w:hAnsi="宋体" w:eastAsia="宋体" w:cs="宋体"/>
                <w:color w:val="auto"/>
                <w:szCs w:val="21"/>
                <w:highlight w:val="none"/>
              </w:rPr>
            </w:pPr>
          </w:p>
        </w:tc>
      </w:tr>
    </w:tbl>
    <w:p>
      <w:pPr>
        <w:pStyle w:val="13"/>
        <w:spacing w:line="400" w:lineRule="exact"/>
        <w:ind w:firstLine="845"/>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w:t>
      </w:r>
    </w:p>
    <w:p>
      <w:pPr>
        <w:pStyle w:val="13"/>
        <w:spacing w:line="400" w:lineRule="exact"/>
        <w:ind w:firstLine="845"/>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1.说明：应对照磋商文件“第</w:t>
      </w:r>
      <w:r>
        <w:rPr>
          <w:rFonts w:hint="eastAsia" w:ascii="宋体" w:hAnsi="宋体" w:eastAsia="宋体" w:cs="宋体"/>
          <w:color w:val="auto"/>
          <w:sz w:val="24"/>
          <w:szCs w:val="24"/>
          <w:highlight w:val="none"/>
          <w:lang w:eastAsia="zh-CN"/>
        </w:rPr>
        <w:t>二</w:t>
      </w:r>
      <w:r>
        <w:rPr>
          <w:rFonts w:hint="eastAsia" w:ascii="宋体" w:hAnsi="宋体" w:eastAsia="宋体" w:cs="宋体"/>
          <w:color w:val="auto"/>
          <w:sz w:val="24"/>
          <w:szCs w:val="24"/>
          <w:highlight w:val="none"/>
        </w:rPr>
        <w:t>章 采购需求”中的</w:t>
      </w:r>
      <w:r>
        <w:rPr>
          <w:rFonts w:hint="eastAsia" w:ascii="宋体" w:hAnsi="宋体" w:eastAsia="宋体" w:cs="宋体"/>
          <w:color w:val="auto"/>
          <w:sz w:val="24"/>
          <w:szCs w:val="24"/>
          <w:highlight w:val="none"/>
          <w:lang w:eastAsia="zh-CN"/>
        </w:rPr>
        <w:t>商务条款</w:t>
      </w:r>
      <w:r>
        <w:rPr>
          <w:rFonts w:hint="eastAsia" w:ascii="宋体" w:hAnsi="宋体" w:eastAsia="宋体" w:cs="宋体"/>
          <w:color w:val="auto"/>
          <w:sz w:val="24"/>
          <w:szCs w:val="24"/>
          <w:highlight w:val="none"/>
        </w:rPr>
        <w:t>逐条作出明确响应，并作出偏离说明。</w:t>
      </w:r>
    </w:p>
    <w:p>
      <w:pPr>
        <w:pStyle w:val="13"/>
        <w:spacing w:line="400" w:lineRule="exact"/>
        <w:ind w:firstLine="845"/>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2.供应商应根据自身的承诺，对照磋商文件要求，在“偏离说明”中注明“正偏离”、“负偏离”或者“无偏离”。既不属于“正偏离”也不属于“负偏离”即为“无偏离”。 当响应文件的商务内容低于竞争性磋商采购文件要求时，竞标人应当如实写明“负偏离”，否则视为虚假应标</w:t>
      </w:r>
    </w:p>
    <w:p>
      <w:pPr>
        <w:spacing w:line="400" w:lineRule="exac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3.表格内容均需按要求填写，不得留空，否则按竞标无效处理。</w:t>
      </w:r>
    </w:p>
    <w:p>
      <w:pPr>
        <w:pStyle w:val="16"/>
        <w:spacing w:line="400" w:lineRule="exact"/>
        <w:contextualSpacing/>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lang w:eastAsia="zh-CN"/>
        </w:rPr>
        <w:t>4.</w:t>
      </w:r>
      <w:r>
        <w:rPr>
          <w:rFonts w:hint="eastAsia" w:ascii="宋体" w:hAnsi="宋体" w:eastAsia="宋体" w:cs="宋体"/>
          <w:color w:val="auto"/>
          <w:sz w:val="24"/>
          <w:szCs w:val="24"/>
          <w:highlight w:val="none"/>
        </w:rPr>
        <w:t>如果采购需求为小于、小于等于、大于或大于等于某个数值标准时，响应文件承诺不得直接复制采购需求，响应文件承诺内容应当写明竞标货物具体参数或商务响应承诺的具体数值，否则按竞标无效处理。如该采购需求属于不能明确具体数值的，采购人应在此采购需求的数值后标注◆号，对标注◆号的采购需求不适用上述“竞标无效”条款。</w:t>
      </w:r>
    </w:p>
    <w:p>
      <w:pPr>
        <w:spacing w:line="360" w:lineRule="auto"/>
        <w:ind w:firstLine="3840" w:firstLineChars="160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供应商名称（电子签章）：</w:t>
      </w:r>
    </w:p>
    <w:p>
      <w:pPr>
        <w:spacing w:line="360" w:lineRule="auto"/>
        <w:contextualSpacing/>
        <w:jc w:val="center"/>
        <w:rPr>
          <w:rFonts w:hint="eastAsia" w:ascii="宋体" w:hAnsi="宋体" w:eastAsia="宋体" w:cs="宋体"/>
          <w:b/>
          <w:color w:val="auto"/>
          <w:sz w:val="24"/>
          <w:highlight w:val="none"/>
        </w:rPr>
      </w:pPr>
      <w:r>
        <w:rPr>
          <w:rFonts w:hint="eastAsia" w:ascii="宋体" w:hAnsi="宋体" w:eastAsia="宋体" w:cs="宋体"/>
          <w:color w:val="auto"/>
          <w:kern w:val="0"/>
          <w:sz w:val="24"/>
          <w:highlight w:val="none"/>
          <w:lang w:val="zh-CN"/>
        </w:rPr>
        <w:t xml:space="preserve">                                                   日期：  年  月   日</w:t>
      </w:r>
    </w:p>
    <w:p>
      <w:pPr>
        <w:snapToGrid w:val="0"/>
        <w:spacing w:line="360" w:lineRule="auto"/>
        <w:ind w:firstLine="602" w:firstLineChars="200"/>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rPr>
        <w:t>五、竞标人情况介绍</w:t>
      </w:r>
    </w:p>
    <w:p>
      <w:pPr>
        <w:snapToGrid w:val="0"/>
        <w:spacing w:line="360" w:lineRule="auto"/>
        <w:ind w:firstLine="602" w:firstLineChars="200"/>
        <w:rPr>
          <w:rFonts w:hint="eastAsia" w:ascii="宋体" w:hAnsi="宋体" w:eastAsia="宋体" w:cs="宋体"/>
          <w:b/>
          <w:color w:val="auto"/>
          <w:sz w:val="30"/>
          <w:szCs w:val="30"/>
          <w:highlight w:val="none"/>
        </w:rPr>
      </w:pPr>
    </w:p>
    <w:p>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pPr>
        <w:autoSpaceDE w:val="0"/>
        <w:autoSpaceDN w:val="0"/>
        <w:spacing w:line="360" w:lineRule="auto"/>
        <w:ind w:firstLine="6480" w:firstLineChars="2700"/>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lang w:val="zh-CN"/>
        </w:rPr>
        <w:t>日期：  年  月   日</w:t>
      </w:r>
    </w:p>
    <w:p>
      <w:pPr>
        <w:snapToGrid w:val="0"/>
        <w:spacing w:before="120" w:beforeLines="50" w:after="50"/>
        <w:ind w:firstLine="602" w:firstLineChars="200"/>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rPr>
        <w:t>六、供应商类似的业绩证明文件</w:t>
      </w:r>
    </w:p>
    <w:p>
      <w:pPr>
        <w:pStyle w:val="22"/>
        <w:snapToGrid w:val="0"/>
        <w:ind w:left="480" w:hanging="480"/>
        <w:rPr>
          <w:rFonts w:hint="eastAsia" w:ascii="宋体" w:hAnsi="宋体" w:eastAsia="宋体" w:cs="宋体"/>
          <w:color w:val="auto"/>
          <w:sz w:val="24"/>
          <w:highlight w:val="none"/>
        </w:rPr>
      </w:pPr>
    </w:p>
    <w:tbl>
      <w:tblPr>
        <w:tblStyle w:val="28"/>
        <w:tblpPr w:leftFromText="180" w:rightFromText="180" w:vertAnchor="page" w:horzAnchor="margin" w:tblpXSpec="center" w:tblpY="4783"/>
        <w:tblW w:w="9069" w:type="dxa"/>
        <w:tblInd w:w="-49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267"/>
        <w:gridCol w:w="1996"/>
        <w:gridCol w:w="1326"/>
        <w:gridCol w:w="1981"/>
        <w:gridCol w:w="149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1526" w:hRule="atLeast"/>
        </w:trPr>
        <w:tc>
          <w:tcPr>
            <w:tcW w:w="22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420" w:lineRule="exact"/>
              <w:jc w:val="center"/>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采购人名称</w:t>
            </w:r>
          </w:p>
        </w:tc>
        <w:tc>
          <w:tcPr>
            <w:tcW w:w="199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420" w:lineRule="exact"/>
              <w:jc w:val="center"/>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项目名称</w:t>
            </w:r>
          </w:p>
        </w:tc>
        <w:tc>
          <w:tcPr>
            <w:tcW w:w="132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420" w:lineRule="exact"/>
              <w:jc w:val="center"/>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合同</w:t>
            </w:r>
          </w:p>
          <w:p>
            <w:pPr>
              <w:keepNext w:val="0"/>
              <w:keepLines w:val="0"/>
              <w:pageBreakBefore w:val="0"/>
              <w:widowControl w:val="0"/>
              <w:kinsoku/>
              <w:wordWrap/>
              <w:overflowPunct/>
              <w:topLinePunct w:val="0"/>
              <w:autoSpaceDE/>
              <w:autoSpaceDN/>
              <w:bidi w:val="0"/>
              <w:adjustRightInd/>
              <w:snapToGrid w:val="0"/>
              <w:spacing w:line="420" w:lineRule="exact"/>
              <w:jc w:val="center"/>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金额</w:t>
            </w:r>
          </w:p>
          <w:p>
            <w:pPr>
              <w:keepNext w:val="0"/>
              <w:keepLines w:val="0"/>
              <w:pageBreakBefore w:val="0"/>
              <w:widowControl w:val="0"/>
              <w:kinsoku/>
              <w:wordWrap/>
              <w:overflowPunct/>
              <w:topLinePunct w:val="0"/>
              <w:autoSpaceDE/>
              <w:autoSpaceDN/>
              <w:bidi w:val="0"/>
              <w:adjustRightInd/>
              <w:snapToGrid w:val="0"/>
              <w:spacing w:line="420" w:lineRule="exact"/>
              <w:jc w:val="center"/>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（万元）</w:t>
            </w:r>
          </w:p>
        </w:tc>
        <w:tc>
          <w:tcPr>
            <w:tcW w:w="19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420" w:lineRule="exact"/>
              <w:jc w:val="center"/>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中标（成交）通知书或合同复印件在响应文件中页码</w:t>
            </w:r>
          </w:p>
        </w:tc>
        <w:tc>
          <w:tcPr>
            <w:tcW w:w="14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420" w:lineRule="exact"/>
              <w:jc w:val="center"/>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采购人联系人及联系电话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77" w:hRule="atLeast"/>
        </w:trPr>
        <w:tc>
          <w:tcPr>
            <w:tcW w:w="2267" w:type="dxa"/>
            <w:tcBorders>
              <w:top w:val="single" w:color="auto" w:sz="4" w:space="0"/>
              <w:left w:val="single" w:color="auto" w:sz="4" w:space="0"/>
              <w:bottom w:val="single" w:color="auto" w:sz="4" w:space="0"/>
              <w:right w:val="single" w:color="auto" w:sz="4" w:space="0"/>
            </w:tcBorders>
            <w:noWrap w:val="0"/>
            <w:vAlign w:val="top"/>
          </w:tcPr>
          <w:p>
            <w:pPr>
              <w:snapToGrid w:val="0"/>
              <w:spacing w:line="240" w:lineRule="exact"/>
              <w:jc w:val="left"/>
              <w:rPr>
                <w:rFonts w:hint="eastAsia" w:ascii="宋体" w:hAnsi="宋体" w:eastAsia="宋体" w:cs="宋体"/>
                <w:color w:val="auto"/>
                <w:sz w:val="24"/>
                <w:highlight w:val="none"/>
              </w:rPr>
            </w:pPr>
          </w:p>
        </w:tc>
        <w:tc>
          <w:tcPr>
            <w:tcW w:w="1996" w:type="dxa"/>
            <w:tcBorders>
              <w:top w:val="single" w:color="auto" w:sz="4" w:space="0"/>
              <w:left w:val="single" w:color="auto" w:sz="4" w:space="0"/>
              <w:bottom w:val="single" w:color="auto" w:sz="4" w:space="0"/>
              <w:right w:val="single" w:color="auto" w:sz="4" w:space="0"/>
            </w:tcBorders>
            <w:noWrap w:val="0"/>
            <w:vAlign w:val="top"/>
          </w:tcPr>
          <w:p>
            <w:pPr>
              <w:snapToGrid w:val="0"/>
              <w:spacing w:line="240" w:lineRule="exact"/>
              <w:jc w:val="left"/>
              <w:rPr>
                <w:rFonts w:hint="eastAsia" w:ascii="宋体" w:hAnsi="宋体" w:eastAsia="宋体" w:cs="宋体"/>
                <w:color w:val="auto"/>
                <w:sz w:val="24"/>
                <w:highlight w:val="none"/>
              </w:rPr>
            </w:pPr>
          </w:p>
        </w:tc>
        <w:tc>
          <w:tcPr>
            <w:tcW w:w="1326" w:type="dxa"/>
            <w:tcBorders>
              <w:top w:val="single" w:color="auto" w:sz="4" w:space="0"/>
              <w:left w:val="single" w:color="auto" w:sz="4" w:space="0"/>
              <w:bottom w:val="single" w:color="auto" w:sz="4" w:space="0"/>
              <w:right w:val="single" w:color="auto" w:sz="4" w:space="0"/>
            </w:tcBorders>
            <w:noWrap w:val="0"/>
            <w:vAlign w:val="top"/>
          </w:tcPr>
          <w:p>
            <w:pPr>
              <w:snapToGrid w:val="0"/>
              <w:spacing w:line="240" w:lineRule="exact"/>
              <w:jc w:val="left"/>
              <w:rPr>
                <w:rFonts w:hint="eastAsia" w:ascii="宋体" w:hAnsi="宋体" w:eastAsia="宋体" w:cs="宋体"/>
                <w:color w:val="auto"/>
                <w:sz w:val="24"/>
                <w:highlight w:val="none"/>
              </w:rPr>
            </w:pPr>
          </w:p>
        </w:tc>
        <w:tc>
          <w:tcPr>
            <w:tcW w:w="1981" w:type="dxa"/>
            <w:tcBorders>
              <w:top w:val="single" w:color="auto" w:sz="4" w:space="0"/>
              <w:left w:val="single" w:color="auto" w:sz="4" w:space="0"/>
              <w:bottom w:val="single" w:color="auto" w:sz="4" w:space="0"/>
              <w:right w:val="single" w:color="auto" w:sz="4" w:space="0"/>
            </w:tcBorders>
            <w:noWrap w:val="0"/>
            <w:vAlign w:val="top"/>
          </w:tcPr>
          <w:p>
            <w:pPr>
              <w:snapToGrid w:val="0"/>
              <w:spacing w:line="240" w:lineRule="exact"/>
              <w:jc w:val="left"/>
              <w:rPr>
                <w:rFonts w:hint="eastAsia" w:ascii="宋体" w:hAnsi="宋体" w:eastAsia="宋体" w:cs="宋体"/>
                <w:color w:val="auto"/>
                <w:sz w:val="24"/>
                <w:highlight w:val="none"/>
              </w:rPr>
            </w:pPr>
          </w:p>
        </w:tc>
        <w:tc>
          <w:tcPr>
            <w:tcW w:w="1499" w:type="dxa"/>
            <w:tcBorders>
              <w:top w:val="single" w:color="auto" w:sz="4" w:space="0"/>
              <w:left w:val="single" w:color="auto" w:sz="4" w:space="0"/>
              <w:bottom w:val="single" w:color="auto" w:sz="4" w:space="0"/>
              <w:right w:val="single" w:color="auto" w:sz="4" w:space="0"/>
            </w:tcBorders>
            <w:noWrap w:val="0"/>
            <w:vAlign w:val="top"/>
          </w:tcPr>
          <w:p>
            <w:pPr>
              <w:snapToGrid w:val="0"/>
              <w:spacing w:line="240" w:lineRule="exact"/>
              <w:jc w:val="left"/>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96" w:hRule="atLeast"/>
        </w:trPr>
        <w:tc>
          <w:tcPr>
            <w:tcW w:w="2267"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line="400" w:lineRule="exact"/>
              <w:jc w:val="left"/>
              <w:rPr>
                <w:rFonts w:hint="eastAsia" w:ascii="宋体" w:hAnsi="宋体" w:eastAsia="宋体" w:cs="宋体"/>
                <w:color w:val="auto"/>
                <w:sz w:val="24"/>
                <w:highlight w:val="none"/>
              </w:rPr>
            </w:pPr>
          </w:p>
        </w:tc>
        <w:tc>
          <w:tcPr>
            <w:tcW w:w="1996"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line="400" w:lineRule="exact"/>
              <w:jc w:val="left"/>
              <w:rPr>
                <w:rFonts w:hint="eastAsia" w:ascii="宋体" w:hAnsi="宋体" w:eastAsia="宋体" w:cs="宋体"/>
                <w:color w:val="auto"/>
                <w:sz w:val="24"/>
                <w:highlight w:val="none"/>
              </w:rPr>
            </w:pPr>
          </w:p>
        </w:tc>
        <w:tc>
          <w:tcPr>
            <w:tcW w:w="1326"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line="400" w:lineRule="exact"/>
              <w:jc w:val="left"/>
              <w:rPr>
                <w:rFonts w:hint="eastAsia" w:ascii="宋体" w:hAnsi="宋体" w:eastAsia="宋体" w:cs="宋体"/>
                <w:color w:val="auto"/>
                <w:sz w:val="24"/>
                <w:highlight w:val="none"/>
              </w:rPr>
            </w:pPr>
          </w:p>
        </w:tc>
        <w:tc>
          <w:tcPr>
            <w:tcW w:w="1981"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line="400" w:lineRule="exact"/>
              <w:jc w:val="left"/>
              <w:rPr>
                <w:rFonts w:hint="eastAsia" w:ascii="宋体" w:hAnsi="宋体" w:eastAsia="宋体" w:cs="宋体"/>
                <w:color w:val="auto"/>
                <w:sz w:val="24"/>
                <w:highlight w:val="none"/>
              </w:rPr>
            </w:pPr>
          </w:p>
        </w:tc>
        <w:tc>
          <w:tcPr>
            <w:tcW w:w="1499"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line="400" w:lineRule="exact"/>
              <w:jc w:val="left"/>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740" w:hRule="atLeast"/>
        </w:trPr>
        <w:tc>
          <w:tcPr>
            <w:tcW w:w="2267"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line="400" w:lineRule="exact"/>
              <w:jc w:val="left"/>
              <w:rPr>
                <w:rFonts w:hint="eastAsia" w:ascii="宋体" w:hAnsi="宋体" w:eastAsia="宋体" w:cs="宋体"/>
                <w:color w:val="auto"/>
                <w:sz w:val="24"/>
                <w:highlight w:val="none"/>
              </w:rPr>
            </w:pPr>
          </w:p>
        </w:tc>
        <w:tc>
          <w:tcPr>
            <w:tcW w:w="1996"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line="400" w:lineRule="exact"/>
              <w:jc w:val="left"/>
              <w:rPr>
                <w:rFonts w:hint="eastAsia" w:ascii="宋体" w:hAnsi="宋体" w:eastAsia="宋体" w:cs="宋体"/>
                <w:color w:val="auto"/>
                <w:sz w:val="24"/>
                <w:highlight w:val="none"/>
              </w:rPr>
            </w:pPr>
          </w:p>
        </w:tc>
        <w:tc>
          <w:tcPr>
            <w:tcW w:w="1326"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line="400" w:lineRule="exact"/>
              <w:jc w:val="left"/>
              <w:rPr>
                <w:rFonts w:hint="eastAsia" w:ascii="宋体" w:hAnsi="宋体" w:eastAsia="宋体" w:cs="宋体"/>
                <w:color w:val="auto"/>
                <w:sz w:val="24"/>
                <w:highlight w:val="none"/>
              </w:rPr>
            </w:pPr>
          </w:p>
        </w:tc>
        <w:tc>
          <w:tcPr>
            <w:tcW w:w="1981"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line="400" w:lineRule="exact"/>
              <w:jc w:val="left"/>
              <w:rPr>
                <w:rFonts w:hint="eastAsia" w:ascii="宋体" w:hAnsi="宋体" w:eastAsia="宋体" w:cs="宋体"/>
                <w:color w:val="auto"/>
                <w:sz w:val="24"/>
                <w:highlight w:val="none"/>
              </w:rPr>
            </w:pPr>
          </w:p>
        </w:tc>
        <w:tc>
          <w:tcPr>
            <w:tcW w:w="1499"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line="400" w:lineRule="exact"/>
              <w:jc w:val="left"/>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96" w:hRule="atLeast"/>
        </w:trPr>
        <w:tc>
          <w:tcPr>
            <w:tcW w:w="2267"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line="400" w:lineRule="exact"/>
              <w:jc w:val="left"/>
              <w:rPr>
                <w:rFonts w:hint="eastAsia" w:ascii="宋体" w:hAnsi="宋体" w:eastAsia="宋体" w:cs="宋体"/>
                <w:color w:val="auto"/>
                <w:sz w:val="24"/>
                <w:highlight w:val="none"/>
              </w:rPr>
            </w:pPr>
          </w:p>
        </w:tc>
        <w:tc>
          <w:tcPr>
            <w:tcW w:w="1996"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line="400" w:lineRule="exact"/>
              <w:jc w:val="left"/>
              <w:rPr>
                <w:rFonts w:hint="eastAsia" w:ascii="宋体" w:hAnsi="宋体" w:eastAsia="宋体" w:cs="宋体"/>
                <w:color w:val="auto"/>
                <w:sz w:val="24"/>
                <w:highlight w:val="none"/>
              </w:rPr>
            </w:pPr>
          </w:p>
        </w:tc>
        <w:tc>
          <w:tcPr>
            <w:tcW w:w="1326"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line="400" w:lineRule="exact"/>
              <w:jc w:val="left"/>
              <w:rPr>
                <w:rFonts w:hint="eastAsia" w:ascii="宋体" w:hAnsi="宋体" w:eastAsia="宋体" w:cs="宋体"/>
                <w:color w:val="auto"/>
                <w:sz w:val="24"/>
                <w:highlight w:val="none"/>
              </w:rPr>
            </w:pPr>
          </w:p>
        </w:tc>
        <w:tc>
          <w:tcPr>
            <w:tcW w:w="1981"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line="400" w:lineRule="exact"/>
              <w:jc w:val="left"/>
              <w:rPr>
                <w:rFonts w:hint="eastAsia" w:ascii="宋体" w:hAnsi="宋体" w:eastAsia="宋体" w:cs="宋体"/>
                <w:color w:val="auto"/>
                <w:sz w:val="24"/>
                <w:highlight w:val="none"/>
              </w:rPr>
            </w:pPr>
          </w:p>
        </w:tc>
        <w:tc>
          <w:tcPr>
            <w:tcW w:w="1499"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line="400" w:lineRule="exact"/>
              <w:jc w:val="left"/>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06" w:hRule="atLeast"/>
        </w:trPr>
        <w:tc>
          <w:tcPr>
            <w:tcW w:w="2267"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line="400" w:lineRule="exact"/>
              <w:jc w:val="left"/>
              <w:rPr>
                <w:rFonts w:hint="eastAsia" w:ascii="宋体" w:hAnsi="宋体" w:eastAsia="宋体" w:cs="宋体"/>
                <w:color w:val="auto"/>
                <w:sz w:val="24"/>
                <w:highlight w:val="none"/>
              </w:rPr>
            </w:pPr>
          </w:p>
        </w:tc>
        <w:tc>
          <w:tcPr>
            <w:tcW w:w="1996"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line="400" w:lineRule="exact"/>
              <w:jc w:val="left"/>
              <w:rPr>
                <w:rFonts w:hint="eastAsia" w:ascii="宋体" w:hAnsi="宋体" w:eastAsia="宋体" w:cs="宋体"/>
                <w:color w:val="auto"/>
                <w:sz w:val="24"/>
                <w:highlight w:val="none"/>
              </w:rPr>
            </w:pPr>
          </w:p>
        </w:tc>
        <w:tc>
          <w:tcPr>
            <w:tcW w:w="1326"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line="400" w:lineRule="exact"/>
              <w:jc w:val="left"/>
              <w:rPr>
                <w:rFonts w:hint="eastAsia" w:ascii="宋体" w:hAnsi="宋体" w:eastAsia="宋体" w:cs="宋体"/>
                <w:color w:val="auto"/>
                <w:sz w:val="24"/>
                <w:highlight w:val="none"/>
              </w:rPr>
            </w:pPr>
          </w:p>
        </w:tc>
        <w:tc>
          <w:tcPr>
            <w:tcW w:w="1981"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line="400" w:lineRule="exact"/>
              <w:jc w:val="left"/>
              <w:rPr>
                <w:rFonts w:hint="eastAsia" w:ascii="宋体" w:hAnsi="宋体" w:eastAsia="宋体" w:cs="宋体"/>
                <w:color w:val="auto"/>
                <w:sz w:val="24"/>
                <w:highlight w:val="none"/>
              </w:rPr>
            </w:pPr>
          </w:p>
        </w:tc>
        <w:tc>
          <w:tcPr>
            <w:tcW w:w="1499"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line="400" w:lineRule="exact"/>
              <w:jc w:val="left"/>
              <w:rPr>
                <w:rFonts w:hint="eastAsia" w:ascii="宋体" w:hAnsi="宋体" w:eastAsia="宋体" w:cs="宋体"/>
                <w:color w:val="auto"/>
                <w:sz w:val="24"/>
                <w:highlight w:val="none"/>
              </w:rPr>
            </w:pPr>
          </w:p>
        </w:tc>
      </w:tr>
    </w:tbl>
    <w:p>
      <w:pPr>
        <w:pStyle w:val="22"/>
        <w:snapToGrid w:val="0"/>
        <w:ind w:left="480" w:hanging="480"/>
        <w:rPr>
          <w:rFonts w:hint="eastAsia" w:ascii="宋体" w:hAnsi="宋体" w:eastAsia="宋体" w:cs="宋体"/>
          <w:color w:val="auto"/>
          <w:sz w:val="24"/>
          <w:highlight w:val="none"/>
        </w:rPr>
      </w:pPr>
    </w:p>
    <w:p>
      <w:pPr>
        <w:pStyle w:val="22"/>
        <w:snapToGrid w:val="0"/>
        <w:ind w:left="480" w:hanging="480"/>
        <w:rPr>
          <w:rFonts w:hint="eastAsia" w:ascii="宋体" w:hAnsi="宋体" w:eastAsia="宋体" w:cs="宋体"/>
          <w:color w:val="auto"/>
          <w:sz w:val="24"/>
          <w:highlight w:val="none"/>
        </w:rPr>
      </w:pPr>
    </w:p>
    <w:p>
      <w:pPr>
        <w:autoSpaceDE w:val="0"/>
        <w:autoSpaceDN w:val="0"/>
        <w:spacing w:line="360" w:lineRule="auto"/>
        <w:ind w:firstLine="120"/>
        <w:rPr>
          <w:rFonts w:hint="eastAsia" w:ascii="宋体" w:hAnsi="宋体" w:eastAsia="宋体" w:cs="宋体"/>
          <w:color w:val="auto"/>
          <w:sz w:val="24"/>
          <w:highlight w:val="none"/>
        </w:rPr>
      </w:pPr>
      <w:r>
        <w:rPr>
          <w:rFonts w:hint="eastAsia" w:ascii="宋体" w:hAnsi="宋体" w:eastAsia="宋体" w:cs="宋体"/>
          <w:b/>
          <w:color w:val="auto"/>
          <w:sz w:val="24"/>
          <w:highlight w:val="none"/>
        </w:rPr>
        <w:t>附表 :相关项目业绩一览表（供应商同类项目</w:t>
      </w:r>
      <w:r>
        <w:rPr>
          <w:rFonts w:hint="eastAsia" w:ascii="宋体" w:hAnsi="宋体" w:cs="宋体"/>
          <w:b/>
          <w:bCs w:val="0"/>
          <w:color w:val="auto"/>
          <w:sz w:val="24"/>
          <w:szCs w:val="24"/>
          <w:highlight w:val="none"/>
        </w:rPr>
        <w:t>中标（成交）通知书或</w:t>
      </w:r>
      <w:r>
        <w:rPr>
          <w:rFonts w:hint="eastAsia" w:ascii="宋体" w:hAnsi="宋体" w:cs="宋体"/>
          <w:b/>
          <w:color w:val="auto"/>
          <w:sz w:val="24"/>
          <w:highlight w:val="none"/>
        </w:rPr>
        <w:t>合同复印件</w:t>
      </w:r>
      <w:r>
        <w:rPr>
          <w:rFonts w:hint="eastAsia" w:ascii="宋体" w:hAnsi="宋体" w:cs="宋体"/>
          <w:b/>
          <w:color w:val="auto"/>
          <w:sz w:val="24"/>
          <w:highlight w:val="none"/>
          <w:lang w:eastAsia="zh-CN"/>
        </w:rPr>
        <w:t>，格式</w:t>
      </w:r>
      <w:r>
        <w:rPr>
          <w:rFonts w:hint="eastAsia" w:ascii="宋体" w:hAnsi="宋体" w:eastAsia="宋体" w:cs="宋体"/>
          <w:b/>
          <w:color w:val="auto"/>
          <w:sz w:val="24"/>
          <w:highlight w:val="none"/>
        </w:rPr>
        <w:t>自拟）</w:t>
      </w:r>
    </w:p>
    <w:p>
      <w:pPr>
        <w:pStyle w:val="16"/>
        <w:spacing w:line="360" w:lineRule="auto"/>
        <w:ind w:left="72"/>
        <w:rPr>
          <w:rFonts w:hint="eastAsia" w:ascii="宋体" w:hAnsi="宋体" w:eastAsia="宋体" w:cs="宋体"/>
          <w:color w:val="auto"/>
          <w:highlight w:val="none"/>
        </w:rPr>
      </w:pPr>
      <w:r>
        <w:rPr>
          <w:rFonts w:hint="eastAsia" w:ascii="宋体" w:hAnsi="宋体" w:eastAsia="宋体" w:cs="宋体"/>
          <w:color w:val="auto"/>
          <w:highlight w:val="none"/>
        </w:rPr>
        <w:t>注：</w:t>
      </w:r>
      <w:r>
        <w:rPr>
          <w:rFonts w:hint="eastAsia" w:ascii="宋体" w:hAnsi="宋体" w:eastAsia="宋体" w:cs="宋体"/>
          <w:color w:val="auto"/>
          <w:highlight w:val="none"/>
          <w:lang w:eastAsia="zh-CN"/>
        </w:rPr>
        <w:t>供应商</w:t>
      </w:r>
      <w:r>
        <w:rPr>
          <w:rFonts w:hint="eastAsia" w:ascii="宋体" w:hAnsi="宋体" w:eastAsia="宋体" w:cs="宋体"/>
          <w:color w:val="auto"/>
          <w:highlight w:val="none"/>
        </w:rPr>
        <w:t>可按上述的格式自行编制，须随表提交相应的中标（成交）通知书或合同复印件</w:t>
      </w:r>
      <w:r>
        <w:rPr>
          <w:rFonts w:hint="eastAsia" w:hAnsi="宋体" w:cs="宋体"/>
          <w:color w:val="auto"/>
          <w:highlight w:val="none"/>
          <w:lang w:eastAsia="zh-CN"/>
        </w:rPr>
        <w:t>，</w:t>
      </w:r>
      <w:r>
        <w:rPr>
          <w:rFonts w:hint="eastAsia" w:ascii="宋体" w:hAnsi="宋体" w:eastAsia="宋体" w:cs="宋体"/>
          <w:color w:val="auto"/>
          <w:highlight w:val="none"/>
        </w:rPr>
        <w:t>并注明所在供应商商务技术文件页码。</w:t>
      </w:r>
    </w:p>
    <w:p>
      <w:pPr>
        <w:snapToGrid w:val="0"/>
        <w:spacing w:line="360" w:lineRule="auto"/>
        <w:ind w:firstLine="4935" w:firstLineChars="235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w:t>
      </w:r>
    </w:p>
    <w:p>
      <w:pPr>
        <w:snapToGrid w:val="0"/>
        <w:spacing w:line="360" w:lineRule="auto"/>
        <w:ind w:firstLine="4935" w:firstLineChars="2350"/>
        <w:rPr>
          <w:rFonts w:hint="eastAsia" w:ascii="宋体" w:hAnsi="宋体" w:eastAsia="宋体" w:cs="宋体"/>
          <w:color w:val="auto"/>
          <w:szCs w:val="21"/>
          <w:highlight w:val="none"/>
        </w:rPr>
      </w:pPr>
    </w:p>
    <w:p>
      <w:pPr>
        <w:snapToGrid w:val="0"/>
        <w:spacing w:line="360" w:lineRule="auto"/>
        <w:ind w:left="4410" w:leftChars="2100" w:firstLine="5670" w:firstLineChars="2700"/>
        <w:rPr>
          <w:rFonts w:hint="eastAsia" w:ascii="宋体" w:hAnsi="宋体" w:eastAsia="宋体" w:cs="宋体"/>
          <w:color w:val="auto"/>
          <w:kern w:val="0"/>
          <w:sz w:val="24"/>
          <w:highlight w:val="none"/>
        </w:rPr>
      </w:pPr>
      <w:r>
        <w:rPr>
          <w:rFonts w:hint="eastAsia" w:ascii="宋体" w:hAnsi="宋体" w:eastAsia="宋体" w:cs="宋体"/>
          <w:color w:val="auto"/>
          <w:szCs w:val="21"/>
          <w:highlight w:val="none"/>
        </w:rPr>
        <w:t xml:space="preserve"> </w:t>
      </w:r>
      <w:r>
        <w:rPr>
          <w:rFonts w:hint="eastAsia" w:ascii="宋体" w:hAnsi="宋体" w:eastAsia="宋体" w:cs="宋体"/>
          <w:color w:val="auto"/>
          <w:kern w:val="0"/>
          <w:sz w:val="24"/>
          <w:highlight w:val="none"/>
          <w:lang w:val="zh-CN"/>
        </w:rPr>
        <w:t>供应商名称(电子签章)：</w:t>
      </w:r>
    </w:p>
    <w:p>
      <w:pPr>
        <w:spacing w:line="500" w:lineRule="exact"/>
        <w:jc w:val="center"/>
        <w:rPr>
          <w:rFonts w:hint="eastAsia" w:ascii="宋体" w:hAnsi="宋体" w:eastAsia="宋体" w:cs="宋体"/>
          <w:color w:val="auto"/>
          <w:sz w:val="32"/>
          <w:szCs w:val="32"/>
          <w:highlight w:val="none"/>
        </w:rPr>
        <w:sectPr>
          <w:pgSz w:w="11910" w:h="16840"/>
          <w:pgMar w:top="1440" w:right="1080" w:bottom="1440" w:left="1080" w:header="720" w:footer="720" w:gutter="0"/>
          <w:pgNumType w:fmt="decimal"/>
          <w:cols w:space="720" w:num="1"/>
        </w:sectPr>
      </w:pPr>
      <w:r>
        <w:rPr>
          <w:rFonts w:hint="eastAsia" w:ascii="宋体" w:hAnsi="宋体" w:eastAsia="宋体" w:cs="宋体"/>
          <w:color w:val="auto"/>
          <w:kern w:val="0"/>
          <w:sz w:val="24"/>
          <w:highlight w:val="none"/>
          <w:lang w:val="zh-CN"/>
        </w:rPr>
        <w:t xml:space="preserve">                                                     日期</w:t>
      </w:r>
      <w:r>
        <w:rPr>
          <w:rFonts w:hint="eastAsia" w:ascii="宋体" w:hAnsi="宋体" w:eastAsia="宋体" w:cs="宋体"/>
          <w:color w:val="auto"/>
          <w:kern w:val="0"/>
          <w:sz w:val="24"/>
          <w:highlight w:val="none"/>
        </w:rPr>
        <w:t xml:space="preserve">：  年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w:t>
      </w:r>
    </w:p>
    <w:p>
      <w:pPr>
        <w:snapToGrid w:val="0"/>
        <w:spacing w:line="360" w:lineRule="auto"/>
        <w:ind w:firstLine="602" w:firstLineChars="200"/>
        <w:rPr>
          <w:rFonts w:hint="eastAsia" w:ascii="宋体" w:hAnsi="宋体" w:eastAsia="宋体" w:cs="宋体"/>
          <w:color w:val="auto"/>
          <w:sz w:val="32"/>
          <w:szCs w:val="32"/>
          <w:highlight w:val="none"/>
        </w:rPr>
      </w:pPr>
      <w:r>
        <w:rPr>
          <w:rFonts w:hint="eastAsia" w:ascii="宋体" w:hAnsi="宋体" w:eastAsia="宋体" w:cs="宋体"/>
          <w:b/>
          <w:color w:val="auto"/>
          <w:sz w:val="30"/>
          <w:szCs w:val="30"/>
          <w:highlight w:val="none"/>
        </w:rPr>
        <w:t>七、服务需求偏离表</w:t>
      </w:r>
    </w:p>
    <w:p>
      <w:pPr>
        <w:spacing w:line="500" w:lineRule="exact"/>
        <w:jc w:val="center"/>
        <w:rPr>
          <w:rFonts w:hint="eastAsia" w:ascii="宋体" w:hAnsi="宋体" w:eastAsia="宋体" w:cs="宋体"/>
          <w:bCs/>
          <w:color w:val="auto"/>
          <w:sz w:val="44"/>
          <w:szCs w:val="44"/>
          <w:highlight w:val="none"/>
        </w:rPr>
      </w:pPr>
      <w:r>
        <w:rPr>
          <w:rFonts w:hint="eastAsia" w:ascii="宋体" w:hAnsi="宋体" w:eastAsia="宋体" w:cs="宋体"/>
          <w:bCs/>
          <w:color w:val="auto"/>
          <w:sz w:val="44"/>
          <w:szCs w:val="44"/>
          <w:highlight w:val="none"/>
        </w:rPr>
        <w:t>竞标服务需求偏离表</w:t>
      </w:r>
    </w:p>
    <w:p>
      <w:pPr>
        <w:spacing w:line="500" w:lineRule="exact"/>
        <w:jc w:val="center"/>
        <w:rPr>
          <w:rFonts w:hint="eastAsia" w:ascii="宋体" w:hAnsi="宋体" w:eastAsia="宋体" w:cs="宋体"/>
          <w:b/>
          <w:color w:val="auto"/>
          <w:sz w:val="32"/>
          <w:szCs w:val="32"/>
          <w:highlight w:val="none"/>
        </w:rPr>
      </w:pPr>
      <w:r>
        <w:rPr>
          <w:rFonts w:hint="eastAsia" w:ascii="宋体" w:hAnsi="宋体" w:eastAsia="宋体" w:cs="宋体"/>
          <w:bCs/>
          <w:color w:val="auto"/>
          <w:sz w:val="44"/>
          <w:szCs w:val="44"/>
          <w:highlight w:val="none"/>
        </w:rPr>
        <w:t>(注：按采购需求具体条款修改)</w:t>
      </w:r>
    </w:p>
    <w:p>
      <w:pPr>
        <w:spacing w:line="360" w:lineRule="auto"/>
        <w:contextualSpacing/>
        <w:jc w:val="left"/>
        <w:rPr>
          <w:rFonts w:hint="eastAsia" w:ascii="宋体" w:hAnsi="宋体" w:eastAsia="宋体" w:cs="宋体"/>
          <w:color w:val="auto"/>
          <w:sz w:val="24"/>
          <w:highlight w:val="none"/>
        </w:rPr>
      </w:pPr>
    </w:p>
    <w:p>
      <w:pPr>
        <w:pStyle w:val="16"/>
        <w:spacing w:line="360" w:lineRule="auto"/>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所竞分标：</w:t>
      </w:r>
      <w:r>
        <w:rPr>
          <w:rFonts w:hint="eastAsia" w:ascii="宋体" w:hAnsi="宋体" w:eastAsia="宋体" w:cs="宋体"/>
          <w:color w:val="auto"/>
          <w:sz w:val="24"/>
          <w:szCs w:val="24"/>
          <w:highlight w:val="none"/>
          <w:u w:val="single"/>
        </w:rPr>
        <w:t xml:space="preserve">              </w:t>
      </w:r>
    </w:p>
    <w:tbl>
      <w:tblPr>
        <w:tblStyle w:val="28"/>
        <w:tblW w:w="808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3"/>
        <w:gridCol w:w="1142"/>
        <w:gridCol w:w="736"/>
        <w:gridCol w:w="1576"/>
        <w:gridCol w:w="1140"/>
        <w:gridCol w:w="658"/>
        <w:gridCol w:w="1146"/>
        <w:gridCol w:w="1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08" w:hRule="atLeast"/>
          <w:jc w:val="center"/>
        </w:trPr>
        <w:tc>
          <w:tcPr>
            <w:tcW w:w="593" w:type="dxa"/>
            <w:vMerge w:val="restar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项号</w:t>
            </w:r>
          </w:p>
        </w:tc>
        <w:tc>
          <w:tcPr>
            <w:tcW w:w="3454"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竞争性磋商采购文件需求</w:t>
            </w:r>
          </w:p>
        </w:tc>
        <w:tc>
          <w:tcPr>
            <w:tcW w:w="2944"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响应文件承诺</w:t>
            </w:r>
          </w:p>
        </w:tc>
        <w:tc>
          <w:tcPr>
            <w:tcW w:w="1095" w:type="dxa"/>
            <w:vMerge w:val="restar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21" w:hRule="atLeast"/>
          <w:jc w:val="center"/>
        </w:trPr>
        <w:tc>
          <w:tcPr>
            <w:tcW w:w="59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宋体" w:hAnsi="宋体" w:eastAsia="宋体" w:cs="宋体"/>
                <w:color w:val="auto"/>
                <w:szCs w:val="21"/>
                <w:highlight w:val="none"/>
              </w:rPr>
            </w:pPr>
          </w:p>
        </w:tc>
        <w:tc>
          <w:tcPr>
            <w:tcW w:w="1142"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服务名称</w:t>
            </w:r>
          </w:p>
        </w:tc>
        <w:tc>
          <w:tcPr>
            <w:tcW w:w="736"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数量</w:t>
            </w:r>
          </w:p>
        </w:tc>
        <w:tc>
          <w:tcPr>
            <w:tcW w:w="1576"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服务参数要求</w:t>
            </w:r>
          </w:p>
        </w:tc>
        <w:tc>
          <w:tcPr>
            <w:tcW w:w="1140"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服务名称</w:t>
            </w:r>
          </w:p>
        </w:tc>
        <w:tc>
          <w:tcPr>
            <w:tcW w:w="658"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数量</w:t>
            </w:r>
          </w:p>
        </w:tc>
        <w:tc>
          <w:tcPr>
            <w:tcW w:w="1146"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服务参数</w:t>
            </w:r>
          </w:p>
        </w:tc>
        <w:tc>
          <w:tcPr>
            <w:tcW w:w="109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3" w:hRule="atLeast"/>
          <w:jc w:val="center"/>
        </w:trPr>
        <w:tc>
          <w:tcPr>
            <w:tcW w:w="593"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1142"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736"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576"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140"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658"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146"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095"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1" w:hRule="atLeast"/>
          <w:jc w:val="center"/>
        </w:trPr>
        <w:tc>
          <w:tcPr>
            <w:tcW w:w="593"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p>
        </w:tc>
        <w:tc>
          <w:tcPr>
            <w:tcW w:w="1142"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736"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576"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140"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658"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146"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095"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jc w:val="center"/>
        </w:trPr>
        <w:tc>
          <w:tcPr>
            <w:tcW w:w="593"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142"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color w:val="auto"/>
                <w:szCs w:val="21"/>
                <w:highlight w:val="none"/>
              </w:rPr>
            </w:pPr>
          </w:p>
        </w:tc>
        <w:tc>
          <w:tcPr>
            <w:tcW w:w="736"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color w:val="auto"/>
                <w:szCs w:val="21"/>
                <w:highlight w:val="none"/>
              </w:rPr>
            </w:pPr>
          </w:p>
        </w:tc>
        <w:tc>
          <w:tcPr>
            <w:tcW w:w="1576"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color w:val="auto"/>
                <w:szCs w:val="21"/>
                <w:highlight w:val="none"/>
              </w:rPr>
            </w:pPr>
          </w:p>
        </w:tc>
        <w:tc>
          <w:tcPr>
            <w:tcW w:w="1140"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color w:val="auto"/>
                <w:szCs w:val="21"/>
                <w:highlight w:val="none"/>
              </w:rPr>
            </w:pPr>
          </w:p>
        </w:tc>
        <w:tc>
          <w:tcPr>
            <w:tcW w:w="658"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color w:val="auto"/>
                <w:szCs w:val="21"/>
                <w:highlight w:val="none"/>
              </w:rPr>
            </w:pPr>
          </w:p>
        </w:tc>
        <w:tc>
          <w:tcPr>
            <w:tcW w:w="1146"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color w:val="auto"/>
                <w:szCs w:val="21"/>
                <w:highlight w:val="none"/>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color w:val="auto"/>
                <w:szCs w:val="21"/>
                <w:highlight w:val="none"/>
              </w:rPr>
            </w:pPr>
          </w:p>
        </w:tc>
      </w:tr>
    </w:tbl>
    <w:p>
      <w:pPr>
        <w:pStyle w:val="11"/>
        <w:spacing w:after="0" w:line="360" w:lineRule="auto"/>
        <w:contextualSpacing/>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注：</w:t>
      </w:r>
    </w:p>
    <w:p>
      <w:pPr>
        <w:pStyle w:val="11"/>
        <w:spacing w:after="0" w:line="360" w:lineRule="auto"/>
        <w:contextualSpacing/>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1.说明：应对照磋商文件“第</w:t>
      </w:r>
      <w:r>
        <w:rPr>
          <w:rFonts w:hint="eastAsia" w:ascii="宋体" w:hAnsi="宋体" w:eastAsia="宋体" w:cs="宋体"/>
          <w:color w:val="auto"/>
          <w:kern w:val="0"/>
          <w:sz w:val="21"/>
          <w:szCs w:val="21"/>
          <w:highlight w:val="none"/>
          <w:lang w:eastAsia="zh-CN"/>
        </w:rPr>
        <w:t>二</w:t>
      </w:r>
      <w:r>
        <w:rPr>
          <w:rFonts w:hint="eastAsia" w:ascii="宋体" w:hAnsi="宋体" w:eastAsia="宋体" w:cs="宋体"/>
          <w:color w:val="auto"/>
          <w:kern w:val="0"/>
          <w:sz w:val="21"/>
          <w:szCs w:val="21"/>
          <w:highlight w:val="none"/>
        </w:rPr>
        <w:t>章”中</w:t>
      </w:r>
      <w:r>
        <w:rPr>
          <w:rFonts w:hint="eastAsia" w:ascii="宋体" w:hAnsi="宋体" w:eastAsia="宋体" w:cs="宋体"/>
          <w:color w:val="auto"/>
          <w:kern w:val="0"/>
          <w:sz w:val="21"/>
          <w:szCs w:val="21"/>
          <w:highlight w:val="none"/>
          <w:lang w:eastAsia="zh-CN"/>
        </w:rPr>
        <w:t>“服务需求一览表”</w:t>
      </w:r>
      <w:r>
        <w:rPr>
          <w:rFonts w:hint="eastAsia" w:ascii="宋体" w:hAnsi="宋体" w:eastAsia="宋体" w:cs="宋体"/>
          <w:color w:val="auto"/>
          <w:kern w:val="0"/>
          <w:sz w:val="21"/>
          <w:szCs w:val="21"/>
          <w:highlight w:val="none"/>
        </w:rPr>
        <w:t>的采购清单及技术参数条款逐条作出明确响应，并作出偏离说明。</w:t>
      </w:r>
    </w:p>
    <w:p>
      <w:pPr>
        <w:pStyle w:val="13"/>
        <w:spacing w:line="400" w:lineRule="exact"/>
        <w:ind w:firstLine="739"/>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2.供应商应根据自身的承诺，对照磋商文件要求，在“偏离说明”中注明“正偏离”、“负偏离”或者“无偏离”。既不属于“正偏离”也不属于“负偏离”即为“无偏离”。 当响应文件的商务内容低于竞争性磋商采购文件要求时，竞标人应当如实写明“负偏离”，否则视为虚假应标</w:t>
      </w:r>
    </w:p>
    <w:p>
      <w:pPr>
        <w:spacing w:line="400" w:lineRule="exac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3.表格内容均需按要求填写并盖章，不得留空，否则按竞标无效处理。</w:t>
      </w:r>
    </w:p>
    <w:p>
      <w:pPr>
        <w:pStyle w:val="16"/>
        <w:spacing w:line="400" w:lineRule="exact"/>
        <w:contextualSpacing/>
        <w:rPr>
          <w:rFonts w:hint="eastAsia" w:ascii="宋体" w:hAnsi="宋体" w:eastAsia="宋体" w:cs="宋体"/>
          <w:color w:val="auto"/>
          <w:sz w:val="21"/>
          <w:highlight w:val="none"/>
        </w:rPr>
      </w:pPr>
      <w:r>
        <w:rPr>
          <w:rFonts w:hint="eastAsia" w:ascii="宋体" w:hAnsi="宋体" w:eastAsia="宋体" w:cs="宋体"/>
          <w:color w:val="auto"/>
          <w:sz w:val="21"/>
          <w:highlight w:val="none"/>
          <w:lang w:eastAsia="zh-CN"/>
        </w:rPr>
        <w:t>4.</w:t>
      </w:r>
      <w:r>
        <w:rPr>
          <w:rFonts w:hint="eastAsia" w:ascii="宋体" w:hAnsi="宋体" w:eastAsia="宋体" w:cs="宋体"/>
          <w:color w:val="auto"/>
          <w:sz w:val="21"/>
          <w:highlight w:val="none"/>
        </w:rPr>
        <w:t>如果采购需求为小于、小于等于、大于或大于等于某个数值标准时，响应文件承诺不得直接复制采购需求，响应文件承诺内容应当写明竞标服务具体参数或商务响应承诺的具体数值，否则按竞标无效处理。如该采购需求属于不能明确具体数值的，采购人应在此采购需求的数值后标注◆号，对标注◆号的采购需求不适用上述“竞标无效”条款。</w:t>
      </w:r>
    </w:p>
    <w:p>
      <w:pPr>
        <w:snapToGrid w:val="0"/>
        <w:spacing w:line="360" w:lineRule="auto"/>
        <w:ind w:firstLine="602" w:firstLineChars="200"/>
        <w:rPr>
          <w:rFonts w:hint="eastAsia" w:ascii="宋体" w:hAnsi="宋体" w:eastAsia="宋体" w:cs="宋体"/>
          <w:b/>
          <w:color w:val="auto"/>
          <w:sz w:val="30"/>
          <w:szCs w:val="30"/>
          <w:highlight w:val="none"/>
        </w:rPr>
      </w:pPr>
    </w:p>
    <w:p>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pPr>
        <w:autoSpaceDE w:val="0"/>
        <w:autoSpaceDN w:val="0"/>
        <w:spacing w:line="360" w:lineRule="auto"/>
        <w:ind w:firstLine="6480" w:firstLineChars="2700"/>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lang w:val="zh-CN"/>
        </w:rPr>
        <w:t>日期：  年  月   日</w:t>
      </w:r>
    </w:p>
    <w:p>
      <w:pPr>
        <w:adjustRightInd w:val="0"/>
        <w:snapToGrid w:val="0"/>
        <w:spacing w:line="520" w:lineRule="exact"/>
        <w:jc w:val="center"/>
        <w:rPr>
          <w:rFonts w:hint="eastAsia" w:ascii="宋体" w:hAnsi="宋体" w:eastAsia="宋体" w:cs="宋体"/>
          <w:bCs/>
          <w:color w:val="auto"/>
          <w:sz w:val="44"/>
          <w:szCs w:val="44"/>
          <w:highlight w:val="none"/>
        </w:rPr>
      </w:pPr>
    </w:p>
    <w:p>
      <w:pPr>
        <w:pStyle w:val="19"/>
        <w:rPr>
          <w:rFonts w:hint="eastAsia"/>
          <w:color w:val="auto"/>
          <w:highlight w:val="none"/>
        </w:rPr>
      </w:pPr>
    </w:p>
    <w:p>
      <w:pPr>
        <w:adjustRightInd w:val="0"/>
        <w:snapToGrid w:val="0"/>
        <w:spacing w:line="520" w:lineRule="exact"/>
        <w:jc w:val="center"/>
        <w:rPr>
          <w:rFonts w:hint="eastAsia" w:ascii="宋体" w:hAnsi="宋体" w:eastAsia="宋体" w:cs="宋体"/>
          <w:bCs/>
          <w:color w:val="auto"/>
          <w:sz w:val="44"/>
          <w:szCs w:val="44"/>
          <w:highlight w:val="none"/>
        </w:rPr>
      </w:pPr>
    </w:p>
    <w:p>
      <w:pPr>
        <w:snapToGrid w:val="0"/>
        <w:spacing w:line="360" w:lineRule="auto"/>
        <w:ind w:firstLine="602" w:firstLineChars="200"/>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rPr>
        <w:t>八、组织服务方案</w:t>
      </w:r>
    </w:p>
    <w:p>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（由供应商根据采购需求及采购文件要求或评分办法编制）</w:t>
      </w:r>
    </w:p>
    <w:p>
      <w:pPr>
        <w:spacing w:line="500" w:lineRule="exact"/>
        <w:rPr>
          <w:rFonts w:hint="eastAsia" w:ascii="宋体" w:hAnsi="宋体" w:eastAsia="宋体" w:cs="宋体"/>
          <w:color w:val="auto"/>
          <w:sz w:val="32"/>
          <w:szCs w:val="32"/>
          <w:highlight w:val="none"/>
        </w:rPr>
      </w:pPr>
    </w:p>
    <w:p>
      <w:pPr>
        <w:pStyle w:val="19"/>
        <w:rPr>
          <w:rFonts w:hint="eastAsia" w:ascii="宋体" w:hAnsi="宋体" w:eastAsia="宋体" w:cs="宋体"/>
          <w:color w:val="auto"/>
          <w:sz w:val="32"/>
          <w:szCs w:val="32"/>
          <w:highlight w:val="none"/>
        </w:rPr>
      </w:pPr>
    </w:p>
    <w:p>
      <w:pPr>
        <w:pStyle w:val="19"/>
        <w:rPr>
          <w:rFonts w:hint="eastAsia" w:ascii="宋体" w:hAnsi="宋体" w:eastAsia="宋体" w:cs="宋体"/>
          <w:color w:val="auto"/>
          <w:sz w:val="32"/>
          <w:szCs w:val="32"/>
          <w:highlight w:val="none"/>
        </w:rPr>
      </w:pPr>
    </w:p>
    <w:p>
      <w:pPr>
        <w:pStyle w:val="19"/>
        <w:rPr>
          <w:rFonts w:hint="eastAsia" w:ascii="宋体" w:hAnsi="宋体" w:eastAsia="宋体" w:cs="宋体"/>
          <w:color w:val="auto"/>
          <w:sz w:val="32"/>
          <w:szCs w:val="32"/>
          <w:highlight w:val="none"/>
        </w:rPr>
      </w:pPr>
    </w:p>
    <w:p>
      <w:pPr>
        <w:pStyle w:val="19"/>
        <w:rPr>
          <w:rFonts w:hint="eastAsia" w:ascii="宋体" w:hAnsi="宋体" w:eastAsia="宋体" w:cs="宋体"/>
          <w:color w:val="auto"/>
          <w:sz w:val="32"/>
          <w:szCs w:val="32"/>
          <w:highlight w:val="none"/>
        </w:rPr>
      </w:pPr>
    </w:p>
    <w:p>
      <w:pPr>
        <w:pStyle w:val="19"/>
        <w:rPr>
          <w:rFonts w:hint="eastAsia" w:ascii="宋体" w:hAnsi="宋体" w:eastAsia="宋体" w:cs="宋体"/>
          <w:color w:val="auto"/>
          <w:sz w:val="32"/>
          <w:szCs w:val="32"/>
          <w:highlight w:val="none"/>
        </w:rPr>
      </w:pPr>
    </w:p>
    <w:p>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pPr>
        <w:autoSpaceDE w:val="0"/>
        <w:autoSpaceDN w:val="0"/>
        <w:spacing w:line="360" w:lineRule="auto"/>
        <w:ind w:firstLine="6480" w:firstLineChars="2700"/>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lang w:val="zh-CN"/>
        </w:rPr>
        <w:t>日期：  年  月   日</w:t>
      </w:r>
    </w:p>
    <w:p>
      <w:pPr>
        <w:spacing w:line="500" w:lineRule="exact"/>
        <w:rPr>
          <w:rFonts w:hint="eastAsia" w:ascii="宋体" w:hAnsi="宋体" w:eastAsia="宋体" w:cs="宋体"/>
          <w:color w:val="auto"/>
          <w:sz w:val="32"/>
          <w:szCs w:val="32"/>
          <w:highlight w:val="none"/>
        </w:rPr>
      </w:pPr>
    </w:p>
    <w:p>
      <w:pPr>
        <w:pStyle w:val="19"/>
        <w:rPr>
          <w:rFonts w:hint="eastAsia" w:ascii="宋体" w:hAnsi="宋体" w:eastAsia="宋体" w:cs="宋体"/>
          <w:color w:val="auto"/>
          <w:sz w:val="32"/>
          <w:szCs w:val="32"/>
          <w:highlight w:val="none"/>
        </w:rPr>
      </w:pPr>
    </w:p>
    <w:p>
      <w:pPr>
        <w:pStyle w:val="19"/>
        <w:rPr>
          <w:rFonts w:hint="eastAsia" w:ascii="宋体" w:hAnsi="宋体" w:eastAsia="宋体" w:cs="宋体"/>
          <w:color w:val="auto"/>
          <w:sz w:val="32"/>
          <w:szCs w:val="32"/>
          <w:highlight w:val="none"/>
        </w:rPr>
      </w:pPr>
    </w:p>
    <w:p>
      <w:pPr>
        <w:pStyle w:val="19"/>
        <w:rPr>
          <w:rFonts w:hint="eastAsia" w:ascii="宋体" w:hAnsi="宋体" w:eastAsia="宋体" w:cs="宋体"/>
          <w:color w:val="auto"/>
          <w:sz w:val="32"/>
          <w:szCs w:val="32"/>
          <w:highlight w:val="none"/>
        </w:rPr>
      </w:pPr>
    </w:p>
    <w:p>
      <w:pPr>
        <w:pStyle w:val="19"/>
        <w:rPr>
          <w:rFonts w:hint="eastAsia" w:ascii="宋体" w:hAnsi="宋体" w:eastAsia="宋体" w:cs="宋体"/>
          <w:color w:val="auto"/>
          <w:sz w:val="32"/>
          <w:szCs w:val="32"/>
          <w:highlight w:val="none"/>
        </w:rPr>
      </w:pPr>
    </w:p>
    <w:p>
      <w:pPr>
        <w:pStyle w:val="19"/>
        <w:rPr>
          <w:rFonts w:hint="eastAsia" w:ascii="宋体" w:hAnsi="宋体" w:eastAsia="宋体" w:cs="宋体"/>
          <w:color w:val="auto"/>
          <w:sz w:val="32"/>
          <w:szCs w:val="32"/>
          <w:highlight w:val="none"/>
        </w:rPr>
      </w:pPr>
    </w:p>
    <w:p>
      <w:pPr>
        <w:pStyle w:val="19"/>
        <w:rPr>
          <w:rFonts w:hint="eastAsia" w:ascii="宋体" w:hAnsi="宋体" w:eastAsia="宋体" w:cs="宋体"/>
          <w:color w:val="auto"/>
          <w:sz w:val="32"/>
          <w:szCs w:val="32"/>
          <w:highlight w:val="none"/>
        </w:rPr>
      </w:pPr>
    </w:p>
    <w:p>
      <w:pPr>
        <w:pStyle w:val="19"/>
        <w:rPr>
          <w:rFonts w:hint="eastAsia" w:ascii="宋体" w:hAnsi="宋体" w:eastAsia="宋体" w:cs="宋体"/>
          <w:color w:val="auto"/>
          <w:sz w:val="32"/>
          <w:szCs w:val="32"/>
          <w:highlight w:val="none"/>
        </w:rPr>
      </w:pPr>
    </w:p>
    <w:p>
      <w:pPr>
        <w:pStyle w:val="19"/>
        <w:rPr>
          <w:rFonts w:hint="eastAsia" w:ascii="宋体" w:hAnsi="宋体" w:eastAsia="宋体" w:cs="宋体"/>
          <w:color w:val="auto"/>
          <w:sz w:val="32"/>
          <w:szCs w:val="32"/>
          <w:highlight w:val="none"/>
        </w:rPr>
      </w:pPr>
    </w:p>
    <w:p>
      <w:pPr>
        <w:pStyle w:val="19"/>
        <w:rPr>
          <w:rFonts w:hint="eastAsia" w:ascii="宋体" w:hAnsi="宋体" w:eastAsia="宋体" w:cs="宋体"/>
          <w:color w:val="auto"/>
          <w:sz w:val="32"/>
          <w:szCs w:val="32"/>
          <w:highlight w:val="none"/>
        </w:rPr>
      </w:pPr>
    </w:p>
    <w:p>
      <w:pPr>
        <w:pStyle w:val="19"/>
        <w:rPr>
          <w:rFonts w:hint="eastAsia" w:ascii="宋体" w:hAnsi="宋体" w:eastAsia="宋体" w:cs="宋体"/>
          <w:color w:val="auto"/>
          <w:sz w:val="32"/>
          <w:szCs w:val="32"/>
          <w:highlight w:val="none"/>
        </w:rPr>
      </w:pPr>
    </w:p>
    <w:p>
      <w:pPr>
        <w:pStyle w:val="19"/>
        <w:rPr>
          <w:rFonts w:hint="eastAsia" w:ascii="宋体" w:hAnsi="宋体" w:eastAsia="宋体" w:cs="宋体"/>
          <w:color w:val="auto"/>
          <w:sz w:val="32"/>
          <w:szCs w:val="32"/>
          <w:highlight w:val="none"/>
        </w:rPr>
      </w:pPr>
    </w:p>
    <w:p>
      <w:pPr>
        <w:pStyle w:val="19"/>
        <w:rPr>
          <w:rFonts w:hint="eastAsia" w:ascii="宋体" w:hAnsi="宋体" w:eastAsia="宋体" w:cs="宋体"/>
          <w:color w:val="auto"/>
          <w:sz w:val="32"/>
          <w:szCs w:val="32"/>
          <w:highlight w:val="none"/>
        </w:rPr>
      </w:pPr>
    </w:p>
    <w:p>
      <w:pPr>
        <w:pStyle w:val="19"/>
        <w:rPr>
          <w:rFonts w:hint="eastAsia" w:ascii="宋体" w:hAnsi="宋体" w:eastAsia="宋体" w:cs="宋体"/>
          <w:color w:val="auto"/>
          <w:sz w:val="32"/>
          <w:szCs w:val="32"/>
          <w:highlight w:val="none"/>
        </w:rPr>
      </w:pPr>
    </w:p>
    <w:p>
      <w:pPr>
        <w:pStyle w:val="19"/>
        <w:rPr>
          <w:rFonts w:hint="eastAsia" w:ascii="宋体" w:hAnsi="宋体" w:eastAsia="宋体" w:cs="宋体"/>
          <w:color w:val="auto"/>
          <w:sz w:val="32"/>
          <w:szCs w:val="32"/>
          <w:highlight w:val="none"/>
        </w:rPr>
      </w:pPr>
    </w:p>
    <w:p>
      <w:pPr>
        <w:pStyle w:val="19"/>
        <w:rPr>
          <w:rFonts w:hint="eastAsia" w:ascii="宋体" w:hAnsi="宋体" w:eastAsia="宋体" w:cs="宋体"/>
          <w:color w:val="auto"/>
          <w:sz w:val="32"/>
          <w:szCs w:val="32"/>
          <w:highlight w:val="none"/>
        </w:rPr>
      </w:pPr>
    </w:p>
    <w:p>
      <w:pPr>
        <w:pStyle w:val="19"/>
        <w:rPr>
          <w:rFonts w:hint="eastAsia" w:ascii="宋体" w:hAnsi="宋体" w:eastAsia="宋体" w:cs="宋体"/>
          <w:color w:val="auto"/>
          <w:sz w:val="32"/>
          <w:szCs w:val="32"/>
          <w:highlight w:val="none"/>
        </w:rPr>
      </w:pPr>
    </w:p>
    <w:p>
      <w:pPr>
        <w:pStyle w:val="19"/>
        <w:rPr>
          <w:rFonts w:hint="eastAsia" w:ascii="宋体" w:hAnsi="宋体" w:eastAsia="宋体" w:cs="宋体"/>
          <w:color w:val="auto"/>
          <w:sz w:val="32"/>
          <w:szCs w:val="32"/>
          <w:highlight w:val="none"/>
        </w:rPr>
      </w:pPr>
    </w:p>
    <w:p>
      <w:pPr>
        <w:pStyle w:val="19"/>
        <w:rPr>
          <w:rFonts w:hint="eastAsia" w:ascii="宋体" w:hAnsi="宋体" w:eastAsia="宋体" w:cs="宋体"/>
          <w:color w:val="auto"/>
          <w:sz w:val="32"/>
          <w:szCs w:val="32"/>
          <w:highlight w:val="none"/>
        </w:rPr>
      </w:pPr>
    </w:p>
    <w:p>
      <w:pPr>
        <w:pStyle w:val="19"/>
        <w:rPr>
          <w:rFonts w:hint="eastAsia" w:ascii="宋体" w:hAnsi="宋体" w:eastAsia="宋体" w:cs="宋体"/>
          <w:color w:val="auto"/>
          <w:sz w:val="32"/>
          <w:szCs w:val="32"/>
          <w:highlight w:val="none"/>
        </w:rPr>
      </w:pPr>
    </w:p>
    <w:p>
      <w:pPr>
        <w:pStyle w:val="19"/>
        <w:rPr>
          <w:rFonts w:hint="eastAsia" w:ascii="宋体" w:hAnsi="宋体" w:eastAsia="宋体" w:cs="宋体"/>
          <w:color w:val="auto"/>
          <w:sz w:val="32"/>
          <w:szCs w:val="32"/>
          <w:highlight w:val="none"/>
        </w:rPr>
      </w:pPr>
    </w:p>
    <w:p>
      <w:pPr>
        <w:pStyle w:val="19"/>
        <w:rPr>
          <w:rFonts w:hint="eastAsia" w:ascii="宋体" w:hAnsi="宋体" w:eastAsia="宋体" w:cs="宋体"/>
          <w:color w:val="auto"/>
          <w:sz w:val="32"/>
          <w:szCs w:val="32"/>
          <w:highlight w:val="none"/>
        </w:rPr>
      </w:pPr>
    </w:p>
    <w:p>
      <w:pPr>
        <w:snapToGrid w:val="0"/>
        <w:spacing w:before="120" w:beforeLines="50" w:after="50"/>
        <w:ind w:left="143" w:leftChars="68" w:firstLine="596" w:firstLineChars="198"/>
        <w:rPr>
          <w:rFonts w:hint="eastAsia" w:ascii="宋体" w:hAnsi="宋体" w:eastAsia="宋体" w:cs="宋体"/>
          <w:b/>
          <w:color w:val="auto"/>
          <w:sz w:val="30"/>
          <w:szCs w:val="30"/>
          <w:highlight w:val="none"/>
          <w:lang w:eastAsia="zh-CN"/>
        </w:rPr>
      </w:pPr>
      <w:r>
        <w:rPr>
          <w:rFonts w:hint="eastAsia" w:ascii="宋体" w:hAnsi="宋体" w:eastAsia="宋体" w:cs="宋体"/>
          <w:b/>
          <w:color w:val="auto"/>
          <w:sz w:val="30"/>
          <w:szCs w:val="30"/>
          <w:highlight w:val="none"/>
        </w:rPr>
        <w:t>九、售后服务</w:t>
      </w:r>
      <w:r>
        <w:rPr>
          <w:rFonts w:hint="eastAsia" w:ascii="宋体" w:hAnsi="宋体" w:cs="宋体"/>
          <w:b/>
          <w:color w:val="auto"/>
          <w:sz w:val="30"/>
          <w:szCs w:val="30"/>
          <w:highlight w:val="none"/>
          <w:lang w:eastAsia="zh-CN"/>
        </w:rPr>
        <w:t>承诺</w:t>
      </w:r>
    </w:p>
    <w:p>
      <w:pPr>
        <w:snapToGrid w:val="0"/>
        <w:spacing w:before="120" w:beforeLines="50" w:after="50"/>
        <w:ind w:left="143" w:leftChars="68"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由竞标人按本项目竞争性磋商采购文件第二章“服务需求一览表”中商务条款部分的售后服务要求自行填写。</w:t>
      </w:r>
    </w:p>
    <w:p>
      <w:pPr>
        <w:spacing w:line="500" w:lineRule="exact"/>
        <w:rPr>
          <w:rFonts w:hint="eastAsia" w:ascii="宋体" w:hAnsi="宋体" w:eastAsia="宋体" w:cs="宋体"/>
          <w:color w:val="auto"/>
          <w:sz w:val="32"/>
          <w:szCs w:val="32"/>
          <w:highlight w:val="none"/>
        </w:rPr>
      </w:pPr>
    </w:p>
    <w:p>
      <w:pPr>
        <w:pStyle w:val="19"/>
        <w:rPr>
          <w:rFonts w:hint="eastAsia" w:ascii="宋体" w:hAnsi="宋体" w:eastAsia="宋体" w:cs="宋体"/>
          <w:color w:val="auto"/>
          <w:sz w:val="32"/>
          <w:szCs w:val="32"/>
          <w:highlight w:val="none"/>
        </w:rPr>
      </w:pPr>
    </w:p>
    <w:p>
      <w:pPr>
        <w:pStyle w:val="19"/>
        <w:rPr>
          <w:rFonts w:hint="eastAsia" w:ascii="宋体" w:hAnsi="宋体" w:eastAsia="宋体" w:cs="宋体"/>
          <w:color w:val="auto"/>
          <w:sz w:val="32"/>
          <w:szCs w:val="32"/>
          <w:highlight w:val="none"/>
        </w:rPr>
      </w:pPr>
    </w:p>
    <w:p>
      <w:pPr>
        <w:pStyle w:val="19"/>
        <w:rPr>
          <w:rFonts w:hint="eastAsia" w:ascii="宋体" w:hAnsi="宋体" w:eastAsia="宋体" w:cs="宋体"/>
          <w:color w:val="auto"/>
          <w:sz w:val="32"/>
          <w:szCs w:val="32"/>
          <w:highlight w:val="none"/>
        </w:rPr>
      </w:pPr>
    </w:p>
    <w:p>
      <w:pPr>
        <w:pStyle w:val="19"/>
        <w:rPr>
          <w:rFonts w:hint="eastAsia" w:ascii="宋体" w:hAnsi="宋体" w:eastAsia="宋体" w:cs="宋体"/>
          <w:color w:val="auto"/>
          <w:sz w:val="32"/>
          <w:szCs w:val="32"/>
          <w:highlight w:val="none"/>
        </w:rPr>
      </w:pPr>
    </w:p>
    <w:p>
      <w:pPr>
        <w:pStyle w:val="19"/>
        <w:rPr>
          <w:rFonts w:hint="eastAsia" w:ascii="宋体" w:hAnsi="宋体" w:eastAsia="宋体" w:cs="宋体"/>
          <w:color w:val="auto"/>
          <w:sz w:val="32"/>
          <w:szCs w:val="32"/>
          <w:highlight w:val="none"/>
        </w:rPr>
      </w:pPr>
    </w:p>
    <w:p>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pPr>
        <w:snapToGrid w:val="0"/>
        <w:spacing w:line="360" w:lineRule="auto"/>
        <w:ind w:firstLine="6120" w:firstLineChars="255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  年  月   日</w:t>
      </w:r>
    </w:p>
    <w:p>
      <w:pPr>
        <w:snapToGrid w:val="0"/>
        <w:spacing w:line="360" w:lineRule="auto"/>
        <w:ind w:firstLine="602" w:firstLineChars="200"/>
        <w:rPr>
          <w:rFonts w:hint="eastAsia" w:ascii="宋体" w:hAnsi="宋体" w:eastAsia="宋体" w:cs="宋体"/>
          <w:b/>
          <w:color w:val="auto"/>
          <w:sz w:val="30"/>
          <w:szCs w:val="30"/>
          <w:highlight w:val="none"/>
        </w:rPr>
      </w:pPr>
    </w:p>
    <w:p>
      <w:pPr>
        <w:pStyle w:val="19"/>
        <w:rPr>
          <w:rFonts w:hint="eastAsia" w:ascii="宋体" w:hAnsi="宋体" w:eastAsia="宋体" w:cs="宋体"/>
          <w:b/>
          <w:color w:val="auto"/>
          <w:sz w:val="30"/>
          <w:szCs w:val="30"/>
          <w:highlight w:val="none"/>
        </w:rPr>
      </w:pPr>
    </w:p>
    <w:p>
      <w:pPr>
        <w:pStyle w:val="19"/>
        <w:rPr>
          <w:rFonts w:hint="eastAsia" w:ascii="宋体" w:hAnsi="宋体" w:eastAsia="宋体" w:cs="宋体"/>
          <w:b/>
          <w:color w:val="auto"/>
          <w:sz w:val="30"/>
          <w:szCs w:val="30"/>
          <w:highlight w:val="none"/>
        </w:rPr>
      </w:pPr>
    </w:p>
    <w:p>
      <w:pPr>
        <w:pStyle w:val="19"/>
        <w:rPr>
          <w:rFonts w:hint="eastAsia" w:ascii="宋体" w:hAnsi="宋体" w:eastAsia="宋体" w:cs="宋体"/>
          <w:b/>
          <w:color w:val="auto"/>
          <w:sz w:val="30"/>
          <w:szCs w:val="30"/>
          <w:highlight w:val="none"/>
        </w:rPr>
      </w:pPr>
    </w:p>
    <w:p>
      <w:pPr>
        <w:pStyle w:val="19"/>
        <w:rPr>
          <w:rFonts w:hint="eastAsia" w:ascii="宋体" w:hAnsi="宋体" w:eastAsia="宋体" w:cs="宋体"/>
          <w:b/>
          <w:color w:val="auto"/>
          <w:sz w:val="30"/>
          <w:szCs w:val="30"/>
          <w:highlight w:val="none"/>
        </w:rPr>
      </w:pPr>
    </w:p>
    <w:p>
      <w:pPr>
        <w:pStyle w:val="19"/>
        <w:rPr>
          <w:rFonts w:hint="eastAsia" w:ascii="宋体" w:hAnsi="宋体" w:eastAsia="宋体" w:cs="宋体"/>
          <w:b/>
          <w:color w:val="auto"/>
          <w:sz w:val="30"/>
          <w:szCs w:val="30"/>
          <w:highlight w:val="none"/>
        </w:rPr>
      </w:pPr>
    </w:p>
    <w:p>
      <w:pPr>
        <w:pStyle w:val="19"/>
        <w:rPr>
          <w:rFonts w:hint="eastAsia" w:ascii="宋体" w:hAnsi="宋体" w:eastAsia="宋体" w:cs="宋体"/>
          <w:b/>
          <w:color w:val="auto"/>
          <w:sz w:val="30"/>
          <w:szCs w:val="30"/>
          <w:highlight w:val="none"/>
        </w:rPr>
      </w:pPr>
    </w:p>
    <w:p>
      <w:pPr>
        <w:pStyle w:val="19"/>
        <w:rPr>
          <w:rFonts w:hint="eastAsia" w:ascii="宋体" w:hAnsi="宋体" w:eastAsia="宋体" w:cs="宋体"/>
          <w:b/>
          <w:color w:val="auto"/>
          <w:sz w:val="30"/>
          <w:szCs w:val="30"/>
          <w:highlight w:val="none"/>
        </w:rPr>
      </w:pPr>
    </w:p>
    <w:p>
      <w:pPr>
        <w:pStyle w:val="19"/>
        <w:rPr>
          <w:rFonts w:hint="eastAsia" w:ascii="宋体" w:hAnsi="宋体" w:eastAsia="宋体" w:cs="宋体"/>
          <w:b/>
          <w:color w:val="auto"/>
          <w:sz w:val="30"/>
          <w:szCs w:val="30"/>
          <w:highlight w:val="none"/>
        </w:rPr>
      </w:pPr>
    </w:p>
    <w:p>
      <w:pPr>
        <w:pStyle w:val="19"/>
        <w:rPr>
          <w:rFonts w:hint="eastAsia" w:ascii="宋体" w:hAnsi="宋体" w:eastAsia="宋体" w:cs="宋体"/>
          <w:b/>
          <w:color w:val="auto"/>
          <w:sz w:val="30"/>
          <w:szCs w:val="30"/>
          <w:highlight w:val="none"/>
        </w:rPr>
      </w:pPr>
    </w:p>
    <w:p>
      <w:pPr>
        <w:pStyle w:val="19"/>
        <w:rPr>
          <w:rFonts w:hint="eastAsia" w:ascii="宋体" w:hAnsi="宋体" w:eastAsia="宋体" w:cs="宋体"/>
          <w:b/>
          <w:color w:val="auto"/>
          <w:sz w:val="30"/>
          <w:szCs w:val="30"/>
          <w:highlight w:val="none"/>
        </w:rPr>
      </w:pPr>
    </w:p>
    <w:p>
      <w:pPr>
        <w:pStyle w:val="19"/>
        <w:rPr>
          <w:rFonts w:hint="eastAsia" w:ascii="宋体" w:hAnsi="宋体" w:eastAsia="宋体" w:cs="宋体"/>
          <w:b/>
          <w:color w:val="auto"/>
          <w:sz w:val="30"/>
          <w:szCs w:val="30"/>
          <w:highlight w:val="none"/>
        </w:rPr>
      </w:pPr>
    </w:p>
    <w:p>
      <w:pPr>
        <w:pStyle w:val="19"/>
        <w:rPr>
          <w:rFonts w:hint="eastAsia" w:ascii="宋体" w:hAnsi="宋体" w:eastAsia="宋体" w:cs="宋体"/>
          <w:b/>
          <w:color w:val="auto"/>
          <w:sz w:val="30"/>
          <w:szCs w:val="30"/>
          <w:highlight w:val="none"/>
        </w:rPr>
      </w:pPr>
    </w:p>
    <w:p>
      <w:pPr>
        <w:pStyle w:val="19"/>
        <w:rPr>
          <w:rFonts w:hint="eastAsia" w:ascii="宋体" w:hAnsi="宋体" w:eastAsia="宋体" w:cs="宋体"/>
          <w:b/>
          <w:color w:val="auto"/>
          <w:sz w:val="30"/>
          <w:szCs w:val="30"/>
          <w:highlight w:val="none"/>
        </w:rPr>
      </w:pPr>
    </w:p>
    <w:p>
      <w:pPr>
        <w:pStyle w:val="19"/>
        <w:rPr>
          <w:rFonts w:hint="eastAsia" w:ascii="宋体" w:hAnsi="宋体" w:eastAsia="宋体" w:cs="宋体"/>
          <w:b/>
          <w:color w:val="auto"/>
          <w:sz w:val="30"/>
          <w:szCs w:val="30"/>
          <w:highlight w:val="none"/>
        </w:rPr>
      </w:pPr>
    </w:p>
    <w:p>
      <w:pPr>
        <w:pStyle w:val="19"/>
        <w:rPr>
          <w:rFonts w:hint="eastAsia" w:ascii="宋体" w:hAnsi="宋体" w:eastAsia="宋体" w:cs="宋体"/>
          <w:b/>
          <w:color w:val="auto"/>
          <w:sz w:val="30"/>
          <w:szCs w:val="30"/>
          <w:highlight w:val="none"/>
        </w:rPr>
      </w:pPr>
    </w:p>
    <w:p>
      <w:pPr>
        <w:pStyle w:val="19"/>
        <w:rPr>
          <w:rFonts w:hint="eastAsia" w:ascii="宋体" w:hAnsi="宋体" w:eastAsia="宋体" w:cs="宋体"/>
          <w:b/>
          <w:color w:val="auto"/>
          <w:sz w:val="30"/>
          <w:szCs w:val="30"/>
          <w:highlight w:val="none"/>
        </w:rPr>
      </w:pPr>
    </w:p>
    <w:p>
      <w:pPr>
        <w:pStyle w:val="19"/>
        <w:rPr>
          <w:rFonts w:hint="eastAsia" w:ascii="宋体" w:hAnsi="宋体" w:eastAsia="宋体" w:cs="宋体"/>
          <w:b/>
          <w:color w:val="auto"/>
          <w:sz w:val="30"/>
          <w:szCs w:val="30"/>
          <w:highlight w:val="none"/>
        </w:rPr>
      </w:pPr>
    </w:p>
    <w:p>
      <w:pPr>
        <w:pStyle w:val="19"/>
        <w:rPr>
          <w:rFonts w:hint="eastAsia" w:ascii="宋体" w:hAnsi="宋体" w:eastAsia="宋体" w:cs="宋体"/>
          <w:b/>
          <w:color w:val="auto"/>
          <w:sz w:val="30"/>
          <w:szCs w:val="30"/>
          <w:highlight w:val="none"/>
        </w:rPr>
      </w:pPr>
    </w:p>
    <w:p>
      <w:pPr>
        <w:pStyle w:val="19"/>
        <w:rPr>
          <w:rFonts w:hint="eastAsia" w:ascii="宋体" w:hAnsi="宋体" w:eastAsia="宋体" w:cs="宋体"/>
          <w:b/>
          <w:color w:val="auto"/>
          <w:sz w:val="30"/>
          <w:szCs w:val="30"/>
          <w:highlight w:val="none"/>
        </w:rPr>
      </w:pPr>
    </w:p>
    <w:p>
      <w:pPr>
        <w:pStyle w:val="19"/>
        <w:rPr>
          <w:rFonts w:hint="eastAsia" w:ascii="宋体" w:hAnsi="宋体" w:eastAsia="宋体" w:cs="宋体"/>
          <w:b/>
          <w:color w:val="auto"/>
          <w:sz w:val="30"/>
          <w:szCs w:val="30"/>
          <w:highlight w:val="none"/>
        </w:rPr>
      </w:pPr>
    </w:p>
    <w:p>
      <w:pPr>
        <w:pStyle w:val="19"/>
        <w:rPr>
          <w:rFonts w:hint="eastAsia" w:ascii="宋体" w:hAnsi="宋体" w:eastAsia="宋体" w:cs="宋体"/>
          <w:b/>
          <w:color w:val="auto"/>
          <w:sz w:val="30"/>
          <w:szCs w:val="30"/>
          <w:highlight w:val="none"/>
        </w:rPr>
      </w:pPr>
    </w:p>
    <w:p>
      <w:pPr>
        <w:pStyle w:val="19"/>
        <w:rPr>
          <w:rFonts w:hint="eastAsia" w:ascii="宋体" w:hAnsi="宋体" w:eastAsia="宋体" w:cs="宋体"/>
          <w:b/>
          <w:color w:val="auto"/>
          <w:sz w:val="30"/>
          <w:szCs w:val="30"/>
          <w:highlight w:val="none"/>
        </w:rPr>
      </w:pPr>
    </w:p>
    <w:p>
      <w:pPr>
        <w:snapToGrid w:val="0"/>
        <w:spacing w:line="360" w:lineRule="auto"/>
        <w:ind w:firstLine="602" w:firstLineChars="200"/>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rPr>
        <w:t>十、项目实施人员一览表</w:t>
      </w:r>
    </w:p>
    <w:p>
      <w:pPr>
        <w:spacing w:line="360" w:lineRule="auto"/>
        <w:jc w:val="center"/>
        <w:rPr>
          <w:rFonts w:hint="eastAsia" w:ascii="宋体" w:hAnsi="宋体" w:eastAsia="宋体" w:cs="宋体"/>
          <w:b/>
          <w:bCs/>
          <w:color w:val="auto"/>
          <w:sz w:val="24"/>
          <w:highlight w:val="none"/>
        </w:rPr>
      </w:pPr>
      <w:r>
        <w:rPr>
          <w:rFonts w:hint="eastAsia" w:ascii="宋体" w:hAnsi="宋体" w:eastAsia="宋体" w:cs="宋体"/>
          <w:color w:val="auto"/>
          <w:sz w:val="24"/>
          <w:highlight w:val="none"/>
        </w:rPr>
        <w:t>（由供应商根据采购需求及采购文件要求编制）</w:t>
      </w:r>
    </w:p>
    <w:p>
      <w:pPr>
        <w:pStyle w:val="1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响应</w:t>
      </w:r>
      <w:r>
        <w:rPr>
          <w:rFonts w:hint="eastAsia" w:ascii="宋体" w:hAnsi="宋体" w:eastAsia="宋体" w:cs="宋体"/>
          <w:color w:val="auto"/>
          <w:sz w:val="24"/>
          <w:szCs w:val="24"/>
          <w:highlight w:val="none"/>
        </w:rPr>
        <w:t>分标：</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分标</w:t>
      </w:r>
    </w:p>
    <w:p>
      <w:pPr>
        <w:keepNext/>
        <w:autoSpaceDE w:val="0"/>
        <w:autoSpaceDN w:val="0"/>
        <w:spacing w:line="360" w:lineRule="auto"/>
        <w:ind w:firstLine="477"/>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附表A:本项目的项目经理情况表</w:t>
      </w:r>
    </w:p>
    <w:tbl>
      <w:tblPr>
        <w:tblStyle w:val="28"/>
        <w:tblW w:w="8755" w:type="dxa"/>
        <w:tblInd w:w="0" w:type="dxa"/>
        <w:tblLayout w:type="fixed"/>
        <w:tblCellMar>
          <w:top w:w="0" w:type="dxa"/>
          <w:left w:w="108" w:type="dxa"/>
          <w:bottom w:w="0" w:type="dxa"/>
          <w:right w:w="108" w:type="dxa"/>
        </w:tblCellMar>
      </w:tblPr>
      <w:tblGrid>
        <w:gridCol w:w="2061"/>
        <w:gridCol w:w="1287"/>
        <w:gridCol w:w="1260"/>
        <w:gridCol w:w="4147"/>
      </w:tblGrid>
      <w:tr>
        <w:tblPrEx>
          <w:tblLayout w:type="fixed"/>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noWrap w:val="0"/>
            <w:vAlign w:val="center"/>
          </w:tcPr>
          <w:p>
            <w:pPr>
              <w:autoSpaceDE w:val="0"/>
              <w:autoSpaceDN w:val="0"/>
              <w:spacing w:line="360" w:lineRule="auto"/>
              <w:jc w:val="center"/>
              <w:rPr>
                <w:rFonts w:hint="eastAsia" w:ascii="宋体" w:hAnsi="宋体" w:eastAsia="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响应截止时间前三年业绩及承担的主要工作情况，曾担任项目经理的项目应列明细</w:t>
            </w:r>
          </w:p>
        </w:tc>
      </w:tr>
      <w:tr>
        <w:tblPrEx>
          <w:tblLayout w:type="fixed"/>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pPr>
              <w:autoSpaceDE w:val="0"/>
              <w:autoSpaceDN w:val="0"/>
              <w:spacing w:line="360" w:lineRule="auto"/>
              <w:jc w:val="center"/>
              <w:rPr>
                <w:rFonts w:hint="eastAsia" w:ascii="宋体" w:hAnsi="宋体" w:eastAsia="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pPr>
              <w:autoSpaceDE w:val="0"/>
              <w:autoSpaceDN w:val="0"/>
              <w:spacing w:line="360" w:lineRule="auto"/>
              <w:jc w:val="center"/>
              <w:rPr>
                <w:rFonts w:hint="eastAsia" w:ascii="宋体" w:hAnsi="宋体" w:eastAsia="宋体" w:cs="宋体"/>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宋体" w:hAnsi="宋体" w:eastAsia="宋体" w:cs="宋体"/>
                <w:color w:val="auto"/>
                <w:sz w:val="24"/>
                <w:highlight w:val="none"/>
              </w:rPr>
            </w:pPr>
          </w:p>
        </w:tc>
      </w:tr>
      <w:tr>
        <w:tblPrEx>
          <w:tblLayout w:type="fixed"/>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pPr>
              <w:autoSpaceDE w:val="0"/>
              <w:autoSpaceDN w:val="0"/>
              <w:spacing w:line="360" w:lineRule="auto"/>
              <w:jc w:val="center"/>
              <w:rPr>
                <w:rFonts w:hint="eastAsia" w:ascii="宋体" w:hAnsi="宋体" w:eastAsia="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pPr>
              <w:autoSpaceDE w:val="0"/>
              <w:autoSpaceDN w:val="0"/>
              <w:spacing w:line="360" w:lineRule="auto"/>
              <w:jc w:val="center"/>
              <w:rPr>
                <w:rFonts w:hint="eastAsia" w:ascii="宋体" w:hAnsi="宋体" w:eastAsia="宋体" w:cs="宋体"/>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宋体" w:hAnsi="宋体" w:eastAsia="宋体" w:cs="宋体"/>
                <w:color w:val="auto"/>
                <w:sz w:val="24"/>
                <w:highlight w:val="none"/>
              </w:rPr>
            </w:pPr>
          </w:p>
        </w:tc>
      </w:tr>
      <w:tr>
        <w:tblPrEx>
          <w:tblLayout w:type="fixed"/>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spacing w:line="360" w:lineRule="auto"/>
              <w:jc w:val="center"/>
              <w:rPr>
                <w:rFonts w:hint="eastAsia" w:ascii="宋体" w:hAnsi="宋体" w:eastAsia="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line="360" w:lineRule="auto"/>
              <w:jc w:val="center"/>
              <w:rPr>
                <w:rFonts w:hint="eastAsia" w:ascii="宋体" w:hAnsi="宋体" w:eastAsia="宋体" w:cs="宋体"/>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宋体" w:hAnsi="宋体" w:eastAsia="宋体" w:cs="宋体"/>
                <w:color w:val="auto"/>
                <w:sz w:val="24"/>
                <w:highlight w:val="none"/>
              </w:rPr>
            </w:pPr>
          </w:p>
        </w:tc>
      </w:tr>
      <w:tr>
        <w:tblPrEx>
          <w:tblLayout w:type="fixed"/>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spacing w:line="360" w:lineRule="auto"/>
              <w:jc w:val="center"/>
              <w:rPr>
                <w:rFonts w:hint="eastAsia" w:ascii="宋体" w:hAnsi="宋体" w:eastAsia="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line="360" w:lineRule="auto"/>
              <w:jc w:val="center"/>
              <w:rPr>
                <w:rFonts w:hint="eastAsia" w:ascii="宋体" w:hAnsi="宋体" w:eastAsia="宋体" w:cs="宋体"/>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宋体" w:hAnsi="宋体" w:eastAsia="宋体" w:cs="宋体"/>
                <w:color w:val="auto"/>
                <w:sz w:val="24"/>
                <w:highlight w:val="none"/>
              </w:rPr>
            </w:pPr>
          </w:p>
        </w:tc>
      </w:tr>
      <w:tr>
        <w:tblPrEx>
          <w:tblLayout w:type="fixed"/>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spacing w:line="360" w:lineRule="auto"/>
              <w:jc w:val="center"/>
              <w:rPr>
                <w:rFonts w:hint="eastAsia" w:ascii="宋体" w:hAnsi="宋体" w:eastAsia="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line="360" w:lineRule="auto"/>
              <w:jc w:val="center"/>
              <w:rPr>
                <w:rFonts w:hint="eastAsia" w:ascii="宋体" w:hAnsi="宋体" w:eastAsia="宋体" w:cs="宋体"/>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宋体" w:hAnsi="宋体" w:eastAsia="宋体" w:cs="宋体"/>
                <w:color w:val="auto"/>
                <w:sz w:val="24"/>
                <w:highlight w:val="none"/>
              </w:rPr>
            </w:pPr>
          </w:p>
        </w:tc>
      </w:tr>
      <w:tr>
        <w:tblPrEx>
          <w:tblLayout w:type="fixed"/>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spacing w:line="360" w:lineRule="auto"/>
              <w:jc w:val="center"/>
              <w:rPr>
                <w:rFonts w:hint="eastAsia" w:ascii="宋体" w:hAnsi="宋体" w:eastAsia="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line="360" w:lineRule="auto"/>
              <w:jc w:val="center"/>
              <w:rPr>
                <w:rFonts w:hint="eastAsia" w:ascii="宋体" w:hAnsi="宋体" w:eastAsia="宋体" w:cs="宋体"/>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宋体" w:hAnsi="宋体" w:eastAsia="宋体" w:cs="宋体"/>
                <w:color w:val="auto"/>
                <w:sz w:val="24"/>
                <w:highlight w:val="none"/>
              </w:rPr>
            </w:pPr>
          </w:p>
        </w:tc>
      </w:tr>
      <w:tr>
        <w:tblPrEx>
          <w:tblLayout w:type="fixed"/>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spacing w:line="360" w:lineRule="auto"/>
              <w:jc w:val="center"/>
              <w:rPr>
                <w:rFonts w:hint="eastAsia" w:ascii="宋体" w:hAnsi="宋体" w:eastAsia="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line="360" w:lineRule="auto"/>
              <w:jc w:val="center"/>
              <w:rPr>
                <w:rFonts w:hint="eastAsia" w:ascii="宋体" w:hAnsi="宋体" w:eastAsia="宋体" w:cs="宋体"/>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宋体" w:hAnsi="宋体" w:eastAsia="宋体" w:cs="宋体"/>
                <w:color w:val="auto"/>
                <w:sz w:val="24"/>
                <w:highlight w:val="none"/>
              </w:rPr>
            </w:pPr>
          </w:p>
        </w:tc>
      </w:tr>
      <w:tr>
        <w:tblPrEx>
          <w:tblLayout w:type="fixed"/>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spacing w:line="360" w:lineRule="auto"/>
              <w:jc w:val="center"/>
              <w:rPr>
                <w:rFonts w:hint="eastAsia" w:ascii="宋体" w:hAnsi="宋体" w:eastAsia="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line="360" w:lineRule="auto"/>
              <w:jc w:val="center"/>
              <w:rPr>
                <w:rFonts w:hint="eastAsia" w:ascii="宋体" w:hAnsi="宋体" w:eastAsia="宋体" w:cs="宋体"/>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宋体" w:hAnsi="宋体" w:eastAsia="宋体" w:cs="宋体"/>
                <w:color w:val="auto"/>
                <w:sz w:val="24"/>
                <w:highlight w:val="none"/>
              </w:rPr>
            </w:pPr>
          </w:p>
        </w:tc>
      </w:tr>
      <w:tr>
        <w:tblPrEx>
          <w:tblLayout w:type="fixed"/>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pPr>
              <w:autoSpaceDE w:val="0"/>
              <w:autoSpaceDN w:val="0"/>
              <w:spacing w:line="360" w:lineRule="auto"/>
              <w:jc w:val="center"/>
              <w:rPr>
                <w:rFonts w:hint="eastAsia" w:ascii="宋体" w:hAnsi="宋体" w:eastAsia="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pPr>
              <w:autoSpaceDE w:val="0"/>
              <w:autoSpaceDN w:val="0"/>
              <w:spacing w:line="360" w:lineRule="auto"/>
              <w:jc w:val="center"/>
              <w:rPr>
                <w:rFonts w:hint="eastAsia" w:ascii="宋体" w:hAnsi="宋体" w:eastAsia="宋体" w:cs="宋体"/>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宋体" w:hAnsi="宋体" w:eastAsia="宋体" w:cs="宋体"/>
                <w:color w:val="auto"/>
                <w:sz w:val="24"/>
                <w:highlight w:val="none"/>
              </w:rPr>
            </w:pPr>
          </w:p>
        </w:tc>
      </w:tr>
    </w:tbl>
    <w:p>
      <w:pPr>
        <w:autoSpaceDE w:val="0"/>
        <w:autoSpaceDN w:val="0"/>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注：须随表提交相应的证书复印件并注明所在响应技术文件页码。</w:t>
      </w:r>
    </w:p>
    <w:p>
      <w:pPr>
        <w:autoSpaceDE w:val="0"/>
        <w:autoSpaceDN w:val="0"/>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附表B:本项目的项目小组人员情况表</w:t>
      </w:r>
      <w:r>
        <w:rPr>
          <w:rFonts w:hint="eastAsia" w:ascii="宋体" w:hAnsi="宋体" w:eastAsia="宋体" w:cs="宋体"/>
          <w:color w:val="auto"/>
          <w:sz w:val="24"/>
          <w:highlight w:val="none"/>
        </w:rPr>
        <w:t>（按此格式自制）</w:t>
      </w:r>
    </w:p>
    <w:tbl>
      <w:tblPr>
        <w:tblStyle w:val="28"/>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Layout w:type="fixed"/>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学历</w:t>
            </w:r>
          </w:p>
          <w:p>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专业</w:t>
            </w:r>
          </w:p>
          <w:p>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职称</w:t>
            </w:r>
          </w:p>
          <w:p>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参与本项目的到位情况</w:t>
            </w:r>
          </w:p>
        </w:tc>
      </w:tr>
      <w:tr>
        <w:tblPrEx>
          <w:tblLayout w:type="fixed"/>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jc w:val="center"/>
              <w:rPr>
                <w:rFonts w:hint="eastAsia" w:ascii="宋体" w:hAnsi="宋体" w:eastAsia="宋体" w:cs="宋体"/>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宋体" w:hAnsi="宋体" w:eastAsia="宋体" w:cs="宋体"/>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宋体" w:hAnsi="宋体" w:eastAsia="宋体" w:cs="宋体"/>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宋体" w:hAnsi="宋体" w:eastAsia="宋体" w:cs="宋体"/>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宋体" w:hAnsi="宋体" w:eastAsia="宋体" w:cs="宋体"/>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宋体" w:hAnsi="宋体" w:eastAsia="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宋体" w:hAnsi="宋体" w:eastAsia="宋体" w:cs="宋体"/>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宋体" w:hAnsi="宋体" w:eastAsia="宋体" w:cs="宋体"/>
                <w:color w:val="auto"/>
                <w:sz w:val="24"/>
                <w:highlight w:val="none"/>
              </w:rPr>
            </w:pPr>
          </w:p>
        </w:tc>
      </w:tr>
      <w:tr>
        <w:tblPrEx>
          <w:tblLayout w:type="fixed"/>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jc w:val="center"/>
              <w:rPr>
                <w:rFonts w:hint="eastAsia" w:ascii="宋体" w:hAnsi="宋体" w:eastAsia="宋体" w:cs="宋体"/>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宋体" w:hAnsi="宋体" w:eastAsia="宋体" w:cs="宋体"/>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宋体" w:hAnsi="宋体" w:eastAsia="宋体" w:cs="宋体"/>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宋体" w:hAnsi="宋体" w:eastAsia="宋体" w:cs="宋体"/>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宋体" w:hAnsi="宋体" w:eastAsia="宋体" w:cs="宋体"/>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宋体" w:hAnsi="宋体" w:eastAsia="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宋体" w:hAnsi="宋体" w:eastAsia="宋体" w:cs="宋体"/>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宋体" w:hAnsi="宋体" w:eastAsia="宋体" w:cs="宋体"/>
                <w:color w:val="auto"/>
                <w:sz w:val="24"/>
                <w:highlight w:val="none"/>
              </w:rPr>
            </w:pPr>
          </w:p>
        </w:tc>
      </w:tr>
    </w:tbl>
    <w:p>
      <w:pPr>
        <w:spacing w:line="360" w:lineRule="auto"/>
        <w:rPr>
          <w:rFonts w:hint="eastAsia" w:ascii="宋体" w:hAnsi="宋体" w:eastAsia="宋体" w:cs="宋体"/>
          <w:b/>
          <w:bCs/>
          <w:color w:val="auto"/>
          <w:sz w:val="24"/>
          <w:highlight w:val="none"/>
        </w:rPr>
      </w:pPr>
      <w:r>
        <w:rPr>
          <w:rFonts w:hint="eastAsia" w:ascii="宋体" w:hAnsi="宋体" w:eastAsia="宋体" w:cs="宋体"/>
          <w:b/>
          <w:color w:val="auto"/>
          <w:sz w:val="24"/>
          <w:highlight w:val="none"/>
        </w:rPr>
        <w:t>注：供应商可按上述的格式自行编制，须随表提交相应的证书复印件并注明所在响应技术文件页码。</w:t>
      </w:r>
    </w:p>
    <w:p>
      <w:pPr>
        <w:autoSpaceDE w:val="0"/>
        <w:autoSpaceDN w:val="0"/>
        <w:spacing w:line="360" w:lineRule="auto"/>
        <w:ind w:firstLine="6505" w:firstLineChars="2700"/>
        <w:rPr>
          <w:rFonts w:hint="eastAsia" w:ascii="宋体" w:hAnsi="宋体" w:eastAsia="宋体" w:cs="宋体"/>
          <w:b/>
          <w:bCs/>
          <w:color w:val="auto"/>
          <w:sz w:val="24"/>
          <w:highlight w:val="none"/>
        </w:rPr>
      </w:pPr>
    </w:p>
    <w:p>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pPr>
        <w:autoSpaceDE w:val="0"/>
        <w:autoSpaceDN w:val="0"/>
        <w:spacing w:line="360" w:lineRule="auto"/>
        <w:ind w:firstLine="6480" w:firstLineChars="27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  年  月   日</w:t>
      </w:r>
    </w:p>
    <w:p>
      <w:pPr>
        <w:pStyle w:val="12"/>
        <w:rPr>
          <w:rFonts w:hint="eastAsia" w:ascii="宋体" w:hAnsi="宋体" w:eastAsia="宋体" w:cs="宋体"/>
          <w:color w:val="auto"/>
          <w:kern w:val="0"/>
          <w:sz w:val="24"/>
          <w:highlight w:val="none"/>
          <w:lang w:val="zh-CN"/>
        </w:rPr>
      </w:pPr>
    </w:p>
    <w:p>
      <w:pPr>
        <w:rPr>
          <w:rFonts w:hint="eastAsia" w:ascii="宋体" w:hAnsi="宋体" w:eastAsia="宋体" w:cs="宋体"/>
          <w:color w:val="auto"/>
          <w:kern w:val="0"/>
          <w:sz w:val="24"/>
          <w:highlight w:val="none"/>
          <w:lang w:val="zh-CN"/>
        </w:rPr>
      </w:pPr>
    </w:p>
    <w:p>
      <w:pPr>
        <w:pStyle w:val="12"/>
        <w:rPr>
          <w:rFonts w:hint="eastAsia"/>
          <w:color w:val="auto"/>
          <w:highlight w:val="none"/>
          <w:lang w:val="zh-CN"/>
        </w:rPr>
      </w:pPr>
    </w:p>
    <w:p>
      <w:pPr>
        <w:snapToGrid w:val="0"/>
        <w:spacing w:line="360" w:lineRule="auto"/>
        <w:ind w:firstLine="602" w:firstLineChars="200"/>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rPr>
        <w:t>十一、服务需求、商务条款要求提供的其他材料</w:t>
      </w:r>
    </w:p>
    <w:p>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p>
    <w:p>
      <w:pPr>
        <w:pStyle w:val="19"/>
        <w:rPr>
          <w:rFonts w:hint="eastAsia" w:ascii="宋体" w:hAnsi="宋体" w:eastAsia="宋体" w:cs="宋体"/>
          <w:color w:val="auto"/>
          <w:kern w:val="0"/>
          <w:sz w:val="24"/>
          <w:highlight w:val="none"/>
        </w:rPr>
      </w:pPr>
    </w:p>
    <w:p>
      <w:pPr>
        <w:pStyle w:val="19"/>
        <w:rPr>
          <w:rFonts w:hint="eastAsia" w:ascii="宋体" w:hAnsi="宋体" w:eastAsia="宋体" w:cs="宋体"/>
          <w:color w:val="auto"/>
          <w:kern w:val="0"/>
          <w:sz w:val="24"/>
          <w:highlight w:val="none"/>
        </w:rPr>
      </w:pPr>
    </w:p>
    <w:p>
      <w:pPr>
        <w:pStyle w:val="19"/>
        <w:rPr>
          <w:rFonts w:hint="eastAsia" w:ascii="宋体" w:hAnsi="宋体" w:eastAsia="宋体" w:cs="宋体"/>
          <w:color w:val="auto"/>
          <w:kern w:val="0"/>
          <w:sz w:val="24"/>
          <w:highlight w:val="none"/>
        </w:rPr>
      </w:pPr>
    </w:p>
    <w:p>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pPr>
        <w:autoSpaceDE w:val="0"/>
        <w:autoSpaceDN w:val="0"/>
        <w:spacing w:line="360" w:lineRule="auto"/>
        <w:ind w:firstLine="6480" w:firstLineChars="27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  年  月   日</w:t>
      </w:r>
    </w:p>
    <w:p>
      <w:pPr>
        <w:autoSpaceDE w:val="0"/>
        <w:autoSpaceDN w:val="0"/>
        <w:spacing w:line="360" w:lineRule="auto"/>
        <w:ind w:firstLine="6505" w:firstLineChars="2700"/>
        <w:rPr>
          <w:rFonts w:hint="eastAsia" w:ascii="宋体" w:hAnsi="宋体" w:eastAsia="宋体" w:cs="宋体"/>
          <w:b/>
          <w:bCs/>
          <w:color w:val="auto"/>
          <w:sz w:val="24"/>
          <w:highlight w:val="none"/>
        </w:rPr>
        <w:sectPr>
          <w:pgSz w:w="11910" w:h="16840"/>
          <w:pgMar w:top="1440" w:right="1080" w:bottom="1440" w:left="1080" w:header="720" w:footer="720" w:gutter="0"/>
          <w:pgNumType w:fmt="decimal"/>
          <w:cols w:space="720" w:num="1"/>
        </w:sectPr>
      </w:pPr>
    </w:p>
    <w:p>
      <w:pPr>
        <w:autoSpaceDE w:val="0"/>
        <w:autoSpaceDN w:val="0"/>
        <w:spacing w:line="360" w:lineRule="auto"/>
        <w:ind w:firstLine="6505" w:firstLineChars="2700"/>
        <w:rPr>
          <w:rFonts w:hint="eastAsia" w:ascii="宋体" w:hAnsi="宋体" w:eastAsia="宋体" w:cs="宋体"/>
          <w:b/>
          <w:bCs/>
          <w:color w:val="auto"/>
          <w:sz w:val="24"/>
          <w:highlight w:val="none"/>
        </w:rPr>
      </w:pPr>
    </w:p>
    <w:p>
      <w:pPr>
        <w:pStyle w:val="3"/>
        <w:jc w:val="center"/>
        <w:rPr>
          <w:rFonts w:hint="eastAsia" w:ascii="宋体" w:hAnsi="宋体" w:eastAsia="宋体" w:cs="宋体"/>
          <w:color w:val="auto"/>
          <w:highlight w:val="none"/>
          <w:lang w:val="en-US" w:eastAsia="zh-CN"/>
        </w:rPr>
      </w:pPr>
      <w:bookmarkStart w:id="117" w:name="_Toc80886945"/>
      <w:bookmarkStart w:id="118" w:name="_Toc80205941"/>
      <w:bookmarkStart w:id="119" w:name="_Toc5623"/>
      <w:r>
        <w:rPr>
          <w:rFonts w:hint="eastAsia" w:ascii="宋体" w:hAnsi="宋体" w:eastAsia="宋体" w:cs="宋体"/>
          <w:color w:val="auto"/>
          <w:highlight w:val="none"/>
          <w:lang w:val="en-US" w:eastAsia="zh-CN"/>
        </w:rPr>
        <w:t>第四节 报价文件格式</w:t>
      </w:r>
      <w:bookmarkEnd w:id="117"/>
      <w:bookmarkEnd w:id="118"/>
      <w:bookmarkEnd w:id="119"/>
    </w:p>
    <w:p>
      <w:pPr>
        <w:snapToGrid w:val="0"/>
        <w:spacing w:before="120" w:beforeLines="50" w:after="50"/>
        <w:rPr>
          <w:rFonts w:hint="eastAsia" w:ascii="宋体" w:hAnsi="宋体" w:eastAsia="宋体" w:cs="宋体"/>
          <w:bCs/>
          <w:color w:val="auto"/>
          <w:sz w:val="32"/>
          <w:szCs w:val="20"/>
          <w:highlight w:val="none"/>
        </w:rPr>
      </w:pPr>
      <w:r>
        <w:rPr>
          <w:rFonts w:hint="eastAsia" w:ascii="宋体" w:hAnsi="宋体" w:eastAsia="宋体" w:cs="宋体"/>
          <w:color w:val="auto"/>
          <w:sz w:val="24"/>
          <w:highlight w:val="none"/>
        </w:rPr>
        <w:t xml:space="preserve">                                                    </w:t>
      </w:r>
      <w:r>
        <w:rPr>
          <w:rFonts w:hint="eastAsia" w:ascii="宋体" w:hAnsi="宋体" w:eastAsia="宋体" w:cs="宋体"/>
          <w:bCs/>
          <w:color w:val="auto"/>
          <w:highlight w:val="none"/>
        </w:rPr>
        <w:t>全流程电子文件</w:t>
      </w:r>
    </w:p>
    <w:p>
      <w:pPr>
        <w:snapToGrid w:val="0"/>
        <w:spacing w:before="120" w:beforeLines="50" w:after="50"/>
        <w:rPr>
          <w:rFonts w:hint="eastAsia" w:ascii="宋体" w:hAnsi="宋体" w:eastAsia="宋体" w:cs="宋体"/>
          <w:color w:val="auto"/>
          <w:sz w:val="24"/>
          <w:szCs w:val="20"/>
          <w:highlight w:val="none"/>
        </w:rPr>
      </w:pPr>
    </w:p>
    <w:p>
      <w:pPr>
        <w:snapToGrid w:val="0"/>
        <w:spacing w:before="120" w:beforeLines="50" w:after="50"/>
        <w:rPr>
          <w:rFonts w:hint="eastAsia" w:ascii="宋体" w:hAnsi="宋体" w:eastAsia="宋体" w:cs="宋体"/>
          <w:color w:val="auto"/>
          <w:sz w:val="24"/>
          <w:szCs w:val="20"/>
          <w:highlight w:val="none"/>
        </w:rPr>
      </w:pPr>
    </w:p>
    <w:p>
      <w:pPr>
        <w:snapToGrid w:val="0"/>
        <w:spacing w:before="120" w:beforeLines="50" w:after="50"/>
        <w:rPr>
          <w:rFonts w:hint="eastAsia" w:ascii="宋体" w:hAnsi="宋体" w:eastAsia="宋体" w:cs="宋体"/>
          <w:color w:val="auto"/>
          <w:sz w:val="24"/>
          <w:szCs w:val="20"/>
          <w:highlight w:val="none"/>
        </w:rPr>
      </w:pPr>
    </w:p>
    <w:p>
      <w:pPr>
        <w:snapToGrid w:val="0"/>
        <w:spacing w:before="120" w:beforeLines="50" w:after="50"/>
        <w:jc w:val="center"/>
        <w:rPr>
          <w:rFonts w:hint="eastAsia" w:ascii="宋体" w:hAnsi="宋体" w:eastAsia="宋体" w:cs="宋体"/>
          <w:bCs/>
          <w:color w:val="auto"/>
          <w:sz w:val="44"/>
          <w:szCs w:val="44"/>
          <w:highlight w:val="none"/>
        </w:rPr>
      </w:pPr>
      <w:r>
        <w:rPr>
          <w:rFonts w:hint="eastAsia" w:ascii="宋体" w:hAnsi="宋体" w:eastAsia="宋体" w:cs="宋体"/>
          <w:bCs/>
          <w:color w:val="auto"/>
          <w:sz w:val="44"/>
          <w:szCs w:val="44"/>
          <w:highlight w:val="none"/>
        </w:rPr>
        <w:t>报  价  文  件（封面）</w:t>
      </w:r>
    </w:p>
    <w:p>
      <w:pPr>
        <w:snapToGrid w:val="0"/>
        <w:spacing w:before="120" w:beforeLines="50" w:after="50"/>
        <w:rPr>
          <w:rFonts w:hint="eastAsia" w:ascii="宋体" w:hAnsi="宋体" w:eastAsia="宋体" w:cs="宋体"/>
          <w:bCs/>
          <w:color w:val="auto"/>
          <w:sz w:val="24"/>
          <w:szCs w:val="20"/>
          <w:highlight w:val="none"/>
        </w:rPr>
      </w:pPr>
    </w:p>
    <w:p>
      <w:pPr>
        <w:snapToGrid w:val="0"/>
        <w:spacing w:before="120" w:beforeLines="50" w:after="50"/>
        <w:rPr>
          <w:rFonts w:hint="eastAsia" w:ascii="宋体" w:hAnsi="宋体" w:eastAsia="宋体" w:cs="宋体"/>
          <w:bCs/>
          <w:color w:val="auto"/>
          <w:sz w:val="24"/>
          <w:szCs w:val="20"/>
          <w:highlight w:val="none"/>
        </w:rPr>
      </w:pPr>
    </w:p>
    <w:p>
      <w:pPr>
        <w:snapToGrid w:val="0"/>
        <w:spacing w:before="120" w:beforeLines="50" w:after="50"/>
        <w:rPr>
          <w:rFonts w:hint="eastAsia" w:ascii="宋体" w:hAnsi="宋体" w:eastAsia="宋体" w:cs="宋体"/>
          <w:bCs/>
          <w:color w:val="auto"/>
          <w:sz w:val="24"/>
          <w:szCs w:val="20"/>
          <w:highlight w:val="none"/>
        </w:rPr>
      </w:pPr>
    </w:p>
    <w:p>
      <w:pPr>
        <w:snapToGrid w:val="0"/>
        <w:spacing w:before="120" w:beforeLines="50" w:after="50"/>
        <w:rPr>
          <w:rFonts w:hint="eastAsia" w:ascii="宋体" w:hAnsi="宋体" w:eastAsia="宋体" w:cs="宋体"/>
          <w:bCs/>
          <w:color w:val="auto"/>
          <w:sz w:val="24"/>
          <w:szCs w:val="20"/>
          <w:highlight w:val="none"/>
        </w:rPr>
      </w:pPr>
    </w:p>
    <w:p>
      <w:pPr>
        <w:snapToGrid w:val="0"/>
        <w:spacing w:before="120" w:beforeLines="50" w:after="50"/>
        <w:rPr>
          <w:rFonts w:hint="eastAsia" w:ascii="宋体" w:hAnsi="宋体" w:eastAsia="宋体" w:cs="宋体"/>
          <w:bCs/>
          <w:color w:val="auto"/>
          <w:sz w:val="24"/>
          <w:szCs w:val="20"/>
          <w:highlight w:val="none"/>
        </w:rPr>
      </w:pPr>
    </w:p>
    <w:p>
      <w:pPr>
        <w:snapToGrid w:val="0"/>
        <w:spacing w:before="120" w:beforeLines="50" w:after="50"/>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项目名称：</w:t>
      </w:r>
    </w:p>
    <w:p>
      <w:pPr>
        <w:snapToGrid w:val="0"/>
        <w:spacing w:before="120" w:beforeLines="50" w:after="5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lang w:val="en-US" w:eastAsia="zh-CN"/>
        </w:rPr>
        <w:t xml:space="preserve"> </w:t>
      </w:r>
    </w:p>
    <w:p>
      <w:pPr>
        <w:snapToGrid w:val="0"/>
        <w:spacing w:before="120" w:beforeLines="50" w:after="50"/>
        <w:ind w:firstLine="640" w:firstLineChars="200"/>
        <w:rPr>
          <w:rFonts w:hint="eastAsia" w:ascii="宋体" w:hAnsi="宋体" w:eastAsia="宋体" w:cs="宋体"/>
          <w:bCs/>
          <w:color w:val="auto"/>
          <w:sz w:val="32"/>
          <w:szCs w:val="32"/>
          <w:highlight w:val="none"/>
          <w:lang w:val="en-US" w:eastAsia="zh-CN"/>
        </w:rPr>
      </w:pPr>
      <w:r>
        <w:rPr>
          <w:rFonts w:hint="eastAsia" w:ascii="宋体" w:hAnsi="宋体" w:eastAsia="宋体" w:cs="宋体"/>
          <w:bCs/>
          <w:color w:val="auto"/>
          <w:sz w:val="32"/>
          <w:szCs w:val="32"/>
          <w:highlight w:val="none"/>
        </w:rPr>
        <w:t>项目编号：</w:t>
      </w:r>
      <w:r>
        <w:rPr>
          <w:rFonts w:hint="eastAsia" w:ascii="宋体" w:hAnsi="宋体" w:eastAsia="宋体" w:cs="宋体"/>
          <w:bCs/>
          <w:color w:val="auto"/>
          <w:sz w:val="32"/>
          <w:szCs w:val="32"/>
          <w:highlight w:val="none"/>
          <w:lang w:val="en-US" w:eastAsia="zh-CN"/>
        </w:rPr>
        <w:t xml:space="preserve"> </w:t>
      </w:r>
    </w:p>
    <w:p>
      <w:pPr>
        <w:snapToGrid w:val="0"/>
        <w:spacing w:before="120" w:beforeLines="50" w:after="50"/>
        <w:ind w:firstLine="720" w:firstLineChars="225"/>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 xml:space="preserve"> </w:t>
      </w:r>
    </w:p>
    <w:p>
      <w:pPr>
        <w:snapToGrid w:val="0"/>
        <w:spacing w:before="120" w:beforeLines="50" w:after="50"/>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所竞分标（如有则填写，无分标时填写“无”或者留空）：</w:t>
      </w:r>
    </w:p>
    <w:p>
      <w:pPr>
        <w:snapToGrid w:val="0"/>
        <w:spacing w:before="120" w:beforeLines="50" w:after="50"/>
        <w:ind w:firstLine="720" w:firstLineChars="225"/>
        <w:rPr>
          <w:rFonts w:hint="eastAsia" w:ascii="宋体" w:hAnsi="宋体" w:eastAsia="宋体" w:cs="宋体"/>
          <w:bCs/>
          <w:color w:val="auto"/>
          <w:sz w:val="32"/>
          <w:szCs w:val="32"/>
          <w:highlight w:val="none"/>
        </w:rPr>
      </w:pPr>
    </w:p>
    <w:p>
      <w:pPr>
        <w:pStyle w:val="7"/>
        <w:snapToGrid w:val="0"/>
        <w:spacing w:before="50" w:after="50"/>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供应商名称：</w:t>
      </w:r>
    </w:p>
    <w:p>
      <w:pPr>
        <w:pStyle w:val="7"/>
        <w:snapToGrid w:val="0"/>
        <w:spacing w:before="50" w:after="50"/>
        <w:ind w:firstLine="720" w:firstLineChars="225"/>
        <w:rPr>
          <w:rFonts w:hint="eastAsia" w:ascii="宋体" w:hAnsi="宋体" w:eastAsia="宋体" w:cs="宋体"/>
          <w:bCs/>
          <w:color w:val="auto"/>
          <w:sz w:val="32"/>
          <w:szCs w:val="32"/>
          <w:highlight w:val="none"/>
        </w:rPr>
      </w:pPr>
    </w:p>
    <w:p>
      <w:pPr>
        <w:pStyle w:val="7"/>
        <w:snapToGrid w:val="0"/>
        <w:spacing w:before="50" w:after="50"/>
        <w:ind w:firstLine="720" w:firstLineChars="225"/>
        <w:rPr>
          <w:rFonts w:hint="eastAsia" w:ascii="宋体" w:hAnsi="宋体" w:eastAsia="宋体" w:cs="宋体"/>
          <w:bCs/>
          <w:color w:val="auto"/>
          <w:sz w:val="32"/>
          <w:szCs w:val="32"/>
          <w:highlight w:val="none"/>
        </w:rPr>
      </w:pPr>
    </w:p>
    <w:p>
      <w:pPr>
        <w:pStyle w:val="7"/>
        <w:snapToGrid w:val="0"/>
        <w:spacing w:before="50" w:after="50"/>
        <w:ind w:firstLine="1280" w:firstLineChars="400"/>
        <w:rPr>
          <w:rFonts w:hint="eastAsia" w:ascii="宋体" w:hAnsi="宋体" w:eastAsia="宋体" w:cs="宋体"/>
          <w:bCs/>
          <w:color w:val="auto"/>
          <w:sz w:val="32"/>
          <w:szCs w:val="32"/>
          <w:highlight w:val="none"/>
        </w:rPr>
      </w:pPr>
    </w:p>
    <w:p>
      <w:pPr>
        <w:snapToGrid w:val="0"/>
        <w:spacing w:before="120" w:beforeLines="50" w:after="50"/>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年    月    日</w:t>
      </w:r>
    </w:p>
    <w:p>
      <w:pPr>
        <w:snapToGrid w:val="0"/>
        <w:spacing w:before="120" w:beforeLines="50" w:after="50" w:line="400" w:lineRule="exact"/>
        <w:jc w:val="center"/>
        <w:rPr>
          <w:rFonts w:hint="eastAsia" w:ascii="宋体" w:hAnsi="宋体" w:eastAsia="宋体" w:cs="宋体"/>
          <w:b/>
          <w:bCs/>
          <w:color w:val="auto"/>
          <w:sz w:val="32"/>
          <w:szCs w:val="32"/>
          <w:highlight w:val="none"/>
        </w:rPr>
      </w:pPr>
      <w:r>
        <w:rPr>
          <w:rFonts w:hint="eastAsia" w:ascii="宋体" w:hAnsi="宋体" w:eastAsia="宋体" w:cs="宋体"/>
          <w:color w:val="auto"/>
          <w:sz w:val="24"/>
          <w:highlight w:val="none"/>
        </w:rPr>
        <w:br w:type="page"/>
      </w:r>
      <w:r>
        <w:rPr>
          <w:rFonts w:hint="eastAsia" w:ascii="宋体" w:hAnsi="宋体" w:eastAsia="宋体" w:cs="宋体"/>
          <w:b/>
          <w:bCs/>
          <w:color w:val="auto"/>
          <w:sz w:val="32"/>
          <w:szCs w:val="32"/>
          <w:highlight w:val="none"/>
        </w:rPr>
        <w:t>报价文件目录</w:t>
      </w:r>
    </w:p>
    <w:p>
      <w:pPr>
        <w:rPr>
          <w:rFonts w:hint="eastAsia" w:ascii="宋体" w:hAnsi="宋体" w:eastAsia="宋体" w:cs="宋体"/>
          <w:color w:val="auto"/>
          <w:highlight w:val="none"/>
        </w:rPr>
      </w:pPr>
    </w:p>
    <w:p>
      <w:pP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一、响应函………………………………………………………（页码）</w:t>
      </w:r>
    </w:p>
    <w:p>
      <w:pP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二、响应报价表…………………………………………………（页码）</w:t>
      </w:r>
    </w:p>
    <w:p>
      <w:pPr>
        <w:rPr>
          <w:rFonts w:hint="default"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rPr>
        <w:t>三、</w:t>
      </w:r>
      <w:r>
        <w:rPr>
          <w:rFonts w:hint="eastAsia" w:ascii="宋体" w:hAnsi="宋体" w:cs="宋体"/>
          <w:color w:val="auto"/>
          <w:kern w:val="0"/>
          <w:sz w:val="24"/>
          <w:highlight w:val="none"/>
          <w:lang w:val="en-US" w:eastAsia="zh-CN"/>
        </w:rPr>
        <w:t>报价明细表</w:t>
      </w:r>
      <w:r>
        <w:rPr>
          <w:rFonts w:hint="eastAsia" w:ascii="宋体" w:hAnsi="宋体" w:eastAsia="宋体" w:cs="宋体"/>
          <w:color w:val="auto"/>
          <w:kern w:val="0"/>
          <w:sz w:val="24"/>
          <w:highlight w:val="none"/>
        </w:rPr>
        <w:t>…………………………………………………（页码）</w:t>
      </w:r>
    </w:p>
    <w:p>
      <w:pPr>
        <w:rPr>
          <w:rFonts w:hint="eastAsia"/>
          <w:color w:val="auto"/>
          <w:highlight w:val="none"/>
        </w:rPr>
      </w:pPr>
      <w:r>
        <w:rPr>
          <w:rFonts w:hint="eastAsia" w:ascii="宋体" w:hAnsi="宋体" w:cs="宋体"/>
          <w:color w:val="auto"/>
          <w:kern w:val="0"/>
          <w:sz w:val="24"/>
          <w:highlight w:val="none"/>
          <w:lang w:val="en-US" w:eastAsia="zh-CN"/>
        </w:rPr>
        <w:t>四、</w:t>
      </w:r>
      <w:r>
        <w:rPr>
          <w:rFonts w:hint="eastAsia" w:ascii="宋体" w:hAnsi="宋体" w:eastAsia="宋体" w:cs="宋体"/>
          <w:color w:val="auto"/>
          <w:kern w:val="0"/>
          <w:sz w:val="24"/>
          <w:highlight w:val="none"/>
        </w:rPr>
        <w:t>供应商认为需要提供的其他有关资料……………………（页码）</w:t>
      </w:r>
    </w:p>
    <w:p>
      <w:pPr>
        <w:snapToGrid w:val="0"/>
        <w:spacing w:before="120" w:beforeLines="50" w:after="50" w:line="360" w:lineRule="auto"/>
        <w:ind w:left="142" w:firstLine="640" w:firstLineChars="200"/>
        <w:jc w:val="left"/>
        <w:rPr>
          <w:rFonts w:hint="eastAsia" w:ascii="宋体" w:hAnsi="宋体" w:eastAsia="宋体" w:cs="宋体"/>
          <w:color w:val="auto"/>
          <w:sz w:val="32"/>
          <w:szCs w:val="32"/>
          <w:highlight w:val="none"/>
        </w:rPr>
      </w:pPr>
    </w:p>
    <w:p>
      <w:pPr>
        <w:snapToGrid w:val="0"/>
        <w:spacing w:before="120" w:beforeLines="50" w:after="50" w:line="360" w:lineRule="auto"/>
        <w:ind w:left="142"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br w:type="page"/>
      </w:r>
      <w:r>
        <w:rPr>
          <w:rFonts w:hint="eastAsia" w:ascii="宋体" w:hAnsi="宋体" w:eastAsia="宋体" w:cs="宋体"/>
          <w:b/>
          <w:bCs/>
          <w:color w:val="auto"/>
          <w:sz w:val="32"/>
          <w:szCs w:val="32"/>
          <w:highlight w:val="none"/>
        </w:rPr>
        <w:t>一、响应函</w:t>
      </w:r>
    </w:p>
    <w:p>
      <w:pPr>
        <w:pStyle w:val="16"/>
        <w:spacing w:line="500" w:lineRule="exact"/>
        <w:jc w:val="center"/>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rPr>
        <w:t>响应函</w:t>
      </w:r>
    </w:p>
    <w:p>
      <w:pPr>
        <w:pStyle w:val="16"/>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致：</w:t>
      </w:r>
      <w:r>
        <w:rPr>
          <w:rFonts w:hint="eastAsia" w:ascii="宋体" w:hAnsi="宋体" w:eastAsia="宋体" w:cs="宋体"/>
          <w:color w:val="auto"/>
          <w:highlight w:val="none"/>
          <w:u w:val="single"/>
        </w:rPr>
        <w:t xml:space="preserve"> </w:t>
      </w:r>
      <w:r>
        <w:rPr>
          <w:rFonts w:hint="eastAsia"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Times New Roman" w:hAnsi="Times New Roman" w:eastAsia="宋体" w:cs="Times New Roman"/>
          <w:color w:val="auto"/>
          <w:kern w:val="0"/>
          <w:sz w:val="21"/>
          <w:szCs w:val="21"/>
          <w:highlight w:val="none"/>
          <w:lang w:val="en-US" w:eastAsia="zh-CN" w:bidi="ar-SA"/>
        </w:rPr>
        <w:t>（采购代理机构名称）</w:t>
      </w:r>
    </w:p>
    <w:p>
      <w:pPr>
        <w:pStyle w:val="16"/>
        <w:spacing w:line="360" w:lineRule="auto"/>
        <w:ind w:firstLine="400" w:firstLineChars="200"/>
        <w:rPr>
          <w:rFonts w:hint="eastAsia" w:ascii="宋体" w:hAnsi="宋体" w:eastAsia="宋体" w:cs="宋体"/>
          <w:color w:val="auto"/>
          <w:highlight w:val="none"/>
        </w:rPr>
      </w:pPr>
      <w:r>
        <w:rPr>
          <w:rFonts w:hint="eastAsia" w:ascii="宋体" w:hAnsi="宋体" w:eastAsia="宋体" w:cs="宋体"/>
          <w:color w:val="auto"/>
          <w:highlight w:val="none"/>
        </w:rPr>
        <w:t>我方已仔细阅读了贵方组织的</w:t>
      </w:r>
      <w:r>
        <w:rPr>
          <w:rFonts w:hint="eastAsia" w:ascii="宋体" w:hAnsi="宋体" w:eastAsia="宋体" w:cs="宋体"/>
          <w:color w:val="auto"/>
          <w:highlight w:val="none"/>
          <w:u w:val="single"/>
        </w:rPr>
        <w:t xml:space="preserve"> </w:t>
      </w:r>
      <w:r>
        <w:rPr>
          <w:rFonts w:hint="eastAsia"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项目（项目编号：</w:t>
      </w:r>
      <w:r>
        <w:rPr>
          <w:rFonts w:hint="eastAsia" w:ascii="宋体" w:hAnsi="宋体" w:eastAsia="宋体" w:cs="宋体"/>
          <w:color w:val="auto"/>
          <w:highlight w:val="none"/>
          <w:u w:val="single"/>
        </w:rPr>
        <w:t xml:space="preserve"> </w:t>
      </w:r>
      <w:r>
        <w:rPr>
          <w:rFonts w:hint="eastAsia"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rPr>
        <w:t>）的竞争性</w:t>
      </w:r>
      <w:r>
        <w:rPr>
          <w:rFonts w:hint="eastAsia" w:ascii="宋体" w:hAnsi="宋体" w:eastAsia="宋体" w:cs="宋体"/>
          <w:color w:val="auto"/>
          <w:highlight w:val="none"/>
          <w:lang w:eastAsia="zh-CN"/>
        </w:rPr>
        <w:t>磋商</w:t>
      </w:r>
      <w:r>
        <w:rPr>
          <w:rFonts w:hint="eastAsia" w:ascii="宋体" w:hAnsi="宋体" w:eastAsia="宋体" w:cs="宋体"/>
          <w:color w:val="auto"/>
          <w:highlight w:val="none"/>
        </w:rPr>
        <w:t xml:space="preserve">采购文件的全部内容，现正式递交下述文件参加贵方组织的本次政府采购活动： </w:t>
      </w:r>
    </w:p>
    <w:p>
      <w:pPr>
        <w:pStyle w:val="16"/>
        <w:spacing w:line="360" w:lineRule="auto"/>
        <w:ind w:firstLine="400" w:firstLineChars="200"/>
        <w:rPr>
          <w:rFonts w:hint="eastAsia" w:ascii="宋体" w:hAnsi="宋体" w:eastAsia="宋体" w:cs="宋体"/>
          <w:color w:val="auto"/>
          <w:highlight w:val="none"/>
        </w:rPr>
      </w:pPr>
      <w:r>
        <w:rPr>
          <w:rFonts w:hint="eastAsia" w:ascii="宋体" w:hAnsi="宋体" w:eastAsia="宋体" w:cs="宋体"/>
          <w:color w:val="auto"/>
          <w:highlight w:val="none"/>
        </w:rPr>
        <w:t>一、首次报价文件</w:t>
      </w:r>
      <w:r>
        <w:rPr>
          <w:rFonts w:hint="eastAsia" w:ascii="宋体" w:hAnsi="宋体" w:eastAsia="宋体" w:cs="宋体"/>
          <w:color w:val="auto"/>
          <w:highlight w:val="none"/>
          <w:lang w:eastAsia="zh-CN"/>
        </w:rPr>
        <w:t>电子版</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份（包含按</w:t>
      </w:r>
      <w:r>
        <w:rPr>
          <w:rFonts w:hint="eastAsia" w:ascii="宋体" w:hAnsi="宋体" w:eastAsia="宋体" w:cs="宋体"/>
          <w:color w:val="auto"/>
          <w:highlight w:val="none"/>
          <w:lang w:eastAsia="zh-CN"/>
        </w:rPr>
        <w:t>“第三章 供应商须知”</w:t>
      </w:r>
      <w:r>
        <w:rPr>
          <w:rFonts w:hint="eastAsia" w:ascii="宋体" w:hAnsi="宋体" w:eastAsia="宋体" w:cs="宋体"/>
          <w:color w:val="auto"/>
          <w:highlight w:val="none"/>
        </w:rPr>
        <w:t>提交的全部文件）；</w:t>
      </w:r>
    </w:p>
    <w:p>
      <w:pPr>
        <w:pStyle w:val="16"/>
        <w:spacing w:line="360" w:lineRule="auto"/>
        <w:ind w:firstLine="40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rPr>
        <w:t>二、技术文件</w:t>
      </w:r>
      <w:r>
        <w:rPr>
          <w:rFonts w:hint="eastAsia" w:ascii="宋体" w:hAnsi="宋体" w:eastAsia="宋体" w:cs="宋体"/>
          <w:color w:val="auto"/>
          <w:highlight w:val="none"/>
          <w:lang w:eastAsia="zh-CN"/>
        </w:rPr>
        <w:t>电子版</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份（包含按</w:t>
      </w:r>
      <w:r>
        <w:rPr>
          <w:rFonts w:hint="eastAsia" w:ascii="宋体" w:hAnsi="宋体" w:eastAsia="宋体" w:cs="宋体"/>
          <w:color w:val="auto"/>
          <w:highlight w:val="none"/>
          <w:lang w:eastAsia="zh-CN"/>
        </w:rPr>
        <w:t>“第三章 供应商须知”</w:t>
      </w:r>
      <w:r>
        <w:rPr>
          <w:rFonts w:hint="eastAsia" w:ascii="宋体" w:hAnsi="宋体" w:eastAsia="宋体" w:cs="宋体"/>
          <w:color w:val="auto"/>
          <w:highlight w:val="none"/>
        </w:rPr>
        <w:t>提交的全部文件）；商务文件</w:t>
      </w:r>
      <w:r>
        <w:rPr>
          <w:rFonts w:hint="eastAsia" w:ascii="宋体" w:hAnsi="宋体" w:eastAsia="宋体" w:cs="宋体"/>
          <w:color w:val="auto"/>
          <w:highlight w:val="none"/>
          <w:lang w:eastAsia="zh-CN"/>
        </w:rPr>
        <w:t>电子版</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份（包含按</w:t>
      </w:r>
      <w:r>
        <w:rPr>
          <w:rFonts w:hint="eastAsia" w:ascii="宋体" w:hAnsi="宋体" w:eastAsia="宋体" w:cs="宋体"/>
          <w:color w:val="auto"/>
          <w:highlight w:val="none"/>
          <w:lang w:eastAsia="zh-CN"/>
        </w:rPr>
        <w:t>“第三章 供应商须知”</w:t>
      </w:r>
      <w:r>
        <w:rPr>
          <w:rFonts w:hint="eastAsia" w:ascii="宋体" w:hAnsi="宋体" w:eastAsia="宋体" w:cs="宋体"/>
          <w:color w:val="auto"/>
          <w:highlight w:val="none"/>
        </w:rPr>
        <w:t>提交的全部文件）；</w:t>
      </w:r>
      <w:r>
        <w:rPr>
          <w:rFonts w:hint="eastAsia" w:ascii="宋体" w:hAnsi="宋体" w:eastAsia="宋体" w:cs="宋体"/>
          <w:color w:val="auto"/>
          <w:highlight w:val="none"/>
          <w:lang w:eastAsia="zh-CN"/>
        </w:rPr>
        <w:t>（商务技术文件已合并装订成册）</w:t>
      </w:r>
    </w:p>
    <w:p>
      <w:pPr>
        <w:pStyle w:val="16"/>
        <w:spacing w:line="360" w:lineRule="auto"/>
        <w:ind w:firstLine="400" w:firstLineChars="200"/>
        <w:rPr>
          <w:rFonts w:hint="eastAsia" w:ascii="宋体" w:hAnsi="宋体" w:eastAsia="宋体" w:cs="宋体"/>
          <w:color w:val="auto"/>
          <w:highlight w:val="none"/>
        </w:rPr>
      </w:pPr>
      <w:r>
        <w:rPr>
          <w:rFonts w:hint="eastAsia" w:ascii="宋体" w:hAnsi="宋体" w:eastAsia="宋体" w:cs="宋体"/>
          <w:color w:val="auto"/>
          <w:highlight w:val="none"/>
        </w:rPr>
        <w:t>据此函，签字人兹宣布：</w:t>
      </w:r>
    </w:p>
    <w:p>
      <w:pPr>
        <w:pStyle w:val="16"/>
        <w:spacing w:line="360" w:lineRule="auto"/>
        <w:ind w:firstLine="482"/>
        <w:rPr>
          <w:rFonts w:hint="eastAsia" w:ascii="宋体" w:hAnsi="宋体" w:eastAsia="宋体" w:cs="宋体"/>
          <w:color w:val="auto"/>
          <w:highlight w:val="none"/>
        </w:rPr>
      </w:pPr>
      <w:r>
        <w:rPr>
          <w:rFonts w:hint="eastAsia" w:ascii="宋体" w:hAnsi="宋体" w:eastAsia="宋体" w:cs="宋体"/>
          <w:color w:val="auto"/>
          <w:highlight w:val="none"/>
        </w:rPr>
        <w:t>1、我方愿意以（大写）人民币</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元)的竞标总报价，提交服务成果时间（无分标时填写）：</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，提供本项目竞争性</w:t>
      </w:r>
      <w:r>
        <w:rPr>
          <w:rFonts w:hint="eastAsia" w:ascii="宋体" w:hAnsi="宋体" w:eastAsia="宋体" w:cs="宋体"/>
          <w:color w:val="auto"/>
          <w:highlight w:val="none"/>
          <w:lang w:eastAsia="zh-CN"/>
        </w:rPr>
        <w:t>磋商</w:t>
      </w:r>
      <w:r>
        <w:rPr>
          <w:rFonts w:hint="eastAsia" w:ascii="宋体" w:hAnsi="宋体" w:eastAsia="宋体" w:cs="宋体"/>
          <w:color w:val="auto"/>
          <w:highlight w:val="none"/>
        </w:rPr>
        <w:t>采购文件第</w:t>
      </w:r>
      <w:r>
        <w:rPr>
          <w:rFonts w:hint="eastAsia" w:ascii="宋体" w:hAnsi="宋体" w:eastAsia="宋体" w:cs="宋体"/>
          <w:color w:val="auto"/>
          <w:highlight w:val="none"/>
          <w:lang w:eastAsia="zh-CN"/>
        </w:rPr>
        <w:t>二</w:t>
      </w:r>
      <w:r>
        <w:rPr>
          <w:rFonts w:hint="eastAsia" w:ascii="宋体" w:hAnsi="宋体" w:eastAsia="宋体" w:cs="宋体"/>
          <w:color w:val="auto"/>
          <w:highlight w:val="none"/>
        </w:rPr>
        <w:t>章“</w:t>
      </w:r>
      <w:r>
        <w:rPr>
          <w:rFonts w:hint="eastAsia" w:ascii="宋体" w:hAnsi="宋体" w:eastAsia="宋体" w:cs="宋体"/>
          <w:color w:val="auto"/>
          <w:highlight w:val="none"/>
          <w:lang w:eastAsia="zh-CN"/>
        </w:rPr>
        <w:t>服务</w:t>
      </w:r>
      <w:r>
        <w:rPr>
          <w:rFonts w:hint="eastAsia" w:ascii="宋体" w:hAnsi="宋体" w:eastAsia="宋体" w:cs="宋体"/>
          <w:color w:val="auto"/>
          <w:highlight w:val="none"/>
        </w:rPr>
        <w:t>需求一览表”中相应的采购内容。</w:t>
      </w:r>
    </w:p>
    <w:p>
      <w:pPr>
        <w:pStyle w:val="16"/>
        <w:spacing w:line="360" w:lineRule="auto"/>
        <w:ind w:firstLine="482"/>
        <w:rPr>
          <w:rFonts w:hint="eastAsia" w:ascii="宋体" w:hAnsi="宋体" w:eastAsia="宋体" w:cs="宋体"/>
          <w:color w:val="auto"/>
          <w:highlight w:val="none"/>
        </w:rPr>
      </w:pPr>
      <w:r>
        <w:rPr>
          <w:rFonts w:hint="eastAsia" w:ascii="宋体" w:hAnsi="宋体" w:eastAsia="宋体" w:cs="宋体"/>
          <w:color w:val="auto"/>
          <w:highlight w:val="none"/>
        </w:rPr>
        <w:t>其中（有分标时填写）：</w:t>
      </w:r>
    </w:p>
    <w:p>
      <w:pPr>
        <w:pStyle w:val="16"/>
        <w:spacing w:line="360" w:lineRule="auto"/>
        <w:ind w:firstLine="482"/>
        <w:rPr>
          <w:rFonts w:hint="eastAsia" w:ascii="宋体" w:hAnsi="宋体" w:eastAsia="宋体" w:cs="宋体"/>
          <w:color w:val="auto"/>
          <w:highlight w:val="none"/>
        </w:rPr>
      </w:pP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分标报价为（大写）人民币</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元)，提交服务成果时间：</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p>
    <w:p>
      <w:pPr>
        <w:pStyle w:val="16"/>
        <w:spacing w:line="360" w:lineRule="auto"/>
        <w:ind w:firstLine="482"/>
        <w:rPr>
          <w:rFonts w:hint="eastAsia" w:ascii="宋体" w:hAnsi="宋体" w:eastAsia="宋体" w:cs="宋体"/>
          <w:color w:val="auto"/>
          <w:highlight w:val="none"/>
        </w:rPr>
      </w:pP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分标报价为（大写）人民币</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元)，提交服务成果时间：</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p>
    <w:p>
      <w:pPr>
        <w:pStyle w:val="16"/>
        <w:spacing w:line="360" w:lineRule="auto"/>
        <w:ind w:firstLine="482"/>
        <w:rPr>
          <w:rFonts w:hint="eastAsia" w:ascii="宋体" w:hAnsi="宋体" w:eastAsia="宋体" w:cs="宋体"/>
          <w:color w:val="auto"/>
          <w:highlight w:val="none"/>
        </w:rPr>
      </w:pPr>
      <w:r>
        <w:rPr>
          <w:rFonts w:hint="eastAsia" w:ascii="宋体" w:hAnsi="宋体" w:eastAsia="宋体" w:cs="宋体"/>
          <w:color w:val="auto"/>
          <w:highlight w:val="none"/>
        </w:rPr>
        <w:t>......</w:t>
      </w:r>
    </w:p>
    <w:p>
      <w:pPr>
        <w:pStyle w:val="16"/>
        <w:spacing w:line="360" w:lineRule="auto"/>
        <w:ind w:firstLine="482"/>
        <w:rPr>
          <w:rFonts w:hint="eastAsia" w:ascii="宋体" w:hAnsi="宋体" w:eastAsia="宋体" w:cs="宋体"/>
          <w:color w:val="auto"/>
          <w:highlight w:val="none"/>
        </w:rPr>
      </w:pPr>
      <w:r>
        <w:rPr>
          <w:rFonts w:hint="eastAsia" w:ascii="宋体" w:hAnsi="宋体" w:eastAsia="宋体" w:cs="宋体"/>
          <w:color w:val="auto"/>
          <w:highlight w:val="none"/>
        </w:rPr>
        <w:t>2、我方同意自本项目竞争性</w:t>
      </w:r>
      <w:r>
        <w:rPr>
          <w:rFonts w:hint="eastAsia" w:ascii="宋体" w:hAnsi="宋体" w:eastAsia="宋体" w:cs="宋体"/>
          <w:color w:val="auto"/>
          <w:highlight w:val="none"/>
          <w:lang w:eastAsia="zh-CN"/>
        </w:rPr>
        <w:t>磋商</w:t>
      </w:r>
      <w:r>
        <w:rPr>
          <w:rFonts w:hint="eastAsia" w:ascii="宋体" w:hAnsi="宋体" w:eastAsia="宋体" w:cs="宋体"/>
          <w:color w:val="auto"/>
          <w:highlight w:val="none"/>
        </w:rPr>
        <w:t>采购文件</w:t>
      </w:r>
      <w:r>
        <w:rPr>
          <w:rFonts w:hint="eastAsia" w:ascii="宋体" w:hAnsi="宋体" w:eastAsia="宋体" w:cs="宋体"/>
          <w:color w:val="auto"/>
          <w:highlight w:val="none"/>
          <w:lang w:eastAsia="zh-CN"/>
        </w:rPr>
        <w:t>采购公告</w:t>
      </w:r>
      <w:r>
        <w:rPr>
          <w:rFonts w:hint="eastAsia" w:ascii="宋体" w:hAnsi="宋体" w:eastAsia="宋体" w:cs="宋体"/>
          <w:color w:val="auto"/>
          <w:highlight w:val="none"/>
        </w:rPr>
        <w:t>规定的递交响应文件截止时间起遵循本响应函，并承诺在</w:t>
      </w:r>
      <w:r>
        <w:rPr>
          <w:rFonts w:hint="eastAsia" w:ascii="宋体" w:hAnsi="宋体" w:eastAsia="宋体" w:cs="宋体"/>
          <w:color w:val="auto"/>
          <w:highlight w:val="none"/>
          <w:lang w:eastAsia="zh-CN"/>
        </w:rPr>
        <w:t>“第三章 供应商须知”</w:t>
      </w:r>
      <w:r>
        <w:rPr>
          <w:rFonts w:hint="eastAsia" w:ascii="宋体" w:hAnsi="宋体" w:eastAsia="宋体" w:cs="宋体"/>
          <w:color w:val="auto"/>
          <w:highlight w:val="none"/>
        </w:rPr>
        <w:t>规定的</w:t>
      </w:r>
      <w:r>
        <w:rPr>
          <w:rFonts w:hint="eastAsia" w:ascii="宋体" w:hAnsi="宋体" w:eastAsia="宋体" w:cs="宋体"/>
          <w:color w:val="auto"/>
          <w:highlight w:val="none"/>
          <w:lang w:eastAsia="zh-CN"/>
        </w:rPr>
        <w:t>响应</w:t>
      </w:r>
      <w:r>
        <w:rPr>
          <w:rFonts w:hint="eastAsia" w:ascii="宋体" w:hAnsi="宋体" w:eastAsia="宋体" w:cs="宋体"/>
          <w:color w:val="auto"/>
          <w:highlight w:val="none"/>
        </w:rPr>
        <w:t>有效期内不修改、撤销</w:t>
      </w:r>
      <w:r>
        <w:rPr>
          <w:rFonts w:hint="eastAsia" w:ascii="宋体" w:hAnsi="宋体" w:eastAsia="宋体" w:cs="宋体"/>
          <w:color w:val="auto"/>
          <w:highlight w:val="none"/>
          <w:lang w:eastAsia="zh-CN"/>
        </w:rPr>
        <w:t>响应</w:t>
      </w:r>
      <w:r>
        <w:rPr>
          <w:rFonts w:hint="eastAsia" w:ascii="宋体" w:hAnsi="宋体" w:eastAsia="宋体" w:cs="宋体"/>
          <w:color w:val="auto"/>
          <w:highlight w:val="none"/>
        </w:rPr>
        <w:t>文件。</w:t>
      </w:r>
    </w:p>
    <w:p>
      <w:pPr>
        <w:pStyle w:val="16"/>
        <w:spacing w:line="360" w:lineRule="auto"/>
        <w:ind w:firstLine="482"/>
        <w:rPr>
          <w:rFonts w:hint="eastAsia" w:ascii="宋体" w:hAnsi="宋体" w:eastAsia="宋体" w:cs="宋体"/>
          <w:color w:val="auto"/>
          <w:highlight w:val="none"/>
        </w:rPr>
      </w:pPr>
      <w:r>
        <w:rPr>
          <w:rFonts w:hint="eastAsia" w:ascii="宋体" w:hAnsi="宋体" w:eastAsia="宋体" w:cs="宋体"/>
          <w:color w:val="auto"/>
          <w:highlight w:val="none"/>
        </w:rPr>
        <w:t>3、我方在此声明，所递交的</w:t>
      </w:r>
      <w:r>
        <w:rPr>
          <w:rFonts w:hint="eastAsia" w:ascii="宋体" w:hAnsi="宋体" w:eastAsia="宋体" w:cs="宋体"/>
          <w:color w:val="auto"/>
          <w:highlight w:val="none"/>
          <w:lang w:eastAsia="zh-CN"/>
        </w:rPr>
        <w:t>响应</w:t>
      </w:r>
      <w:r>
        <w:rPr>
          <w:rFonts w:hint="eastAsia" w:ascii="宋体" w:hAnsi="宋体" w:eastAsia="宋体" w:cs="宋体"/>
          <w:color w:val="auto"/>
          <w:highlight w:val="none"/>
        </w:rPr>
        <w:t>文件及有关资料内容完整、真实和准确。</w:t>
      </w:r>
    </w:p>
    <w:p>
      <w:pPr>
        <w:pStyle w:val="16"/>
        <w:spacing w:line="360" w:lineRule="auto"/>
        <w:ind w:firstLine="482"/>
        <w:rPr>
          <w:rFonts w:hint="eastAsia" w:ascii="宋体" w:hAnsi="宋体" w:eastAsia="宋体" w:cs="宋体"/>
          <w:color w:val="auto"/>
          <w:highlight w:val="none"/>
        </w:rPr>
      </w:pPr>
      <w:r>
        <w:rPr>
          <w:rFonts w:hint="eastAsia" w:ascii="宋体" w:hAnsi="宋体" w:eastAsia="宋体" w:cs="宋体"/>
          <w:color w:val="auto"/>
          <w:highlight w:val="none"/>
        </w:rPr>
        <w:t>4、如本项目采购内容涉及须符合国家强制规定的，我方承诺我方本次竞标均符合国家有关强制规定。</w:t>
      </w:r>
    </w:p>
    <w:p>
      <w:pPr>
        <w:pStyle w:val="16"/>
        <w:spacing w:line="360" w:lineRule="auto"/>
        <w:ind w:firstLine="482"/>
        <w:rPr>
          <w:rFonts w:hint="eastAsia" w:ascii="宋体" w:hAnsi="宋体" w:eastAsia="宋体" w:cs="宋体"/>
          <w:color w:val="auto"/>
          <w:highlight w:val="none"/>
        </w:rPr>
      </w:pPr>
      <w:r>
        <w:rPr>
          <w:rFonts w:hint="eastAsia" w:ascii="宋体" w:hAnsi="宋体" w:eastAsia="宋体" w:cs="宋体"/>
          <w:color w:val="auto"/>
          <w:highlight w:val="none"/>
          <w:lang w:eastAsia="zh-CN"/>
        </w:rPr>
        <w:t>5</w:t>
      </w:r>
      <w:r>
        <w:rPr>
          <w:rFonts w:hint="eastAsia" w:ascii="宋体" w:hAnsi="宋体" w:eastAsia="宋体" w:cs="宋体"/>
          <w:color w:val="auto"/>
          <w:highlight w:val="none"/>
        </w:rPr>
        <w:t>、如我方成交，我方承诺在收到成交通知书后，在成交通知书规定的期限内，根据竞争性</w:t>
      </w:r>
      <w:r>
        <w:rPr>
          <w:rFonts w:hint="eastAsia" w:ascii="宋体" w:hAnsi="宋体" w:eastAsia="宋体" w:cs="宋体"/>
          <w:color w:val="auto"/>
          <w:highlight w:val="none"/>
          <w:lang w:eastAsia="zh-CN"/>
        </w:rPr>
        <w:t>磋商</w:t>
      </w:r>
      <w:r>
        <w:rPr>
          <w:rFonts w:hint="eastAsia" w:ascii="宋体" w:hAnsi="宋体" w:eastAsia="宋体" w:cs="宋体"/>
          <w:color w:val="auto"/>
          <w:highlight w:val="none"/>
        </w:rPr>
        <w:t>采购文件、我方的</w:t>
      </w:r>
      <w:r>
        <w:rPr>
          <w:rFonts w:hint="eastAsia" w:ascii="宋体" w:hAnsi="宋体" w:eastAsia="宋体" w:cs="宋体"/>
          <w:color w:val="auto"/>
          <w:highlight w:val="none"/>
          <w:lang w:eastAsia="zh-CN"/>
        </w:rPr>
        <w:t>响应</w:t>
      </w:r>
      <w:r>
        <w:rPr>
          <w:rFonts w:hint="eastAsia" w:ascii="宋体" w:hAnsi="宋体" w:eastAsia="宋体" w:cs="宋体"/>
          <w:color w:val="auto"/>
          <w:highlight w:val="none"/>
        </w:rPr>
        <w:t>文件及有关澄清承诺书的要求按第</w:t>
      </w:r>
      <w:r>
        <w:rPr>
          <w:rFonts w:hint="eastAsia" w:ascii="宋体" w:hAnsi="宋体" w:eastAsia="宋体" w:cs="宋体"/>
          <w:color w:val="auto"/>
          <w:highlight w:val="none"/>
          <w:lang w:eastAsia="zh-CN"/>
        </w:rPr>
        <w:t>六</w:t>
      </w:r>
      <w:r>
        <w:rPr>
          <w:rFonts w:hint="eastAsia" w:ascii="宋体" w:hAnsi="宋体" w:eastAsia="宋体" w:cs="宋体"/>
          <w:color w:val="auto"/>
          <w:highlight w:val="none"/>
        </w:rPr>
        <w:t>章“</w:t>
      </w:r>
      <w:r>
        <w:rPr>
          <w:rFonts w:hint="eastAsia" w:ascii="宋体" w:hAnsi="宋体" w:eastAsia="宋体" w:cs="宋体"/>
          <w:color w:val="auto"/>
          <w:highlight w:val="none"/>
          <w:lang w:eastAsia="zh-CN"/>
        </w:rPr>
        <w:t>合同文本</w:t>
      </w:r>
      <w:r>
        <w:rPr>
          <w:rFonts w:hint="eastAsia" w:ascii="宋体" w:hAnsi="宋体" w:eastAsia="宋体" w:cs="宋体"/>
          <w:color w:val="auto"/>
          <w:highlight w:val="none"/>
        </w:rPr>
        <w:t>”与采购人订立书面合同，并按照合同约定承担完成合同的责任和义务。</w:t>
      </w:r>
    </w:p>
    <w:p>
      <w:pPr>
        <w:pStyle w:val="16"/>
        <w:spacing w:line="360" w:lineRule="auto"/>
        <w:ind w:firstLine="482"/>
        <w:rPr>
          <w:rFonts w:hint="eastAsia" w:ascii="宋体" w:hAnsi="宋体" w:eastAsia="宋体" w:cs="宋体"/>
          <w:color w:val="auto"/>
          <w:highlight w:val="none"/>
        </w:rPr>
      </w:pPr>
      <w:r>
        <w:rPr>
          <w:rFonts w:hint="eastAsia" w:ascii="宋体" w:hAnsi="宋体" w:eastAsia="宋体" w:cs="宋体"/>
          <w:color w:val="auto"/>
          <w:highlight w:val="none"/>
          <w:lang w:eastAsia="zh-CN"/>
        </w:rPr>
        <w:t>6</w:t>
      </w:r>
      <w:r>
        <w:rPr>
          <w:rFonts w:hint="eastAsia" w:ascii="宋体" w:hAnsi="宋体" w:eastAsia="宋体" w:cs="宋体"/>
          <w:color w:val="auto"/>
          <w:highlight w:val="none"/>
        </w:rPr>
        <w:t>、我方已详细审核竞争性</w:t>
      </w:r>
      <w:r>
        <w:rPr>
          <w:rFonts w:hint="eastAsia" w:ascii="宋体" w:hAnsi="宋体" w:eastAsia="宋体" w:cs="宋体"/>
          <w:color w:val="auto"/>
          <w:highlight w:val="none"/>
          <w:lang w:eastAsia="zh-CN"/>
        </w:rPr>
        <w:t>磋商</w:t>
      </w:r>
      <w:r>
        <w:rPr>
          <w:rFonts w:hint="eastAsia" w:ascii="宋体" w:hAnsi="宋体" w:eastAsia="宋体" w:cs="宋体"/>
          <w:color w:val="auto"/>
          <w:highlight w:val="none"/>
        </w:rPr>
        <w:t>采购文件，我方知道必须放弃提出含糊不清或误解问题的权利。</w:t>
      </w:r>
    </w:p>
    <w:p>
      <w:pPr>
        <w:pStyle w:val="16"/>
        <w:spacing w:line="360" w:lineRule="auto"/>
        <w:ind w:firstLine="482"/>
        <w:rPr>
          <w:rFonts w:hint="eastAsia" w:ascii="宋体" w:hAnsi="宋体" w:eastAsia="宋体" w:cs="宋体"/>
          <w:color w:val="auto"/>
          <w:highlight w:val="none"/>
        </w:rPr>
      </w:pPr>
      <w:r>
        <w:rPr>
          <w:rFonts w:hint="eastAsia" w:ascii="宋体" w:hAnsi="宋体" w:eastAsia="宋体" w:cs="宋体"/>
          <w:color w:val="auto"/>
          <w:highlight w:val="none"/>
          <w:lang w:eastAsia="zh-CN"/>
        </w:rPr>
        <w:t>7</w:t>
      </w:r>
      <w:r>
        <w:rPr>
          <w:rFonts w:hint="eastAsia" w:ascii="宋体" w:hAnsi="宋体" w:eastAsia="宋体" w:cs="宋体"/>
          <w:color w:val="auto"/>
          <w:highlight w:val="none"/>
        </w:rPr>
        <w:t>、我方承诺满足竞争性</w:t>
      </w:r>
      <w:r>
        <w:rPr>
          <w:rFonts w:hint="eastAsia" w:ascii="宋体" w:hAnsi="宋体" w:eastAsia="宋体" w:cs="宋体"/>
          <w:color w:val="auto"/>
          <w:highlight w:val="none"/>
          <w:lang w:eastAsia="zh-CN"/>
        </w:rPr>
        <w:t>磋商</w:t>
      </w:r>
      <w:r>
        <w:rPr>
          <w:rFonts w:hint="eastAsia" w:ascii="宋体" w:hAnsi="宋体" w:eastAsia="宋体" w:cs="宋体"/>
          <w:color w:val="auto"/>
          <w:highlight w:val="none"/>
        </w:rPr>
        <w:t>采购文件第</w:t>
      </w:r>
      <w:r>
        <w:rPr>
          <w:rFonts w:hint="eastAsia" w:ascii="宋体" w:hAnsi="宋体" w:eastAsia="宋体" w:cs="宋体"/>
          <w:color w:val="auto"/>
          <w:highlight w:val="none"/>
          <w:lang w:eastAsia="zh-CN"/>
        </w:rPr>
        <w:t>六</w:t>
      </w:r>
      <w:r>
        <w:rPr>
          <w:rFonts w:hint="eastAsia" w:ascii="宋体" w:hAnsi="宋体" w:eastAsia="宋体" w:cs="宋体"/>
          <w:color w:val="auto"/>
          <w:highlight w:val="none"/>
        </w:rPr>
        <w:t>章“</w:t>
      </w:r>
      <w:r>
        <w:rPr>
          <w:rFonts w:hint="eastAsia" w:ascii="宋体" w:hAnsi="宋体" w:eastAsia="宋体" w:cs="宋体"/>
          <w:color w:val="auto"/>
          <w:highlight w:val="none"/>
          <w:lang w:eastAsia="zh-CN"/>
        </w:rPr>
        <w:t>合同文本</w:t>
      </w:r>
      <w:r>
        <w:rPr>
          <w:rFonts w:hint="eastAsia" w:ascii="宋体" w:hAnsi="宋体" w:eastAsia="宋体" w:cs="宋体"/>
          <w:color w:val="auto"/>
          <w:highlight w:val="none"/>
        </w:rPr>
        <w:t>”的条款，承担完成合同的责任和义务。</w:t>
      </w:r>
    </w:p>
    <w:p>
      <w:pPr>
        <w:pStyle w:val="16"/>
        <w:spacing w:line="360" w:lineRule="auto"/>
        <w:ind w:firstLine="482"/>
        <w:rPr>
          <w:rFonts w:hint="eastAsia" w:ascii="宋体" w:hAnsi="宋体" w:eastAsia="宋体" w:cs="宋体"/>
          <w:color w:val="auto"/>
          <w:highlight w:val="none"/>
        </w:rPr>
      </w:pPr>
      <w:r>
        <w:rPr>
          <w:rFonts w:hint="eastAsia" w:ascii="宋体" w:hAnsi="宋体" w:eastAsia="宋体" w:cs="宋体"/>
          <w:color w:val="auto"/>
          <w:highlight w:val="none"/>
          <w:lang w:eastAsia="zh-CN"/>
        </w:rPr>
        <w:t>8</w:t>
      </w:r>
      <w:r>
        <w:rPr>
          <w:rFonts w:hint="eastAsia" w:ascii="宋体" w:hAnsi="宋体" w:eastAsia="宋体" w:cs="宋体"/>
          <w:color w:val="auto"/>
          <w:highlight w:val="none"/>
        </w:rPr>
        <w:t>、我方同意应贵方要求提供与本竞标有关的任何数据或资料。若贵方需要，我方愿意提供我方作出的一切承诺的证明材料。</w:t>
      </w:r>
    </w:p>
    <w:p>
      <w:pPr>
        <w:pStyle w:val="16"/>
        <w:spacing w:line="360" w:lineRule="auto"/>
        <w:ind w:firstLine="482"/>
        <w:rPr>
          <w:rFonts w:hint="eastAsia" w:ascii="宋体" w:hAnsi="宋体" w:eastAsia="宋体" w:cs="宋体"/>
          <w:color w:val="auto"/>
          <w:highlight w:val="none"/>
        </w:rPr>
      </w:pPr>
      <w:r>
        <w:rPr>
          <w:rFonts w:hint="eastAsia" w:ascii="宋体" w:hAnsi="宋体" w:eastAsia="宋体" w:cs="宋体"/>
          <w:color w:val="auto"/>
          <w:highlight w:val="none"/>
          <w:lang w:eastAsia="zh-CN"/>
        </w:rPr>
        <w:t>9</w:t>
      </w:r>
      <w:r>
        <w:rPr>
          <w:rFonts w:hint="eastAsia" w:ascii="宋体" w:hAnsi="宋体" w:eastAsia="宋体" w:cs="宋体"/>
          <w:color w:val="auto"/>
          <w:highlight w:val="none"/>
        </w:rPr>
        <w:t>、我方完全理解贵方不一定接受响应报价最低的竞标人为成交供应商的行为。</w:t>
      </w:r>
    </w:p>
    <w:p>
      <w:pPr>
        <w:pStyle w:val="16"/>
        <w:spacing w:line="360" w:lineRule="auto"/>
        <w:ind w:firstLine="482"/>
        <w:rPr>
          <w:rFonts w:hint="eastAsia" w:ascii="宋体" w:hAnsi="宋体" w:eastAsia="宋体" w:cs="宋体"/>
          <w:color w:val="auto"/>
          <w:highlight w:val="none"/>
        </w:rPr>
      </w:pPr>
      <w:r>
        <w:rPr>
          <w:rFonts w:hint="eastAsia" w:ascii="宋体" w:hAnsi="宋体" w:eastAsia="宋体" w:cs="宋体"/>
          <w:color w:val="auto"/>
          <w:highlight w:val="none"/>
          <w:lang w:eastAsia="zh-CN"/>
        </w:rPr>
        <w:t>10</w:t>
      </w:r>
      <w:r>
        <w:rPr>
          <w:rFonts w:hint="eastAsia" w:ascii="宋体" w:hAnsi="宋体" w:eastAsia="宋体" w:cs="宋体"/>
          <w:color w:val="auto"/>
          <w:highlight w:val="none"/>
        </w:rPr>
        <w:t>、我方将严格遵守《中华人民共和国政府采购法》第七十七条的规定，即供应商有下列情形之一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pPr>
        <w:pStyle w:val="16"/>
        <w:numPr>
          <w:ilvl w:val="0"/>
          <w:numId w:val="6"/>
        </w:numPr>
        <w:tabs>
          <w:tab w:val="left" w:pos="945"/>
        </w:tabs>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提供虚假材料谋取中标、成交的；</w:t>
      </w:r>
    </w:p>
    <w:p>
      <w:pPr>
        <w:pStyle w:val="16"/>
        <w:numPr>
          <w:ilvl w:val="0"/>
          <w:numId w:val="6"/>
        </w:numPr>
        <w:tabs>
          <w:tab w:val="left" w:pos="945"/>
        </w:tabs>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采取不正当手段诋毁、排挤其他供应商的；</w:t>
      </w:r>
    </w:p>
    <w:p>
      <w:pPr>
        <w:pStyle w:val="16"/>
        <w:numPr>
          <w:ilvl w:val="0"/>
          <w:numId w:val="6"/>
        </w:numPr>
        <w:tabs>
          <w:tab w:val="left" w:pos="945"/>
        </w:tabs>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与采购人、其他供应商或者采购代理机构恶意串通的；</w:t>
      </w:r>
    </w:p>
    <w:p>
      <w:pPr>
        <w:pStyle w:val="16"/>
        <w:numPr>
          <w:ilvl w:val="0"/>
          <w:numId w:val="6"/>
        </w:numPr>
        <w:tabs>
          <w:tab w:val="left" w:pos="945"/>
        </w:tabs>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向采购人、采购代理机构行贿或者提供其他不正当利益的；</w:t>
      </w:r>
    </w:p>
    <w:p>
      <w:pPr>
        <w:pStyle w:val="16"/>
        <w:numPr>
          <w:ilvl w:val="0"/>
          <w:numId w:val="6"/>
        </w:numPr>
        <w:tabs>
          <w:tab w:val="left" w:pos="945"/>
        </w:tabs>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在采购过程中与采购人进行协商谈判的；</w:t>
      </w:r>
    </w:p>
    <w:p>
      <w:pPr>
        <w:pStyle w:val="16"/>
        <w:numPr>
          <w:ilvl w:val="0"/>
          <w:numId w:val="6"/>
        </w:numPr>
        <w:tabs>
          <w:tab w:val="left" w:pos="945"/>
        </w:tabs>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rPr>
        <w:t>拒绝有关部门监督检查或提供虚假情况的。</w:t>
      </w:r>
    </w:p>
    <w:p>
      <w:pPr>
        <w:pStyle w:val="16"/>
        <w:spacing w:line="360" w:lineRule="auto"/>
        <w:ind w:firstLine="420"/>
        <w:rPr>
          <w:rFonts w:hint="eastAsia" w:ascii="宋体" w:hAnsi="宋体" w:eastAsia="宋体" w:cs="宋体"/>
          <w:color w:val="auto"/>
          <w:highlight w:val="none"/>
        </w:rPr>
      </w:pPr>
      <w:r>
        <w:rPr>
          <w:rFonts w:hint="eastAsia" w:ascii="宋体" w:hAnsi="宋体" w:eastAsia="宋体" w:cs="宋体"/>
          <w:color w:val="auto"/>
          <w:highlight w:val="none"/>
          <w:lang w:eastAsia="zh-CN"/>
        </w:rPr>
        <w:t>11</w:t>
      </w:r>
      <w:r>
        <w:rPr>
          <w:rFonts w:hint="eastAsia" w:ascii="宋体" w:hAnsi="宋体" w:eastAsia="宋体" w:cs="宋体"/>
          <w:color w:val="auto"/>
          <w:highlight w:val="none"/>
        </w:rPr>
        <w:t>.与本</w:t>
      </w:r>
      <w:r>
        <w:rPr>
          <w:rFonts w:hint="eastAsia" w:ascii="宋体" w:hAnsi="宋体" w:eastAsia="宋体" w:cs="宋体"/>
          <w:color w:val="auto"/>
          <w:highlight w:val="none"/>
          <w:lang w:eastAsia="zh-CN"/>
        </w:rPr>
        <w:t>磋商</w:t>
      </w:r>
      <w:r>
        <w:rPr>
          <w:rFonts w:hint="eastAsia" w:ascii="宋体" w:hAnsi="宋体" w:eastAsia="宋体" w:cs="宋体"/>
          <w:color w:val="auto"/>
          <w:highlight w:val="none"/>
        </w:rPr>
        <w:t>有关的一切正式往来信函请寄：</w:t>
      </w:r>
      <w:r>
        <w:rPr>
          <w:rFonts w:hint="eastAsia" w:ascii="宋体" w:hAnsi="宋体" w:eastAsia="宋体" w:cs="宋体"/>
          <w:color w:val="auto"/>
          <w:highlight w:val="none"/>
          <w:u w:val="single"/>
        </w:rPr>
        <w:t xml:space="preserve"> </w:t>
      </w:r>
    </w:p>
    <w:p>
      <w:pPr>
        <w:pStyle w:val="16"/>
        <w:spacing w:line="360" w:lineRule="auto"/>
        <w:ind w:firstLine="420"/>
        <w:rPr>
          <w:rFonts w:hint="eastAsia" w:ascii="宋体" w:hAnsi="宋体" w:eastAsia="宋体" w:cs="宋体"/>
          <w:color w:val="auto"/>
          <w:highlight w:val="none"/>
        </w:rPr>
      </w:pPr>
      <w:r>
        <w:rPr>
          <w:rFonts w:hint="eastAsia" w:ascii="宋体" w:hAnsi="宋体" w:eastAsia="宋体" w:cs="宋体"/>
          <w:color w:val="auto"/>
          <w:highlight w:val="none"/>
        </w:rPr>
        <w:t>地址：</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 xml:space="preserve"> </w:t>
      </w:r>
    </w:p>
    <w:p>
      <w:pPr>
        <w:pStyle w:val="16"/>
        <w:spacing w:line="360" w:lineRule="auto"/>
        <w:ind w:firstLine="420"/>
        <w:rPr>
          <w:rFonts w:hint="eastAsia" w:ascii="宋体" w:hAnsi="宋体" w:eastAsia="宋体" w:cs="宋体"/>
          <w:color w:val="auto"/>
          <w:highlight w:val="none"/>
          <w:u w:val="single"/>
        </w:rPr>
      </w:pPr>
      <w:r>
        <w:rPr>
          <w:rFonts w:hint="eastAsia" w:ascii="宋体" w:hAnsi="宋体" w:eastAsia="宋体" w:cs="宋体"/>
          <w:color w:val="auto"/>
          <w:highlight w:val="none"/>
        </w:rPr>
        <w:t>电话：</w:t>
      </w:r>
      <w:r>
        <w:rPr>
          <w:rFonts w:hint="eastAsia" w:ascii="宋体" w:hAnsi="宋体" w:eastAsia="宋体" w:cs="宋体"/>
          <w:color w:val="auto"/>
          <w:highlight w:val="none"/>
          <w:u w:val="single"/>
        </w:rPr>
        <w:t xml:space="preserve">                                      　　　　　　　　　</w:t>
      </w:r>
    </w:p>
    <w:p>
      <w:pPr>
        <w:pStyle w:val="16"/>
        <w:spacing w:line="360" w:lineRule="auto"/>
        <w:ind w:firstLine="420"/>
        <w:rPr>
          <w:rFonts w:hint="eastAsia" w:ascii="宋体" w:hAnsi="宋体" w:eastAsia="宋体" w:cs="宋体"/>
          <w:color w:val="auto"/>
          <w:highlight w:val="none"/>
        </w:rPr>
      </w:pPr>
      <w:r>
        <w:rPr>
          <w:rFonts w:hint="eastAsia" w:ascii="宋体" w:hAnsi="宋体" w:eastAsia="宋体" w:cs="宋体"/>
          <w:color w:val="auto"/>
          <w:highlight w:val="none"/>
        </w:rPr>
        <w:t>传真：</w:t>
      </w:r>
      <w:r>
        <w:rPr>
          <w:rFonts w:hint="eastAsia" w:ascii="宋体" w:hAnsi="宋体" w:eastAsia="宋体" w:cs="宋体"/>
          <w:color w:val="auto"/>
          <w:highlight w:val="none"/>
          <w:u w:val="single"/>
        </w:rPr>
        <w:t>　　　　　　　　　　　　　　　　　　　　　　　　　　　　</w:t>
      </w:r>
    </w:p>
    <w:p>
      <w:pPr>
        <w:pStyle w:val="16"/>
        <w:spacing w:line="360" w:lineRule="auto"/>
        <w:ind w:firstLine="420"/>
        <w:rPr>
          <w:rFonts w:hint="eastAsia" w:ascii="宋体" w:hAnsi="宋体" w:eastAsia="宋体" w:cs="宋体"/>
          <w:color w:val="auto"/>
          <w:highlight w:val="none"/>
          <w:u w:val="single"/>
        </w:rPr>
      </w:pPr>
      <w:r>
        <w:rPr>
          <w:rFonts w:hint="eastAsia" w:ascii="宋体" w:hAnsi="宋体" w:eastAsia="宋体" w:cs="宋体"/>
          <w:color w:val="auto"/>
          <w:highlight w:val="none"/>
        </w:rPr>
        <w:t>邮政编码：</w:t>
      </w:r>
      <w:r>
        <w:rPr>
          <w:rFonts w:hint="eastAsia" w:ascii="宋体" w:hAnsi="宋体" w:eastAsia="宋体" w:cs="宋体"/>
          <w:color w:val="auto"/>
          <w:highlight w:val="none"/>
          <w:u w:val="single"/>
        </w:rPr>
        <w:t xml:space="preserve">                                                    </w:t>
      </w:r>
    </w:p>
    <w:p>
      <w:pPr>
        <w:pStyle w:val="16"/>
        <w:spacing w:line="360" w:lineRule="auto"/>
        <w:ind w:firstLine="420"/>
        <w:rPr>
          <w:rFonts w:hint="eastAsia" w:ascii="宋体" w:hAnsi="宋体" w:eastAsia="宋体" w:cs="宋体"/>
          <w:color w:val="auto"/>
          <w:highlight w:val="none"/>
          <w:u w:val="single"/>
        </w:rPr>
      </w:pPr>
      <w:r>
        <w:rPr>
          <w:rFonts w:hint="eastAsia" w:ascii="宋体" w:hAnsi="宋体" w:eastAsia="宋体" w:cs="宋体"/>
          <w:color w:val="auto"/>
          <w:highlight w:val="none"/>
        </w:rPr>
        <w:t>开户名称：</w:t>
      </w:r>
      <w:r>
        <w:rPr>
          <w:rFonts w:hint="eastAsia" w:ascii="宋体" w:hAnsi="宋体" w:eastAsia="宋体" w:cs="宋体"/>
          <w:color w:val="auto"/>
          <w:highlight w:val="none"/>
          <w:u w:val="single"/>
        </w:rPr>
        <w:t xml:space="preserve">                                                    </w:t>
      </w:r>
    </w:p>
    <w:p>
      <w:pPr>
        <w:pStyle w:val="16"/>
        <w:spacing w:line="360" w:lineRule="auto"/>
        <w:ind w:firstLine="420"/>
        <w:rPr>
          <w:rFonts w:hint="eastAsia" w:ascii="宋体" w:hAnsi="宋体" w:eastAsia="宋体" w:cs="宋体"/>
          <w:color w:val="auto"/>
          <w:highlight w:val="none"/>
          <w:u w:val="single"/>
        </w:rPr>
      </w:pPr>
      <w:r>
        <w:rPr>
          <w:rFonts w:hint="eastAsia" w:ascii="宋体" w:hAnsi="宋体" w:eastAsia="宋体" w:cs="宋体"/>
          <w:color w:val="auto"/>
          <w:highlight w:val="none"/>
        </w:rPr>
        <w:t>开户银行：</w:t>
      </w:r>
      <w:r>
        <w:rPr>
          <w:rFonts w:hint="eastAsia" w:ascii="宋体" w:hAnsi="宋体" w:eastAsia="宋体" w:cs="宋体"/>
          <w:color w:val="auto"/>
          <w:highlight w:val="none"/>
          <w:u w:val="single"/>
        </w:rPr>
        <w:t xml:space="preserve">                                                    </w:t>
      </w:r>
    </w:p>
    <w:p>
      <w:pPr>
        <w:pStyle w:val="16"/>
        <w:spacing w:line="360" w:lineRule="auto"/>
        <w:ind w:firstLine="420"/>
        <w:rPr>
          <w:rFonts w:hint="eastAsia" w:ascii="宋体" w:hAnsi="宋体" w:eastAsia="宋体" w:cs="宋体"/>
          <w:color w:val="auto"/>
          <w:highlight w:val="none"/>
          <w:u w:val="single"/>
        </w:rPr>
      </w:pPr>
      <w:r>
        <w:rPr>
          <w:rFonts w:hint="eastAsia" w:ascii="宋体" w:hAnsi="宋体" w:eastAsia="宋体" w:cs="宋体"/>
          <w:color w:val="auto"/>
          <w:highlight w:val="none"/>
        </w:rPr>
        <w:t>银行账号：</w:t>
      </w:r>
      <w:r>
        <w:rPr>
          <w:rFonts w:hint="eastAsia" w:ascii="宋体" w:hAnsi="宋体" w:eastAsia="宋体" w:cs="宋体"/>
          <w:color w:val="auto"/>
          <w:highlight w:val="none"/>
          <w:u w:val="single"/>
        </w:rPr>
        <w:t xml:space="preserve">                                                    </w:t>
      </w:r>
    </w:p>
    <w:p>
      <w:pPr>
        <w:pStyle w:val="14"/>
        <w:tabs>
          <w:tab w:val="left" w:pos="939"/>
        </w:tabs>
        <w:spacing w:line="360" w:lineRule="auto"/>
        <w:ind w:left="141" w:leftChars="67" w:firstLine="300" w:firstLineChars="150"/>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特此承诺。</w:t>
      </w:r>
    </w:p>
    <w:p>
      <w:pPr>
        <w:spacing w:line="360" w:lineRule="auto"/>
        <w:contextualSpacing/>
        <w:jc w:val="left"/>
        <w:rPr>
          <w:rFonts w:hint="eastAsia" w:ascii="宋体" w:hAnsi="宋体" w:eastAsia="宋体" w:cs="宋体"/>
          <w:color w:val="auto"/>
          <w:szCs w:val="21"/>
          <w:highlight w:val="none"/>
        </w:rPr>
      </w:pPr>
    </w:p>
    <w:p>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pPr>
        <w:autoSpaceDE w:val="0"/>
        <w:autoSpaceDN w:val="0"/>
        <w:spacing w:line="360" w:lineRule="auto"/>
        <w:ind w:firstLine="6480" w:firstLineChars="2700"/>
        <w:rPr>
          <w:rFonts w:hint="eastAsia" w:ascii="宋体" w:hAnsi="宋体" w:eastAsia="宋体" w:cs="宋体"/>
          <w:color w:val="auto"/>
          <w:kern w:val="0"/>
          <w:sz w:val="24"/>
          <w:highlight w:val="none"/>
          <w:lang w:val="zh-CN"/>
        </w:rPr>
        <w:sectPr>
          <w:pgSz w:w="11910" w:h="16840"/>
          <w:pgMar w:top="1440" w:right="1080" w:bottom="1440" w:left="1080" w:header="720" w:footer="720" w:gutter="0"/>
          <w:pgNumType w:fmt="decimal"/>
          <w:cols w:space="720" w:num="1"/>
        </w:sectPr>
      </w:pPr>
      <w:r>
        <w:rPr>
          <w:rFonts w:hint="eastAsia" w:ascii="宋体" w:hAnsi="宋体" w:eastAsia="宋体" w:cs="宋体"/>
          <w:color w:val="auto"/>
          <w:kern w:val="0"/>
          <w:sz w:val="24"/>
          <w:highlight w:val="none"/>
          <w:lang w:val="zh-CN"/>
        </w:rPr>
        <w:t>日期：  年  月   日</w:t>
      </w:r>
    </w:p>
    <w:p>
      <w:pPr>
        <w:spacing w:line="520" w:lineRule="exact"/>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二、响应报价表</w:t>
      </w:r>
    </w:p>
    <w:p>
      <w:pPr>
        <w:snapToGrid w:val="0"/>
        <w:spacing w:before="50" w:after="50" w:line="360" w:lineRule="auto"/>
        <w:ind w:right="-508" w:rightChars="-242"/>
        <w:rPr>
          <w:rFonts w:hint="eastAsia" w:ascii="宋体" w:hAnsi="宋体" w:eastAsia="宋体" w:cs="宋体"/>
          <w:color w:val="auto"/>
          <w:sz w:val="24"/>
          <w:highlight w:val="none"/>
        </w:rPr>
      </w:pPr>
      <w:r>
        <w:rPr>
          <w:rFonts w:hint="eastAsia" w:ascii="宋体" w:hAnsi="宋体" w:eastAsia="宋体" w:cs="宋体"/>
          <w:color w:val="auto"/>
          <w:sz w:val="24"/>
          <w:highlight w:val="none"/>
        </w:rPr>
        <w:t>项目名称：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p>
    <w:p>
      <w:pPr>
        <w:snapToGrid w:val="0"/>
        <w:spacing w:before="50" w:after="50"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lang w:eastAsia="zh-CN"/>
        </w:rPr>
        <w:t>项目编号：</w:t>
      </w:r>
      <w:r>
        <w:rPr>
          <w:rFonts w:hint="eastAsia" w:ascii="宋体" w:hAnsi="宋体" w:eastAsia="宋体" w:cs="宋体"/>
          <w:color w:val="auto"/>
          <w:sz w:val="24"/>
          <w:highlight w:val="none"/>
          <w:u w:val="single"/>
          <w:lang w:eastAsia="zh-CN"/>
        </w:rPr>
        <w:t xml:space="preserve">    </w:t>
      </w:r>
      <w:r>
        <w:rPr>
          <w:rFonts w:hint="eastAsia" w:ascii="宋体" w:hAnsi="宋体" w:eastAsia="宋体" w:cs="宋体"/>
          <w:color w:val="auto"/>
          <w:sz w:val="24"/>
          <w:highlight w:val="none"/>
          <w:u w:val="single"/>
        </w:rPr>
        <w:t xml:space="preserve">        </w:t>
      </w:r>
    </w:p>
    <w:p>
      <w:pPr>
        <w:snapToGrid w:val="0"/>
        <w:spacing w:before="50" w:after="50"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分标：</w:t>
      </w:r>
      <w:r>
        <w:rPr>
          <w:rFonts w:hint="eastAsia" w:ascii="宋体" w:hAnsi="宋体" w:eastAsia="宋体" w:cs="宋体"/>
          <w:color w:val="auto"/>
          <w:sz w:val="24"/>
          <w:highlight w:val="none"/>
          <w:u w:val="single"/>
        </w:rPr>
        <w:t xml:space="preserve">           </w:t>
      </w:r>
    </w:p>
    <w:p>
      <w:pPr>
        <w:snapToGrid w:val="0"/>
        <w:spacing w:before="50" w:after="50"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p>
    <w:tbl>
      <w:tblPr>
        <w:tblStyle w:val="28"/>
        <w:tblW w:w="98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1260"/>
        <w:gridCol w:w="2064"/>
        <w:gridCol w:w="1080"/>
        <w:gridCol w:w="1260"/>
        <w:gridCol w:w="1516"/>
        <w:gridCol w:w="1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33" w:hRule="atLeast"/>
        </w:trPr>
        <w:tc>
          <w:tcPr>
            <w:tcW w:w="71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序号</w:t>
            </w:r>
          </w:p>
        </w:tc>
        <w:tc>
          <w:tcPr>
            <w:tcW w:w="126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highlight w:val="none"/>
              </w:rPr>
            </w:pPr>
            <w:bookmarkStart w:id="120" w:name="OLE_LINK25"/>
            <w:r>
              <w:rPr>
                <w:rFonts w:hint="eastAsia" w:ascii="宋体" w:hAnsi="宋体" w:eastAsia="宋体" w:cs="宋体"/>
                <w:color w:val="auto"/>
                <w:highlight w:val="none"/>
              </w:rPr>
              <w:t>服务名称</w:t>
            </w:r>
            <w:bookmarkEnd w:id="120"/>
          </w:p>
        </w:tc>
        <w:tc>
          <w:tcPr>
            <w:tcW w:w="206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highlight w:val="none"/>
              </w:rPr>
            </w:pPr>
            <w:bookmarkStart w:id="121" w:name="OLE_LINK26"/>
            <w:r>
              <w:rPr>
                <w:rFonts w:hint="eastAsia" w:ascii="宋体" w:hAnsi="宋体" w:eastAsia="宋体" w:cs="宋体"/>
                <w:color w:val="auto"/>
                <w:highlight w:val="none"/>
              </w:rPr>
              <w:t>具体服务内容</w:t>
            </w:r>
            <w:bookmarkEnd w:id="121"/>
          </w:p>
        </w:tc>
        <w:tc>
          <w:tcPr>
            <w:tcW w:w="108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highlight w:val="none"/>
              </w:rPr>
            </w:pPr>
            <w:bookmarkStart w:id="122" w:name="OLE_LINK27"/>
            <w:r>
              <w:rPr>
                <w:rFonts w:hint="eastAsia" w:ascii="宋体" w:hAnsi="宋体" w:eastAsia="宋体" w:cs="宋体"/>
                <w:color w:val="auto"/>
                <w:highlight w:val="none"/>
              </w:rPr>
              <w:t>数量①</w:t>
            </w:r>
            <w:bookmarkEnd w:id="122"/>
          </w:p>
        </w:tc>
        <w:tc>
          <w:tcPr>
            <w:tcW w:w="126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highlight w:val="none"/>
              </w:rPr>
            </w:pPr>
            <w:bookmarkStart w:id="123" w:name="OLE_LINK28"/>
            <w:r>
              <w:rPr>
                <w:rFonts w:hint="eastAsia" w:ascii="宋体" w:hAnsi="宋体" w:eastAsia="宋体" w:cs="宋体"/>
                <w:color w:val="auto"/>
                <w:highlight w:val="none"/>
              </w:rPr>
              <w:t>单价(元)②</w:t>
            </w:r>
            <w:bookmarkEnd w:id="123"/>
          </w:p>
        </w:tc>
        <w:tc>
          <w:tcPr>
            <w:tcW w:w="151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单项合价（元）</w:t>
            </w:r>
          </w:p>
          <w:p>
            <w:pPr>
              <w:jc w:val="center"/>
              <w:rPr>
                <w:rFonts w:hint="eastAsia" w:ascii="宋体" w:hAnsi="宋体" w:eastAsia="宋体" w:cs="宋体"/>
                <w:color w:val="auto"/>
                <w:highlight w:val="none"/>
              </w:rPr>
            </w:pPr>
            <w:r>
              <w:rPr>
                <w:rFonts w:hint="eastAsia" w:ascii="宋体" w:hAnsi="宋体" w:eastAsia="宋体" w:cs="宋体"/>
                <w:color w:val="auto"/>
                <w:highlight w:val="none"/>
              </w:rPr>
              <w:t>③＝①×②</w:t>
            </w:r>
          </w:p>
        </w:tc>
        <w:tc>
          <w:tcPr>
            <w:tcW w:w="191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提交服务成果时间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5" w:hRule="atLeast"/>
        </w:trPr>
        <w:tc>
          <w:tcPr>
            <w:tcW w:w="719"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color w:val="auto"/>
                <w:highlight w:val="none"/>
              </w:rPr>
            </w:pPr>
            <w:r>
              <w:rPr>
                <w:rFonts w:hint="eastAsia" w:ascii="宋体" w:hAnsi="宋体" w:eastAsia="宋体" w:cs="宋体"/>
                <w:color w:val="auto"/>
                <w:highlight w:val="none"/>
              </w:rPr>
              <w:t>1</w:t>
            </w:r>
          </w:p>
        </w:tc>
        <w:tc>
          <w:tcPr>
            <w:tcW w:w="1260"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color w:val="auto"/>
                <w:highlight w:val="none"/>
              </w:rPr>
            </w:pPr>
          </w:p>
        </w:tc>
        <w:tc>
          <w:tcPr>
            <w:tcW w:w="2064"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color w:val="auto"/>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color w:val="auto"/>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color w:val="auto"/>
                <w:highlight w:val="none"/>
              </w:rPr>
            </w:pPr>
          </w:p>
        </w:tc>
        <w:tc>
          <w:tcPr>
            <w:tcW w:w="1516"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color w:val="auto"/>
                <w:highlight w:val="none"/>
              </w:rPr>
            </w:pPr>
          </w:p>
        </w:tc>
        <w:tc>
          <w:tcPr>
            <w:tcW w:w="1914" w:type="dxa"/>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1" w:hRule="atLeast"/>
        </w:trPr>
        <w:tc>
          <w:tcPr>
            <w:tcW w:w="719"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color w:val="auto"/>
                <w:highlight w:val="none"/>
              </w:rPr>
            </w:pPr>
            <w:r>
              <w:rPr>
                <w:rFonts w:hint="eastAsia" w:ascii="宋体" w:hAnsi="宋体" w:eastAsia="宋体" w:cs="宋体"/>
                <w:color w:val="auto"/>
                <w:highlight w:val="none"/>
              </w:rPr>
              <w:t>2</w:t>
            </w:r>
          </w:p>
        </w:tc>
        <w:tc>
          <w:tcPr>
            <w:tcW w:w="1260"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color w:val="auto"/>
                <w:highlight w:val="none"/>
              </w:rPr>
            </w:pPr>
          </w:p>
        </w:tc>
        <w:tc>
          <w:tcPr>
            <w:tcW w:w="2064"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color w:val="auto"/>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color w:val="auto"/>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color w:val="auto"/>
                <w:highlight w:val="none"/>
              </w:rPr>
            </w:pPr>
          </w:p>
        </w:tc>
        <w:tc>
          <w:tcPr>
            <w:tcW w:w="1516"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color w:val="auto"/>
                <w:highlight w:val="none"/>
              </w:rPr>
            </w:pPr>
          </w:p>
        </w:tc>
        <w:tc>
          <w:tcPr>
            <w:tcW w:w="1914" w:type="dxa"/>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98" w:hRule="atLeast"/>
        </w:trPr>
        <w:tc>
          <w:tcPr>
            <w:tcW w:w="719"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color w:val="auto"/>
                <w:highlight w:val="none"/>
              </w:rPr>
            </w:pPr>
            <w:r>
              <w:rPr>
                <w:rFonts w:hint="eastAsia" w:ascii="宋体" w:hAnsi="宋体" w:eastAsia="宋体" w:cs="宋体"/>
                <w:color w:val="auto"/>
                <w:highlight w:val="none"/>
              </w:rPr>
              <w:t>...</w:t>
            </w:r>
          </w:p>
        </w:tc>
        <w:tc>
          <w:tcPr>
            <w:tcW w:w="1260"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color w:val="auto"/>
                <w:highlight w:val="none"/>
              </w:rPr>
            </w:pPr>
          </w:p>
        </w:tc>
        <w:tc>
          <w:tcPr>
            <w:tcW w:w="2064"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color w:val="auto"/>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color w:val="auto"/>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color w:val="auto"/>
                <w:highlight w:val="none"/>
              </w:rPr>
            </w:pPr>
          </w:p>
        </w:tc>
        <w:tc>
          <w:tcPr>
            <w:tcW w:w="1516"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color w:val="auto"/>
                <w:highlight w:val="none"/>
              </w:rPr>
            </w:pPr>
          </w:p>
        </w:tc>
        <w:tc>
          <w:tcPr>
            <w:tcW w:w="1914" w:type="dxa"/>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24" w:hRule="atLeast"/>
        </w:trPr>
        <w:tc>
          <w:tcPr>
            <w:tcW w:w="9813" w:type="dxa"/>
            <w:gridSpan w:val="7"/>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eastAsia="宋体" w:cs="宋体"/>
                <w:color w:val="auto"/>
                <w:highlight w:val="none"/>
              </w:rPr>
            </w:pPr>
            <w:r>
              <w:rPr>
                <w:rFonts w:hint="eastAsia" w:ascii="宋体" w:hAnsi="宋体"/>
                <w:color w:val="auto"/>
                <w:szCs w:val="22"/>
                <w:highlight w:val="none"/>
              </w:rPr>
              <w:t>报价合计（包含税费等所有费用）：（大写）人民币                                       （￥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24" w:hRule="atLeast"/>
        </w:trPr>
        <w:tc>
          <w:tcPr>
            <w:tcW w:w="9813" w:type="dxa"/>
            <w:gridSpan w:val="7"/>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eastAsia="宋体" w:cs="宋体"/>
                <w:color w:val="auto"/>
                <w:highlight w:val="none"/>
              </w:rPr>
            </w:pPr>
            <w:r>
              <w:rPr>
                <w:rFonts w:hint="eastAsia" w:ascii="宋体" w:hAnsi="宋体"/>
                <w:color w:val="auto"/>
                <w:szCs w:val="21"/>
                <w:highlight w:val="none"/>
                <w:u w:val="single"/>
              </w:rPr>
              <w:t>　　</w:t>
            </w:r>
            <w:r>
              <w:rPr>
                <w:rFonts w:hint="eastAsia" w:ascii="宋体" w:hAnsi="宋体"/>
                <w:color w:val="auto"/>
                <w:szCs w:val="21"/>
                <w:highlight w:val="none"/>
              </w:rPr>
              <w:t>分标（此处有分标时填写具体分标号，无分标时填写“无”）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24" w:hRule="atLeast"/>
        </w:trPr>
        <w:tc>
          <w:tcPr>
            <w:tcW w:w="9813" w:type="dxa"/>
            <w:gridSpan w:val="7"/>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eastAsia="宋体" w:cs="宋体"/>
                <w:color w:val="auto"/>
                <w:highlight w:val="none"/>
              </w:rPr>
            </w:pPr>
            <w:r>
              <w:rPr>
                <w:rFonts w:hint="eastAsia" w:ascii="宋体" w:hAnsi="宋体"/>
                <w:color w:val="auto"/>
                <w:szCs w:val="22"/>
                <w:highlight w:val="none"/>
              </w:rPr>
              <w:t>验收标准：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24" w:hRule="atLeast"/>
        </w:trPr>
        <w:tc>
          <w:tcPr>
            <w:tcW w:w="9813" w:type="dxa"/>
            <w:gridSpan w:val="7"/>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cs="宋体"/>
                <w:color w:val="auto"/>
                <w:highlight w:val="none"/>
                <w:lang w:eastAsia="zh-CN"/>
              </w:rPr>
            </w:pPr>
            <w:r>
              <w:rPr>
                <w:rFonts w:hint="eastAsia" w:ascii="宋体" w:hAnsi="宋体"/>
                <w:color w:val="auto"/>
                <w:szCs w:val="22"/>
                <w:highlight w:val="none"/>
              </w:rPr>
              <w:t>优惠及其它：</w:t>
            </w:r>
          </w:p>
        </w:tc>
      </w:tr>
    </w:tbl>
    <w:p>
      <w:pPr>
        <w:snapToGrid w:val="0"/>
        <w:spacing w:before="50" w:after="50"/>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注： </w:t>
      </w:r>
    </w:p>
    <w:p>
      <w:pPr>
        <w:snapToGrid w:val="0"/>
        <w:spacing w:before="50" w:after="50"/>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1、 供应商需按本表格式填写，不得自行更改，也不得留空, 如有多分标，按分标分别提供响应报价表</w:t>
      </w:r>
      <w:r>
        <w:rPr>
          <w:rFonts w:hint="eastAsia" w:ascii="宋体" w:hAnsi="宋体" w:eastAsia="宋体" w:cs="宋体"/>
          <w:b/>
          <w:color w:val="auto"/>
          <w:kern w:val="0"/>
          <w:sz w:val="24"/>
          <w:highlight w:val="none"/>
          <w:lang w:val="zh-CN"/>
        </w:rPr>
        <w:t>。</w:t>
      </w:r>
    </w:p>
    <w:p>
      <w:pPr>
        <w:snapToGrid w:val="0"/>
        <w:spacing w:before="50" w:after="50"/>
        <w:ind w:firstLine="480" w:firstLineChars="200"/>
        <w:jc w:val="left"/>
        <w:rPr>
          <w:rFonts w:hint="eastAsia" w:ascii="宋体" w:hAnsi="宋体" w:eastAsia="宋体" w:cs="宋体"/>
          <w:b/>
          <w:color w:val="auto"/>
          <w:kern w:val="0"/>
          <w:sz w:val="24"/>
          <w:highlight w:val="none"/>
          <w:lang w:val="zh-CN"/>
        </w:rPr>
      </w:pPr>
      <w:r>
        <w:rPr>
          <w:rFonts w:hint="eastAsia" w:ascii="宋体" w:hAnsi="宋体" w:eastAsia="宋体" w:cs="宋体"/>
          <w:color w:val="auto"/>
          <w:kern w:val="0"/>
          <w:sz w:val="24"/>
          <w:highlight w:val="none"/>
          <w:lang w:val="zh-CN"/>
        </w:rPr>
        <w:t>2、如为联合体响应的，“供应商名称”处必须列明联合体各方名称，并标注联合体牵头人名称，且盖章处须加盖联合体各方公章，</w:t>
      </w:r>
      <w:r>
        <w:rPr>
          <w:rFonts w:hint="eastAsia" w:ascii="宋体" w:hAnsi="宋体" w:eastAsia="宋体" w:cs="宋体"/>
          <w:b/>
          <w:color w:val="auto"/>
          <w:kern w:val="0"/>
          <w:sz w:val="24"/>
          <w:highlight w:val="none"/>
          <w:lang w:val="zh-CN"/>
        </w:rPr>
        <w:t>否则其响应作无效响应处理。</w:t>
      </w:r>
    </w:p>
    <w:p>
      <w:pPr>
        <w:snapToGrid w:val="0"/>
        <w:spacing w:before="50" w:after="50"/>
        <w:ind w:firstLine="480" w:firstLineChars="200"/>
        <w:jc w:val="left"/>
        <w:rPr>
          <w:rFonts w:hint="eastAsia" w:ascii="宋体" w:hAnsi="宋体" w:eastAsia="宋体" w:cs="宋体"/>
          <w:b/>
          <w:color w:val="auto"/>
          <w:kern w:val="0"/>
          <w:sz w:val="24"/>
          <w:highlight w:val="none"/>
          <w:lang w:val="zh-CN"/>
        </w:rPr>
      </w:pPr>
      <w:r>
        <w:rPr>
          <w:rFonts w:hint="eastAsia" w:ascii="宋体" w:hAnsi="宋体" w:eastAsia="宋体" w:cs="宋体"/>
          <w:color w:val="auto"/>
          <w:kern w:val="0"/>
          <w:sz w:val="24"/>
          <w:highlight w:val="none"/>
          <w:lang w:val="zh-CN"/>
        </w:rPr>
        <w:t>3、以上表格要求细分项目及报价，在“具体服务内容”一栏中，填写具体服务，，</w:t>
      </w:r>
      <w:r>
        <w:rPr>
          <w:rFonts w:hint="eastAsia" w:ascii="宋体" w:hAnsi="宋体" w:eastAsia="宋体" w:cs="宋体"/>
          <w:b/>
          <w:color w:val="auto"/>
          <w:kern w:val="0"/>
          <w:sz w:val="24"/>
          <w:highlight w:val="none"/>
          <w:lang w:val="zh-CN"/>
        </w:rPr>
        <w:t>否则其响应作无效响应处理。</w:t>
      </w:r>
    </w:p>
    <w:p>
      <w:pPr>
        <w:snapToGrid w:val="0"/>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4、特别提示：采购机构将对项目名称和项目编号，成交供应商名称、地址和成交金额，主要成交标的的名称、规格型号、数量、单价、服务要求等予以公示。</w:t>
      </w:r>
    </w:p>
    <w:p>
      <w:pPr>
        <w:snapToGrid w:val="0"/>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5、符合采购文件中列明的可享受中小企业扶持政策的供应商，请填写中小企业声明函。注：供应商提供的中小企业声明函内容不实的，属于提供虚假材料谋取中标、成交，依照《中华人民共和国政府采购法》等国家有关规定追究相应责任。</w:t>
      </w:r>
    </w:p>
    <w:p>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p>
    <w:p>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pPr>
        <w:pStyle w:val="16"/>
        <w:spacing w:line="500" w:lineRule="exact"/>
        <w:ind w:firstLine="6360" w:firstLineChars="2650"/>
        <w:rPr>
          <w:rFonts w:hint="eastAsia" w:ascii="宋体" w:hAnsi="宋体" w:eastAsia="宋体" w:cs="宋体"/>
          <w:color w:val="auto"/>
          <w:sz w:val="24"/>
          <w:highlight w:val="none"/>
          <w:lang w:val="zh-CN"/>
        </w:rPr>
        <w:sectPr>
          <w:pgSz w:w="11910" w:h="16840"/>
          <w:pgMar w:top="1440" w:right="1080" w:bottom="1440" w:left="1080" w:header="720" w:footer="720" w:gutter="0"/>
          <w:pgNumType w:fmt="decimal"/>
          <w:cols w:space="720" w:num="1"/>
        </w:sectPr>
      </w:pPr>
      <w:r>
        <w:rPr>
          <w:rFonts w:hint="eastAsia" w:ascii="宋体" w:hAnsi="宋体" w:eastAsia="宋体" w:cs="宋体"/>
          <w:color w:val="auto"/>
          <w:sz w:val="24"/>
          <w:highlight w:val="none"/>
          <w:lang w:val="zh-CN"/>
        </w:rPr>
        <w:t>日期：  年  月   日</w:t>
      </w:r>
    </w:p>
    <w:p>
      <w:pPr>
        <w:numPr>
          <w:numId w:val="0"/>
        </w:numPr>
        <w:spacing w:line="520" w:lineRule="exact"/>
        <w:ind w:leftChars="0"/>
        <w:jc w:val="center"/>
        <w:rPr>
          <w:rFonts w:hint="eastAsia" w:ascii="宋体" w:hAnsi="宋体" w:cs="宋体"/>
          <w:b/>
          <w:bCs/>
          <w:color w:val="auto"/>
          <w:sz w:val="32"/>
          <w:szCs w:val="32"/>
          <w:highlight w:val="none"/>
          <w:lang w:val="en-US" w:eastAsia="zh-CN"/>
        </w:rPr>
      </w:pPr>
      <w:r>
        <w:rPr>
          <w:rFonts w:hint="eastAsia" w:ascii="宋体" w:hAnsi="宋体" w:cs="宋体"/>
          <w:b/>
          <w:bCs/>
          <w:color w:val="auto"/>
          <w:sz w:val="32"/>
          <w:szCs w:val="32"/>
          <w:highlight w:val="none"/>
          <w:lang w:val="en-US" w:eastAsia="zh-CN"/>
        </w:rPr>
        <w:t>三、报价明细表</w:t>
      </w:r>
    </w:p>
    <w:tbl>
      <w:tblPr>
        <w:tblStyle w:val="29"/>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2"/>
        <w:gridCol w:w="690"/>
        <w:gridCol w:w="1135"/>
        <w:gridCol w:w="158"/>
        <w:gridCol w:w="1062"/>
        <w:gridCol w:w="231"/>
        <w:gridCol w:w="1293"/>
        <w:gridCol w:w="5918"/>
        <w:gridCol w:w="799"/>
        <w:gridCol w:w="898"/>
        <w:gridCol w:w="773"/>
        <w:gridCol w:w="6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1" w:hRule="atLeast"/>
        </w:trPr>
        <w:tc>
          <w:tcPr>
            <w:tcW w:w="612" w:type="dxa"/>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序号</w:t>
            </w:r>
          </w:p>
        </w:tc>
        <w:tc>
          <w:tcPr>
            <w:tcW w:w="690" w:type="dxa"/>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种类</w:t>
            </w:r>
          </w:p>
        </w:tc>
        <w:tc>
          <w:tcPr>
            <w:tcW w:w="1135" w:type="dxa"/>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内容</w:t>
            </w:r>
          </w:p>
        </w:tc>
        <w:tc>
          <w:tcPr>
            <w:tcW w:w="1220" w:type="dxa"/>
            <w:gridSpan w:val="2"/>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产品</w:t>
            </w:r>
          </w:p>
        </w:tc>
        <w:tc>
          <w:tcPr>
            <w:tcW w:w="1524" w:type="dxa"/>
            <w:gridSpan w:val="2"/>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功能</w:t>
            </w:r>
          </w:p>
        </w:tc>
        <w:tc>
          <w:tcPr>
            <w:tcW w:w="5918" w:type="dxa"/>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基本参数</w:t>
            </w:r>
          </w:p>
        </w:tc>
        <w:tc>
          <w:tcPr>
            <w:tcW w:w="799" w:type="dxa"/>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单位</w:t>
            </w:r>
          </w:p>
        </w:tc>
        <w:tc>
          <w:tcPr>
            <w:tcW w:w="1671" w:type="dxa"/>
            <w:gridSpan w:val="2"/>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限价范围/元</w:t>
            </w:r>
          </w:p>
        </w:tc>
        <w:tc>
          <w:tcPr>
            <w:tcW w:w="605" w:type="dxa"/>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cs="宋体"/>
                <w:color w:val="auto"/>
                <w:sz w:val="18"/>
                <w:szCs w:val="18"/>
                <w:highlight w:val="none"/>
                <w:vertAlign w:val="baseline"/>
                <w:lang w:val="en-US" w:eastAsia="zh-CN"/>
              </w:rPr>
              <w:t>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trPr>
        <w:tc>
          <w:tcPr>
            <w:tcW w:w="612" w:type="dxa"/>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1</w:t>
            </w:r>
          </w:p>
        </w:tc>
        <w:tc>
          <w:tcPr>
            <w:tcW w:w="690" w:type="dxa"/>
            <w:vMerge w:val="restart"/>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rPr>
              <w:t>地面改造</w:t>
            </w:r>
          </w:p>
        </w:tc>
        <w:tc>
          <w:tcPr>
            <w:tcW w:w="1135" w:type="dxa"/>
            <w:vMerge w:val="restart"/>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rPr>
              <w:t>防滑处理</w:t>
            </w:r>
          </w:p>
        </w:tc>
        <w:tc>
          <w:tcPr>
            <w:tcW w:w="1220" w:type="dxa"/>
            <w:gridSpan w:val="2"/>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防滑砖</w:t>
            </w:r>
          </w:p>
        </w:tc>
        <w:tc>
          <w:tcPr>
            <w:tcW w:w="1524" w:type="dxa"/>
            <w:gridSpan w:val="2"/>
            <w:vMerge w:val="restart"/>
            <w:vAlign w:val="center"/>
          </w:tcPr>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在卫生间、厨房、卧室等区域铺设，避免老年人滑倒，提高安全性。</w:t>
            </w:r>
          </w:p>
        </w:tc>
        <w:tc>
          <w:tcPr>
            <w:tcW w:w="5918" w:type="dxa"/>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防滑设计，超强耐磨，防滑力强。</w:t>
            </w:r>
          </w:p>
        </w:tc>
        <w:tc>
          <w:tcPr>
            <w:tcW w:w="799" w:type="dxa"/>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平方米</w:t>
            </w:r>
          </w:p>
        </w:tc>
        <w:tc>
          <w:tcPr>
            <w:tcW w:w="1671" w:type="dxa"/>
            <w:gridSpan w:val="2"/>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200.00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2</w:t>
            </w:r>
          </w:p>
        </w:tc>
        <w:tc>
          <w:tcPr>
            <w:tcW w:w="690" w:type="dxa"/>
            <w:vMerge w:val="continue"/>
            <w:vAlign w:val="center"/>
          </w:tcPr>
          <w:p>
            <w:pPr>
              <w:jc w:val="center"/>
              <w:rPr>
                <w:rFonts w:hint="eastAsia" w:ascii="宋体" w:hAnsi="宋体" w:eastAsia="宋体" w:cs="宋体"/>
                <w:color w:val="auto"/>
                <w:sz w:val="18"/>
                <w:szCs w:val="18"/>
                <w:highlight w:val="none"/>
                <w:vertAlign w:val="baseline"/>
              </w:rPr>
            </w:pPr>
          </w:p>
        </w:tc>
        <w:tc>
          <w:tcPr>
            <w:tcW w:w="1135" w:type="dxa"/>
            <w:vMerge w:val="continue"/>
            <w:vAlign w:val="center"/>
          </w:tcPr>
          <w:p>
            <w:pPr>
              <w:jc w:val="center"/>
              <w:rPr>
                <w:rFonts w:hint="eastAsia" w:ascii="宋体" w:hAnsi="宋体" w:eastAsia="宋体" w:cs="宋体"/>
                <w:color w:val="auto"/>
                <w:sz w:val="18"/>
                <w:szCs w:val="18"/>
                <w:highlight w:val="none"/>
                <w:vertAlign w:val="baseline"/>
              </w:rPr>
            </w:pPr>
          </w:p>
        </w:tc>
        <w:tc>
          <w:tcPr>
            <w:tcW w:w="1220" w:type="dxa"/>
            <w:gridSpan w:val="2"/>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防滑地胶</w:t>
            </w:r>
          </w:p>
        </w:tc>
        <w:tc>
          <w:tcPr>
            <w:tcW w:w="1524" w:type="dxa"/>
            <w:gridSpan w:val="2"/>
            <w:vMerge w:val="continue"/>
            <w:vAlign w:val="center"/>
          </w:tcPr>
          <w:p>
            <w:pPr>
              <w:jc w:val="center"/>
              <w:rPr>
                <w:rFonts w:hint="eastAsia" w:ascii="宋体" w:hAnsi="宋体" w:eastAsia="宋体" w:cs="宋体"/>
                <w:color w:val="auto"/>
                <w:sz w:val="18"/>
                <w:szCs w:val="18"/>
                <w:highlight w:val="none"/>
                <w:vertAlign w:val="baseline"/>
              </w:rPr>
            </w:pPr>
          </w:p>
        </w:tc>
        <w:tc>
          <w:tcPr>
            <w:tcW w:w="5918" w:type="dxa"/>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防滑、质地柔软有弹性，脚感舒适、超强耐磨。</w:t>
            </w:r>
          </w:p>
        </w:tc>
        <w:tc>
          <w:tcPr>
            <w:tcW w:w="799" w:type="dxa"/>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平方米</w:t>
            </w:r>
          </w:p>
        </w:tc>
        <w:tc>
          <w:tcPr>
            <w:tcW w:w="1671" w:type="dxa"/>
            <w:gridSpan w:val="2"/>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220.00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0" w:hRule="atLeast"/>
        </w:trPr>
        <w:tc>
          <w:tcPr>
            <w:tcW w:w="612" w:type="dxa"/>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3</w:t>
            </w:r>
          </w:p>
        </w:tc>
        <w:tc>
          <w:tcPr>
            <w:tcW w:w="690" w:type="dxa"/>
            <w:vMerge w:val="continue"/>
            <w:vAlign w:val="center"/>
          </w:tcPr>
          <w:p>
            <w:pPr>
              <w:jc w:val="center"/>
              <w:rPr>
                <w:rFonts w:hint="eastAsia" w:ascii="宋体" w:hAnsi="宋体" w:eastAsia="宋体" w:cs="宋体"/>
                <w:color w:val="auto"/>
                <w:sz w:val="18"/>
                <w:szCs w:val="18"/>
                <w:highlight w:val="none"/>
                <w:vertAlign w:val="baseline"/>
              </w:rPr>
            </w:pPr>
          </w:p>
        </w:tc>
        <w:tc>
          <w:tcPr>
            <w:tcW w:w="1135" w:type="dxa"/>
            <w:vMerge w:val="continue"/>
            <w:vAlign w:val="center"/>
          </w:tcPr>
          <w:p>
            <w:pPr>
              <w:jc w:val="center"/>
              <w:rPr>
                <w:rFonts w:hint="eastAsia" w:ascii="宋体" w:hAnsi="宋体" w:eastAsia="宋体" w:cs="宋体"/>
                <w:color w:val="auto"/>
                <w:sz w:val="18"/>
                <w:szCs w:val="18"/>
                <w:highlight w:val="none"/>
                <w:vertAlign w:val="baseline"/>
              </w:rPr>
            </w:pPr>
          </w:p>
        </w:tc>
        <w:tc>
          <w:tcPr>
            <w:tcW w:w="1220" w:type="dxa"/>
            <w:gridSpan w:val="2"/>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防滑地垫</w:t>
            </w:r>
          </w:p>
        </w:tc>
        <w:tc>
          <w:tcPr>
            <w:tcW w:w="1524" w:type="dxa"/>
            <w:gridSpan w:val="2"/>
            <w:vMerge w:val="continue"/>
            <w:vAlign w:val="center"/>
          </w:tcPr>
          <w:p>
            <w:pPr>
              <w:jc w:val="center"/>
              <w:rPr>
                <w:rFonts w:hint="eastAsia" w:ascii="宋体" w:hAnsi="宋体" w:eastAsia="宋体" w:cs="宋体"/>
                <w:color w:val="auto"/>
                <w:sz w:val="18"/>
                <w:szCs w:val="18"/>
                <w:highlight w:val="none"/>
                <w:vertAlign w:val="baseline"/>
              </w:rPr>
            </w:pPr>
          </w:p>
        </w:tc>
        <w:tc>
          <w:tcPr>
            <w:tcW w:w="5918" w:type="dxa"/>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PVC 材质；正面小圆点按摩，真空吸盘可轻松吸附于光滑地面，不会偏移；吸附力强，透水快。</w:t>
            </w:r>
          </w:p>
        </w:tc>
        <w:tc>
          <w:tcPr>
            <w:tcW w:w="799" w:type="dxa"/>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张</w:t>
            </w:r>
          </w:p>
        </w:tc>
        <w:tc>
          <w:tcPr>
            <w:tcW w:w="1671" w:type="dxa"/>
            <w:gridSpan w:val="2"/>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85.00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trPr>
        <w:tc>
          <w:tcPr>
            <w:tcW w:w="612" w:type="dxa"/>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4</w:t>
            </w:r>
          </w:p>
        </w:tc>
        <w:tc>
          <w:tcPr>
            <w:tcW w:w="690" w:type="dxa"/>
            <w:vMerge w:val="continue"/>
            <w:vAlign w:val="center"/>
          </w:tcPr>
          <w:p>
            <w:pPr>
              <w:jc w:val="center"/>
              <w:rPr>
                <w:rFonts w:hint="eastAsia" w:ascii="宋体" w:hAnsi="宋体" w:eastAsia="宋体" w:cs="宋体"/>
                <w:color w:val="auto"/>
                <w:sz w:val="18"/>
                <w:szCs w:val="18"/>
                <w:highlight w:val="none"/>
                <w:vertAlign w:val="baseline"/>
              </w:rPr>
            </w:pPr>
          </w:p>
        </w:tc>
        <w:tc>
          <w:tcPr>
            <w:tcW w:w="1135" w:type="dxa"/>
            <w:vMerge w:val="restart"/>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高差处理</w:t>
            </w:r>
          </w:p>
        </w:tc>
        <w:tc>
          <w:tcPr>
            <w:tcW w:w="1220" w:type="dxa"/>
            <w:gridSpan w:val="2"/>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水泥坡道</w:t>
            </w:r>
          </w:p>
        </w:tc>
        <w:tc>
          <w:tcPr>
            <w:tcW w:w="1524" w:type="dxa"/>
            <w:gridSpan w:val="2"/>
            <w:vMerge w:val="restart"/>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保证路面平滑、无高差障碍，方便轮椅进出。</w:t>
            </w:r>
          </w:p>
        </w:tc>
        <w:tc>
          <w:tcPr>
            <w:tcW w:w="5918" w:type="dxa"/>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台阶改坡道，铺设水泥坡道，坡道可采用带防滑纹水泥为材料，增加地面摩擦系数。</w:t>
            </w:r>
          </w:p>
        </w:tc>
        <w:tc>
          <w:tcPr>
            <w:tcW w:w="799" w:type="dxa"/>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平方米</w:t>
            </w:r>
          </w:p>
        </w:tc>
        <w:tc>
          <w:tcPr>
            <w:tcW w:w="1671" w:type="dxa"/>
            <w:gridSpan w:val="2"/>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360.00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5</w:t>
            </w:r>
          </w:p>
        </w:tc>
        <w:tc>
          <w:tcPr>
            <w:tcW w:w="690" w:type="dxa"/>
            <w:vMerge w:val="continue"/>
            <w:vAlign w:val="center"/>
          </w:tcPr>
          <w:p>
            <w:pPr>
              <w:jc w:val="center"/>
              <w:rPr>
                <w:rFonts w:hint="eastAsia" w:ascii="宋体" w:hAnsi="宋体" w:eastAsia="宋体" w:cs="宋体"/>
                <w:color w:val="auto"/>
                <w:sz w:val="18"/>
                <w:szCs w:val="18"/>
                <w:highlight w:val="none"/>
                <w:vertAlign w:val="baseline"/>
              </w:rPr>
            </w:pPr>
          </w:p>
        </w:tc>
        <w:tc>
          <w:tcPr>
            <w:tcW w:w="1135" w:type="dxa"/>
            <w:vMerge w:val="continue"/>
            <w:vAlign w:val="center"/>
          </w:tcPr>
          <w:p>
            <w:pPr>
              <w:jc w:val="center"/>
              <w:rPr>
                <w:rFonts w:hint="eastAsia" w:ascii="宋体" w:hAnsi="宋体" w:eastAsia="宋体" w:cs="宋体"/>
                <w:color w:val="auto"/>
                <w:sz w:val="18"/>
                <w:szCs w:val="18"/>
                <w:highlight w:val="none"/>
                <w:vertAlign w:val="baseline"/>
              </w:rPr>
            </w:pPr>
          </w:p>
        </w:tc>
        <w:tc>
          <w:tcPr>
            <w:tcW w:w="1220" w:type="dxa"/>
            <w:gridSpan w:val="2"/>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橡胶坡道</w:t>
            </w:r>
          </w:p>
        </w:tc>
        <w:tc>
          <w:tcPr>
            <w:tcW w:w="1524" w:type="dxa"/>
            <w:gridSpan w:val="2"/>
            <w:vMerge w:val="continue"/>
            <w:vAlign w:val="center"/>
          </w:tcPr>
          <w:p>
            <w:pPr>
              <w:jc w:val="center"/>
              <w:rPr>
                <w:rFonts w:hint="eastAsia" w:ascii="宋体" w:hAnsi="宋体" w:eastAsia="宋体" w:cs="宋体"/>
                <w:color w:val="auto"/>
                <w:sz w:val="18"/>
                <w:szCs w:val="18"/>
                <w:highlight w:val="none"/>
                <w:vertAlign w:val="baseline"/>
              </w:rPr>
            </w:pPr>
          </w:p>
        </w:tc>
        <w:tc>
          <w:tcPr>
            <w:tcW w:w="5918" w:type="dxa"/>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 xml:space="preserve">天然橡胶材质，耐水防滑、承重力高达 500kg；产品稳定性高，长期使 </w:t>
            </w:r>
          </w:p>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用不变形；表面凹凸条纹防滑设计，防滑性强。</w:t>
            </w:r>
          </w:p>
        </w:tc>
        <w:tc>
          <w:tcPr>
            <w:tcW w:w="799" w:type="dxa"/>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平方米</w:t>
            </w:r>
          </w:p>
        </w:tc>
        <w:tc>
          <w:tcPr>
            <w:tcW w:w="1671" w:type="dxa"/>
            <w:gridSpan w:val="2"/>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260.00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6</w:t>
            </w:r>
          </w:p>
        </w:tc>
        <w:tc>
          <w:tcPr>
            <w:tcW w:w="690" w:type="dxa"/>
            <w:vMerge w:val="continue"/>
            <w:vAlign w:val="center"/>
          </w:tcPr>
          <w:p>
            <w:pPr>
              <w:jc w:val="center"/>
              <w:rPr>
                <w:rFonts w:hint="eastAsia" w:ascii="宋体" w:hAnsi="宋体" w:eastAsia="宋体" w:cs="宋体"/>
                <w:color w:val="auto"/>
                <w:sz w:val="18"/>
                <w:szCs w:val="18"/>
                <w:highlight w:val="none"/>
                <w:vertAlign w:val="baseline"/>
              </w:rPr>
            </w:pPr>
          </w:p>
        </w:tc>
        <w:tc>
          <w:tcPr>
            <w:tcW w:w="2355" w:type="dxa"/>
            <w:gridSpan w:val="3"/>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平整硬化</w:t>
            </w:r>
          </w:p>
        </w:tc>
        <w:tc>
          <w:tcPr>
            <w:tcW w:w="7442" w:type="dxa"/>
            <w:gridSpan w:val="3"/>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 xml:space="preserve">原地面清理，局部凿除，混泥土砂浆找平≦30mm、收光处理，含拆除、混泥土砂浆、辅材 </w:t>
            </w:r>
          </w:p>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及人工安装费。以方便轮椅通过。</w:t>
            </w:r>
          </w:p>
        </w:tc>
        <w:tc>
          <w:tcPr>
            <w:tcW w:w="799" w:type="dxa"/>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平方米</w:t>
            </w:r>
          </w:p>
        </w:tc>
        <w:tc>
          <w:tcPr>
            <w:tcW w:w="1671" w:type="dxa"/>
            <w:gridSpan w:val="2"/>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250.00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7</w:t>
            </w:r>
          </w:p>
        </w:tc>
        <w:tc>
          <w:tcPr>
            <w:tcW w:w="690" w:type="dxa"/>
            <w:vMerge w:val="restart"/>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门改造</w:t>
            </w:r>
          </w:p>
        </w:tc>
        <w:tc>
          <w:tcPr>
            <w:tcW w:w="2355" w:type="dxa"/>
            <w:gridSpan w:val="3"/>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门槛移除</w:t>
            </w:r>
          </w:p>
        </w:tc>
        <w:tc>
          <w:tcPr>
            <w:tcW w:w="7442" w:type="dxa"/>
            <w:gridSpan w:val="3"/>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拆除门槛，清理现场，两侧地面找平保证老年人进门无障碍，方便轮椅进出。</w:t>
            </w:r>
          </w:p>
        </w:tc>
        <w:tc>
          <w:tcPr>
            <w:tcW w:w="799" w:type="dxa"/>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项</w:t>
            </w:r>
          </w:p>
        </w:tc>
        <w:tc>
          <w:tcPr>
            <w:tcW w:w="1671" w:type="dxa"/>
            <w:gridSpan w:val="2"/>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300.00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8</w:t>
            </w:r>
          </w:p>
        </w:tc>
        <w:tc>
          <w:tcPr>
            <w:tcW w:w="690" w:type="dxa"/>
            <w:vMerge w:val="continue"/>
            <w:vAlign w:val="center"/>
          </w:tcPr>
          <w:p>
            <w:pPr>
              <w:jc w:val="center"/>
              <w:rPr>
                <w:rFonts w:hint="eastAsia" w:ascii="宋体" w:hAnsi="宋体" w:eastAsia="宋体" w:cs="宋体"/>
                <w:color w:val="auto"/>
                <w:sz w:val="18"/>
                <w:szCs w:val="18"/>
                <w:highlight w:val="none"/>
                <w:vertAlign w:val="baseline"/>
              </w:rPr>
            </w:pPr>
          </w:p>
        </w:tc>
        <w:tc>
          <w:tcPr>
            <w:tcW w:w="2355" w:type="dxa"/>
            <w:gridSpan w:val="3"/>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平开门改推拉门</w:t>
            </w:r>
          </w:p>
        </w:tc>
        <w:tc>
          <w:tcPr>
            <w:tcW w:w="7442" w:type="dxa"/>
            <w:gridSpan w:val="3"/>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方便开启，增加通行宽度和辅助操作空间。</w:t>
            </w:r>
          </w:p>
        </w:tc>
        <w:tc>
          <w:tcPr>
            <w:tcW w:w="799" w:type="dxa"/>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项</w:t>
            </w:r>
          </w:p>
        </w:tc>
        <w:tc>
          <w:tcPr>
            <w:tcW w:w="1671" w:type="dxa"/>
            <w:gridSpan w:val="2"/>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2000.00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9</w:t>
            </w:r>
          </w:p>
        </w:tc>
        <w:tc>
          <w:tcPr>
            <w:tcW w:w="690" w:type="dxa"/>
            <w:vMerge w:val="continue"/>
            <w:vAlign w:val="center"/>
          </w:tcPr>
          <w:p>
            <w:pPr>
              <w:jc w:val="center"/>
              <w:rPr>
                <w:rFonts w:hint="eastAsia" w:ascii="宋体" w:hAnsi="宋体" w:eastAsia="宋体" w:cs="宋体"/>
                <w:color w:val="auto"/>
                <w:sz w:val="18"/>
                <w:szCs w:val="18"/>
                <w:highlight w:val="none"/>
                <w:vertAlign w:val="baseline"/>
              </w:rPr>
            </w:pPr>
          </w:p>
        </w:tc>
        <w:tc>
          <w:tcPr>
            <w:tcW w:w="2355" w:type="dxa"/>
            <w:gridSpan w:val="3"/>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房门拓宽</w:t>
            </w:r>
          </w:p>
        </w:tc>
        <w:tc>
          <w:tcPr>
            <w:tcW w:w="7442" w:type="dxa"/>
            <w:gridSpan w:val="3"/>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 xml:space="preserve">对卫生间、厨房等空间较窄的门洞影响轮椅通行的狭窄门洞进行扩宽，门净宽度必须≥80cm； </w:t>
            </w:r>
          </w:p>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方便轮椅进出。</w:t>
            </w:r>
          </w:p>
        </w:tc>
        <w:tc>
          <w:tcPr>
            <w:tcW w:w="799" w:type="dxa"/>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项</w:t>
            </w:r>
          </w:p>
        </w:tc>
        <w:tc>
          <w:tcPr>
            <w:tcW w:w="1671" w:type="dxa"/>
            <w:gridSpan w:val="2"/>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800.00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10</w:t>
            </w:r>
          </w:p>
        </w:tc>
        <w:tc>
          <w:tcPr>
            <w:tcW w:w="690" w:type="dxa"/>
            <w:vMerge w:val="continue"/>
            <w:vAlign w:val="center"/>
          </w:tcPr>
          <w:p>
            <w:pPr>
              <w:jc w:val="center"/>
              <w:rPr>
                <w:rFonts w:hint="eastAsia" w:ascii="宋体" w:hAnsi="宋体" w:eastAsia="宋体" w:cs="宋体"/>
                <w:color w:val="auto"/>
                <w:sz w:val="18"/>
                <w:szCs w:val="18"/>
                <w:highlight w:val="none"/>
                <w:vertAlign w:val="baseline"/>
              </w:rPr>
            </w:pPr>
          </w:p>
        </w:tc>
        <w:tc>
          <w:tcPr>
            <w:tcW w:w="2355" w:type="dxa"/>
            <w:gridSpan w:val="3"/>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下压式门把手改造</w:t>
            </w:r>
          </w:p>
        </w:tc>
        <w:tc>
          <w:tcPr>
            <w:tcW w:w="7442" w:type="dxa"/>
            <w:gridSpan w:val="3"/>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T 型，不锈钢材质；可用单手手掌或者手指轻松操作，增加摩擦力和稳定性，方便老年人开门。</w:t>
            </w:r>
          </w:p>
        </w:tc>
        <w:tc>
          <w:tcPr>
            <w:tcW w:w="799" w:type="dxa"/>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项</w:t>
            </w:r>
          </w:p>
        </w:tc>
        <w:tc>
          <w:tcPr>
            <w:tcW w:w="1671" w:type="dxa"/>
            <w:gridSpan w:val="2"/>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280.00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11</w:t>
            </w:r>
          </w:p>
        </w:tc>
        <w:tc>
          <w:tcPr>
            <w:tcW w:w="690" w:type="dxa"/>
            <w:vMerge w:val="continue"/>
            <w:vAlign w:val="center"/>
          </w:tcPr>
          <w:p>
            <w:pPr>
              <w:jc w:val="center"/>
              <w:rPr>
                <w:rFonts w:hint="eastAsia" w:ascii="宋体" w:hAnsi="宋体" w:eastAsia="宋体" w:cs="宋体"/>
                <w:color w:val="auto"/>
                <w:sz w:val="18"/>
                <w:szCs w:val="18"/>
                <w:highlight w:val="none"/>
                <w:vertAlign w:val="baseline"/>
              </w:rPr>
            </w:pPr>
          </w:p>
        </w:tc>
        <w:tc>
          <w:tcPr>
            <w:tcW w:w="2355" w:type="dxa"/>
            <w:gridSpan w:val="3"/>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安装闪光振动门铃</w:t>
            </w:r>
          </w:p>
        </w:tc>
        <w:tc>
          <w:tcPr>
            <w:tcW w:w="7442" w:type="dxa"/>
            <w:gridSpan w:val="3"/>
            <w:vAlign w:val="center"/>
          </w:tcPr>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 xml:space="preserve">具备提示铃声，不少于20首铃声可选； </w:t>
            </w:r>
          </w:p>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 xml:space="preserve">提示铃声音量不少于4档可调； </w:t>
            </w:r>
          </w:p>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功能选择键具备七彩闪光、铃声、震动提示模式(初始模式)；同时需配接收器和发射器。</w:t>
            </w:r>
          </w:p>
        </w:tc>
        <w:tc>
          <w:tcPr>
            <w:tcW w:w="799" w:type="dxa"/>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个</w:t>
            </w:r>
          </w:p>
        </w:tc>
        <w:tc>
          <w:tcPr>
            <w:tcW w:w="1671" w:type="dxa"/>
            <w:gridSpan w:val="2"/>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220.00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12</w:t>
            </w:r>
          </w:p>
        </w:tc>
        <w:tc>
          <w:tcPr>
            <w:tcW w:w="690" w:type="dxa"/>
            <w:vMerge w:val="restart"/>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 xml:space="preserve">卧室 </w:t>
            </w:r>
          </w:p>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改造</w:t>
            </w:r>
          </w:p>
        </w:tc>
        <w:tc>
          <w:tcPr>
            <w:tcW w:w="2355" w:type="dxa"/>
            <w:gridSpan w:val="3"/>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配置护理床</w:t>
            </w:r>
          </w:p>
        </w:tc>
        <w:tc>
          <w:tcPr>
            <w:tcW w:w="1524" w:type="dxa"/>
            <w:gridSpan w:val="2"/>
            <w:vAlign w:val="center"/>
          </w:tcPr>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帮助失能老年人完成起身、侧翻、上下床、吃饭等动作，辅助喂食、处理排泄物等。</w:t>
            </w:r>
          </w:p>
        </w:tc>
        <w:tc>
          <w:tcPr>
            <w:tcW w:w="5918" w:type="dxa"/>
            <w:vAlign w:val="center"/>
          </w:tcPr>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 xml:space="preserve">1.产品外形尺寸：长:2050mm、宽:960mm、高:500mm； </w:t>
            </w:r>
          </w:p>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 xml:space="preserve">背部倾斜角度 0～75°,腿部倾斜角度：0～40°可任意调节； </w:t>
            </w:r>
          </w:p>
          <w:p>
            <w:pPr>
              <w:numPr>
                <w:ilvl w:val="0"/>
                <w:numId w:val="0"/>
              </w:num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2.床体静态可承载 240Kg、动态可承载 200Kg；（需提供第三方机构检测报告）； </w:t>
            </w:r>
          </w:p>
          <w:p>
            <w:pPr>
              <w:numPr>
                <w:ilvl w:val="0"/>
                <w:numId w:val="0"/>
              </w:num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 xml:space="preserve">3.线型欧版床头尾板采用ABS强化塑胶材料，一次成形，无缝隙，易清洁，不变形，暗藏锁定开关，稳定可靠。床体采用优质冷轧碳素钢管 80×40×1.0mm，床腿为优质冷轧碳素钢管 40×40×1.0mm。床板采用条形冷轧钢板冲压成型厚度 1.0mm，提高床板强度，受力均衡，抗压力强；下面焊接钢管加强，坚实耐用； </w:t>
            </w:r>
          </w:p>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4.两组摇杆；摇手采用不锈钢把手，隐藏式设计，使操作一目了然；床帮两侧设有输液架孔，含 6cm 棕棉床垫；</w:t>
            </w:r>
          </w:p>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5.整床采用双重磷化+静电粉体涂装处理。床体涂料采用抗菌涂料，防菌抗菌，抗酸碱腐蚀，耐裉色，无毒无害，有效延长使用寿命。（需提供第三方机构检测报告）。</w:t>
            </w:r>
          </w:p>
        </w:tc>
        <w:tc>
          <w:tcPr>
            <w:tcW w:w="799" w:type="dxa"/>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张</w:t>
            </w:r>
          </w:p>
        </w:tc>
        <w:tc>
          <w:tcPr>
            <w:tcW w:w="1671" w:type="dxa"/>
            <w:gridSpan w:val="2"/>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2100.00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13</w:t>
            </w:r>
          </w:p>
        </w:tc>
        <w:tc>
          <w:tcPr>
            <w:tcW w:w="690" w:type="dxa"/>
            <w:vMerge w:val="continue"/>
            <w:vAlign w:val="center"/>
          </w:tcPr>
          <w:p>
            <w:pPr>
              <w:jc w:val="center"/>
              <w:rPr>
                <w:rFonts w:hint="eastAsia" w:ascii="宋体" w:hAnsi="宋体" w:eastAsia="宋体" w:cs="宋体"/>
                <w:color w:val="auto"/>
                <w:sz w:val="18"/>
                <w:szCs w:val="18"/>
                <w:highlight w:val="none"/>
                <w:vertAlign w:val="baseline"/>
              </w:rPr>
            </w:pPr>
          </w:p>
        </w:tc>
        <w:tc>
          <w:tcPr>
            <w:tcW w:w="2355" w:type="dxa"/>
            <w:gridSpan w:val="3"/>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移动式床边抓杆</w:t>
            </w:r>
          </w:p>
        </w:tc>
        <w:tc>
          <w:tcPr>
            <w:tcW w:w="1524" w:type="dxa"/>
            <w:gridSpan w:val="2"/>
            <w:vAlign w:val="center"/>
          </w:tcPr>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辅助老年人起身、上下床，防止翻身滚下床，保证老 年人睡眠和活动安全。</w:t>
            </w:r>
          </w:p>
        </w:tc>
        <w:tc>
          <w:tcPr>
            <w:tcW w:w="5918" w:type="dxa"/>
            <w:vAlign w:val="center"/>
          </w:tcPr>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rPr>
              <w:t>1</w:t>
            </w:r>
            <w:r>
              <w:rPr>
                <w:rFonts w:hint="eastAsia" w:ascii="宋体" w:hAnsi="宋体" w:eastAsia="宋体" w:cs="宋体"/>
                <w:color w:val="auto"/>
                <w:sz w:val="18"/>
                <w:szCs w:val="18"/>
                <w:highlight w:val="none"/>
                <w:vertAlign w:val="baseline"/>
                <w:lang w:eastAsia="zh-CN"/>
              </w:rPr>
              <w:t>.</w:t>
            </w:r>
            <w:r>
              <w:rPr>
                <w:rFonts w:hint="eastAsia" w:ascii="宋体" w:hAnsi="宋体" w:eastAsia="宋体" w:cs="宋体"/>
                <w:color w:val="auto"/>
                <w:sz w:val="18"/>
                <w:szCs w:val="18"/>
                <w:highlight w:val="none"/>
                <w:vertAlign w:val="baseline"/>
              </w:rPr>
              <w:t>扶手采用无凉感的材质，底座采用稳固钢板材料，产品净重需满足≥20KG，确保扶手整体的稳定性；</w:t>
            </w:r>
          </w:p>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rPr>
              <w:t>2</w:t>
            </w:r>
            <w:r>
              <w:rPr>
                <w:rFonts w:hint="eastAsia" w:ascii="宋体" w:hAnsi="宋体" w:eastAsia="宋体" w:cs="宋体"/>
                <w:color w:val="auto"/>
                <w:sz w:val="18"/>
                <w:szCs w:val="18"/>
                <w:highlight w:val="none"/>
                <w:vertAlign w:val="baseline"/>
                <w:lang w:eastAsia="zh-CN"/>
              </w:rPr>
              <w:t>.</w:t>
            </w:r>
            <w:r>
              <w:rPr>
                <w:rFonts w:hint="eastAsia" w:ascii="宋体" w:hAnsi="宋体" w:eastAsia="宋体" w:cs="宋体"/>
                <w:color w:val="auto"/>
                <w:sz w:val="18"/>
                <w:szCs w:val="18"/>
                <w:highlight w:val="none"/>
                <w:vertAlign w:val="baseline"/>
              </w:rPr>
              <w:t>高度符合人体工学且不低于6挡可调；材料采用钢管材质，扶手套采用高密度橡塑 NBR 海绵套管，确保舒适防滑抓握；</w:t>
            </w:r>
          </w:p>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rPr>
              <w:t>3</w:t>
            </w:r>
            <w:r>
              <w:rPr>
                <w:rFonts w:hint="eastAsia" w:ascii="宋体" w:hAnsi="宋体" w:eastAsia="宋体" w:cs="宋体"/>
                <w:color w:val="auto"/>
                <w:sz w:val="18"/>
                <w:szCs w:val="18"/>
                <w:highlight w:val="none"/>
                <w:vertAlign w:val="baseline"/>
                <w:lang w:eastAsia="zh-CN"/>
              </w:rPr>
              <w:t>.</w:t>
            </w:r>
            <w:r>
              <w:rPr>
                <w:rFonts w:hint="eastAsia" w:ascii="宋体" w:hAnsi="宋体" w:eastAsia="宋体" w:cs="宋体"/>
                <w:color w:val="auto"/>
                <w:sz w:val="18"/>
                <w:szCs w:val="18"/>
                <w:highlight w:val="none"/>
                <w:vertAlign w:val="baseline"/>
              </w:rPr>
              <w:t>底座采用厚钢板，表面烤漆橡胶条包边处理，确保稳固安全。</w:t>
            </w:r>
          </w:p>
        </w:tc>
        <w:tc>
          <w:tcPr>
            <w:tcW w:w="799" w:type="dxa"/>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个</w:t>
            </w:r>
          </w:p>
        </w:tc>
        <w:tc>
          <w:tcPr>
            <w:tcW w:w="1671" w:type="dxa"/>
            <w:gridSpan w:val="2"/>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600.00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14</w:t>
            </w:r>
          </w:p>
        </w:tc>
        <w:tc>
          <w:tcPr>
            <w:tcW w:w="690" w:type="dxa"/>
            <w:vMerge w:val="continue"/>
            <w:vAlign w:val="center"/>
          </w:tcPr>
          <w:p>
            <w:pPr>
              <w:jc w:val="center"/>
              <w:rPr>
                <w:rFonts w:hint="eastAsia" w:ascii="宋体" w:hAnsi="宋体" w:eastAsia="宋体" w:cs="宋体"/>
                <w:color w:val="auto"/>
                <w:sz w:val="18"/>
                <w:szCs w:val="18"/>
                <w:highlight w:val="none"/>
                <w:vertAlign w:val="baseline"/>
              </w:rPr>
            </w:pPr>
          </w:p>
        </w:tc>
        <w:tc>
          <w:tcPr>
            <w:tcW w:w="2355" w:type="dxa"/>
            <w:gridSpan w:val="3"/>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rPr>
              <w:t>固定式床边抓杆</w:t>
            </w:r>
          </w:p>
        </w:tc>
        <w:tc>
          <w:tcPr>
            <w:tcW w:w="1524" w:type="dxa"/>
            <w:gridSpan w:val="2"/>
            <w:vMerge w:val="restart"/>
            <w:vAlign w:val="center"/>
          </w:tcPr>
          <w:p>
            <w:pPr>
              <w:jc w:val="center"/>
              <w:rPr>
                <w:rFonts w:hint="eastAsia" w:ascii="宋体" w:hAnsi="宋体" w:eastAsia="宋体" w:cs="宋体"/>
                <w:color w:val="auto"/>
                <w:sz w:val="18"/>
                <w:szCs w:val="18"/>
                <w:highlight w:val="none"/>
                <w:vertAlign w:val="baseline"/>
              </w:rPr>
            </w:pPr>
          </w:p>
        </w:tc>
        <w:tc>
          <w:tcPr>
            <w:tcW w:w="5918" w:type="dxa"/>
            <w:vAlign w:val="center"/>
          </w:tcPr>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 xml:space="preserve">1.扶手可固定、防侧翻、无凉感，整体表面采用无凉感磨砂材质； </w:t>
            </w:r>
          </w:p>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 xml:space="preserve">2.底座采用稳固钢板材料； </w:t>
            </w:r>
          </w:p>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 xml:space="preserve">3.高度&gt;800mm；横杆间距(从上到下)：250-320mm；立杆间距≥300mm； </w:t>
            </w:r>
          </w:p>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4.扶手采用钢管材质，扶手套采用高密度橡塑NBR海绵套管。</w:t>
            </w:r>
          </w:p>
        </w:tc>
        <w:tc>
          <w:tcPr>
            <w:tcW w:w="799" w:type="dxa"/>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个</w:t>
            </w:r>
          </w:p>
        </w:tc>
        <w:tc>
          <w:tcPr>
            <w:tcW w:w="1671" w:type="dxa"/>
            <w:gridSpan w:val="2"/>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460.00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15</w:t>
            </w:r>
          </w:p>
        </w:tc>
        <w:tc>
          <w:tcPr>
            <w:tcW w:w="690" w:type="dxa"/>
            <w:vMerge w:val="continue"/>
            <w:vAlign w:val="center"/>
          </w:tcPr>
          <w:p>
            <w:pPr>
              <w:jc w:val="center"/>
              <w:rPr>
                <w:rFonts w:hint="eastAsia" w:ascii="宋体" w:hAnsi="宋体" w:eastAsia="宋体" w:cs="宋体"/>
                <w:color w:val="auto"/>
                <w:sz w:val="18"/>
                <w:szCs w:val="18"/>
                <w:highlight w:val="none"/>
                <w:vertAlign w:val="baseline"/>
              </w:rPr>
            </w:pPr>
          </w:p>
        </w:tc>
        <w:tc>
          <w:tcPr>
            <w:tcW w:w="2355" w:type="dxa"/>
            <w:gridSpan w:val="3"/>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床边护栏</w:t>
            </w:r>
          </w:p>
        </w:tc>
        <w:tc>
          <w:tcPr>
            <w:tcW w:w="1524" w:type="dxa"/>
            <w:gridSpan w:val="2"/>
            <w:vMerge w:val="continue"/>
            <w:vAlign w:val="center"/>
          </w:tcPr>
          <w:p>
            <w:pPr>
              <w:jc w:val="center"/>
              <w:rPr>
                <w:rFonts w:hint="eastAsia" w:ascii="宋体" w:hAnsi="宋体" w:eastAsia="宋体" w:cs="宋体"/>
                <w:color w:val="auto"/>
                <w:sz w:val="18"/>
                <w:szCs w:val="18"/>
                <w:highlight w:val="none"/>
                <w:vertAlign w:val="baseline"/>
              </w:rPr>
            </w:pPr>
          </w:p>
        </w:tc>
        <w:tc>
          <w:tcPr>
            <w:tcW w:w="5918" w:type="dxa"/>
            <w:vAlign w:val="center"/>
          </w:tcPr>
          <w:p>
            <w:pPr>
              <w:jc w:val="both"/>
              <w:rPr>
                <w:rFonts w:hint="eastAsia" w:ascii="宋体" w:hAnsi="宋体" w:eastAsia="宋体" w:cs="宋体"/>
                <w:color w:val="auto"/>
                <w:sz w:val="18"/>
                <w:szCs w:val="18"/>
                <w:highlight w:val="none"/>
                <w:vertAlign w:val="baseline"/>
                <w:lang w:eastAsia="zh-CN"/>
              </w:rPr>
            </w:pPr>
            <w:r>
              <w:rPr>
                <w:rFonts w:hint="eastAsia" w:ascii="宋体" w:hAnsi="宋体" w:eastAsia="宋体" w:cs="宋体"/>
                <w:color w:val="auto"/>
                <w:sz w:val="18"/>
                <w:szCs w:val="18"/>
                <w:highlight w:val="none"/>
                <w:vertAlign w:val="baseline"/>
              </w:rPr>
              <w:t>1</w:t>
            </w:r>
            <w:r>
              <w:rPr>
                <w:rFonts w:hint="eastAsia" w:ascii="宋体" w:hAnsi="宋体" w:eastAsia="宋体" w:cs="宋体"/>
                <w:color w:val="auto"/>
                <w:sz w:val="18"/>
                <w:szCs w:val="18"/>
                <w:highlight w:val="none"/>
                <w:vertAlign w:val="baseline"/>
                <w:lang w:eastAsia="zh-CN"/>
              </w:rPr>
              <w:t>.</w:t>
            </w:r>
            <w:r>
              <w:rPr>
                <w:rFonts w:hint="eastAsia" w:ascii="宋体" w:hAnsi="宋体" w:eastAsia="宋体" w:cs="宋体"/>
                <w:color w:val="auto"/>
                <w:sz w:val="18"/>
                <w:szCs w:val="18"/>
                <w:highlight w:val="none"/>
                <w:vertAlign w:val="baseline"/>
              </w:rPr>
              <w:t>可360度旋转，每90度一个卡位</w:t>
            </w:r>
            <w:r>
              <w:rPr>
                <w:rFonts w:hint="eastAsia" w:ascii="宋体" w:hAnsi="宋体" w:eastAsia="宋体" w:cs="宋体"/>
                <w:color w:val="auto"/>
                <w:sz w:val="18"/>
                <w:szCs w:val="18"/>
                <w:highlight w:val="none"/>
                <w:vertAlign w:val="baseline"/>
                <w:lang w:eastAsia="zh-CN"/>
              </w:rPr>
              <w:t>；</w:t>
            </w:r>
          </w:p>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rPr>
              <w:t>2</w:t>
            </w:r>
            <w:r>
              <w:rPr>
                <w:rFonts w:hint="eastAsia" w:ascii="宋体" w:hAnsi="宋体" w:eastAsia="宋体" w:cs="宋体"/>
                <w:color w:val="auto"/>
                <w:sz w:val="18"/>
                <w:szCs w:val="18"/>
                <w:highlight w:val="none"/>
                <w:vertAlign w:val="baseline"/>
                <w:lang w:eastAsia="zh-CN"/>
              </w:rPr>
              <w:t>.</w:t>
            </w:r>
            <w:r>
              <w:rPr>
                <w:rFonts w:hint="eastAsia" w:ascii="宋体" w:hAnsi="宋体" w:eastAsia="宋体" w:cs="宋体"/>
                <w:color w:val="auto"/>
                <w:sz w:val="18"/>
                <w:szCs w:val="18"/>
                <w:highlight w:val="none"/>
                <w:vertAlign w:val="baseline"/>
              </w:rPr>
              <w:t>总宽&gt;35CM；下半部分支架高度＜40CM；</w:t>
            </w:r>
          </w:p>
          <w:p>
            <w:pPr>
              <w:jc w:val="both"/>
              <w:rPr>
                <w:rFonts w:hint="eastAsia" w:ascii="宋体" w:hAnsi="宋体" w:eastAsia="宋体" w:cs="宋体"/>
                <w:color w:val="auto"/>
                <w:sz w:val="18"/>
                <w:szCs w:val="18"/>
                <w:highlight w:val="none"/>
                <w:vertAlign w:val="baseline"/>
                <w:lang w:eastAsia="zh-CN"/>
              </w:rPr>
            </w:pPr>
            <w:r>
              <w:rPr>
                <w:rFonts w:hint="eastAsia" w:ascii="宋体" w:hAnsi="宋体" w:eastAsia="宋体" w:cs="宋体"/>
                <w:color w:val="auto"/>
                <w:sz w:val="18"/>
                <w:szCs w:val="18"/>
                <w:highlight w:val="none"/>
                <w:vertAlign w:val="baseline"/>
              </w:rPr>
              <w:t>3</w:t>
            </w:r>
            <w:r>
              <w:rPr>
                <w:rFonts w:hint="eastAsia" w:ascii="宋体" w:hAnsi="宋体" w:eastAsia="宋体" w:cs="宋体"/>
                <w:color w:val="auto"/>
                <w:sz w:val="18"/>
                <w:szCs w:val="18"/>
                <w:highlight w:val="none"/>
                <w:vertAlign w:val="baseline"/>
                <w:lang w:eastAsia="zh-CN"/>
              </w:rPr>
              <w:t>.</w:t>
            </w:r>
            <w:r>
              <w:rPr>
                <w:rFonts w:hint="eastAsia" w:ascii="宋体" w:hAnsi="宋体" w:eastAsia="宋体" w:cs="宋体"/>
                <w:color w:val="auto"/>
                <w:sz w:val="18"/>
                <w:szCs w:val="18"/>
                <w:highlight w:val="none"/>
                <w:vertAlign w:val="baseline"/>
              </w:rPr>
              <w:t>插入床垫部分可固定</w:t>
            </w:r>
            <w:r>
              <w:rPr>
                <w:rFonts w:hint="eastAsia" w:ascii="宋体" w:hAnsi="宋体" w:eastAsia="宋体" w:cs="宋体"/>
                <w:color w:val="auto"/>
                <w:sz w:val="18"/>
                <w:szCs w:val="18"/>
                <w:highlight w:val="none"/>
                <w:vertAlign w:val="baseline"/>
                <w:lang w:eastAsia="zh-CN"/>
              </w:rPr>
              <w:t>。</w:t>
            </w:r>
          </w:p>
        </w:tc>
        <w:tc>
          <w:tcPr>
            <w:tcW w:w="799" w:type="dxa"/>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个</w:t>
            </w:r>
          </w:p>
        </w:tc>
        <w:tc>
          <w:tcPr>
            <w:tcW w:w="1671" w:type="dxa"/>
            <w:gridSpan w:val="2"/>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290.00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16</w:t>
            </w:r>
          </w:p>
        </w:tc>
        <w:tc>
          <w:tcPr>
            <w:tcW w:w="690" w:type="dxa"/>
            <w:vMerge w:val="restart"/>
            <w:vAlign w:val="center"/>
          </w:tcPr>
          <w:p>
            <w:pPr>
              <w:jc w:val="center"/>
              <w:rPr>
                <w:rFonts w:hint="eastAsia" w:ascii="宋体" w:hAnsi="宋体" w:eastAsia="宋体" w:cs="宋体"/>
                <w:color w:val="auto"/>
                <w:sz w:val="18"/>
                <w:szCs w:val="18"/>
                <w:highlight w:val="none"/>
                <w:vertAlign w:val="baseline"/>
              </w:rPr>
            </w:pPr>
          </w:p>
        </w:tc>
        <w:tc>
          <w:tcPr>
            <w:tcW w:w="1135" w:type="dxa"/>
            <w:vMerge w:val="restart"/>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配置</w:t>
            </w:r>
          </w:p>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防压</w:t>
            </w:r>
          </w:p>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疮垫</w:t>
            </w:r>
          </w:p>
        </w:tc>
        <w:tc>
          <w:tcPr>
            <w:tcW w:w="1220" w:type="dxa"/>
            <w:gridSpan w:val="2"/>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防压疮坐垫</w:t>
            </w:r>
          </w:p>
        </w:tc>
        <w:tc>
          <w:tcPr>
            <w:tcW w:w="1524" w:type="dxa"/>
            <w:gridSpan w:val="2"/>
            <w:vMerge w:val="restart"/>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避免长期乘坐轮 椅或卧床的老年 人发生严重压疮</w:t>
            </w:r>
          </w:p>
        </w:tc>
        <w:tc>
          <w:tcPr>
            <w:tcW w:w="5918" w:type="dxa"/>
            <w:vAlign w:val="center"/>
          </w:tcPr>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 xml:space="preserve">1.优质 PVC 材质，轻巧耐拉伸，承重效果佳； </w:t>
            </w:r>
          </w:p>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 xml:space="preserve">2.满足透气性，确保不少于25个均匀分布的内径小孔，与气室交错形成波浪凹凸表层，分散臀部、腿部的压力，更加透气；承重需≥100kg； </w:t>
            </w:r>
          </w:p>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3.配备专用打气筒。</w:t>
            </w:r>
          </w:p>
        </w:tc>
        <w:tc>
          <w:tcPr>
            <w:tcW w:w="799" w:type="dxa"/>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个</w:t>
            </w:r>
          </w:p>
        </w:tc>
        <w:tc>
          <w:tcPr>
            <w:tcW w:w="1671" w:type="dxa"/>
            <w:gridSpan w:val="2"/>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35.00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17</w:t>
            </w:r>
          </w:p>
        </w:tc>
        <w:tc>
          <w:tcPr>
            <w:tcW w:w="690" w:type="dxa"/>
            <w:vMerge w:val="continue"/>
            <w:vAlign w:val="center"/>
          </w:tcPr>
          <w:p>
            <w:pPr>
              <w:jc w:val="center"/>
              <w:rPr>
                <w:rFonts w:hint="eastAsia" w:ascii="宋体" w:hAnsi="宋体" w:eastAsia="宋体" w:cs="宋体"/>
                <w:color w:val="auto"/>
                <w:sz w:val="18"/>
                <w:szCs w:val="18"/>
                <w:highlight w:val="none"/>
                <w:vertAlign w:val="baseline"/>
              </w:rPr>
            </w:pPr>
          </w:p>
        </w:tc>
        <w:tc>
          <w:tcPr>
            <w:tcW w:w="1135" w:type="dxa"/>
            <w:vMerge w:val="continue"/>
            <w:vAlign w:val="center"/>
          </w:tcPr>
          <w:p>
            <w:pPr>
              <w:jc w:val="center"/>
              <w:rPr>
                <w:rFonts w:hint="eastAsia" w:ascii="宋体" w:hAnsi="宋体" w:eastAsia="宋体" w:cs="宋体"/>
                <w:color w:val="auto"/>
                <w:sz w:val="18"/>
                <w:szCs w:val="18"/>
                <w:highlight w:val="none"/>
                <w:vertAlign w:val="baseline"/>
              </w:rPr>
            </w:pPr>
          </w:p>
        </w:tc>
        <w:tc>
          <w:tcPr>
            <w:tcW w:w="1220" w:type="dxa"/>
            <w:gridSpan w:val="2"/>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靠垫</w:t>
            </w:r>
          </w:p>
        </w:tc>
        <w:tc>
          <w:tcPr>
            <w:tcW w:w="1524" w:type="dxa"/>
            <w:gridSpan w:val="2"/>
            <w:vMerge w:val="continue"/>
            <w:vAlign w:val="center"/>
          </w:tcPr>
          <w:p>
            <w:pPr>
              <w:jc w:val="center"/>
              <w:rPr>
                <w:rFonts w:hint="eastAsia" w:ascii="宋体" w:hAnsi="宋体" w:eastAsia="宋体" w:cs="宋体"/>
                <w:color w:val="auto"/>
                <w:sz w:val="18"/>
                <w:szCs w:val="18"/>
                <w:highlight w:val="none"/>
                <w:vertAlign w:val="baseline"/>
              </w:rPr>
            </w:pPr>
          </w:p>
        </w:tc>
        <w:tc>
          <w:tcPr>
            <w:tcW w:w="5918" w:type="dxa"/>
            <w:vAlign w:val="center"/>
          </w:tcPr>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 xml:space="preserve">骨架为不锈钢材质； </w:t>
            </w:r>
          </w:p>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靠背角度不少于五档调节，折叠设计，承重&gt;130 公斤以上。</w:t>
            </w:r>
          </w:p>
        </w:tc>
        <w:tc>
          <w:tcPr>
            <w:tcW w:w="799" w:type="dxa"/>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个</w:t>
            </w:r>
          </w:p>
        </w:tc>
        <w:tc>
          <w:tcPr>
            <w:tcW w:w="1671" w:type="dxa"/>
            <w:gridSpan w:val="2"/>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250.00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18</w:t>
            </w:r>
          </w:p>
        </w:tc>
        <w:tc>
          <w:tcPr>
            <w:tcW w:w="690" w:type="dxa"/>
            <w:vMerge w:val="continue"/>
            <w:vAlign w:val="center"/>
          </w:tcPr>
          <w:p>
            <w:pPr>
              <w:jc w:val="center"/>
              <w:rPr>
                <w:rFonts w:hint="eastAsia" w:ascii="宋体" w:hAnsi="宋体" w:eastAsia="宋体" w:cs="宋体"/>
                <w:color w:val="auto"/>
                <w:sz w:val="18"/>
                <w:szCs w:val="18"/>
                <w:highlight w:val="none"/>
                <w:vertAlign w:val="baseline"/>
              </w:rPr>
            </w:pPr>
          </w:p>
        </w:tc>
        <w:tc>
          <w:tcPr>
            <w:tcW w:w="1135" w:type="dxa"/>
            <w:vMerge w:val="continue"/>
            <w:vAlign w:val="center"/>
          </w:tcPr>
          <w:p>
            <w:pPr>
              <w:jc w:val="center"/>
              <w:rPr>
                <w:rFonts w:hint="eastAsia" w:ascii="宋体" w:hAnsi="宋体" w:eastAsia="宋体" w:cs="宋体"/>
                <w:color w:val="auto"/>
                <w:sz w:val="18"/>
                <w:szCs w:val="18"/>
                <w:highlight w:val="none"/>
                <w:vertAlign w:val="baseline"/>
              </w:rPr>
            </w:pPr>
          </w:p>
        </w:tc>
        <w:tc>
          <w:tcPr>
            <w:tcW w:w="1220" w:type="dxa"/>
            <w:gridSpan w:val="2"/>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防褥疮床垫</w:t>
            </w:r>
          </w:p>
        </w:tc>
        <w:tc>
          <w:tcPr>
            <w:tcW w:w="1524" w:type="dxa"/>
            <w:gridSpan w:val="2"/>
            <w:vMerge w:val="continue"/>
            <w:vAlign w:val="center"/>
          </w:tcPr>
          <w:p>
            <w:pPr>
              <w:jc w:val="center"/>
              <w:rPr>
                <w:rFonts w:hint="eastAsia" w:ascii="宋体" w:hAnsi="宋体" w:eastAsia="宋体" w:cs="宋体"/>
                <w:color w:val="auto"/>
                <w:sz w:val="18"/>
                <w:szCs w:val="18"/>
                <w:highlight w:val="none"/>
                <w:vertAlign w:val="baseline"/>
              </w:rPr>
            </w:pPr>
          </w:p>
        </w:tc>
        <w:tc>
          <w:tcPr>
            <w:tcW w:w="5918" w:type="dxa"/>
            <w:vAlign w:val="center"/>
          </w:tcPr>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 xml:space="preserve">PVC 材质，配合护理床使用； </w:t>
            </w:r>
          </w:p>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 xml:space="preserve">设计有波动档，可条形波动；带有微型喷气孔，间隔管可交替充气； </w:t>
            </w:r>
          </w:p>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低噪音设计，不大于20分贝；气条可单独拆卸，方便更换。</w:t>
            </w:r>
          </w:p>
        </w:tc>
        <w:tc>
          <w:tcPr>
            <w:tcW w:w="799" w:type="dxa"/>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个</w:t>
            </w:r>
          </w:p>
        </w:tc>
        <w:tc>
          <w:tcPr>
            <w:tcW w:w="1671" w:type="dxa"/>
            <w:gridSpan w:val="2"/>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600.00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19</w:t>
            </w:r>
          </w:p>
        </w:tc>
        <w:tc>
          <w:tcPr>
            <w:tcW w:w="690" w:type="dxa"/>
            <w:vMerge w:val="continue"/>
            <w:vAlign w:val="center"/>
          </w:tcPr>
          <w:p>
            <w:pPr>
              <w:jc w:val="center"/>
              <w:rPr>
                <w:rFonts w:hint="eastAsia" w:ascii="宋体" w:hAnsi="宋体" w:eastAsia="宋体" w:cs="宋体"/>
                <w:color w:val="auto"/>
                <w:sz w:val="18"/>
                <w:szCs w:val="18"/>
                <w:highlight w:val="none"/>
                <w:vertAlign w:val="baseline"/>
              </w:rPr>
            </w:pPr>
          </w:p>
        </w:tc>
        <w:tc>
          <w:tcPr>
            <w:tcW w:w="1135" w:type="dxa"/>
            <w:vMerge w:val="continue"/>
            <w:vAlign w:val="center"/>
          </w:tcPr>
          <w:p>
            <w:pPr>
              <w:jc w:val="center"/>
              <w:rPr>
                <w:rFonts w:hint="eastAsia" w:ascii="宋体" w:hAnsi="宋体" w:eastAsia="宋体" w:cs="宋体"/>
                <w:color w:val="auto"/>
                <w:sz w:val="18"/>
                <w:szCs w:val="18"/>
                <w:highlight w:val="none"/>
                <w:vertAlign w:val="baseline"/>
              </w:rPr>
            </w:pPr>
          </w:p>
        </w:tc>
        <w:tc>
          <w:tcPr>
            <w:tcW w:w="1220" w:type="dxa"/>
            <w:gridSpan w:val="2"/>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3D 防褥 </w:t>
            </w:r>
          </w:p>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疮床垫</w:t>
            </w:r>
          </w:p>
        </w:tc>
        <w:tc>
          <w:tcPr>
            <w:tcW w:w="1524" w:type="dxa"/>
            <w:gridSpan w:val="2"/>
            <w:vMerge w:val="continue"/>
            <w:vAlign w:val="center"/>
          </w:tcPr>
          <w:p>
            <w:pPr>
              <w:jc w:val="center"/>
              <w:rPr>
                <w:rFonts w:hint="eastAsia" w:ascii="宋体" w:hAnsi="宋体" w:eastAsia="宋体" w:cs="宋体"/>
                <w:color w:val="auto"/>
                <w:sz w:val="18"/>
                <w:szCs w:val="18"/>
                <w:highlight w:val="none"/>
                <w:vertAlign w:val="baseline"/>
              </w:rPr>
            </w:pPr>
          </w:p>
        </w:tc>
        <w:tc>
          <w:tcPr>
            <w:tcW w:w="5918" w:type="dxa"/>
            <w:vAlign w:val="center"/>
          </w:tcPr>
          <w:p>
            <w:pPr>
              <w:jc w:val="both"/>
              <w:rPr>
                <w:rFonts w:hint="default" w:ascii="宋体" w:hAnsi="宋体" w:eastAsia="宋体" w:cs="宋体"/>
                <w:color w:val="auto"/>
                <w:sz w:val="18"/>
                <w:szCs w:val="18"/>
                <w:highlight w:val="none"/>
                <w:vertAlign w:val="baseline"/>
                <w:lang w:val="en-US"/>
              </w:rPr>
            </w:pPr>
            <w:r>
              <w:rPr>
                <w:rFonts w:hint="eastAsia" w:ascii="宋体" w:hAnsi="宋体" w:eastAsia="宋体" w:cs="宋体"/>
                <w:color w:val="auto"/>
                <w:sz w:val="18"/>
                <w:szCs w:val="18"/>
                <w:highlight w:val="none"/>
                <w:vertAlign w:val="baseline"/>
                <w:lang w:val="en-US" w:eastAsia="zh-CN"/>
              </w:rPr>
              <w:t>1.长度不低于 1900mm，宽度不低于 1500mm；密度不低于60kg/m³；</w:t>
            </w:r>
          </w:p>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 xml:space="preserve">2.面料网眼布(涤纶)，内芯树脂纤维芯材，确保透气性、舒适性； </w:t>
            </w:r>
          </w:p>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3.可冲洗，阴凉速干。</w:t>
            </w:r>
          </w:p>
        </w:tc>
        <w:tc>
          <w:tcPr>
            <w:tcW w:w="799" w:type="dxa"/>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个</w:t>
            </w:r>
          </w:p>
        </w:tc>
        <w:tc>
          <w:tcPr>
            <w:tcW w:w="1671" w:type="dxa"/>
            <w:gridSpan w:val="2"/>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980.00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20</w:t>
            </w:r>
          </w:p>
        </w:tc>
        <w:tc>
          <w:tcPr>
            <w:tcW w:w="690" w:type="dxa"/>
            <w:vMerge w:val="restart"/>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 xml:space="preserve">如厕 </w:t>
            </w:r>
          </w:p>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 xml:space="preserve">洗浴 </w:t>
            </w:r>
          </w:p>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 xml:space="preserve">设备 </w:t>
            </w:r>
          </w:p>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改造</w:t>
            </w:r>
          </w:p>
        </w:tc>
        <w:tc>
          <w:tcPr>
            <w:tcW w:w="1135" w:type="dxa"/>
            <w:vMerge w:val="restart"/>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安装扶手</w:t>
            </w:r>
          </w:p>
        </w:tc>
        <w:tc>
          <w:tcPr>
            <w:tcW w:w="1220" w:type="dxa"/>
            <w:gridSpan w:val="2"/>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一字型扶手</w:t>
            </w:r>
          </w:p>
        </w:tc>
        <w:tc>
          <w:tcPr>
            <w:tcW w:w="1524" w:type="dxa"/>
            <w:gridSpan w:val="2"/>
            <w:vMerge w:val="restart"/>
            <w:vAlign w:val="center"/>
          </w:tcPr>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在如厕区或者洗 浴区安装扶手，辅助老年人起身、站立、转身和坐下。</w:t>
            </w:r>
          </w:p>
        </w:tc>
        <w:tc>
          <w:tcPr>
            <w:tcW w:w="5918" w:type="dxa"/>
            <w:vAlign w:val="center"/>
          </w:tcPr>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 xml:space="preserve">外径 38mm </w:t>
            </w:r>
          </w:p>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 xml:space="preserve">1.材质握杆外层为弹性 TPE 材料；芯材为高强度铝合金；弯头连接件采用 ABS 注塑成型； </w:t>
            </w:r>
          </w:p>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 xml:space="preserve">2.扶手防转动、符合人体工学环状凹凸握手纹设计，皮纹表层，安全防滑； </w:t>
            </w:r>
          </w:p>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3.扶手承重力≥200kg ；</w:t>
            </w:r>
          </w:p>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4.扶手握杆使用环保标准、抗老化、耐腐蚀弹性材料。</w:t>
            </w:r>
          </w:p>
        </w:tc>
        <w:tc>
          <w:tcPr>
            <w:tcW w:w="799" w:type="dxa"/>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个</w:t>
            </w:r>
          </w:p>
        </w:tc>
        <w:tc>
          <w:tcPr>
            <w:tcW w:w="1671" w:type="dxa"/>
            <w:gridSpan w:val="2"/>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170.00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21</w:t>
            </w:r>
          </w:p>
        </w:tc>
        <w:tc>
          <w:tcPr>
            <w:tcW w:w="690" w:type="dxa"/>
            <w:vMerge w:val="continue"/>
            <w:vAlign w:val="center"/>
          </w:tcPr>
          <w:p>
            <w:pPr>
              <w:jc w:val="center"/>
              <w:rPr>
                <w:rFonts w:hint="eastAsia" w:ascii="宋体" w:hAnsi="宋体" w:eastAsia="宋体" w:cs="宋体"/>
                <w:color w:val="auto"/>
                <w:sz w:val="18"/>
                <w:szCs w:val="18"/>
                <w:highlight w:val="none"/>
                <w:vertAlign w:val="baseline"/>
              </w:rPr>
            </w:pPr>
          </w:p>
        </w:tc>
        <w:tc>
          <w:tcPr>
            <w:tcW w:w="1135" w:type="dxa"/>
            <w:vMerge w:val="continue"/>
            <w:vAlign w:val="center"/>
          </w:tcPr>
          <w:p>
            <w:pPr>
              <w:jc w:val="center"/>
              <w:rPr>
                <w:rFonts w:hint="eastAsia" w:ascii="宋体" w:hAnsi="宋体" w:eastAsia="宋体" w:cs="宋体"/>
                <w:color w:val="auto"/>
                <w:sz w:val="18"/>
                <w:szCs w:val="18"/>
                <w:highlight w:val="none"/>
                <w:vertAlign w:val="baseline"/>
              </w:rPr>
            </w:pPr>
          </w:p>
        </w:tc>
        <w:tc>
          <w:tcPr>
            <w:tcW w:w="1220" w:type="dxa"/>
            <w:gridSpan w:val="2"/>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U 型扶手</w:t>
            </w:r>
          </w:p>
        </w:tc>
        <w:tc>
          <w:tcPr>
            <w:tcW w:w="1524" w:type="dxa"/>
            <w:gridSpan w:val="2"/>
            <w:vMerge w:val="continue"/>
            <w:vAlign w:val="center"/>
          </w:tcPr>
          <w:p>
            <w:pPr>
              <w:jc w:val="center"/>
              <w:rPr>
                <w:rFonts w:hint="eastAsia" w:ascii="宋体" w:hAnsi="宋体" w:eastAsia="宋体" w:cs="宋体"/>
                <w:color w:val="auto"/>
                <w:sz w:val="18"/>
                <w:szCs w:val="18"/>
                <w:highlight w:val="none"/>
                <w:vertAlign w:val="baseline"/>
              </w:rPr>
            </w:pPr>
          </w:p>
        </w:tc>
        <w:tc>
          <w:tcPr>
            <w:tcW w:w="5918" w:type="dxa"/>
            <w:vAlign w:val="center"/>
          </w:tcPr>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 xml:space="preserve">外径 38mm </w:t>
            </w:r>
          </w:p>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 xml:space="preserve">1.握杆外层为弹性TPE；芯材为高强度铝合金； </w:t>
            </w:r>
          </w:p>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 xml:space="preserve">2.弯头连接件采用ABS两次注塑成型扶手防转动、符合人体工学环状凹凸握手纹设计，皮纹表层，安全防滑； </w:t>
            </w:r>
          </w:p>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3.扶手承重力≥200kg ；</w:t>
            </w:r>
          </w:p>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4.扶手握杆使用环保标准、抗老化、耐腐蚀弹性材料。</w:t>
            </w:r>
          </w:p>
        </w:tc>
        <w:tc>
          <w:tcPr>
            <w:tcW w:w="799" w:type="dxa"/>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个</w:t>
            </w:r>
          </w:p>
        </w:tc>
        <w:tc>
          <w:tcPr>
            <w:tcW w:w="1671" w:type="dxa"/>
            <w:gridSpan w:val="2"/>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468.00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22</w:t>
            </w:r>
          </w:p>
        </w:tc>
        <w:tc>
          <w:tcPr>
            <w:tcW w:w="690" w:type="dxa"/>
            <w:vMerge w:val="continue"/>
            <w:vAlign w:val="center"/>
          </w:tcPr>
          <w:p>
            <w:pPr>
              <w:jc w:val="center"/>
              <w:rPr>
                <w:rFonts w:hint="eastAsia" w:ascii="宋体" w:hAnsi="宋体" w:eastAsia="宋体" w:cs="宋体"/>
                <w:color w:val="auto"/>
                <w:sz w:val="18"/>
                <w:szCs w:val="18"/>
                <w:highlight w:val="none"/>
                <w:vertAlign w:val="baseline"/>
              </w:rPr>
            </w:pPr>
          </w:p>
        </w:tc>
        <w:tc>
          <w:tcPr>
            <w:tcW w:w="1135" w:type="dxa"/>
            <w:vMerge w:val="continue"/>
            <w:vAlign w:val="center"/>
          </w:tcPr>
          <w:p>
            <w:pPr>
              <w:jc w:val="center"/>
              <w:rPr>
                <w:rFonts w:hint="eastAsia" w:ascii="宋体" w:hAnsi="宋体" w:eastAsia="宋体" w:cs="宋体"/>
                <w:color w:val="auto"/>
                <w:sz w:val="18"/>
                <w:szCs w:val="18"/>
                <w:highlight w:val="none"/>
                <w:vertAlign w:val="baseline"/>
              </w:rPr>
            </w:pPr>
          </w:p>
        </w:tc>
        <w:tc>
          <w:tcPr>
            <w:tcW w:w="1220" w:type="dxa"/>
            <w:gridSpan w:val="2"/>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L 型扶手</w:t>
            </w:r>
          </w:p>
        </w:tc>
        <w:tc>
          <w:tcPr>
            <w:tcW w:w="1524" w:type="dxa"/>
            <w:gridSpan w:val="2"/>
            <w:vMerge w:val="continue"/>
            <w:vAlign w:val="center"/>
          </w:tcPr>
          <w:p>
            <w:pPr>
              <w:jc w:val="center"/>
              <w:rPr>
                <w:rFonts w:hint="eastAsia" w:ascii="宋体" w:hAnsi="宋体" w:eastAsia="宋体" w:cs="宋体"/>
                <w:color w:val="auto"/>
                <w:sz w:val="18"/>
                <w:szCs w:val="18"/>
                <w:highlight w:val="none"/>
                <w:vertAlign w:val="baseline"/>
              </w:rPr>
            </w:pPr>
          </w:p>
        </w:tc>
        <w:tc>
          <w:tcPr>
            <w:tcW w:w="5918" w:type="dxa"/>
            <w:vAlign w:val="center"/>
          </w:tcPr>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 xml:space="preserve">外径 38mm </w:t>
            </w:r>
          </w:p>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 xml:space="preserve">1.握杆外层为弹性TPE；芯材为高强度铝合金； </w:t>
            </w:r>
          </w:p>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2.弯头连接件采用ABS两次注塑成型扶手防转动、符合人体工学环状凹凸握手纹设计，皮纹表层，安全防滑 ；</w:t>
            </w:r>
          </w:p>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 xml:space="preserve">3.扶手承重力≥200kg； </w:t>
            </w:r>
          </w:p>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4.扶手握杆使用环保标准、抗老化、耐腐蚀弹性材料。</w:t>
            </w:r>
          </w:p>
        </w:tc>
        <w:tc>
          <w:tcPr>
            <w:tcW w:w="799" w:type="dxa"/>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个</w:t>
            </w:r>
          </w:p>
        </w:tc>
        <w:tc>
          <w:tcPr>
            <w:tcW w:w="1671" w:type="dxa"/>
            <w:gridSpan w:val="2"/>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390.00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23</w:t>
            </w:r>
          </w:p>
        </w:tc>
        <w:tc>
          <w:tcPr>
            <w:tcW w:w="690" w:type="dxa"/>
            <w:vMerge w:val="continue"/>
            <w:vAlign w:val="center"/>
          </w:tcPr>
          <w:p>
            <w:pPr>
              <w:jc w:val="center"/>
              <w:rPr>
                <w:rFonts w:hint="eastAsia" w:ascii="宋体" w:hAnsi="宋体" w:eastAsia="宋体" w:cs="宋体"/>
                <w:color w:val="auto"/>
                <w:sz w:val="18"/>
                <w:szCs w:val="18"/>
                <w:highlight w:val="none"/>
                <w:vertAlign w:val="baseline"/>
              </w:rPr>
            </w:pPr>
          </w:p>
        </w:tc>
        <w:tc>
          <w:tcPr>
            <w:tcW w:w="1135" w:type="dxa"/>
            <w:vMerge w:val="continue"/>
            <w:vAlign w:val="center"/>
          </w:tcPr>
          <w:p>
            <w:pPr>
              <w:jc w:val="center"/>
              <w:rPr>
                <w:rFonts w:hint="eastAsia" w:ascii="宋体" w:hAnsi="宋体" w:eastAsia="宋体" w:cs="宋体"/>
                <w:color w:val="auto"/>
                <w:sz w:val="18"/>
                <w:szCs w:val="18"/>
                <w:highlight w:val="none"/>
                <w:vertAlign w:val="baseline"/>
              </w:rPr>
            </w:pPr>
          </w:p>
        </w:tc>
        <w:tc>
          <w:tcPr>
            <w:tcW w:w="1220" w:type="dxa"/>
            <w:gridSpan w:val="2"/>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135°扶手</w:t>
            </w:r>
          </w:p>
        </w:tc>
        <w:tc>
          <w:tcPr>
            <w:tcW w:w="1524" w:type="dxa"/>
            <w:gridSpan w:val="2"/>
            <w:vMerge w:val="continue"/>
            <w:vAlign w:val="center"/>
          </w:tcPr>
          <w:p>
            <w:pPr>
              <w:jc w:val="center"/>
              <w:rPr>
                <w:rFonts w:hint="eastAsia" w:ascii="宋体" w:hAnsi="宋体" w:eastAsia="宋体" w:cs="宋体"/>
                <w:color w:val="auto"/>
                <w:sz w:val="18"/>
                <w:szCs w:val="18"/>
                <w:highlight w:val="none"/>
                <w:vertAlign w:val="baseline"/>
              </w:rPr>
            </w:pPr>
          </w:p>
        </w:tc>
        <w:tc>
          <w:tcPr>
            <w:tcW w:w="5918" w:type="dxa"/>
            <w:vAlign w:val="center"/>
          </w:tcPr>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 xml:space="preserve">外径 38mm </w:t>
            </w:r>
          </w:p>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 xml:space="preserve">1.握杆外层为弹性TPE；芯材为高强度铝合金； </w:t>
            </w:r>
          </w:p>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2.弯头连接件采用ABS两次注塑成型扶手防转动、符合人体工学环状凹凸握手纹设计，皮纹表层，安全防滑 ；</w:t>
            </w:r>
          </w:p>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3.扶手承重力≥200kg ；</w:t>
            </w:r>
          </w:p>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4.扶手握杆使用环保标准、抗老化、耐腐蚀弹性材料。</w:t>
            </w:r>
          </w:p>
        </w:tc>
        <w:tc>
          <w:tcPr>
            <w:tcW w:w="799" w:type="dxa"/>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个</w:t>
            </w:r>
          </w:p>
        </w:tc>
        <w:tc>
          <w:tcPr>
            <w:tcW w:w="1671" w:type="dxa"/>
            <w:gridSpan w:val="2"/>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360.00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24</w:t>
            </w:r>
          </w:p>
        </w:tc>
        <w:tc>
          <w:tcPr>
            <w:tcW w:w="690" w:type="dxa"/>
            <w:vMerge w:val="continue"/>
            <w:vAlign w:val="center"/>
          </w:tcPr>
          <w:p>
            <w:pPr>
              <w:jc w:val="center"/>
              <w:rPr>
                <w:rFonts w:hint="eastAsia" w:ascii="宋体" w:hAnsi="宋体" w:eastAsia="宋体" w:cs="宋体"/>
                <w:color w:val="auto"/>
                <w:sz w:val="18"/>
                <w:szCs w:val="18"/>
                <w:highlight w:val="none"/>
                <w:vertAlign w:val="baseline"/>
              </w:rPr>
            </w:pPr>
          </w:p>
        </w:tc>
        <w:tc>
          <w:tcPr>
            <w:tcW w:w="1135" w:type="dxa"/>
            <w:vMerge w:val="continue"/>
            <w:vAlign w:val="center"/>
          </w:tcPr>
          <w:p>
            <w:pPr>
              <w:jc w:val="center"/>
              <w:rPr>
                <w:rFonts w:hint="eastAsia" w:ascii="宋体" w:hAnsi="宋体" w:eastAsia="宋体" w:cs="宋体"/>
                <w:color w:val="auto"/>
                <w:sz w:val="18"/>
                <w:szCs w:val="18"/>
                <w:highlight w:val="none"/>
                <w:vertAlign w:val="baseline"/>
              </w:rPr>
            </w:pPr>
          </w:p>
        </w:tc>
        <w:tc>
          <w:tcPr>
            <w:tcW w:w="1220" w:type="dxa"/>
            <w:gridSpan w:val="2"/>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T 型扶手</w:t>
            </w:r>
          </w:p>
        </w:tc>
        <w:tc>
          <w:tcPr>
            <w:tcW w:w="1524" w:type="dxa"/>
            <w:gridSpan w:val="2"/>
            <w:vMerge w:val="continue"/>
            <w:vAlign w:val="center"/>
          </w:tcPr>
          <w:p>
            <w:pPr>
              <w:jc w:val="center"/>
              <w:rPr>
                <w:rFonts w:hint="eastAsia" w:ascii="宋体" w:hAnsi="宋体" w:eastAsia="宋体" w:cs="宋体"/>
                <w:color w:val="auto"/>
                <w:sz w:val="18"/>
                <w:szCs w:val="18"/>
                <w:highlight w:val="none"/>
                <w:vertAlign w:val="baseline"/>
              </w:rPr>
            </w:pPr>
          </w:p>
        </w:tc>
        <w:tc>
          <w:tcPr>
            <w:tcW w:w="5918" w:type="dxa"/>
            <w:vAlign w:val="center"/>
          </w:tcPr>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 xml:space="preserve">外径 38mm </w:t>
            </w:r>
          </w:p>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 xml:space="preserve">1.握杆外层为弹性TPE；芯材为高强度铝合金； </w:t>
            </w:r>
          </w:p>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 xml:space="preserve">2.弯头连接件采用ABS两次注塑成型扶手防转动、符合人体工学环状凹凸握手纹设计，皮纹表层，安全防滑； </w:t>
            </w:r>
          </w:p>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3.扶手承重力≥200kg ；</w:t>
            </w:r>
          </w:p>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4.扶手握杆使用环保标准、抗老化、耐腐蚀弹性材料。</w:t>
            </w:r>
          </w:p>
        </w:tc>
        <w:tc>
          <w:tcPr>
            <w:tcW w:w="799" w:type="dxa"/>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个</w:t>
            </w:r>
          </w:p>
        </w:tc>
        <w:tc>
          <w:tcPr>
            <w:tcW w:w="1671" w:type="dxa"/>
            <w:gridSpan w:val="2"/>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400.00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25</w:t>
            </w:r>
          </w:p>
        </w:tc>
        <w:tc>
          <w:tcPr>
            <w:tcW w:w="690" w:type="dxa"/>
            <w:vMerge w:val="continue"/>
            <w:vAlign w:val="center"/>
          </w:tcPr>
          <w:p>
            <w:pPr>
              <w:jc w:val="center"/>
              <w:rPr>
                <w:rFonts w:hint="eastAsia" w:ascii="宋体" w:hAnsi="宋体" w:eastAsia="宋体" w:cs="宋体"/>
                <w:color w:val="auto"/>
                <w:sz w:val="18"/>
                <w:szCs w:val="18"/>
                <w:highlight w:val="none"/>
                <w:vertAlign w:val="baseline"/>
              </w:rPr>
            </w:pPr>
          </w:p>
        </w:tc>
        <w:tc>
          <w:tcPr>
            <w:tcW w:w="1135" w:type="dxa"/>
            <w:vMerge w:val="continue"/>
            <w:vAlign w:val="center"/>
          </w:tcPr>
          <w:p>
            <w:pPr>
              <w:jc w:val="center"/>
              <w:rPr>
                <w:rFonts w:hint="eastAsia" w:ascii="宋体" w:hAnsi="宋体" w:eastAsia="宋体" w:cs="宋体"/>
                <w:color w:val="auto"/>
                <w:sz w:val="18"/>
                <w:szCs w:val="18"/>
                <w:highlight w:val="none"/>
                <w:vertAlign w:val="baseline"/>
              </w:rPr>
            </w:pPr>
          </w:p>
        </w:tc>
        <w:tc>
          <w:tcPr>
            <w:tcW w:w="1220" w:type="dxa"/>
            <w:gridSpan w:val="2"/>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马桶扶手</w:t>
            </w:r>
          </w:p>
        </w:tc>
        <w:tc>
          <w:tcPr>
            <w:tcW w:w="1524" w:type="dxa"/>
            <w:gridSpan w:val="2"/>
            <w:vMerge w:val="continue"/>
            <w:vAlign w:val="center"/>
          </w:tcPr>
          <w:p>
            <w:pPr>
              <w:jc w:val="center"/>
              <w:rPr>
                <w:rFonts w:hint="eastAsia" w:ascii="宋体" w:hAnsi="宋体" w:eastAsia="宋体" w:cs="宋体"/>
                <w:color w:val="auto"/>
                <w:sz w:val="18"/>
                <w:szCs w:val="18"/>
                <w:highlight w:val="none"/>
                <w:vertAlign w:val="baseline"/>
              </w:rPr>
            </w:pPr>
          </w:p>
        </w:tc>
        <w:tc>
          <w:tcPr>
            <w:tcW w:w="5918" w:type="dxa"/>
            <w:vAlign w:val="center"/>
          </w:tcPr>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1.材质为 PP+碳钢+TPE；</w:t>
            </w:r>
          </w:p>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 xml:space="preserve">2.适配马桶缸体座高 370~440mm； </w:t>
            </w:r>
          </w:p>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3.可上翻，扶手部位采用柔性防滑材质；体积轻巧，曲线设计，无需打孔安装，产品直接安装在坐便器与坐便器盖板之间。</w:t>
            </w:r>
          </w:p>
        </w:tc>
        <w:tc>
          <w:tcPr>
            <w:tcW w:w="799" w:type="dxa"/>
            <w:tcBorders>
              <w:bottom w:val="single" w:color="auto" w:sz="4" w:space="0"/>
            </w:tcBorders>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个</w:t>
            </w:r>
          </w:p>
        </w:tc>
        <w:tc>
          <w:tcPr>
            <w:tcW w:w="1671" w:type="dxa"/>
            <w:gridSpan w:val="2"/>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600.00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87" w:hRule="atLeast"/>
        </w:trPr>
        <w:tc>
          <w:tcPr>
            <w:tcW w:w="612" w:type="dxa"/>
            <w:vMerge w:val="restart"/>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26</w:t>
            </w:r>
          </w:p>
        </w:tc>
        <w:tc>
          <w:tcPr>
            <w:tcW w:w="690" w:type="dxa"/>
            <w:vMerge w:val="continue"/>
            <w:vAlign w:val="center"/>
          </w:tcPr>
          <w:p>
            <w:pPr>
              <w:jc w:val="center"/>
              <w:rPr>
                <w:rFonts w:hint="eastAsia" w:ascii="宋体" w:hAnsi="宋体" w:eastAsia="宋体" w:cs="宋体"/>
                <w:color w:val="auto"/>
                <w:sz w:val="18"/>
                <w:szCs w:val="18"/>
                <w:highlight w:val="none"/>
                <w:vertAlign w:val="baseline"/>
              </w:rPr>
            </w:pPr>
          </w:p>
        </w:tc>
        <w:tc>
          <w:tcPr>
            <w:tcW w:w="1135" w:type="dxa"/>
            <w:vMerge w:val="restart"/>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 xml:space="preserve">蹲便器改座 </w:t>
            </w:r>
          </w:p>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 xml:space="preserve">便器 </w:t>
            </w:r>
          </w:p>
          <w:p>
            <w:pPr>
              <w:jc w:val="both"/>
              <w:rPr>
                <w:rFonts w:hint="eastAsia" w:ascii="宋体" w:hAnsi="宋体" w:eastAsia="宋体" w:cs="宋体"/>
                <w:color w:val="auto"/>
                <w:sz w:val="18"/>
                <w:szCs w:val="18"/>
                <w:highlight w:val="none"/>
                <w:vertAlign w:val="baseline"/>
              </w:rPr>
            </w:pPr>
          </w:p>
        </w:tc>
        <w:tc>
          <w:tcPr>
            <w:tcW w:w="1220" w:type="dxa"/>
            <w:gridSpan w:val="2"/>
            <w:vAlign w:val="center"/>
          </w:tcPr>
          <w:p>
            <w:pPr>
              <w:jc w:val="center"/>
              <w:rPr>
                <w:rFonts w:hint="eastAsia" w:ascii="宋体" w:hAnsi="宋体" w:eastAsia="宋体" w:cs="宋体"/>
                <w:color w:val="auto"/>
                <w:sz w:val="18"/>
                <w:szCs w:val="18"/>
                <w:highlight w:val="none"/>
                <w:vertAlign w:val="baseline"/>
              </w:rPr>
            </w:pPr>
            <w:r>
              <w:rPr>
                <w:rFonts w:hint="eastAsia" w:ascii="宋体" w:hAnsi="宋体" w:cs="宋体"/>
                <w:color w:val="auto"/>
                <w:sz w:val="18"/>
                <w:szCs w:val="18"/>
                <w:highlight w:val="none"/>
                <w:vertAlign w:val="baseline"/>
                <w:lang w:val="en-US" w:eastAsia="zh-CN"/>
              </w:rPr>
              <w:t>蹲便器改坐便器</w:t>
            </w:r>
          </w:p>
        </w:tc>
        <w:tc>
          <w:tcPr>
            <w:tcW w:w="7442" w:type="dxa"/>
            <w:gridSpan w:val="3"/>
            <w:tcBorders>
              <w:right w:val="single" w:color="auto" w:sz="4" w:space="0"/>
            </w:tcBorders>
            <w:vAlign w:val="center"/>
          </w:tcPr>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拆除(地 台)蹲坑接排污管，水泥砂浆抹平，防水处理，垃圾清运，安装好。</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cs="宋体"/>
                <w:color w:val="auto"/>
                <w:sz w:val="18"/>
                <w:szCs w:val="18"/>
                <w:highlight w:val="none"/>
                <w:vertAlign w:val="baseline"/>
                <w:lang w:val="en-US" w:eastAsia="zh-CN"/>
              </w:rPr>
              <w:t>采用国产品牌高温烧制瓷体座便器，缓降静音 PP盖板，虹吸式出水高压，排污管道内壁≥50mm</w:t>
            </w:r>
          </w:p>
        </w:tc>
        <w:tc>
          <w:tcPr>
            <w:tcW w:w="799"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个/项</w:t>
            </w:r>
          </w:p>
        </w:tc>
        <w:tc>
          <w:tcPr>
            <w:tcW w:w="898" w:type="dxa"/>
            <w:tcBorders>
              <w:left w:val="single" w:color="auto" w:sz="4" w:space="0"/>
            </w:tcBorders>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cs="宋体"/>
                <w:color w:val="auto"/>
                <w:sz w:val="18"/>
                <w:szCs w:val="18"/>
                <w:highlight w:val="none"/>
                <w:vertAlign w:val="baseline"/>
                <w:lang w:val="en-US" w:eastAsia="zh-CN"/>
              </w:rPr>
              <w:t>3000</w:t>
            </w:r>
            <w:r>
              <w:rPr>
                <w:rFonts w:hint="eastAsia" w:ascii="宋体" w:hAnsi="宋体" w:eastAsia="宋体" w:cs="宋体"/>
                <w:color w:val="auto"/>
                <w:sz w:val="18"/>
                <w:szCs w:val="18"/>
                <w:highlight w:val="none"/>
                <w:vertAlign w:val="baseline"/>
                <w:lang w:val="en-US" w:eastAsia="zh-CN"/>
              </w:rPr>
              <w:t>.00</w:t>
            </w:r>
          </w:p>
        </w:tc>
        <w:tc>
          <w:tcPr>
            <w:tcW w:w="773" w:type="dxa"/>
            <w:vAlign w:val="center"/>
          </w:tcPr>
          <w:p>
            <w:pPr>
              <w:jc w:val="center"/>
              <w:rPr>
                <w:rFonts w:hint="eastAsia" w:ascii="宋体" w:hAnsi="宋体" w:eastAsia="宋体" w:cs="宋体"/>
                <w:color w:val="auto"/>
                <w:sz w:val="18"/>
                <w:szCs w:val="18"/>
                <w:highlight w:val="none"/>
                <w:vertAlign w:val="baseline"/>
              </w:rPr>
            </w:pPr>
          </w:p>
        </w:tc>
        <w:tc>
          <w:tcPr>
            <w:tcW w:w="605" w:type="dxa"/>
            <w:vAlign w:val="center"/>
          </w:tcPr>
          <w:p>
            <w:pPr>
              <w:jc w:val="center"/>
              <w:rPr>
                <w:rFonts w:hint="eastAsia" w:ascii="宋体" w:hAnsi="宋体" w:eastAsia="宋体" w:cs="宋体"/>
                <w:color w:val="auto"/>
                <w:sz w:val="18"/>
                <w:szCs w:val="18"/>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690" w:type="dxa"/>
            <w:vMerge w:val="continue"/>
            <w:vAlign w:val="center"/>
          </w:tcPr>
          <w:p>
            <w:pPr>
              <w:jc w:val="center"/>
              <w:rPr>
                <w:rFonts w:hint="eastAsia" w:ascii="宋体" w:hAnsi="宋体" w:eastAsia="宋体" w:cs="宋体"/>
                <w:color w:val="auto"/>
                <w:sz w:val="18"/>
                <w:szCs w:val="18"/>
                <w:highlight w:val="none"/>
                <w:vertAlign w:val="baseline"/>
              </w:rPr>
            </w:pPr>
          </w:p>
        </w:tc>
        <w:tc>
          <w:tcPr>
            <w:tcW w:w="1135" w:type="dxa"/>
            <w:vMerge w:val="continue"/>
            <w:vAlign w:val="center"/>
          </w:tcPr>
          <w:p>
            <w:pPr>
              <w:jc w:val="both"/>
              <w:rPr>
                <w:rFonts w:hint="eastAsia" w:ascii="宋体" w:hAnsi="宋体" w:eastAsia="宋体" w:cs="宋体"/>
                <w:color w:val="auto"/>
                <w:sz w:val="18"/>
                <w:szCs w:val="18"/>
                <w:highlight w:val="none"/>
                <w:vertAlign w:val="baseline"/>
                <w:lang w:val="en-US" w:eastAsia="zh-CN"/>
              </w:rPr>
            </w:pPr>
          </w:p>
        </w:tc>
        <w:tc>
          <w:tcPr>
            <w:tcW w:w="1220" w:type="dxa"/>
            <w:gridSpan w:val="2"/>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可移动坐便器</w:t>
            </w:r>
          </w:p>
        </w:tc>
        <w:tc>
          <w:tcPr>
            <w:tcW w:w="7442" w:type="dxa"/>
            <w:gridSpan w:val="3"/>
            <w:tcBorders>
              <w:right w:val="single" w:color="auto" w:sz="4" w:space="0"/>
            </w:tcBorders>
            <w:vAlign w:val="center"/>
          </w:tcPr>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规格约:长590*宽560*总高520mm，*坐高400mm，坐宽 400mm</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材质:PP 材料:</w:t>
            </w:r>
          </w:p>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适用于蹲坑或房间使用，两侧可放纸中盒，里外双盖防异味。</w:t>
            </w:r>
          </w:p>
        </w:tc>
        <w:tc>
          <w:tcPr>
            <w:tcW w:w="799"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18"/>
                <w:szCs w:val="18"/>
                <w:highlight w:val="none"/>
                <w:vertAlign w:val="baseline"/>
              </w:rPr>
            </w:pPr>
          </w:p>
        </w:tc>
        <w:tc>
          <w:tcPr>
            <w:tcW w:w="898" w:type="dxa"/>
            <w:tcBorders>
              <w:left w:val="single" w:color="auto" w:sz="4" w:space="0"/>
            </w:tcBorders>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500.00</w:t>
            </w:r>
          </w:p>
        </w:tc>
        <w:tc>
          <w:tcPr>
            <w:tcW w:w="773" w:type="dxa"/>
            <w:vAlign w:val="center"/>
          </w:tcPr>
          <w:p>
            <w:pPr>
              <w:jc w:val="center"/>
              <w:rPr>
                <w:rFonts w:hint="eastAsia" w:ascii="宋体" w:hAnsi="宋体" w:eastAsia="宋体" w:cs="宋体"/>
                <w:color w:val="auto"/>
                <w:sz w:val="18"/>
                <w:szCs w:val="18"/>
                <w:highlight w:val="none"/>
                <w:vertAlign w:val="baseline"/>
              </w:rPr>
            </w:pPr>
          </w:p>
        </w:tc>
        <w:tc>
          <w:tcPr>
            <w:tcW w:w="605" w:type="dxa"/>
            <w:vAlign w:val="center"/>
          </w:tcPr>
          <w:p>
            <w:pPr>
              <w:jc w:val="center"/>
              <w:rPr>
                <w:rFonts w:hint="eastAsia" w:ascii="宋体" w:hAnsi="宋体" w:eastAsia="宋体" w:cs="宋体"/>
                <w:color w:val="auto"/>
                <w:sz w:val="18"/>
                <w:szCs w:val="18"/>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27</w:t>
            </w:r>
          </w:p>
        </w:tc>
        <w:tc>
          <w:tcPr>
            <w:tcW w:w="690" w:type="dxa"/>
            <w:vMerge w:val="continue"/>
            <w:vAlign w:val="center"/>
          </w:tcPr>
          <w:p>
            <w:pPr>
              <w:jc w:val="center"/>
              <w:rPr>
                <w:rFonts w:hint="eastAsia" w:ascii="宋体" w:hAnsi="宋体" w:eastAsia="宋体" w:cs="宋体"/>
                <w:color w:val="auto"/>
                <w:sz w:val="18"/>
                <w:szCs w:val="18"/>
                <w:highlight w:val="none"/>
                <w:vertAlign w:val="baseline"/>
              </w:rPr>
            </w:pPr>
          </w:p>
        </w:tc>
        <w:tc>
          <w:tcPr>
            <w:tcW w:w="1135" w:type="dxa"/>
            <w:vMerge w:val="restart"/>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水龙头改造</w:t>
            </w:r>
          </w:p>
        </w:tc>
        <w:tc>
          <w:tcPr>
            <w:tcW w:w="1220" w:type="dxa"/>
            <w:gridSpan w:val="2"/>
            <w:vAlign w:val="center"/>
          </w:tcPr>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拨杆式台盆 抽拉水龙头</w:t>
            </w:r>
          </w:p>
        </w:tc>
        <w:tc>
          <w:tcPr>
            <w:tcW w:w="1524" w:type="dxa"/>
            <w:gridSpan w:val="2"/>
            <w:vMerge w:val="restart"/>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方便老年人开关水阀</w:t>
            </w:r>
          </w:p>
        </w:tc>
        <w:tc>
          <w:tcPr>
            <w:tcW w:w="5918" w:type="dxa"/>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不锈钢编织软管和抽拉头；304 不锈钢材质；表面拉丝处理。</w:t>
            </w:r>
          </w:p>
        </w:tc>
        <w:tc>
          <w:tcPr>
            <w:tcW w:w="1697" w:type="dxa"/>
            <w:gridSpan w:val="2"/>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个</w:t>
            </w:r>
          </w:p>
        </w:tc>
        <w:tc>
          <w:tcPr>
            <w:tcW w:w="773"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399.00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28</w:t>
            </w:r>
          </w:p>
        </w:tc>
        <w:tc>
          <w:tcPr>
            <w:tcW w:w="690" w:type="dxa"/>
            <w:vMerge w:val="continue"/>
            <w:vAlign w:val="center"/>
          </w:tcPr>
          <w:p>
            <w:pPr>
              <w:jc w:val="center"/>
              <w:rPr>
                <w:rFonts w:hint="eastAsia" w:ascii="宋体" w:hAnsi="宋体" w:eastAsia="宋体" w:cs="宋体"/>
                <w:color w:val="auto"/>
                <w:sz w:val="18"/>
                <w:szCs w:val="18"/>
                <w:highlight w:val="none"/>
                <w:vertAlign w:val="baseline"/>
              </w:rPr>
            </w:pPr>
          </w:p>
        </w:tc>
        <w:tc>
          <w:tcPr>
            <w:tcW w:w="1135" w:type="dxa"/>
            <w:vMerge w:val="continue"/>
            <w:vAlign w:val="center"/>
          </w:tcPr>
          <w:p>
            <w:pPr>
              <w:jc w:val="center"/>
              <w:rPr>
                <w:rFonts w:hint="eastAsia" w:ascii="宋体" w:hAnsi="宋体" w:eastAsia="宋体" w:cs="宋体"/>
                <w:color w:val="auto"/>
                <w:sz w:val="18"/>
                <w:szCs w:val="18"/>
                <w:highlight w:val="none"/>
                <w:vertAlign w:val="baseline"/>
              </w:rPr>
            </w:pPr>
          </w:p>
        </w:tc>
        <w:tc>
          <w:tcPr>
            <w:tcW w:w="1220" w:type="dxa"/>
            <w:gridSpan w:val="2"/>
            <w:vAlign w:val="center"/>
          </w:tcPr>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拨杆式厨房抽拉水龙头</w:t>
            </w:r>
          </w:p>
        </w:tc>
        <w:tc>
          <w:tcPr>
            <w:tcW w:w="1524" w:type="dxa"/>
            <w:gridSpan w:val="2"/>
            <w:vMerge w:val="continue"/>
            <w:vAlign w:val="center"/>
          </w:tcPr>
          <w:p>
            <w:pPr>
              <w:jc w:val="center"/>
              <w:rPr>
                <w:rFonts w:hint="eastAsia" w:ascii="宋体" w:hAnsi="宋体" w:eastAsia="宋体" w:cs="宋体"/>
                <w:color w:val="auto"/>
                <w:sz w:val="18"/>
                <w:szCs w:val="18"/>
                <w:highlight w:val="none"/>
                <w:vertAlign w:val="baseline"/>
              </w:rPr>
            </w:pPr>
          </w:p>
        </w:tc>
        <w:tc>
          <w:tcPr>
            <w:tcW w:w="5918" w:type="dxa"/>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可旋转出水管；不锈钢编织软管；表面拉丝处理。</w:t>
            </w:r>
          </w:p>
        </w:tc>
        <w:tc>
          <w:tcPr>
            <w:tcW w:w="1697" w:type="dxa"/>
            <w:gridSpan w:val="2"/>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个</w:t>
            </w:r>
          </w:p>
        </w:tc>
        <w:tc>
          <w:tcPr>
            <w:tcW w:w="773"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399.00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29</w:t>
            </w:r>
          </w:p>
        </w:tc>
        <w:tc>
          <w:tcPr>
            <w:tcW w:w="690" w:type="dxa"/>
            <w:vMerge w:val="continue"/>
            <w:vAlign w:val="center"/>
          </w:tcPr>
          <w:p>
            <w:pPr>
              <w:jc w:val="center"/>
              <w:rPr>
                <w:rFonts w:hint="eastAsia" w:ascii="宋体" w:hAnsi="宋体" w:eastAsia="宋体" w:cs="宋体"/>
                <w:color w:val="auto"/>
                <w:sz w:val="18"/>
                <w:szCs w:val="18"/>
                <w:highlight w:val="none"/>
                <w:vertAlign w:val="baseline"/>
              </w:rPr>
            </w:pPr>
          </w:p>
        </w:tc>
        <w:tc>
          <w:tcPr>
            <w:tcW w:w="1135" w:type="dxa"/>
            <w:vAlign w:val="center"/>
          </w:tcPr>
          <w:p>
            <w:pPr>
              <w:jc w:val="center"/>
              <w:rPr>
                <w:rFonts w:hint="eastAsia" w:ascii="宋体" w:hAnsi="宋体" w:eastAsia="宋体" w:cs="宋体"/>
                <w:color w:val="auto"/>
                <w:sz w:val="18"/>
                <w:szCs w:val="18"/>
                <w:highlight w:val="none"/>
                <w:vertAlign w:val="baseline"/>
              </w:rPr>
            </w:pPr>
          </w:p>
        </w:tc>
        <w:tc>
          <w:tcPr>
            <w:tcW w:w="1220" w:type="dxa"/>
            <w:gridSpan w:val="2"/>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感应水龙头</w:t>
            </w:r>
          </w:p>
        </w:tc>
        <w:tc>
          <w:tcPr>
            <w:tcW w:w="1524" w:type="dxa"/>
            <w:gridSpan w:val="2"/>
            <w:vAlign w:val="center"/>
          </w:tcPr>
          <w:p>
            <w:pPr>
              <w:jc w:val="center"/>
              <w:rPr>
                <w:rFonts w:hint="eastAsia" w:ascii="宋体" w:hAnsi="宋体" w:eastAsia="宋体" w:cs="宋体"/>
                <w:color w:val="auto"/>
                <w:sz w:val="18"/>
                <w:szCs w:val="18"/>
                <w:highlight w:val="none"/>
                <w:vertAlign w:val="baseline"/>
              </w:rPr>
            </w:pPr>
          </w:p>
        </w:tc>
        <w:tc>
          <w:tcPr>
            <w:tcW w:w="5918" w:type="dxa"/>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感应出水，智能感应龙头</w:t>
            </w:r>
          </w:p>
        </w:tc>
        <w:tc>
          <w:tcPr>
            <w:tcW w:w="1697" w:type="dxa"/>
            <w:gridSpan w:val="2"/>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个</w:t>
            </w:r>
          </w:p>
        </w:tc>
        <w:tc>
          <w:tcPr>
            <w:tcW w:w="773"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650.00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30</w:t>
            </w:r>
          </w:p>
        </w:tc>
        <w:tc>
          <w:tcPr>
            <w:tcW w:w="690" w:type="dxa"/>
            <w:vMerge w:val="continue"/>
            <w:vAlign w:val="center"/>
          </w:tcPr>
          <w:p>
            <w:pPr>
              <w:jc w:val="center"/>
              <w:rPr>
                <w:rFonts w:hint="eastAsia" w:ascii="宋体" w:hAnsi="宋体" w:eastAsia="宋体" w:cs="宋体"/>
                <w:color w:val="auto"/>
                <w:sz w:val="18"/>
                <w:szCs w:val="18"/>
                <w:highlight w:val="none"/>
                <w:vertAlign w:val="baseline"/>
              </w:rPr>
            </w:pPr>
          </w:p>
        </w:tc>
        <w:tc>
          <w:tcPr>
            <w:tcW w:w="2355" w:type="dxa"/>
            <w:gridSpan w:val="3"/>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浴缸改淋浴</w:t>
            </w:r>
          </w:p>
        </w:tc>
        <w:tc>
          <w:tcPr>
            <w:tcW w:w="1524" w:type="dxa"/>
            <w:gridSpan w:val="2"/>
            <w:vAlign w:val="center"/>
          </w:tcPr>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增加淋浴空间，方便照护人员辅助老年人洗浴</w:t>
            </w:r>
          </w:p>
        </w:tc>
        <w:tc>
          <w:tcPr>
            <w:tcW w:w="5918" w:type="dxa"/>
            <w:vAlign w:val="center"/>
          </w:tcPr>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拆除浴缸/淋浴房，更换浴帘、浴杆、花洒（套）。拆除浴缸及周围台面，墙面及地面找平，防水处理，补瓷砖，安装地漏。</w:t>
            </w:r>
          </w:p>
        </w:tc>
        <w:tc>
          <w:tcPr>
            <w:tcW w:w="1697" w:type="dxa"/>
            <w:gridSpan w:val="2"/>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项</w:t>
            </w:r>
          </w:p>
        </w:tc>
        <w:tc>
          <w:tcPr>
            <w:tcW w:w="773"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2800.00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31</w:t>
            </w:r>
          </w:p>
        </w:tc>
        <w:tc>
          <w:tcPr>
            <w:tcW w:w="690" w:type="dxa"/>
            <w:vMerge w:val="continue"/>
            <w:vAlign w:val="center"/>
          </w:tcPr>
          <w:p>
            <w:pPr>
              <w:jc w:val="center"/>
              <w:rPr>
                <w:rFonts w:hint="eastAsia" w:ascii="宋体" w:hAnsi="宋体" w:eastAsia="宋体" w:cs="宋体"/>
                <w:color w:val="auto"/>
                <w:sz w:val="18"/>
                <w:szCs w:val="18"/>
                <w:highlight w:val="none"/>
                <w:vertAlign w:val="baseline"/>
              </w:rPr>
            </w:pPr>
          </w:p>
        </w:tc>
        <w:tc>
          <w:tcPr>
            <w:tcW w:w="1135" w:type="dxa"/>
            <w:vMerge w:val="restart"/>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助浴设备</w:t>
            </w:r>
          </w:p>
        </w:tc>
        <w:tc>
          <w:tcPr>
            <w:tcW w:w="1220" w:type="dxa"/>
            <w:gridSpan w:val="2"/>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折叠淋浴椅</w:t>
            </w:r>
          </w:p>
        </w:tc>
        <w:tc>
          <w:tcPr>
            <w:tcW w:w="1524" w:type="dxa"/>
            <w:gridSpan w:val="2"/>
            <w:vMerge w:val="restart"/>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辅助老年人洗澡用，避免老年人滑倒，提高安全性。</w:t>
            </w:r>
          </w:p>
        </w:tc>
        <w:tc>
          <w:tcPr>
            <w:tcW w:w="6717" w:type="dxa"/>
            <w:gridSpan w:val="2"/>
            <w:vAlign w:val="center"/>
          </w:tcPr>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 xml:space="preserve">1.椅架高强度铝合金，喷粉处理； </w:t>
            </w:r>
          </w:p>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 xml:space="preserve">2.坐板吹塑件，材质HDPE； </w:t>
            </w:r>
          </w:p>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 xml:space="preserve">3.扶手PP材质；坐垫、靠背EVA材质，符合SGS环保要求； </w:t>
            </w:r>
          </w:p>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 xml:space="preserve">4.防霉防滑EOE材质脚垫； </w:t>
            </w:r>
          </w:p>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 xml:space="preserve">5.高度不低于5档调节； </w:t>
            </w:r>
          </w:p>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6.承重≥100KG。</w:t>
            </w:r>
          </w:p>
        </w:tc>
        <w:tc>
          <w:tcPr>
            <w:tcW w:w="898" w:type="dxa"/>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张</w:t>
            </w:r>
          </w:p>
        </w:tc>
        <w:tc>
          <w:tcPr>
            <w:tcW w:w="773"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600.00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32</w:t>
            </w:r>
          </w:p>
        </w:tc>
        <w:tc>
          <w:tcPr>
            <w:tcW w:w="690" w:type="dxa"/>
            <w:vMerge w:val="continue"/>
            <w:vAlign w:val="center"/>
          </w:tcPr>
          <w:p>
            <w:pPr>
              <w:jc w:val="center"/>
              <w:rPr>
                <w:rFonts w:hint="eastAsia" w:ascii="宋体" w:hAnsi="宋体" w:eastAsia="宋体" w:cs="宋体"/>
                <w:color w:val="auto"/>
                <w:sz w:val="18"/>
                <w:szCs w:val="18"/>
                <w:highlight w:val="none"/>
                <w:vertAlign w:val="baseline"/>
              </w:rPr>
            </w:pPr>
          </w:p>
        </w:tc>
        <w:tc>
          <w:tcPr>
            <w:tcW w:w="1135" w:type="dxa"/>
            <w:vMerge w:val="continue"/>
            <w:vAlign w:val="center"/>
          </w:tcPr>
          <w:p>
            <w:pPr>
              <w:jc w:val="center"/>
              <w:rPr>
                <w:rFonts w:hint="eastAsia" w:ascii="宋体" w:hAnsi="宋体" w:eastAsia="宋体" w:cs="宋体"/>
                <w:color w:val="auto"/>
                <w:sz w:val="18"/>
                <w:szCs w:val="18"/>
                <w:highlight w:val="none"/>
                <w:vertAlign w:val="baseline"/>
              </w:rPr>
            </w:pPr>
          </w:p>
        </w:tc>
        <w:tc>
          <w:tcPr>
            <w:tcW w:w="1220" w:type="dxa"/>
            <w:gridSpan w:val="2"/>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固定淋浴椅</w:t>
            </w:r>
          </w:p>
        </w:tc>
        <w:tc>
          <w:tcPr>
            <w:tcW w:w="1524" w:type="dxa"/>
            <w:gridSpan w:val="2"/>
            <w:vMerge w:val="continue"/>
            <w:vAlign w:val="center"/>
          </w:tcPr>
          <w:p>
            <w:pPr>
              <w:jc w:val="center"/>
              <w:rPr>
                <w:rFonts w:hint="eastAsia" w:ascii="宋体" w:hAnsi="宋体" w:eastAsia="宋体" w:cs="宋体"/>
                <w:color w:val="auto"/>
                <w:sz w:val="18"/>
                <w:szCs w:val="18"/>
                <w:highlight w:val="none"/>
                <w:vertAlign w:val="baseline"/>
              </w:rPr>
            </w:pPr>
          </w:p>
        </w:tc>
        <w:tc>
          <w:tcPr>
            <w:tcW w:w="6717" w:type="dxa"/>
            <w:gridSpan w:val="2"/>
            <w:vAlign w:val="center"/>
          </w:tcPr>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 xml:space="preserve">1.承重≥100KG； </w:t>
            </w:r>
          </w:p>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 xml:space="preserve">2.主架由高强度铝合金管材组成； </w:t>
            </w:r>
          </w:p>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 xml:space="preserve">3.坐板和靠背板是采用的PE吹塑成型； </w:t>
            </w:r>
          </w:p>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 xml:space="preserve">4.扶手采用焊接拆装，表面安装泡沫棉，防滑耐用； </w:t>
            </w:r>
          </w:p>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5.脚腿高度不低于5档可调节。</w:t>
            </w:r>
          </w:p>
        </w:tc>
        <w:tc>
          <w:tcPr>
            <w:tcW w:w="898" w:type="dxa"/>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张</w:t>
            </w:r>
          </w:p>
        </w:tc>
        <w:tc>
          <w:tcPr>
            <w:tcW w:w="773"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240.00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33</w:t>
            </w:r>
          </w:p>
        </w:tc>
        <w:tc>
          <w:tcPr>
            <w:tcW w:w="690" w:type="dxa"/>
            <w:vMerge w:val="continue"/>
            <w:vAlign w:val="center"/>
          </w:tcPr>
          <w:p>
            <w:pPr>
              <w:jc w:val="center"/>
              <w:rPr>
                <w:rFonts w:hint="eastAsia" w:ascii="宋体" w:hAnsi="宋体" w:eastAsia="宋体" w:cs="宋体"/>
                <w:color w:val="auto"/>
                <w:sz w:val="18"/>
                <w:szCs w:val="18"/>
                <w:highlight w:val="none"/>
                <w:vertAlign w:val="baseline"/>
              </w:rPr>
            </w:pPr>
          </w:p>
        </w:tc>
        <w:tc>
          <w:tcPr>
            <w:tcW w:w="1135" w:type="dxa"/>
            <w:vMerge w:val="continue"/>
            <w:vAlign w:val="center"/>
          </w:tcPr>
          <w:p>
            <w:pPr>
              <w:jc w:val="center"/>
              <w:rPr>
                <w:rFonts w:hint="eastAsia" w:ascii="宋体" w:hAnsi="宋体" w:eastAsia="宋体" w:cs="宋体"/>
                <w:color w:val="auto"/>
                <w:sz w:val="18"/>
                <w:szCs w:val="18"/>
                <w:highlight w:val="none"/>
                <w:vertAlign w:val="baseline"/>
              </w:rPr>
            </w:pPr>
          </w:p>
        </w:tc>
        <w:tc>
          <w:tcPr>
            <w:tcW w:w="1220" w:type="dxa"/>
            <w:gridSpan w:val="2"/>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挂墙式助浴椅</w:t>
            </w:r>
          </w:p>
        </w:tc>
        <w:tc>
          <w:tcPr>
            <w:tcW w:w="1524" w:type="dxa"/>
            <w:gridSpan w:val="2"/>
            <w:vMerge w:val="continue"/>
            <w:vAlign w:val="center"/>
          </w:tcPr>
          <w:p>
            <w:pPr>
              <w:jc w:val="center"/>
              <w:rPr>
                <w:rFonts w:hint="eastAsia" w:ascii="宋体" w:hAnsi="宋体" w:eastAsia="宋体" w:cs="宋体"/>
                <w:color w:val="auto"/>
                <w:sz w:val="18"/>
                <w:szCs w:val="18"/>
                <w:highlight w:val="none"/>
                <w:vertAlign w:val="baseline"/>
              </w:rPr>
            </w:pPr>
          </w:p>
        </w:tc>
        <w:tc>
          <w:tcPr>
            <w:tcW w:w="6717" w:type="dxa"/>
            <w:gridSpan w:val="2"/>
            <w:vAlign w:val="center"/>
          </w:tcPr>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 xml:space="preserve">1.座板宽≥380MM，水平座板垂直地面的距离可调；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2.高强度铝合金框架，环保工程塑料座板，防滑设计，设计漏水孔，PU 回弹坐垫； </w:t>
            </w:r>
          </w:p>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 xml:space="preserve">3.高级TPR橡胶脚，防滑静音； </w:t>
            </w:r>
          </w:p>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4.安全承重≥190公斤。</w:t>
            </w:r>
          </w:p>
        </w:tc>
        <w:tc>
          <w:tcPr>
            <w:tcW w:w="898" w:type="dxa"/>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张</w:t>
            </w:r>
          </w:p>
        </w:tc>
        <w:tc>
          <w:tcPr>
            <w:tcW w:w="773"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480.00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34</w:t>
            </w:r>
          </w:p>
        </w:tc>
        <w:tc>
          <w:tcPr>
            <w:tcW w:w="690" w:type="dxa"/>
            <w:vMerge w:val="restart"/>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 xml:space="preserve">厨房 </w:t>
            </w:r>
          </w:p>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 xml:space="preserve">设备 </w:t>
            </w:r>
          </w:p>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改造</w:t>
            </w:r>
          </w:p>
        </w:tc>
        <w:tc>
          <w:tcPr>
            <w:tcW w:w="2355" w:type="dxa"/>
            <w:gridSpan w:val="3"/>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台面改造</w:t>
            </w:r>
          </w:p>
        </w:tc>
        <w:tc>
          <w:tcPr>
            <w:tcW w:w="8241" w:type="dxa"/>
            <w:gridSpan w:val="4"/>
            <w:vAlign w:val="center"/>
          </w:tcPr>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降低操作台、灶台、洗菜池高度或者在其下方留出容膝空间，方便乘轮椅或者体形矮小老年人操作。</w:t>
            </w:r>
          </w:p>
        </w:tc>
        <w:tc>
          <w:tcPr>
            <w:tcW w:w="898" w:type="dxa"/>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米</w:t>
            </w:r>
          </w:p>
        </w:tc>
        <w:tc>
          <w:tcPr>
            <w:tcW w:w="773"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1</w:t>
            </w:r>
            <w:r>
              <w:rPr>
                <w:rFonts w:hint="eastAsia" w:ascii="宋体" w:hAnsi="宋体" w:cs="宋体"/>
                <w:color w:val="auto"/>
                <w:sz w:val="18"/>
                <w:szCs w:val="18"/>
                <w:highlight w:val="none"/>
                <w:vertAlign w:val="baseline"/>
                <w:lang w:val="en-US" w:eastAsia="zh-CN"/>
              </w:rPr>
              <w:t>3</w:t>
            </w:r>
            <w:r>
              <w:rPr>
                <w:rFonts w:hint="eastAsia" w:ascii="宋体" w:hAnsi="宋体" w:eastAsia="宋体" w:cs="宋体"/>
                <w:color w:val="auto"/>
                <w:sz w:val="18"/>
                <w:szCs w:val="18"/>
                <w:highlight w:val="none"/>
                <w:vertAlign w:val="baseline"/>
                <w:lang w:val="en-US" w:eastAsia="zh-CN"/>
              </w:rPr>
              <w:t>00.00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35</w:t>
            </w:r>
          </w:p>
        </w:tc>
        <w:tc>
          <w:tcPr>
            <w:tcW w:w="690" w:type="dxa"/>
            <w:vMerge w:val="continue"/>
            <w:vAlign w:val="center"/>
          </w:tcPr>
          <w:p>
            <w:pPr>
              <w:jc w:val="center"/>
              <w:rPr>
                <w:rFonts w:hint="eastAsia" w:ascii="宋体" w:hAnsi="宋体" w:eastAsia="宋体" w:cs="宋体"/>
                <w:color w:val="auto"/>
                <w:sz w:val="18"/>
                <w:szCs w:val="18"/>
                <w:highlight w:val="none"/>
                <w:vertAlign w:val="baseline"/>
              </w:rPr>
            </w:pPr>
          </w:p>
        </w:tc>
        <w:tc>
          <w:tcPr>
            <w:tcW w:w="3879" w:type="dxa"/>
            <w:gridSpan w:val="5"/>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不锈钢操作台</w:t>
            </w:r>
          </w:p>
        </w:tc>
        <w:tc>
          <w:tcPr>
            <w:tcW w:w="6717" w:type="dxa"/>
            <w:gridSpan w:val="2"/>
            <w:vAlign w:val="center"/>
          </w:tcPr>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 xml:space="preserve">1.优质不锈钢拼装式，可固定，防侧翻、安全性佳； </w:t>
            </w:r>
          </w:p>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2.配有可调子弹脚，立柱脚高度可调节，长边单侧应圆弧形。</w:t>
            </w:r>
          </w:p>
        </w:tc>
        <w:tc>
          <w:tcPr>
            <w:tcW w:w="898" w:type="dxa"/>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个</w:t>
            </w:r>
          </w:p>
        </w:tc>
        <w:tc>
          <w:tcPr>
            <w:tcW w:w="773"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cs="宋体"/>
                <w:color w:val="auto"/>
                <w:sz w:val="18"/>
                <w:szCs w:val="18"/>
                <w:highlight w:val="none"/>
                <w:vertAlign w:val="baseline"/>
                <w:lang w:val="en-US" w:eastAsia="zh-CN"/>
              </w:rPr>
              <w:t>800</w:t>
            </w:r>
            <w:r>
              <w:rPr>
                <w:rFonts w:hint="eastAsia" w:ascii="宋体" w:hAnsi="宋体" w:eastAsia="宋体" w:cs="宋体"/>
                <w:color w:val="auto"/>
                <w:sz w:val="18"/>
                <w:szCs w:val="18"/>
                <w:highlight w:val="none"/>
                <w:vertAlign w:val="baseline"/>
                <w:lang w:val="en-US" w:eastAsia="zh-CN"/>
              </w:rPr>
              <w:t>.00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36</w:t>
            </w:r>
          </w:p>
        </w:tc>
        <w:tc>
          <w:tcPr>
            <w:tcW w:w="690" w:type="dxa"/>
            <w:vMerge w:val="continue"/>
            <w:vAlign w:val="center"/>
          </w:tcPr>
          <w:p>
            <w:pPr>
              <w:jc w:val="center"/>
              <w:rPr>
                <w:rFonts w:hint="eastAsia" w:ascii="宋体" w:hAnsi="宋体" w:eastAsia="宋体" w:cs="宋体"/>
                <w:color w:val="auto"/>
                <w:sz w:val="18"/>
                <w:szCs w:val="18"/>
                <w:highlight w:val="none"/>
                <w:vertAlign w:val="baseline"/>
              </w:rPr>
            </w:pPr>
          </w:p>
        </w:tc>
        <w:tc>
          <w:tcPr>
            <w:tcW w:w="3879" w:type="dxa"/>
            <w:gridSpan w:val="5"/>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不锈钢洗漱池</w:t>
            </w:r>
          </w:p>
        </w:tc>
        <w:tc>
          <w:tcPr>
            <w:tcW w:w="6717" w:type="dxa"/>
            <w:gridSpan w:val="2"/>
            <w:vAlign w:val="center"/>
          </w:tcPr>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采用优质不锈钢板制作，可调节重力子弹脚，配优质落水器。(含下水软管)。</w:t>
            </w:r>
          </w:p>
        </w:tc>
        <w:tc>
          <w:tcPr>
            <w:tcW w:w="898" w:type="dxa"/>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个</w:t>
            </w:r>
          </w:p>
        </w:tc>
        <w:tc>
          <w:tcPr>
            <w:tcW w:w="773"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cs="宋体"/>
                <w:color w:val="auto"/>
                <w:sz w:val="18"/>
                <w:szCs w:val="18"/>
                <w:highlight w:val="none"/>
                <w:vertAlign w:val="baseline"/>
                <w:lang w:val="en-US" w:eastAsia="zh-CN"/>
              </w:rPr>
              <w:t>600</w:t>
            </w:r>
            <w:r>
              <w:rPr>
                <w:rFonts w:hint="eastAsia" w:ascii="宋体" w:hAnsi="宋体" w:eastAsia="宋体" w:cs="宋体"/>
                <w:color w:val="auto"/>
                <w:sz w:val="18"/>
                <w:szCs w:val="18"/>
                <w:highlight w:val="none"/>
                <w:vertAlign w:val="baseline"/>
                <w:lang w:val="en-US" w:eastAsia="zh-CN"/>
              </w:rPr>
              <w:t>.00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37</w:t>
            </w:r>
          </w:p>
        </w:tc>
        <w:tc>
          <w:tcPr>
            <w:tcW w:w="690" w:type="dxa"/>
            <w:vMerge w:val="continue"/>
            <w:vAlign w:val="center"/>
          </w:tcPr>
          <w:p>
            <w:pPr>
              <w:jc w:val="center"/>
              <w:rPr>
                <w:rFonts w:hint="eastAsia" w:ascii="宋体" w:hAnsi="宋体" w:eastAsia="宋体" w:cs="宋体"/>
                <w:color w:val="auto"/>
                <w:sz w:val="18"/>
                <w:szCs w:val="18"/>
                <w:highlight w:val="none"/>
                <w:vertAlign w:val="baseline"/>
              </w:rPr>
            </w:pPr>
          </w:p>
        </w:tc>
        <w:tc>
          <w:tcPr>
            <w:tcW w:w="3879" w:type="dxa"/>
            <w:gridSpan w:val="5"/>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加设中部柜</w:t>
            </w:r>
          </w:p>
        </w:tc>
        <w:tc>
          <w:tcPr>
            <w:tcW w:w="6717" w:type="dxa"/>
            <w:gridSpan w:val="2"/>
            <w:vAlign w:val="center"/>
          </w:tcPr>
          <w:p>
            <w:pPr>
              <w:jc w:val="both"/>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在吊柜下方设置开敞式中部柜、中部架，方便老年人取放物品，柜体长度不低于 1.2M。</w:t>
            </w:r>
          </w:p>
        </w:tc>
        <w:tc>
          <w:tcPr>
            <w:tcW w:w="898" w:type="dxa"/>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个</w:t>
            </w:r>
          </w:p>
        </w:tc>
        <w:tc>
          <w:tcPr>
            <w:tcW w:w="773" w:type="dxa"/>
            <w:vAlign w:val="center"/>
          </w:tcPr>
          <w:p>
            <w:pPr>
              <w:jc w:val="center"/>
              <w:rPr>
                <w:rFonts w:hint="eastAsia" w:ascii="宋体" w:hAnsi="宋体" w:eastAsia="宋体" w:cs="宋体"/>
                <w:color w:val="auto"/>
                <w:sz w:val="18"/>
                <w:szCs w:val="18"/>
                <w:highlight w:val="none"/>
                <w:vertAlign w:val="baseline"/>
              </w:rPr>
            </w:pPr>
            <w:r>
              <w:rPr>
                <w:rFonts w:hint="eastAsia" w:ascii="宋体" w:hAnsi="宋体" w:cs="宋体"/>
                <w:color w:val="auto"/>
                <w:sz w:val="18"/>
                <w:szCs w:val="18"/>
                <w:highlight w:val="none"/>
                <w:vertAlign w:val="baseline"/>
                <w:lang w:val="en-US" w:eastAsia="zh-CN"/>
              </w:rPr>
              <w:t>600</w:t>
            </w:r>
            <w:r>
              <w:rPr>
                <w:rFonts w:hint="eastAsia" w:ascii="宋体" w:hAnsi="宋体" w:eastAsia="宋体" w:cs="宋体"/>
                <w:color w:val="auto"/>
                <w:sz w:val="18"/>
                <w:szCs w:val="18"/>
                <w:highlight w:val="none"/>
                <w:vertAlign w:val="baseline"/>
                <w:lang w:val="en-US" w:eastAsia="zh-CN"/>
              </w:rPr>
              <w:t>.00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38</w:t>
            </w:r>
          </w:p>
        </w:tc>
        <w:tc>
          <w:tcPr>
            <w:tcW w:w="690" w:type="dxa"/>
            <w:vMerge w:val="restart"/>
            <w:vAlign w:val="center"/>
          </w:tcPr>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物理</w:t>
            </w:r>
          </w:p>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环境</w:t>
            </w:r>
          </w:p>
          <w:p>
            <w:pPr>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改造</w:t>
            </w:r>
          </w:p>
        </w:tc>
        <w:tc>
          <w:tcPr>
            <w:tcW w:w="1293" w:type="dxa"/>
            <w:gridSpan w:val="2"/>
            <w:vMerge w:val="restart"/>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安装灯具</w:t>
            </w:r>
          </w:p>
        </w:tc>
        <w:tc>
          <w:tcPr>
            <w:tcW w:w="1293" w:type="dxa"/>
            <w:gridSpan w:val="2"/>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吸顶灯</w:t>
            </w:r>
          </w:p>
        </w:tc>
        <w:tc>
          <w:tcPr>
            <w:tcW w:w="1293" w:type="dxa"/>
            <w:vMerge w:val="restart"/>
            <w:vAlign w:val="center"/>
          </w:tcPr>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避免直射光源、强刺激性光源，人走灯灭，辅助老年人起夜使用。</w:t>
            </w:r>
          </w:p>
        </w:tc>
        <w:tc>
          <w:tcPr>
            <w:tcW w:w="6717" w:type="dxa"/>
            <w:gridSpan w:val="2"/>
            <w:vAlign w:val="center"/>
          </w:tcPr>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1.额定功率≥18W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2.额定电压 AC220-240V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3.LED 色温≥6500K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4.颜色材质 PVC+冷轧钢；</w:t>
            </w:r>
          </w:p>
        </w:tc>
        <w:tc>
          <w:tcPr>
            <w:tcW w:w="898" w:type="dxa"/>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个</w:t>
            </w:r>
          </w:p>
        </w:tc>
        <w:tc>
          <w:tcPr>
            <w:tcW w:w="773"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120.00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39</w:t>
            </w:r>
          </w:p>
        </w:tc>
        <w:tc>
          <w:tcPr>
            <w:tcW w:w="690"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1293" w:type="dxa"/>
            <w:gridSpan w:val="2"/>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1293" w:type="dxa"/>
            <w:gridSpan w:val="2"/>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小夜灯</w:t>
            </w:r>
          </w:p>
        </w:tc>
        <w:tc>
          <w:tcPr>
            <w:tcW w:w="1293"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6717" w:type="dxa"/>
            <w:gridSpan w:val="2"/>
            <w:vAlign w:val="center"/>
          </w:tcPr>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1.材质 ABS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2.带 led 灯珠、内置锂电池，保持暖光；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3.感应距离 3 米以内，天黑在感应范围自动亮起，人离开感应范围自动熄灭。</w:t>
            </w:r>
          </w:p>
        </w:tc>
        <w:tc>
          <w:tcPr>
            <w:tcW w:w="898" w:type="dxa"/>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个</w:t>
            </w:r>
          </w:p>
        </w:tc>
        <w:tc>
          <w:tcPr>
            <w:tcW w:w="773"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60.00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40</w:t>
            </w:r>
          </w:p>
        </w:tc>
        <w:tc>
          <w:tcPr>
            <w:tcW w:w="690"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1293" w:type="dxa"/>
            <w:gridSpan w:val="2"/>
            <w:vMerge w:val="restart"/>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电源插座及开关改造</w:t>
            </w:r>
          </w:p>
        </w:tc>
        <w:tc>
          <w:tcPr>
            <w:tcW w:w="1293" w:type="dxa"/>
            <w:gridSpan w:val="2"/>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电路改造</w:t>
            </w:r>
          </w:p>
        </w:tc>
        <w:tc>
          <w:tcPr>
            <w:tcW w:w="1293" w:type="dxa"/>
            <w:vMerge w:val="restart"/>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视情进行高 /低位改造，避免老年人下蹲或弯腰，方便老年人插拔电源和使用开关。</w:t>
            </w:r>
          </w:p>
        </w:tc>
        <w:tc>
          <w:tcPr>
            <w:tcW w:w="6717" w:type="dxa"/>
            <w:gridSpan w:val="2"/>
            <w:vAlign w:val="center"/>
          </w:tcPr>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1.根据现场条件确认施工方案，成品保护，明管敷设，铺设新线，接入原有线路；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2.布线横平竖直，穿线采用PVC套管，原老旧线路拆除，包工包料。</w:t>
            </w:r>
          </w:p>
        </w:tc>
        <w:tc>
          <w:tcPr>
            <w:tcW w:w="898" w:type="dxa"/>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米</w:t>
            </w:r>
          </w:p>
        </w:tc>
        <w:tc>
          <w:tcPr>
            <w:tcW w:w="773"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95.00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41</w:t>
            </w:r>
          </w:p>
        </w:tc>
        <w:tc>
          <w:tcPr>
            <w:tcW w:w="690"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1293" w:type="dxa"/>
            <w:gridSpan w:val="2"/>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1293" w:type="dxa"/>
            <w:gridSpan w:val="2"/>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更换成套电箱</w:t>
            </w:r>
          </w:p>
        </w:tc>
        <w:tc>
          <w:tcPr>
            <w:tcW w:w="1293"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6717" w:type="dxa"/>
            <w:gridSpan w:val="2"/>
            <w:vAlign w:val="center"/>
          </w:tcPr>
          <w:p>
            <w:pPr>
              <w:numPr>
                <w:ilvl w:val="0"/>
                <w:numId w:val="0"/>
              </w:num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1.拆入户线，换电箱、总开漏保、各路空开，闭合电闸；</w:t>
            </w:r>
          </w:p>
          <w:p>
            <w:pPr>
              <w:numPr>
                <w:ilvl w:val="0"/>
                <w:numId w:val="0"/>
              </w:num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2.总漏保不低于C60，插座漏保不低于C20，开关漏保不低于 C16，空调漏保不低于C32。</w:t>
            </w:r>
          </w:p>
        </w:tc>
        <w:tc>
          <w:tcPr>
            <w:tcW w:w="898" w:type="dxa"/>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项</w:t>
            </w:r>
          </w:p>
        </w:tc>
        <w:tc>
          <w:tcPr>
            <w:tcW w:w="773"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700.00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42</w:t>
            </w:r>
          </w:p>
        </w:tc>
        <w:tc>
          <w:tcPr>
            <w:tcW w:w="690"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1293" w:type="dxa"/>
            <w:gridSpan w:val="2"/>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1293" w:type="dxa"/>
            <w:gridSpan w:val="2"/>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更换总开、 漏保、空开</w:t>
            </w:r>
          </w:p>
        </w:tc>
        <w:tc>
          <w:tcPr>
            <w:tcW w:w="1293"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6717" w:type="dxa"/>
            <w:gridSpan w:val="2"/>
            <w:vAlign w:val="center"/>
          </w:tcPr>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1.断闸，更换总开漏保、各路空开，三次短暂试推，闭合电闸；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2.空开大小不能低于家中总电器功率、且次分路空开大小不小于C20。</w:t>
            </w:r>
          </w:p>
        </w:tc>
        <w:tc>
          <w:tcPr>
            <w:tcW w:w="898" w:type="dxa"/>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个</w:t>
            </w:r>
          </w:p>
        </w:tc>
        <w:tc>
          <w:tcPr>
            <w:tcW w:w="773"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130.00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43</w:t>
            </w:r>
          </w:p>
        </w:tc>
        <w:tc>
          <w:tcPr>
            <w:tcW w:w="690"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1293" w:type="dxa"/>
            <w:gridSpan w:val="2"/>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1293" w:type="dxa"/>
            <w:gridSpan w:val="2"/>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单开面板</w:t>
            </w:r>
          </w:p>
        </w:tc>
        <w:tc>
          <w:tcPr>
            <w:tcW w:w="1293"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6717" w:type="dxa"/>
            <w:gridSpan w:val="2"/>
            <w:vAlign w:val="center"/>
          </w:tcPr>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1.银镍合金触点、国产 PC 料额定电流 10A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2.额定电压：250V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3.额定功率：2500W。</w:t>
            </w:r>
          </w:p>
        </w:tc>
        <w:tc>
          <w:tcPr>
            <w:tcW w:w="898" w:type="dxa"/>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个</w:t>
            </w:r>
          </w:p>
        </w:tc>
        <w:tc>
          <w:tcPr>
            <w:tcW w:w="773"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50.00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44</w:t>
            </w:r>
          </w:p>
        </w:tc>
        <w:tc>
          <w:tcPr>
            <w:tcW w:w="690"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1293" w:type="dxa"/>
            <w:gridSpan w:val="2"/>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1293" w:type="dxa"/>
            <w:gridSpan w:val="2"/>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双开面板</w:t>
            </w:r>
          </w:p>
        </w:tc>
        <w:tc>
          <w:tcPr>
            <w:tcW w:w="1293"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6717" w:type="dxa"/>
            <w:gridSpan w:val="2"/>
            <w:vAlign w:val="center"/>
          </w:tcPr>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1.银镍合金触点、国产 PC 料额定电流：10A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2.额定电压：250V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3.额定功率：2500W。</w:t>
            </w:r>
          </w:p>
        </w:tc>
        <w:tc>
          <w:tcPr>
            <w:tcW w:w="898" w:type="dxa"/>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个</w:t>
            </w:r>
          </w:p>
        </w:tc>
        <w:tc>
          <w:tcPr>
            <w:tcW w:w="773"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50.00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45</w:t>
            </w:r>
          </w:p>
        </w:tc>
        <w:tc>
          <w:tcPr>
            <w:tcW w:w="690"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1293" w:type="dxa"/>
            <w:gridSpan w:val="2"/>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1293" w:type="dxa"/>
            <w:gridSpan w:val="2"/>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一开五孔</w:t>
            </w:r>
          </w:p>
        </w:tc>
        <w:tc>
          <w:tcPr>
            <w:tcW w:w="1293"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6717" w:type="dxa"/>
            <w:gridSpan w:val="2"/>
            <w:vAlign w:val="center"/>
          </w:tcPr>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1.国产 PC 料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2.额定电流：10A/16A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3.额定电压：250V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4.额定功率：2500W。</w:t>
            </w:r>
          </w:p>
        </w:tc>
        <w:tc>
          <w:tcPr>
            <w:tcW w:w="898" w:type="dxa"/>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个</w:t>
            </w:r>
          </w:p>
        </w:tc>
        <w:tc>
          <w:tcPr>
            <w:tcW w:w="773"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50.00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46</w:t>
            </w:r>
          </w:p>
        </w:tc>
        <w:tc>
          <w:tcPr>
            <w:tcW w:w="690"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1293" w:type="dxa"/>
            <w:gridSpan w:val="2"/>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1293" w:type="dxa"/>
            <w:gridSpan w:val="2"/>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五孔插座</w:t>
            </w:r>
          </w:p>
        </w:tc>
        <w:tc>
          <w:tcPr>
            <w:tcW w:w="1293"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6717" w:type="dxa"/>
            <w:gridSpan w:val="2"/>
            <w:vAlign w:val="center"/>
          </w:tcPr>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1.国产 PC 料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2.额定电流：10A/16A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3.额定电压：250V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4.额定功率：2500W。</w:t>
            </w:r>
          </w:p>
        </w:tc>
        <w:tc>
          <w:tcPr>
            <w:tcW w:w="898" w:type="dxa"/>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个</w:t>
            </w:r>
          </w:p>
        </w:tc>
        <w:tc>
          <w:tcPr>
            <w:tcW w:w="773"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50.00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4" w:hRule="atLeast"/>
        </w:trPr>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47</w:t>
            </w:r>
          </w:p>
        </w:tc>
        <w:tc>
          <w:tcPr>
            <w:tcW w:w="690"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1293" w:type="dxa"/>
            <w:gridSpan w:val="2"/>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1293" w:type="dxa"/>
            <w:gridSpan w:val="2"/>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15孔排插</w:t>
            </w:r>
          </w:p>
        </w:tc>
        <w:tc>
          <w:tcPr>
            <w:tcW w:w="1293" w:type="dxa"/>
            <w:vAlign w:val="center"/>
          </w:tcPr>
          <w:p>
            <w:pPr>
              <w:jc w:val="center"/>
              <w:rPr>
                <w:rFonts w:hint="eastAsia" w:ascii="宋体" w:hAnsi="宋体" w:eastAsia="宋体" w:cs="宋体"/>
                <w:color w:val="auto"/>
                <w:sz w:val="18"/>
                <w:szCs w:val="18"/>
                <w:highlight w:val="none"/>
                <w:vertAlign w:val="baseline"/>
                <w:lang w:val="en-US" w:eastAsia="zh-CN"/>
              </w:rPr>
            </w:pPr>
          </w:p>
        </w:tc>
        <w:tc>
          <w:tcPr>
            <w:tcW w:w="6717" w:type="dxa"/>
            <w:gridSpan w:val="2"/>
            <w:vAlign w:val="center"/>
          </w:tcPr>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1.线 3-5 米长，采用阻燃材质，防止老化开裂；</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2.防单极插入保护，更安全用于智能设备及网络连接用电。</w:t>
            </w:r>
          </w:p>
        </w:tc>
        <w:tc>
          <w:tcPr>
            <w:tcW w:w="898" w:type="dxa"/>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个</w:t>
            </w:r>
          </w:p>
        </w:tc>
        <w:tc>
          <w:tcPr>
            <w:tcW w:w="773"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50.00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9" w:hRule="atLeast"/>
        </w:trPr>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48</w:t>
            </w:r>
          </w:p>
        </w:tc>
        <w:tc>
          <w:tcPr>
            <w:tcW w:w="690"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2586" w:type="dxa"/>
            <w:gridSpan w:val="4"/>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安装防撞护角</w:t>
            </w:r>
          </w:p>
        </w:tc>
        <w:tc>
          <w:tcPr>
            <w:tcW w:w="1293" w:type="dxa"/>
            <w:vMerge w:val="restart"/>
            <w:vAlign w:val="center"/>
          </w:tcPr>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在家具尖角或墙角安装 防撞护角或 者防撞条，避免老年人磕碰划伤，必 要时粘贴防滑条、警示条等符合相关标准和老年人认知特点的提示标识。</w:t>
            </w:r>
          </w:p>
        </w:tc>
        <w:tc>
          <w:tcPr>
            <w:tcW w:w="6717" w:type="dxa"/>
            <w:gridSpan w:val="2"/>
            <w:vAlign w:val="center"/>
          </w:tcPr>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1.材质 NBR，防水耐油；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2.加厚，无残留。</w:t>
            </w:r>
          </w:p>
        </w:tc>
        <w:tc>
          <w:tcPr>
            <w:tcW w:w="898" w:type="dxa"/>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个</w:t>
            </w:r>
          </w:p>
        </w:tc>
        <w:tc>
          <w:tcPr>
            <w:tcW w:w="773"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5.00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4" w:hRule="atLeast"/>
        </w:trPr>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49</w:t>
            </w:r>
          </w:p>
        </w:tc>
        <w:tc>
          <w:tcPr>
            <w:tcW w:w="690"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2586" w:type="dxa"/>
            <w:gridSpan w:val="4"/>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安装防撞条</w:t>
            </w:r>
          </w:p>
        </w:tc>
        <w:tc>
          <w:tcPr>
            <w:tcW w:w="1293"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6717" w:type="dxa"/>
            <w:gridSpan w:val="2"/>
            <w:vAlign w:val="center"/>
          </w:tcPr>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1.材质pvc；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2.双面胶/免钉胶防火阻燃，不含甲醛。</w:t>
            </w:r>
          </w:p>
        </w:tc>
        <w:tc>
          <w:tcPr>
            <w:tcW w:w="898"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米</w:t>
            </w:r>
          </w:p>
        </w:tc>
        <w:tc>
          <w:tcPr>
            <w:tcW w:w="773"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40.00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50</w:t>
            </w:r>
          </w:p>
        </w:tc>
        <w:tc>
          <w:tcPr>
            <w:tcW w:w="690"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2586" w:type="dxa"/>
            <w:gridSpan w:val="4"/>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安装提示标识</w:t>
            </w:r>
          </w:p>
        </w:tc>
        <w:tc>
          <w:tcPr>
            <w:tcW w:w="1293"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6717" w:type="dxa"/>
            <w:gridSpan w:val="2"/>
            <w:vAlign w:val="center"/>
          </w:tcPr>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粘贴在墙角或家具尖角附近，起警示作用。</w:t>
            </w:r>
          </w:p>
        </w:tc>
        <w:tc>
          <w:tcPr>
            <w:tcW w:w="898"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组</w:t>
            </w:r>
          </w:p>
        </w:tc>
        <w:tc>
          <w:tcPr>
            <w:tcW w:w="773"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15.00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51</w:t>
            </w:r>
          </w:p>
        </w:tc>
        <w:tc>
          <w:tcPr>
            <w:tcW w:w="690" w:type="dxa"/>
            <w:vMerge w:val="restart"/>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老年</w:t>
            </w:r>
          </w:p>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用品</w:t>
            </w:r>
          </w:p>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配置</w:t>
            </w:r>
          </w:p>
          <w:p>
            <w:pPr>
              <w:jc w:val="center"/>
              <w:rPr>
                <w:rFonts w:hint="eastAsia" w:ascii="宋体" w:hAnsi="宋体" w:eastAsia="宋体" w:cs="宋体"/>
                <w:color w:val="auto"/>
                <w:sz w:val="18"/>
                <w:szCs w:val="18"/>
                <w:highlight w:val="none"/>
                <w:vertAlign w:val="baseline"/>
                <w:lang w:val="en-US" w:eastAsia="zh-CN"/>
              </w:rPr>
            </w:pPr>
          </w:p>
        </w:tc>
        <w:tc>
          <w:tcPr>
            <w:tcW w:w="2586" w:type="dxa"/>
            <w:gridSpan w:val="4"/>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适老桌</w:t>
            </w:r>
          </w:p>
        </w:tc>
        <w:tc>
          <w:tcPr>
            <w:tcW w:w="1293" w:type="dxa"/>
            <w:vMerge w:val="restart"/>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比如换鞋凳、适老椅、电动升降晾衣架等。</w:t>
            </w:r>
          </w:p>
        </w:tc>
        <w:tc>
          <w:tcPr>
            <w:tcW w:w="6717" w:type="dxa"/>
            <w:gridSpan w:val="2"/>
            <w:vAlign w:val="center"/>
          </w:tcPr>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1.采用优质橡胶木实木；台面采用优质E1级实木多层板贴水曲柳实木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木皮，设计安全角，无缝拼接边角处采用倒圆工艺；</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2.油漆采用国内环保油漆，成品纹理清晰、表层饱满、光泽润亮。涂装无桔皮、发白、流挂、泪油现象。</w:t>
            </w:r>
          </w:p>
        </w:tc>
        <w:tc>
          <w:tcPr>
            <w:tcW w:w="898" w:type="dxa"/>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张</w:t>
            </w:r>
          </w:p>
        </w:tc>
        <w:tc>
          <w:tcPr>
            <w:tcW w:w="773"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900.00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52</w:t>
            </w:r>
          </w:p>
        </w:tc>
        <w:tc>
          <w:tcPr>
            <w:tcW w:w="690"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2586" w:type="dxa"/>
            <w:gridSpan w:val="4"/>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换鞋凳</w:t>
            </w:r>
          </w:p>
        </w:tc>
        <w:tc>
          <w:tcPr>
            <w:tcW w:w="1293"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6717" w:type="dxa"/>
            <w:gridSpan w:val="2"/>
            <w:vAlign w:val="center"/>
          </w:tcPr>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1.框架采用优质橡胶木实木；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2.环保油漆，成品纹理清晰、表层饱满、光泽润亮；软包优质油科技布。</w:t>
            </w:r>
          </w:p>
        </w:tc>
        <w:tc>
          <w:tcPr>
            <w:tcW w:w="898" w:type="dxa"/>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张</w:t>
            </w:r>
          </w:p>
        </w:tc>
        <w:tc>
          <w:tcPr>
            <w:tcW w:w="773"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399.00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53</w:t>
            </w:r>
          </w:p>
        </w:tc>
        <w:tc>
          <w:tcPr>
            <w:tcW w:w="690"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2586" w:type="dxa"/>
            <w:gridSpan w:val="4"/>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适老椅</w:t>
            </w:r>
          </w:p>
        </w:tc>
        <w:tc>
          <w:tcPr>
            <w:tcW w:w="1293"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6717" w:type="dxa"/>
            <w:gridSpan w:val="2"/>
            <w:vAlign w:val="center"/>
          </w:tcPr>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1.框架弯曲木，靠背外框+扶手+前后脚为完整件，无榫接、胶粘等组装方式，具有较良好的强度性能和抗震力；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2.采用高弹海绵；采用优质科技布；采用环保油漆，成品纹理清晰、表层饱满、光泽润亮。</w:t>
            </w:r>
          </w:p>
        </w:tc>
        <w:tc>
          <w:tcPr>
            <w:tcW w:w="898" w:type="dxa"/>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张</w:t>
            </w:r>
          </w:p>
        </w:tc>
        <w:tc>
          <w:tcPr>
            <w:tcW w:w="773"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380.00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54</w:t>
            </w:r>
          </w:p>
        </w:tc>
        <w:tc>
          <w:tcPr>
            <w:tcW w:w="690"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2586" w:type="dxa"/>
            <w:gridSpan w:val="4"/>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电动晾衣架</w:t>
            </w:r>
          </w:p>
        </w:tc>
        <w:tc>
          <w:tcPr>
            <w:tcW w:w="1293"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6717" w:type="dxa"/>
            <w:gridSpan w:val="2"/>
            <w:vAlign w:val="center"/>
          </w:tcPr>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1.晾杆尺寸≧1000mm，展开：≧2000mm；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2.晾杆间距≧450mm；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3.挂孔数量≧20 个；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4.具备照明升降功能；噪音≤55 分贝。</w:t>
            </w:r>
          </w:p>
        </w:tc>
        <w:tc>
          <w:tcPr>
            <w:tcW w:w="898" w:type="dxa"/>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个</w:t>
            </w:r>
          </w:p>
        </w:tc>
        <w:tc>
          <w:tcPr>
            <w:tcW w:w="773"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1788.00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55</w:t>
            </w:r>
          </w:p>
        </w:tc>
        <w:tc>
          <w:tcPr>
            <w:tcW w:w="690"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2586" w:type="dxa"/>
            <w:gridSpan w:val="4"/>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手动晾衣架</w:t>
            </w:r>
          </w:p>
        </w:tc>
        <w:tc>
          <w:tcPr>
            <w:tcW w:w="1293"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6717" w:type="dxa"/>
            <w:gridSpan w:val="2"/>
            <w:vAlign w:val="center"/>
          </w:tcPr>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1.三杆手摇升降；单杆承重≧35KG；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2.晾衣杆尺寸≧200CM；主要材质铝合金/复合材料；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3.单杆孔数≧12 孔。</w:t>
            </w:r>
          </w:p>
        </w:tc>
        <w:tc>
          <w:tcPr>
            <w:tcW w:w="898" w:type="dxa"/>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个</w:t>
            </w:r>
          </w:p>
        </w:tc>
        <w:tc>
          <w:tcPr>
            <w:tcW w:w="773"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698.00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56</w:t>
            </w:r>
          </w:p>
        </w:tc>
        <w:tc>
          <w:tcPr>
            <w:tcW w:w="690"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1293" w:type="dxa"/>
            <w:gridSpan w:val="2"/>
            <w:vMerge w:val="restart"/>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手杖</w:t>
            </w:r>
          </w:p>
        </w:tc>
        <w:tc>
          <w:tcPr>
            <w:tcW w:w="1293" w:type="dxa"/>
            <w:gridSpan w:val="2"/>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单脚手杖</w:t>
            </w:r>
          </w:p>
        </w:tc>
        <w:tc>
          <w:tcPr>
            <w:tcW w:w="1293" w:type="dxa"/>
            <w:vMerge w:val="restart"/>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辅助腿脚不便的老人日常步行；高度可调，满足不同身高老人的需求；底部防滑，更安全。</w:t>
            </w:r>
          </w:p>
        </w:tc>
        <w:tc>
          <w:tcPr>
            <w:tcW w:w="6717" w:type="dxa"/>
            <w:gridSpan w:val="2"/>
            <w:vAlign w:val="center"/>
          </w:tcPr>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1.材质环保塑胶、铝合金，上支和下支：铝；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2.T 型拐杖头：塑料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3.挽手带绳；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4.塑料十字塞；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5.高度可调范围 70-90CM。</w:t>
            </w:r>
          </w:p>
        </w:tc>
        <w:tc>
          <w:tcPr>
            <w:tcW w:w="898"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把</w:t>
            </w:r>
          </w:p>
        </w:tc>
        <w:tc>
          <w:tcPr>
            <w:tcW w:w="773"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80.00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57</w:t>
            </w:r>
          </w:p>
        </w:tc>
        <w:tc>
          <w:tcPr>
            <w:tcW w:w="690"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1293" w:type="dxa"/>
            <w:gridSpan w:val="2"/>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1293" w:type="dxa"/>
            <w:gridSpan w:val="2"/>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四脚手杖</w:t>
            </w:r>
          </w:p>
        </w:tc>
        <w:tc>
          <w:tcPr>
            <w:tcW w:w="1293"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6717" w:type="dxa"/>
            <w:gridSpan w:val="2"/>
            <w:vAlign w:val="center"/>
          </w:tcPr>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1.上支和下支：铝；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2.T 型拐杖头：塑料；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3.挽手带绳；塑料十字塞；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4.可调高度范围 70-90CM。 </w:t>
            </w:r>
          </w:p>
        </w:tc>
        <w:tc>
          <w:tcPr>
            <w:tcW w:w="898" w:type="dxa"/>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把</w:t>
            </w:r>
          </w:p>
        </w:tc>
        <w:tc>
          <w:tcPr>
            <w:tcW w:w="773"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96.00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58</w:t>
            </w:r>
          </w:p>
        </w:tc>
        <w:tc>
          <w:tcPr>
            <w:tcW w:w="690"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1293" w:type="dxa"/>
            <w:gridSpan w:val="2"/>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1293" w:type="dxa"/>
            <w:gridSpan w:val="2"/>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凳拐</w:t>
            </w:r>
          </w:p>
        </w:tc>
        <w:tc>
          <w:tcPr>
            <w:tcW w:w="1293"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6717" w:type="dxa"/>
            <w:gridSpan w:val="2"/>
            <w:vAlign w:val="center"/>
          </w:tcPr>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1.凳面座板：PVC材质；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2.带LED照明灯；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3.铝合金 ABS 塑料；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4.承重≧200 斤。</w:t>
            </w:r>
          </w:p>
        </w:tc>
        <w:tc>
          <w:tcPr>
            <w:tcW w:w="898" w:type="dxa"/>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个</w:t>
            </w:r>
          </w:p>
        </w:tc>
        <w:tc>
          <w:tcPr>
            <w:tcW w:w="773"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120.00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59</w:t>
            </w:r>
          </w:p>
        </w:tc>
        <w:tc>
          <w:tcPr>
            <w:tcW w:w="690"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1293" w:type="dxa"/>
            <w:gridSpan w:val="2"/>
            <w:vMerge w:val="restart"/>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助视</w:t>
            </w:r>
          </w:p>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设备</w:t>
            </w:r>
          </w:p>
        </w:tc>
        <w:tc>
          <w:tcPr>
            <w:tcW w:w="1293" w:type="dxa"/>
            <w:gridSpan w:val="2"/>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手持放大镜</w:t>
            </w:r>
          </w:p>
        </w:tc>
        <w:tc>
          <w:tcPr>
            <w:tcW w:w="1293" w:type="dxa"/>
            <w:vMerge w:val="restart"/>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视力障碍的老年人使用，针对视力障碍、颜色识别障碍的老年人，提供助视功能，方便老年人阅读。</w:t>
            </w:r>
          </w:p>
        </w:tc>
        <w:tc>
          <w:tcPr>
            <w:tcW w:w="6717" w:type="dxa"/>
            <w:gridSpan w:val="2"/>
            <w:vAlign w:val="center"/>
          </w:tcPr>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1.放大倍率≧3 倍；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2.光源白色 LED 灯≧6 个；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3.手持+固焦；充电锂电池。</w:t>
            </w:r>
          </w:p>
        </w:tc>
        <w:tc>
          <w:tcPr>
            <w:tcW w:w="898" w:type="dxa"/>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个</w:t>
            </w:r>
          </w:p>
        </w:tc>
        <w:tc>
          <w:tcPr>
            <w:tcW w:w="773"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190.00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60</w:t>
            </w:r>
          </w:p>
        </w:tc>
        <w:tc>
          <w:tcPr>
            <w:tcW w:w="690"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1293" w:type="dxa"/>
            <w:gridSpan w:val="2"/>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1293" w:type="dxa"/>
            <w:gridSpan w:val="2"/>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电子放大镜</w:t>
            </w:r>
          </w:p>
        </w:tc>
        <w:tc>
          <w:tcPr>
            <w:tcW w:w="1293"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6717" w:type="dxa"/>
            <w:gridSpan w:val="2"/>
            <w:vAlign w:val="center"/>
          </w:tcPr>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1.材质亚克力/K9 玻璃；采用≧5 倍定焦设计；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2.柔和 LED 光源，按压式开关设计，黑暗环境也可以方便使用。</w:t>
            </w:r>
          </w:p>
        </w:tc>
        <w:tc>
          <w:tcPr>
            <w:tcW w:w="898" w:type="dxa"/>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个</w:t>
            </w:r>
          </w:p>
        </w:tc>
        <w:tc>
          <w:tcPr>
            <w:tcW w:w="773"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199.00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61</w:t>
            </w:r>
          </w:p>
        </w:tc>
        <w:tc>
          <w:tcPr>
            <w:tcW w:w="690"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2586" w:type="dxa"/>
            <w:gridSpan w:val="4"/>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轮 椅 (不 带 座 便 )</w:t>
            </w:r>
          </w:p>
        </w:tc>
        <w:tc>
          <w:tcPr>
            <w:tcW w:w="1293" w:type="dxa"/>
            <w:vMerge w:val="restart"/>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辅助家人、照护人员推行、帮助老年人站立行走，扩大老年人活动空间，通过髋关节运动助力，辅助老人行走，纠正代偿性异常步态</w:t>
            </w:r>
          </w:p>
        </w:tc>
        <w:tc>
          <w:tcPr>
            <w:tcW w:w="6717" w:type="dxa"/>
            <w:gridSpan w:val="2"/>
            <w:vAlign w:val="center"/>
          </w:tcPr>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1.车架选用航钛高强度钢焊接而成，表面经喷漆处理；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2.座垫/靠垫采用牛津尼龙布料做成，质地柔软、透气防滑；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3.固定斜扶手架，坚固耐用，方便使用者站立时辅助；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4.固定式拆脚、操作简易，脚踏板采用塑料脚踏板，高度可调；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5.≧8 英寸(20cm)PVC 前轮，配高强度塑料轮毂,坚固耐用，实心轮耐磨；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6.≧24 英寸(60cm)实心胎后轮，耐磨不用充气，具备减震功能，配工程塑料手轮装置。</w:t>
            </w:r>
          </w:p>
        </w:tc>
        <w:tc>
          <w:tcPr>
            <w:tcW w:w="898"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张</w:t>
            </w:r>
          </w:p>
        </w:tc>
        <w:tc>
          <w:tcPr>
            <w:tcW w:w="773"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680.00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62</w:t>
            </w:r>
          </w:p>
        </w:tc>
        <w:tc>
          <w:tcPr>
            <w:tcW w:w="690"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2586" w:type="dxa"/>
            <w:gridSpan w:val="4"/>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带座便轮椅</w:t>
            </w:r>
          </w:p>
        </w:tc>
        <w:tc>
          <w:tcPr>
            <w:tcW w:w="1293"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6717" w:type="dxa"/>
            <w:gridSpan w:val="2"/>
            <w:vAlign w:val="center"/>
          </w:tcPr>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1.车架采用高强度钢焊接而成，电镀抗老化，防锈能力强；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2.靠背角度完全按人体腰部生理弯曲度来设计，为人体提供最佳支撑；</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3.座垫表面采用人造皮革料内部添加加厚海绵软座垫:面开长方形开口厕孔,根据人体坐姿设计，为用户提供最佳的方便位置；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4.配有大容量 PVC 光面方厕桶,具有防水、容易清洁的特质，方便用户灵活安装和抽出厕桶；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5.扶手可后翻且可拆卸；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6.可拆脚托，同时脚踏板采用偏心装置锁紧，方便高低调节；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7.不小于 8 英寸(20cm)PU 万向前轮；不小于 24 英寸(61cm)免充气式 后轮，减震，配手轮装置(手直接驱动轮椅时使用)；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8.刹车采用肘节式刹车装置，刹车装置制动后低于座位面，方便快捷安全；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9.可折叠式车型，方便携带出行，节省占用空间位置。</w:t>
            </w:r>
          </w:p>
        </w:tc>
        <w:tc>
          <w:tcPr>
            <w:tcW w:w="898" w:type="dxa"/>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张</w:t>
            </w:r>
          </w:p>
        </w:tc>
        <w:tc>
          <w:tcPr>
            <w:tcW w:w="773"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990.00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63</w:t>
            </w:r>
          </w:p>
        </w:tc>
        <w:tc>
          <w:tcPr>
            <w:tcW w:w="690"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2586" w:type="dxa"/>
            <w:gridSpan w:val="4"/>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带凳助行器</w:t>
            </w:r>
          </w:p>
        </w:tc>
        <w:tc>
          <w:tcPr>
            <w:tcW w:w="1293"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6717" w:type="dxa"/>
            <w:gridSpan w:val="2"/>
            <w:vAlign w:val="center"/>
          </w:tcPr>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1.车架选用航钛高强度特种铝型材焊接而成；具有强度高；重量轻的特性，表面经喷涂处理后具有不掉色，抗老化、不生锈的特质；</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2.车架四脚配有伸缩管，可供用户随意调节适用高度。也适用于不同高度人群使用；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3.座垫采用加厚海绵人造皮革,耐用、防水；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4.PVC把手，前置2个不小于5英寸的PVC轮；后配防滑耐磨胶脚，能让用户轻松安全方便前行；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5.可折叠式车型，折叠轻便、操作方便、结构可靠的优点,能节省占用空间位置。 </w:t>
            </w:r>
          </w:p>
        </w:tc>
        <w:tc>
          <w:tcPr>
            <w:tcW w:w="898" w:type="dxa"/>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个</w:t>
            </w:r>
          </w:p>
        </w:tc>
        <w:tc>
          <w:tcPr>
            <w:tcW w:w="773"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390.00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64</w:t>
            </w:r>
          </w:p>
        </w:tc>
        <w:tc>
          <w:tcPr>
            <w:tcW w:w="690"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2586" w:type="dxa"/>
            <w:gridSpan w:val="4"/>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步行辅助器</w:t>
            </w:r>
          </w:p>
        </w:tc>
        <w:tc>
          <w:tcPr>
            <w:tcW w:w="1293"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6717" w:type="dxa"/>
            <w:gridSpan w:val="2"/>
            <w:vAlign w:val="center"/>
          </w:tcPr>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1.铝合金材质，不会划伤表面，永不生锈；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2.安全承重≧150kg；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3.腿部高度可调，适合不同身高；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4.把手采用高密度 PVC 材质，防滑不断裂；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5.双把手设计，适用不同环境使用；加大加厚天然橡胶脚垫，更耐用、更防滑；内藏金属垫片，加强其耐用性。</w:t>
            </w:r>
          </w:p>
        </w:tc>
        <w:tc>
          <w:tcPr>
            <w:tcW w:w="898" w:type="dxa"/>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个</w:t>
            </w:r>
          </w:p>
        </w:tc>
        <w:tc>
          <w:tcPr>
            <w:tcW w:w="773"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280.00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65</w:t>
            </w:r>
          </w:p>
        </w:tc>
        <w:tc>
          <w:tcPr>
            <w:tcW w:w="690"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1293" w:type="dxa"/>
            <w:gridSpan w:val="2"/>
            <w:vMerge w:val="restart"/>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助听器</w:t>
            </w:r>
          </w:p>
        </w:tc>
        <w:tc>
          <w:tcPr>
            <w:tcW w:w="1293" w:type="dxa"/>
            <w:gridSpan w:val="2"/>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盒子助听器</w:t>
            </w:r>
          </w:p>
        </w:tc>
        <w:tc>
          <w:tcPr>
            <w:tcW w:w="1293" w:type="dxa"/>
            <w:vMerge w:val="restart"/>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帮助老年人听清声音来源，增加与周围的交流</w:t>
            </w:r>
          </w:p>
        </w:tc>
        <w:tc>
          <w:tcPr>
            <w:tcW w:w="6717" w:type="dxa"/>
            <w:gridSpan w:val="2"/>
            <w:vAlign w:val="center"/>
          </w:tcPr>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1.具备电视、通话等多种开关模式选择；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2.适配 115dB 以下听力损失；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3.音量可调节；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4.具备双声道立体声；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5.可更换7号电池。</w:t>
            </w:r>
          </w:p>
        </w:tc>
        <w:tc>
          <w:tcPr>
            <w:tcW w:w="898" w:type="dxa"/>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个</w:t>
            </w:r>
          </w:p>
        </w:tc>
        <w:tc>
          <w:tcPr>
            <w:tcW w:w="773"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800.00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66</w:t>
            </w:r>
          </w:p>
        </w:tc>
        <w:tc>
          <w:tcPr>
            <w:tcW w:w="690"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1293" w:type="dxa"/>
            <w:gridSpan w:val="2"/>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1293" w:type="dxa"/>
            <w:gridSpan w:val="2"/>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耳背助听器</w:t>
            </w:r>
          </w:p>
        </w:tc>
        <w:tc>
          <w:tcPr>
            <w:tcW w:w="1293"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6717" w:type="dxa"/>
            <w:gridSpan w:val="2"/>
            <w:vAlign w:val="center"/>
          </w:tcPr>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1.全数字信号处理，专业噪音过滤系统；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2.至少 8 频段数字处理，内置高保真反馈抑制系统，有效防止啸叫，使用更舒适；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3.4个调节程序，满足不同的听力补偿需求适用范围：确保中、重度听力残疾老年人听清声音来源。</w:t>
            </w:r>
          </w:p>
        </w:tc>
        <w:tc>
          <w:tcPr>
            <w:tcW w:w="898" w:type="dxa"/>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个</w:t>
            </w:r>
          </w:p>
        </w:tc>
        <w:tc>
          <w:tcPr>
            <w:tcW w:w="773"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800.00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67</w:t>
            </w:r>
          </w:p>
        </w:tc>
        <w:tc>
          <w:tcPr>
            <w:tcW w:w="690"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1293" w:type="dxa"/>
            <w:gridSpan w:val="2"/>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1293" w:type="dxa"/>
            <w:gridSpan w:val="2"/>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耳内助听器</w:t>
            </w:r>
          </w:p>
        </w:tc>
        <w:tc>
          <w:tcPr>
            <w:tcW w:w="1293"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6717" w:type="dxa"/>
            <w:gridSpan w:val="2"/>
            <w:vAlign w:val="center"/>
          </w:tcPr>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1.可充电；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2.续航≧24 小时；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3.频率响应范围 400Hz—5000Hz。</w:t>
            </w:r>
          </w:p>
        </w:tc>
        <w:tc>
          <w:tcPr>
            <w:tcW w:w="898" w:type="dxa"/>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个</w:t>
            </w:r>
          </w:p>
        </w:tc>
        <w:tc>
          <w:tcPr>
            <w:tcW w:w="773"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800.00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68</w:t>
            </w:r>
          </w:p>
        </w:tc>
        <w:tc>
          <w:tcPr>
            <w:tcW w:w="690"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1293" w:type="dxa"/>
            <w:gridSpan w:val="2"/>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1293" w:type="dxa"/>
            <w:gridSpan w:val="2"/>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骨导助听器</w:t>
            </w:r>
          </w:p>
        </w:tc>
        <w:tc>
          <w:tcPr>
            <w:tcW w:w="1293"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6717" w:type="dxa"/>
            <w:gridSpan w:val="2"/>
            <w:vAlign w:val="center"/>
          </w:tcPr>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1.频响范围：20-20KHZ；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2.声音灵敏度：54+0.3小时；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3.额定工作时间：10+0.3小时；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4.待机时间：＞60 天。</w:t>
            </w:r>
          </w:p>
        </w:tc>
        <w:tc>
          <w:tcPr>
            <w:tcW w:w="898" w:type="dxa"/>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个</w:t>
            </w:r>
          </w:p>
        </w:tc>
        <w:tc>
          <w:tcPr>
            <w:tcW w:w="773"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600.00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69</w:t>
            </w:r>
          </w:p>
        </w:tc>
        <w:tc>
          <w:tcPr>
            <w:tcW w:w="690"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1293" w:type="dxa"/>
            <w:gridSpan w:val="2"/>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自助进 </w:t>
            </w:r>
          </w:p>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食器具</w:t>
            </w:r>
          </w:p>
        </w:tc>
        <w:tc>
          <w:tcPr>
            <w:tcW w:w="1293" w:type="dxa"/>
            <w:gridSpan w:val="2"/>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防洒碗 (盘)</w:t>
            </w:r>
          </w:p>
        </w:tc>
        <w:tc>
          <w:tcPr>
            <w:tcW w:w="1293" w:type="dxa"/>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辅助老年人进食</w:t>
            </w:r>
          </w:p>
        </w:tc>
        <w:tc>
          <w:tcPr>
            <w:tcW w:w="6717" w:type="dxa"/>
            <w:gridSpan w:val="2"/>
            <w:vAlign w:val="center"/>
          </w:tcPr>
          <w:p>
            <w:pPr>
              <w:numPr>
                <w:ilvl w:val="0"/>
                <w:numId w:val="3"/>
              </w:num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助食碗和防洒盘底部带有吸盘，吸附力持久，防止碗滑动；碗口一侧 为屋檐式设计，防止食物遗洒；</w:t>
            </w:r>
          </w:p>
          <w:p>
            <w:pPr>
              <w:numPr>
                <w:ilvl w:val="0"/>
                <w:numId w:val="0"/>
              </w:num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2.碗体为食品级 PP 塑料，吸盘为无毒级硅胶。</w:t>
            </w:r>
          </w:p>
        </w:tc>
        <w:tc>
          <w:tcPr>
            <w:tcW w:w="898" w:type="dxa"/>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个</w:t>
            </w:r>
          </w:p>
        </w:tc>
        <w:tc>
          <w:tcPr>
            <w:tcW w:w="773"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160.00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70</w:t>
            </w:r>
          </w:p>
        </w:tc>
        <w:tc>
          <w:tcPr>
            <w:tcW w:w="690"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1293" w:type="dxa"/>
            <w:gridSpan w:val="2"/>
            <w:vMerge w:val="restart"/>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健康检查产品</w:t>
            </w:r>
          </w:p>
        </w:tc>
        <w:tc>
          <w:tcPr>
            <w:tcW w:w="1293" w:type="dxa"/>
            <w:gridSpan w:val="2"/>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助食筷</w:t>
            </w:r>
          </w:p>
        </w:tc>
        <w:tc>
          <w:tcPr>
            <w:tcW w:w="1293" w:type="dxa"/>
            <w:vMerge w:val="restart"/>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便捷家庭老人检查身体 </w:t>
            </w:r>
          </w:p>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情况，如血压、血糖、血 </w:t>
            </w:r>
          </w:p>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氧及体温等</w:t>
            </w:r>
          </w:p>
        </w:tc>
        <w:tc>
          <w:tcPr>
            <w:tcW w:w="6717" w:type="dxa"/>
            <w:gridSpan w:val="2"/>
            <w:vAlign w:val="center"/>
          </w:tcPr>
          <w:p>
            <w:pPr>
              <w:numPr>
                <w:ilvl w:val="0"/>
                <w:numId w:val="0"/>
              </w:num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1.帮助一些手部僵硬、中风、挛缩的病人，自主进食；</w:t>
            </w:r>
          </w:p>
          <w:p>
            <w:pPr>
              <w:numPr>
                <w:ilvl w:val="0"/>
                <w:numId w:val="0"/>
              </w:num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2.在使用过程中，因手部问题造成的不稳现象，可较为轻松的夹起食物。</w:t>
            </w:r>
          </w:p>
        </w:tc>
        <w:tc>
          <w:tcPr>
            <w:tcW w:w="898"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双</w:t>
            </w:r>
          </w:p>
        </w:tc>
        <w:tc>
          <w:tcPr>
            <w:tcW w:w="773"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60.00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71</w:t>
            </w:r>
          </w:p>
        </w:tc>
        <w:tc>
          <w:tcPr>
            <w:tcW w:w="690"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1293" w:type="dxa"/>
            <w:gridSpan w:val="2"/>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1293" w:type="dxa"/>
            <w:gridSpan w:val="2"/>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弯柄勺 (叉)</w:t>
            </w:r>
          </w:p>
        </w:tc>
        <w:tc>
          <w:tcPr>
            <w:tcW w:w="1293"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6717" w:type="dxa"/>
            <w:gridSpan w:val="2"/>
            <w:vAlign w:val="center"/>
          </w:tcPr>
          <w:p>
            <w:pPr>
              <w:numPr>
                <w:ilvl w:val="0"/>
                <w:numId w:val="4"/>
              </w:num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助食勺和助食叉能在水平 140°、轴向旋转 360°的空间范围内 任意调整及锁定位置，并保持其状态；</w:t>
            </w:r>
          </w:p>
          <w:p>
            <w:pPr>
              <w:numPr>
                <w:ilvl w:val="0"/>
                <w:numId w:val="0"/>
              </w:num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2.手柄位置带有橡胶皮带可 按手的大小，调整松紧。手柄内部空间放置配重，满足用户的使用 习惯及特殊需要。</w:t>
            </w:r>
          </w:p>
        </w:tc>
        <w:tc>
          <w:tcPr>
            <w:tcW w:w="898"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把</w:t>
            </w:r>
          </w:p>
        </w:tc>
        <w:tc>
          <w:tcPr>
            <w:tcW w:w="773"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160.00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72</w:t>
            </w:r>
          </w:p>
        </w:tc>
        <w:tc>
          <w:tcPr>
            <w:tcW w:w="690"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1293" w:type="dxa"/>
            <w:gridSpan w:val="2"/>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1293" w:type="dxa"/>
            <w:gridSpan w:val="2"/>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饮水杯(壶)</w:t>
            </w:r>
          </w:p>
        </w:tc>
        <w:tc>
          <w:tcPr>
            <w:tcW w:w="1293"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6717" w:type="dxa"/>
            <w:gridSpan w:val="2"/>
            <w:vAlign w:val="center"/>
          </w:tcPr>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1.杯体：食品级 PP；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2.内胆：食品级 304 不锈钢；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3.杯口广口设计；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4.安全防溢漏，碰倒也不会溢出。</w:t>
            </w:r>
          </w:p>
        </w:tc>
        <w:tc>
          <w:tcPr>
            <w:tcW w:w="898" w:type="dxa"/>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个</w:t>
            </w:r>
          </w:p>
        </w:tc>
        <w:tc>
          <w:tcPr>
            <w:tcW w:w="773"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70.00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73</w:t>
            </w:r>
          </w:p>
        </w:tc>
        <w:tc>
          <w:tcPr>
            <w:tcW w:w="690"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1293" w:type="dxa"/>
            <w:gridSpan w:val="2"/>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1293" w:type="dxa"/>
            <w:gridSpan w:val="2"/>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电子测压仪</w:t>
            </w:r>
          </w:p>
        </w:tc>
        <w:tc>
          <w:tcPr>
            <w:tcW w:w="1293"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6717" w:type="dxa"/>
            <w:gridSpan w:val="2"/>
            <w:vAlign w:val="center"/>
          </w:tcPr>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1.可蓝牙传输数据，智能语音播报；</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2.支持一键测量血压；</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3.支持：心律测量，高血压报警（低压、正常、高压）+多电源支持使用简单便捷，测量结果语音播报给长者，数据可以对接到健康档案数据库。</w:t>
            </w:r>
          </w:p>
        </w:tc>
        <w:tc>
          <w:tcPr>
            <w:tcW w:w="898" w:type="dxa"/>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个</w:t>
            </w:r>
          </w:p>
        </w:tc>
        <w:tc>
          <w:tcPr>
            <w:tcW w:w="773"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460.00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74</w:t>
            </w:r>
          </w:p>
        </w:tc>
        <w:tc>
          <w:tcPr>
            <w:tcW w:w="690"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1293" w:type="dxa"/>
            <w:gridSpan w:val="2"/>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1293" w:type="dxa"/>
            <w:gridSpan w:val="2"/>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智能血糖仪</w:t>
            </w:r>
          </w:p>
        </w:tc>
        <w:tc>
          <w:tcPr>
            <w:tcW w:w="1293"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6717" w:type="dxa"/>
            <w:gridSpan w:val="2"/>
            <w:vAlign w:val="center"/>
          </w:tcPr>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1.支持不操作自动关机，0.8 微升采血量，5 秒立出结果；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2.采用电池供电；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3.含采血针和 50 片试纸测量长者血糖，数据可以对接到健康数据库。</w:t>
            </w:r>
          </w:p>
        </w:tc>
        <w:tc>
          <w:tcPr>
            <w:tcW w:w="898" w:type="dxa"/>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个</w:t>
            </w:r>
          </w:p>
        </w:tc>
        <w:tc>
          <w:tcPr>
            <w:tcW w:w="773"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350.00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75</w:t>
            </w:r>
          </w:p>
        </w:tc>
        <w:tc>
          <w:tcPr>
            <w:tcW w:w="690"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1293" w:type="dxa"/>
            <w:gridSpan w:val="2"/>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1293" w:type="dxa"/>
            <w:gridSpan w:val="2"/>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额温枪</w:t>
            </w:r>
          </w:p>
        </w:tc>
        <w:tc>
          <w:tcPr>
            <w:tcW w:w="1293"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6717" w:type="dxa"/>
            <w:gridSpan w:val="2"/>
            <w:vAlign w:val="center"/>
          </w:tcPr>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1.支持报警模式：设低烧和高烧区间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2.支持测量方式：耳温、额温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3.记忆储存≥ 35 组数据方便测量长者体温。</w:t>
            </w:r>
          </w:p>
        </w:tc>
        <w:tc>
          <w:tcPr>
            <w:tcW w:w="898" w:type="dxa"/>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个</w:t>
            </w:r>
          </w:p>
        </w:tc>
        <w:tc>
          <w:tcPr>
            <w:tcW w:w="773"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170.00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76</w:t>
            </w:r>
          </w:p>
        </w:tc>
        <w:tc>
          <w:tcPr>
            <w:tcW w:w="690"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1293" w:type="dxa"/>
            <w:gridSpan w:val="2"/>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1293" w:type="dxa"/>
            <w:gridSpan w:val="2"/>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智能血氧仪</w:t>
            </w:r>
          </w:p>
        </w:tc>
        <w:tc>
          <w:tcPr>
            <w:tcW w:w="1293" w:type="dxa"/>
            <w:vMerge w:val="continue"/>
            <w:vAlign w:val="center"/>
          </w:tcPr>
          <w:p>
            <w:pPr>
              <w:jc w:val="center"/>
              <w:rPr>
                <w:rFonts w:hint="eastAsia" w:ascii="宋体" w:hAnsi="宋体" w:eastAsia="宋体" w:cs="宋体"/>
                <w:color w:val="auto"/>
                <w:sz w:val="18"/>
                <w:szCs w:val="18"/>
                <w:highlight w:val="none"/>
                <w:vertAlign w:val="baseline"/>
                <w:lang w:val="en-US" w:eastAsia="zh-CN"/>
              </w:rPr>
            </w:pPr>
          </w:p>
        </w:tc>
        <w:tc>
          <w:tcPr>
            <w:tcW w:w="6717" w:type="dxa"/>
            <w:gridSpan w:val="2"/>
            <w:vAlign w:val="center"/>
          </w:tcPr>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1.显示方式：OLED；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2.血氧饱和度显示：70～100%；血氧准确度：±2%；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3.脉率显示:25～250BPM；脉率精确度:±1%； </w:t>
            </w:r>
          </w:p>
          <w:p>
            <w:p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血氧监测主要可以有效的测出体内血氧的情况，是通过手指部位来进行测量的。</w:t>
            </w:r>
          </w:p>
        </w:tc>
        <w:tc>
          <w:tcPr>
            <w:tcW w:w="898" w:type="dxa"/>
            <w:vAlign w:val="center"/>
          </w:tcPr>
          <w:p>
            <w:pPr>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个</w:t>
            </w:r>
          </w:p>
        </w:tc>
        <w:tc>
          <w:tcPr>
            <w:tcW w:w="773" w:type="dxa"/>
            <w:vAlign w:val="center"/>
          </w:tcPr>
          <w:p>
            <w:pPr>
              <w:jc w:val="center"/>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120.00</w:t>
            </w:r>
          </w:p>
        </w:tc>
        <w:tc>
          <w:tcPr>
            <w:tcW w:w="605" w:type="dxa"/>
            <w:vAlign w:val="center"/>
          </w:tcPr>
          <w:p>
            <w:pPr>
              <w:jc w:val="center"/>
              <w:rPr>
                <w:rFonts w:hint="eastAsia" w:ascii="宋体" w:hAnsi="宋体" w:eastAsia="宋体" w:cs="宋体"/>
                <w:color w:val="auto"/>
                <w:sz w:val="18"/>
                <w:szCs w:val="18"/>
                <w:highlight w:val="none"/>
                <w:vertAlign w:val="baseline"/>
                <w:lang w:val="en-US" w:eastAsia="zh-CN"/>
              </w:rPr>
            </w:pPr>
          </w:p>
        </w:tc>
      </w:tr>
    </w:tbl>
    <w:p>
      <w:pPr>
        <w:widowControl w:val="0"/>
        <w:numPr>
          <w:numId w:val="0"/>
        </w:numPr>
        <w:spacing w:line="520" w:lineRule="exact"/>
        <w:jc w:val="center"/>
        <w:rPr>
          <w:rFonts w:hint="default" w:ascii="宋体" w:hAnsi="宋体" w:cs="宋体"/>
          <w:b/>
          <w:bCs/>
          <w:color w:val="auto"/>
          <w:sz w:val="32"/>
          <w:szCs w:val="32"/>
          <w:highlight w:val="none"/>
          <w:lang w:val="en-US" w:eastAsia="zh-CN"/>
        </w:rPr>
      </w:pPr>
    </w:p>
    <w:p>
      <w:pPr>
        <w:widowControl w:val="0"/>
        <w:numPr>
          <w:numId w:val="0"/>
        </w:numPr>
        <w:spacing w:line="520" w:lineRule="exact"/>
        <w:jc w:val="center"/>
        <w:rPr>
          <w:rFonts w:hint="default" w:ascii="宋体" w:hAnsi="宋体" w:cs="宋体"/>
          <w:b/>
          <w:bCs/>
          <w:color w:val="auto"/>
          <w:sz w:val="32"/>
          <w:szCs w:val="32"/>
          <w:highlight w:val="none"/>
          <w:lang w:val="en-US" w:eastAsia="zh-CN"/>
        </w:rPr>
        <w:sectPr>
          <w:pgSz w:w="16840" w:h="11910" w:orient="landscape"/>
          <w:pgMar w:top="1080" w:right="1440" w:bottom="1080" w:left="1440" w:header="720" w:footer="720" w:gutter="0"/>
          <w:pgNumType w:fmt="decimal"/>
          <w:cols w:space="720" w:num="1"/>
        </w:sectPr>
      </w:pPr>
    </w:p>
    <w:p>
      <w:pPr>
        <w:pStyle w:val="3"/>
        <w:jc w:val="center"/>
        <w:rPr>
          <w:rFonts w:hint="eastAsia" w:ascii="宋体" w:hAnsi="宋体" w:eastAsia="宋体" w:cs="宋体"/>
          <w:b w:val="0"/>
          <w:color w:val="auto"/>
          <w:highlight w:val="none"/>
        </w:rPr>
      </w:pPr>
      <w:bookmarkStart w:id="124" w:name="_Toc80886946"/>
      <w:bookmarkStart w:id="125" w:name="_Toc80205942"/>
      <w:bookmarkStart w:id="126" w:name="_Toc4813"/>
      <w:r>
        <w:rPr>
          <w:rFonts w:hint="eastAsia" w:ascii="宋体" w:hAnsi="宋体" w:eastAsia="宋体" w:cs="宋体"/>
          <w:color w:val="auto"/>
          <w:highlight w:val="none"/>
          <w:lang w:val="en-US" w:eastAsia="zh-CN"/>
        </w:rPr>
        <w:t>第五节 其他文书、文件格式</w:t>
      </w:r>
      <w:bookmarkEnd w:id="124"/>
      <w:bookmarkEnd w:id="125"/>
      <w:bookmarkEnd w:id="126"/>
    </w:p>
    <w:p>
      <w:pPr>
        <w:jc w:val="center"/>
        <w:rPr>
          <w:rFonts w:hint="eastAsia" w:ascii="宋体" w:hAnsi="宋体" w:eastAsia="宋体" w:cs="宋体"/>
          <w:b/>
          <w:bCs/>
          <w:color w:val="auto"/>
          <w:sz w:val="32"/>
          <w:szCs w:val="32"/>
          <w:highlight w:val="none"/>
          <w:lang w:val="en"/>
        </w:rPr>
      </w:pPr>
      <w:r>
        <w:rPr>
          <w:rFonts w:hint="eastAsia" w:ascii="宋体" w:hAnsi="宋体" w:eastAsia="宋体" w:cs="宋体"/>
          <w:b/>
          <w:bCs/>
          <w:color w:val="auto"/>
          <w:sz w:val="32"/>
          <w:szCs w:val="32"/>
          <w:highlight w:val="none"/>
          <w:lang w:val="en"/>
        </w:rPr>
        <w:t>知识产权合规性声明</w:t>
      </w:r>
    </w:p>
    <w:p>
      <w:pPr>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 xml:space="preserve">    </w:t>
      </w:r>
    </w:p>
    <w:p>
      <w:pPr>
        <w:rPr>
          <w:rFonts w:hint="eastAsia" w:ascii="宋体" w:hAnsi="宋体" w:eastAsia="宋体" w:cs="宋体"/>
          <w:color w:val="auto"/>
          <w:sz w:val="30"/>
          <w:szCs w:val="30"/>
          <w:highlight w:val="none"/>
          <w:lang w:val="en"/>
        </w:rPr>
      </w:pPr>
      <w:r>
        <w:rPr>
          <w:rFonts w:hint="eastAsia" w:ascii="宋体" w:hAnsi="宋体" w:eastAsia="宋体" w:cs="宋体"/>
          <w:color w:val="auto"/>
          <w:sz w:val="30"/>
          <w:szCs w:val="30"/>
          <w:highlight w:val="none"/>
        </w:rPr>
        <w:t xml:space="preserve">    本</w:t>
      </w:r>
      <w:r>
        <w:rPr>
          <w:rFonts w:hint="eastAsia" w:ascii="宋体" w:hAnsi="宋体" w:eastAsia="宋体" w:cs="宋体"/>
          <w:color w:val="auto"/>
          <w:sz w:val="30"/>
          <w:szCs w:val="30"/>
          <w:highlight w:val="none"/>
          <w:lang w:val="en"/>
        </w:rPr>
        <w:t>企业（单位）自愿参与政府投资政府采购的</w:t>
      </w:r>
      <w:r>
        <w:rPr>
          <w:rFonts w:hint="eastAsia" w:ascii="宋体" w:hAnsi="宋体" w:eastAsia="宋体" w:cs="宋体"/>
          <w:color w:val="auto"/>
          <w:sz w:val="30"/>
          <w:szCs w:val="30"/>
          <w:highlight w:val="none"/>
          <w:u w:val="single"/>
          <w:lang w:val="en-US" w:eastAsia="zh-CN"/>
        </w:rPr>
        <w:t xml:space="preserve">            </w:t>
      </w:r>
      <w:r>
        <w:rPr>
          <w:rFonts w:hint="eastAsia" w:ascii="宋体" w:hAnsi="宋体" w:eastAsia="宋体" w:cs="宋体"/>
          <w:color w:val="auto"/>
          <w:sz w:val="30"/>
          <w:szCs w:val="30"/>
          <w:highlight w:val="none"/>
          <w:lang w:val="en"/>
        </w:rPr>
        <w:t>项目，</w:t>
      </w:r>
      <w:r>
        <w:rPr>
          <w:rFonts w:hint="eastAsia" w:ascii="宋体" w:hAnsi="宋体" w:eastAsia="宋体" w:cs="宋体"/>
          <w:b/>
          <w:bCs/>
          <w:color w:val="auto"/>
          <w:sz w:val="30"/>
          <w:szCs w:val="30"/>
          <w:highlight w:val="none"/>
          <w:lang w:val="en"/>
        </w:rPr>
        <w:t>在此郑重承诺：</w:t>
      </w:r>
      <w:r>
        <w:rPr>
          <w:rFonts w:hint="eastAsia" w:ascii="宋体" w:hAnsi="宋体" w:eastAsia="宋体" w:cs="宋体"/>
          <w:color w:val="auto"/>
          <w:sz w:val="30"/>
          <w:szCs w:val="30"/>
          <w:highlight w:val="none"/>
          <w:lang w:val="en"/>
        </w:rPr>
        <w:t>遵守中国知识产权法律、法规、规章、规范性文件及在中国适用的与知识产权有关的国际公约，所参与项目的知识产权明晰无争议，归属或技术来源正当合法。近三年在知识产权领域不存在违反法律、法规、规章及其他规范性文件的失信行为。所参与的项目不对其他单位及个人的知识产权构成侵权。如经核查确有违反上述承诺应遵守的行为，本企业（三维）将承担由此产生的全部责任。</w:t>
      </w:r>
    </w:p>
    <w:p>
      <w:pPr>
        <w:snapToGrid w:val="0"/>
        <w:spacing w:line="360" w:lineRule="auto"/>
        <w:ind w:left="5137" w:leftChars="1736" w:hanging="1491" w:hangingChars="825"/>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 xml:space="preserve">           </w:t>
      </w:r>
    </w:p>
    <w:p>
      <w:pPr>
        <w:snapToGrid w:val="0"/>
        <w:spacing w:line="360" w:lineRule="auto"/>
        <w:ind w:left="5137" w:leftChars="1736" w:hanging="1491" w:hangingChars="825"/>
        <w:rPr>
          <w:rFonts w:hint="eastAsia" w:ascii="宋体" w:hAnsi="宋体" w:eastAsia="宋体" w:cs="宋体"/>
          <w:b/>
          <w:color w:val="auto"/>
          <w:sz w:val="18"/>
          <w:szCs w:val="18"/>
          <w:highlight w:val="none"/>
        </w:rPr>
      </w:pPr>
    </w:p>
    <w:p>
      <w:pPr>
        <w:snapToGrid w:val="0"/>
        <w:spacing w:line="360" w:lineRule="auto"/>
        <w:ind w:left="5137" w:leftChars="1736" w:hanging="1491" w:hangingChars="825"/>
        <w:rPr>
          <w:rFonts w:hint="eastAsia" w:ascii="宋体" w:hAnsi="宋体" w:eastAsia="宋体" w:cs="宋体"/>
          <w:b/>
          <w:color w:val="auto"/>
          <w:sz w:val="18"/>
          <w:szCs w:val="18"/>
          <w:highlight w:val="none"/>
        </w:rPr>
      </w:pPr>
    </w:p>
    <w:p>
      <w:pPr>
        <w:snapToGrid w:val="0"/>
        <w:spacing w:line="360" w:lineRule="auto"/>
        <w:ind w:left="5137" w:leftChars="1736" w:hanging="1491" w:hangingChars="825"/>
        <w:rPr>
          <w:rFonts w:hint="eastAsia" w:ascii="宋体" w:hAnsi="宋体" w:eastAsia="宋体" w:cs="宋体"/>
          <w:b/>
          <w:color w:val="auto"/>
          <w:sz w:val="18"/>
          <w:szCs w:val="18"/>
          <w:highlight w:val="none"/>
        </w:rPr>
      </w:pPr>
    </w:p>
    <w:p>
      <w:pPr>
        <w:snapToGrid w:val="0"/>
        <w:spacing w:line="360" w:lineRule="auto"/>
        <w:ind w:left="5137" w:leftChars="1736" w:hanging="1491" w:hangingChars="825"/>
        <w:rPr>
          <w:rFonts w:hint="eastAsia" w:ascii="宋体" w:hAnsi="宋体" w:eastAsia="宋体" w:cs="宋体"/>
          <w:color w:val="auto"/>
          <w:kern w:val="0"/>
          <w:sz w:val="24"/>
          <w:highlight w:val="none"/>
          <w:lang w:val="zh-CN"/>
        </w:rPr>
      </w:pPr>
      <w:r>
        <w:rPr>
          <w:rFonts w:hint="eastAsia" w:ascii="宋体" w:hAnsi="宋体" w:eastAsia="宋体" w:cs="宋体"/>
          <w:b/>
          <w:color w:val="auto"/>
          <w:sz w:val="18"/>
          <w:szCs w:val="18"/>
          <w:highlight w:val="none"/>
        </w:rPr>
        <w:t xml:space="preserve">     </w:t>
      </w:r>
      <w:r>
        <w:rPr>
          <w:rFonts w:hint="eastAsia" w:ascii="宋体" w:hAnsi="宋体" w:eastAsia="宋体" w:cs="宋体"/>
          <w:color w:val="auto"/>
          <w:kern w:val="0"/>
          <w:sz w:val="24"/>
          <w:highlight w:val="none"/>
          <w:lang w:val="zh-CN"/>
        </w:rPr>
        <w:t>供应商名称(电子签章)：</w:t>
      </w:r>
    </w:p>
    <w:p>
      <w:pPr>
        <w:snapToGrid w:val="0"/>
        <w:spacing w:line="360" w:lineRule="auto"/>
        <w:ind w:left="5800" w:leftChars="2762" w:firstLine="180" w:firstLineChars="75"/>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w:t>
      </w:r>
      <w:r>
        <w:rPr>
          <w:rFonts w:hint="eastAsia" w:ascii="宋体" w:hAnsi="宋体" w:eastAsia="宋体" w:cs="宋体"/>
          <w:color w:val="auto"/>
          <w:kern w:val="0"/>
          <w:sz w:val="24"/>
          <w:highlight w:val="none"/>
        </w:rPr>
        <w:t xml:space="preserve">  年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w:t>
      </w:r>
    </w:p>
    <w:p>
      <w:pPr>
        <w:spacing w:line="520" w:lineRule="exact"/>
        <w:rPr>
          <w:rFonts w:hint="eastAsia" w:ascii="宋体" w:hAnsi="宋体" w:eastAsia="宋体" w:cs="宋体"/>
          <w:color w:val="auto"/>
          <w:sz w:val="24"/>
          <w:highlight w:val="none"/>
        </w:rPr>
        <w:sectPr>
          <w:pgSz w:w="11906" w:h="16838"/>
          <w:pgMar w:top="1440" w:right="1080" w:bottom="1440" w:left="1080" w:header="720" w:footer="720" w:gutter="0"/>
          <w:pgNumType w:fmt="decimal"/>
          <w:cols w:space="720" w:num="1"/>
          <w:docGrid w:type="lines" w:linePitch="331" w:charSpace="0"/>
        </w:sectPr>
      </w:pPr>
    </w:p>
    <w:p>
      <w:pPr>
        <w:spacing w:line="520" w:lineRule="exact"/>
        <w:jc w:val="center"/>
        <w:rPr>
          <w:rFonts w:hint="eastAsia" w:ascii="宋体" w:hAnsi="宋体" w:eastAsia="宋体" w:cs="宋体"/>
          <w:color w:val="auto"/>
          <w:sz w:val="24"/>
          <w:highlight w:val="none"/>
        </w:rPr>
      </w:pPr>
    </w:p>
    <w:p>
      <w:pPr>
        <w:pStyle w:val="19"/>
        <w:rPr>
          <w:rFonts w:hint="eastAsia" w:ascii="宋体" w:hAnsi="宋体" w:eastAsia="宋体" w:cs="宋体"/>
          <w:color w:val="auto"/>
          <w:sz w:val="24"/>
          <w:highlight w:val="none"/>
        </w:rPr>
      </w:pPr>
    </w:p>
    <w:p>
      <w:pPr>
        <w:pStyle w:val="19"/>
        <w:rPr>
          <w:rFonts w:hint="eastAsia" w:ascii="宋体" w:hAnsi="宋体" w:eastAsia="宋体" w:cs="宋体"/>
          <w:color w:val="auto"/>
          <w:sz w:val="24"/>
          <w:highlight w:val="none"/>
        </w:rPr>
      </w:pPr>
    </w:p>
    <w:p>
      <w:pPr>
        <w:pStyle w:val="19"/>
        <w:rPr>
          <w:rFonts w:hint="eastAsia" w:ascii="宋体" w:hAnsi="宋体" w:eastAsia="宋体" w:cs="宋体"/>
          <w:color w:val="auto"/>
          <w:sz w:val="24"/>
          <w:highlight w:val="none"/>
        </w:rPr>
      </w:pPr>
    </w:p>
    <w:p>
      <w:pPr>
        <w:pStyle w:val="19"/>
        <w:rPr>
          <w:rFonts w:hint="eastAsia" w:ascii="宋体" w:hAnsi="宋体" w:eastAsia="宋体" w:cs="宋体"/>
          <w:color w:val="auto"/>
          <w:sz w:val="24"/>
          <w:highlight w:val="none"/>
        </w:rPr>
      </w:pPr>
    </w:p>
    <w:p>
      <w:pPr>
        <w:pStyle w:val="19"/>
        <w:rPr>
          <w:rFonts w:hint="eastAsia" w:ascii="宋体" w:hAnsi="宋体" w:eastAsia="宋体" w:cs="宋体"/>
          <w:color w:val="auto"/>
          <w:sz w:val="24"/>
          <w:highlight w:val="none"/>
        </w:rPr>
      </w:pPr>
    </w:p>
    <w:p>
      <w:pPr>
        <w:pStyle w:val="19"/>
        <w:rPr>
          <w:rFonts w:hint="eastAsia" w:ascii="宋体" w:hAnsi="宋体" w:eastAsia="宋体" w:cs="宋体"/>
          <w:color w:val="auto"/>
          <w:sz w:val="24"/>
          <w:highlight w:val="none"/>
        </w:rPr>
      </w:pPr>
    </w:p>
    <w:p>
      <w:pPr>
        <w:pStyle w:val="19"/>
        <w:rPr>
          <w:rFonts w:hint="eastAsia" w:ascii="宋体" w:hAnsi="宋体" w:eastAsia="宋体" w:cs="宋体"/>
          <w:color w:val="auto"/>
          <w:sz w:val="24"/>
          <w:highlight w:val="none"/>
        </w:rPr>
      </w:pPr>
    </w:p>
    <w:p>
      <w:pPr>
        <w:pStyle w:val="19"/>
        <w:rPr>
          <w:rFonts w:hint="eastAsia" w:ascii="宋体" w:hAnsi="宋体" w:eastAsia="宋体" w:cs="宋体"/>
          <w:color w:val="auto"/>
          <w:sz w:val="24"/>
          <w:highlight w:val="none"/>
        </w:rPr>
      </w:pPr>
    </w:p>
    <w:p>
      <w:pPr>
        <w:pStyle w:val="19"/>
        <w:rPr>
          <w:rFonts w:hint="eastAsia" w:ascii="宋体" w:hAnsi="宋体" w:eastAsia="宋体" w:cs="宋体"/>
          <w:color w:val="auto"/>
          <w:sz w:val="24"/>
          <w:highlight w:val="none"/>
        </w:rPr>
      </w:pPr>
    </w:p>
    <w:p>
      <w:pPr>
        <w:pStyle w:val="19"/>
        <w:rPr>
          <w:rFonts w:hint="eastAsia" w:ascii="宋体" w:hAnsi="宋体" w:eastAsia="宋体" w:cs="宋体"/>
          <w:color w:val="auto"/>
          <w:sz w:val="24"/>
          <w:highlight w:val="none"/>
        </w:rPr>
      </w:pPr>
    </w:p>
    <w:p>
      <w:pPr>
        <w:pStyle w:val="19"/>
        <w:rPr>
          <w:rFonts w:hint="eastAsia" w:ascii="宋体" w:hAnsi="宋体" w:eastAsia="宋体" w:cs="宋体"/>
          <w:color w:val="auto"/>
          <w:sz w:val="24"/>
          <w:highlight w:val="none"/>
        </w:rPr>
      </w:pPr>
    </w:p>
    <w:p>
      <w:pPr>
        <w:spacing w:line="520" w:lineRule="exact"/>
        <w:jc w:val="center"/>
        <w:rPr>
          <w:rFonts w:hint="eastAsia" w:ascii="宋体" w:hAnsi="宋体" w:eastAsia="宋体" w:cs="宋体"/>
          <w:color w:val="auto"/>
          <w:sz w:val="24"/>
          <w:highlight w:val="none"/>
        </w:rPr>
      </w:pPr>
    </w:p>
    <w:p>
      <w:pPr>
        <w:keepNext/>
        <w:keepLines/>
        <w:spacing w:before="340" w:after="330" w:line="578" w:lineRule="auto"/>
        <w:jc w:val="center"/>
        <w:outlineLvl w:val="0"/>
        <w:rPr>
          <w:rFonts w:hint="eastAsia" w:ascii="宋体" w:hAnsi="宋体" w:eastAsia="宋体" w:cs="宋体"/>
          <w:color w:val="auto"/>
          <w:kern w:val="44"/>
          <w:sz w:val="44"/>
          <w:szCs w:val="44"/>
          <w:highlight w:val="none"/>
        </w:rPr>
      </w:pPr>
      <w:bookmarkStart w:id="127" w:name="_Toc10317"/>
      <w:bookmarkStart w:id="128" w:name="_Toc26377"/>
      <w:r>
        <w:rPr>
          <w:rFonts w:hint="eastAsia" w:ascii="宋体" w:hAnsi="宋体" w:eastAsia="宋体" w:cs="宋体"/>
          <w:color w:val="auto"/>
          <w:kern w:val="44"/>
          <w:sz w:val="44"/>
          <w:szCs w:val="44"/>
          <w:highlight w:val="none"/>
        </w:rPr>
        <w:t>第六章 合同文本</w:t>
      </w:r>
      <w:r>
        <w:rPr>
          <w:rFonts w:hint="eastAsia" w:ascii="宋体" w:hAnsi="宋体" w:eastAsia="宋体" w:cs="宋体"/>
          <w:color w:val="auto"/>
          <w:kern w:val="44"/>
          <w:sz w:val="44"/>
          <w:szCs w:val="44"/>
          <w:highlight w:val="none"/>
        </w:rPr>
        <w:br w:type="page"/>
      </w:r>
      <w:bookmarkEnd w:id="127"/>
      <w:bookmarkEnd w:id="128"/>
    </w:p>
    <w:p>
      <w:pPr>
        <w:rPr>
          <w:rFonts w:hint="eastAsia" w:ascii="宋体" w:hAnsi="宋体" w:eastAsia="宋体" w:cs="宋体"/>
          <w:b/>
          <w:bCs/>
          <w:color w:val="auto"/>
          <w:highlight w:val="none"/>
        </w:rPr>
      </w:pPr>
      <w:r>
        <w:rPr>
          <w:rFonts w:hint="eastAsia" w:ascii="宋体" w:hAnsi="宋体" w:eastAsia="宋体" w:cs="宋体"/>
          <w:color w:val="auto"/>
          <w:sz w:val="24"/>
          <w:highlight w:val="none"/>
          <w:lang w:eastAsia="zh-CN"/>
        </w:rPr>
        <w:t>“广西政府采购云平台”</w:t>
      </w:r>
      <w:r>
        <w:rPr>
          <w:rFonts w:hint="eastAsia" w:ascii="宋体" w:hAnsi="宋体" w:eastAsia="宋体" w:cs="宋体"/>
          <w:color w:val="auto"/>
          <w:sz w:val="24"/>
          <w:highlight w:val="none"/>
        </w:rPr>
        <w:t>合同编号：</w:t>
      </w:r>
    </w:p>
    <w:p>
      <w:pPr>
        <w:spacing w:line="360" w:lineRule="auto"/>
        <w:jc w:val="center"/>
        <w:rPr>
          <w:rFonts w:hint="eastAsia" w:ascii="宋体" w:hAnsi="宋体" w:eastAsia="宋体" w:cs="宋体"/>
          <w:b/>
          <w:bCs/>
          <w:color w:val="auto"/>
          <w:sz w:val="52"/>
          <w:highlight w:val="none"/>
        </w:rPr>
      </w:pPr>
    </w:p>
    <w:p>
      <w:pPr>
        <w:spacing w:line="360" w:lineRule="auto"/>
        <w:jc w:val="center"/>
        <w:rPr>
          <w:rFonts w:hint="eastAsia" w:ascii="宋体" w:hAnsi="宋体" w:eastAsia="宋体" w:cs="宋体"/>
          <w:b/>
          <w:bCs/>
          <w:color w:val="auto"/>
          <w:sz w:val="52"/>
          <w:highlight w:val="none"/>
        </w:rPr>
      </w:pPr>
      <w:r>
        <w:rPr>
          <w:rFonts w:hint="eastAsia" w:ascii="宋体" w:hAnsi="宋体" w:eastAsia="宋体" w:cs="宋体"/>
          <w:b/>
          <w:bCs/>
          <w:color w:val="auto"/>
          <w:sz w:val="52"/>
          <w:highlight w:val="none"/>
        </w:rPr>
        <w:t>南 宁 市 政 府 采 购</w:t>
      </w:r>
    </w:p>
    <w:p>
      <w:pPr>
        <w:spacing w:line="360" w:lineRule="auto"/>
        <w:ind w:firstLine="420" w:firstLineChars="200"/>
        <w:rPr>
          <w:rFonts w:hint="eastAsia" w:ascii="宋体" w:hAnsi="宋体" w:eastAsia="宋体" w:cs="宋体"/>
          <w:color w:val="auto"/>
          <w:highlight w:val="none"/>
        </w:rPr>
      </w:pPr>
    </w:p>
    <w:p>
      <w:pPr>
        <w:spacing w:line="360" w:lineRule="auto"/>
        <w:ind w:firstLine="420" w:firstLineChars="200"/>
        <w:rPr>
          <w:rFonts w:hint="eastAsia" w:ascii="宋体" w:hAnsi="宋体" w:eastAsia="宋体" w:cs="宋体"/>
          <w:color w:val="auto"/>
          <w:highlight w:val="none"/>
        </w:rPr>
      </w:pPr>
    </w:p>
    <w:p>
      <w:pPr>
        <w:spacing w:line="360" w:lineRule="auto"/>
        <w:jc w:val="center"/>
        <w:rPr>
          <w:rFonts w:hint="eastAsia" w:ascii="宋体" w:hAnsi="宋体" w:eastAsia="宋体" w:cs="宋体"/>
          <w:b/>
          <w:bCs/>
          <w:color w:val="auto"/>
          <w:sz w:val="44"/>
          <w:highlight w:val="none"/>
        </w:rPr>
      </w:pPr>
      <w:r>
        <w:rPr>
          <w:rFonts w:hint="eastAsia" w:ascii="宋体" w:hAnsi="宋体" w:eastAsia="宋体" w:cs="宋体"/>
          <w:b/>
          <w:bCs/>
          <w:color w:val="auto"/>
          <w:sz w:val="44"/>
          <w:highlight w:val="none"/>
          <w:u w:val="single"/>
          <w:lang w:val="en-US" w:eastAsia="zh-CN"/>
        </w:rPr>
        <w:t xml:space="preserve">                  </w:t>
      </w:r>
      <w:r>
        <w:rPr>
          <w:rFonts w:hint="eastAsia" w:ascii="宋体" w:hAnsi="宋体" w:eastAsia="宋体" w:cs="宋体"/>
          <w:b/>
          <w:bCs/>
          <w:color w:val="auto"/>
          <w:sz w:val="44"/>
          <w:highlight w:val="none"/>
          <w:u w:val="single"/>
        </w:rPr>
        <w:t xml:space="preserve"> </w:t>
      </w:r>
      <w:r>
        <w:rPr>
          <w:rFonts w:hint="eastAsia" w:ascii="宋体" w:hAnsi="宋体" w:eastAsia="宋体" w:cs="宋体"/>
          <w:b/>
          <w:bCs/>
          <w:color w:val="auto"/>
          <w:sz w:val="44"/>
          <w:highlight w:val="none"/>
        </w:rPr>
        <w:t>合同</w:t>
      </w:r>
    </w:p>
    <w:p>
      <w:pPr>
        <w:spacing w:line="360" w:lineRule="auto"/>
        <w:jc w:val="center"/>
        <w:rPr>
          <w:rFonts w:hint="eastAsia" w:ascii="宋体" w:hAnsi="宋体" w:eastAsia="宋体" w:cs="宋体"/>
          <w:b/>
          <w:bCs/>
          <w:color w:val="auto"/>
          <w:sz w:val="44"/>
          <w:highlight w:val="none"/>
        </w:rPr>
      </w:pPr>
    </w:p>
    <w:p>
      <w:pPr>
        <w:spacing w:line="360" w:lineRule="auto"/>
        <w:ind w:firstLine="3507" w:firstLineChars="794"/>
        <w:rPr>
          <w:rFonts w:hint="eastAsia" w:ascii="宋体" w:hAnsi="宋体" w:eastAsia="宋体" w:cs="宋体"/>
          <w:b/>
          <w:bCs/>
          <w:color w:val="auto"/>
          <w:sz w:val="44"/>
          <w:highlight w:val="none"/>
        </w:rPr>
      </w:pPr>
    </w:p>
    <w:p>
      <w:pPr>
        <w:spacing w:line="360" w:lineRule="auto"/>
        <w:ind w:firstLine="3507" w:firstLineChars="794"/>
        <w:rPr>
          <w:rFonts w:hint="eastAsia" w:ascii="宋体" w:hAnsi="宋体" w:eastAsia="宋体" w:cs="宋体"/>
          <w:b/>
          <w:bCs/>
          <w:color w:val="auto"/>
          <w:sz w:val="44"/>
          <w:highlight w:val="none"/>
        </w:rPr>
      </w:pPr>
    </w:p>
    <w:p>
      <w:pPr>
        <w:ind w:firstLine="1995" w:firstLineChars="552"/>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采购项目编号：</w:t>
      </w:r>
    </w:p>
    <w:p>
      <w:pPr>
        <w:ind w:firstLine="1995" w:firstLineChars="552"/>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采购计划编号：</w:t>
      </w:r>
    </w:p>
    <w:p>
      <w:pPr>
        <w:ind w:firstLine="1308" w:firstLineChars="545"/>
        <w:rPr>
          <w:rFonts w:hint="eastAsia" w:ascii="宋体" w:hAnsi="宋体" w:eastAsia="宋体" w:cs="宋体"/>
          <w:color w:val="auto"/>
          <w:sz w:val="24"/>
          <w:highlight w:val="none"/>
        </w:rPr>
      </w:pPr>
    </w:p>
    <w:p>
      <w:pPr>
        <w:ind w:firstLine="1995" w:firstLineChars="552"/>
        <w:rPr>
          <w:rFonts w:hint="eastAsia" w:ascii="宋体" w:hAnsi="宋体" w:eastAsia="宋体" w:cs="宋体"/>
          <w:b/>
          <w:color w:val="auto"/>
          <w:sz w:val="36"/>
          <w:szCs w:val="36"/>
          <w:highlight w:val="none"/>
          <w:u w:val="single"/>
        </w:rPr>
      </w:pPr>
    </w:p>
    <w:p>
      <w:pPr>
        <w:ind w:firstLine="1995" w:firstLineChars="552"/>
        <w:rPr>
          <w:rFonts w:hint="eastAsia" w:ascii="宋体" w:hAnsi="宋体" w:eastAsia="宋体" w:cs="宋体"/>
          <w:b/>
          <w:color w:val="auto"/>
          <w:sz w:val="36"/>
          <w:szCs w:val="36"/>
          <w:highlight w:val="none"/>
          <w:u w:val="single"/>
        </w:rPr>
      </w:pPr>
    </w:p>
    <w:p>
      <w:pPr>
        <w:tabs>
          <w:tab w:val="left" w:pos="7200"/>
        </w:tabs>
        <w:spacing w:line="360" w:lineRule="auto"/>
        <w:ind w:firstLine="1995" w:firstLineChars="552"/>
        <w:rPr>
          <w:rFonts w:hint="eastAsia" w:ascii="宋体" w:hAnsi="宋体" w:eastAsia="宋体" w:cs="宋体"/>
          <w:b/>
          <w:color w:val="auto"/>
          <w:sz w:val="36"/>
          <w:szCs w:val="36"/>
          <w:highlight w:val="none"/>
          <w:u w:val="single"/>
          <w:lang w:val="en-US" w:eastAsia="zh-CN"/>
        </w:rPr>
      </w:pPr>
      <w:r>
        <w:rPr>
          <w:rFonts w:hint="eastAsia" w:ascii="宋体" w:hAnsi="宋体" w:eastAsia="宋体" w:cs="宋体"/>
          <w:b/>
          <w:color w:val="auto"/>
          <w:sz w:val="36"/>
          <w:szCs w:val="36"/>
          <w:highlight w:val="none"/>
        </w:rPr>
        <w:t>采购人：</w:t>
      </w:r>
      <w:r>
        <w:rPr>
          <w:rFonts w:hint="eastAsia" w:ascii="宋体" w:hAnsi="宋体" w:eastAsia="宋体" w:cs="宋体"/>
          <w:b/>
          <w:color w:val="auto"/>
          <w:sz w:val="36"/>
          <w:szCs w:val="36"/>
          <w:highlight w:val="none"/>
          <w:lang w:val="en-US" w:eastAsia="zh-CN"/>
        </w:rPr>
        <w:t xml:space="preserve"> </w:t>
      </w:r>
    </w:p>
    <w:p>
      <w:pPr>
        <w:tabs>
          <w:tab w:val="left" w:pos="7380"/>
        </w:tabs>
        <w:spacing w:line="360" w:lineRule="auto"/>
        <w:ind w:firstLine="1995" w:firstLineChars="552"/>
        <w:rPr>
          <w:rFonts w:hint="eastAsia" w:ascii="宋体" w:hAnsi="宋体" w:eastAsia="宋体" w:cs="宋体"/>
          <w:b/>
          <w:bCs/>
          <w:color w:val="auto"/>
          <w:sz w:val="44"/>
          <w:highlight w:val="none"/>
        </w:rPr>
      </w:pPr>
      <w:r>
        <w:rPr>
          <w:rFonts w:hint="eastAsia" w:ascii="宋体" w:hAnsi="宋体" w:eastAsia="宋体" w:cs="宋体"/>
          <w:b/>
          <w:color w:val="auto"/>
          <w:sz w:val="36"/>
          <w:szCs w:val="36"/>
          <w:highlight w:val="none"/>
        </w:rPr>
        <w:t>成交供应商：</w:t>
      </w:r>
    </w:p>
    <w:p>
      <w:pPr>
        <w:tabs>
          <w:tab w:val="left" w:pos="7380"/>
        </w:tabs>
        <w:spacing w:line="360" w:lineRule="auto"/>
        <w:rPr>
          <w:rFonts w:hint="eastAsia" w:ascii="宋体" w:hAnsi="宋体" w:eastAsia="宋体" w:cs="宋体"/>
          <w:b/>
          <w:bCs/>
          <w:color w:val="auto"/>
          <w:sz w:val="44"/>
          <w:highlight w:val="none"/>
        </w:rPr>
      </w:pPr>
    </w:p>
    <w:p>
      <w:pPr>
        <w:snapToGrid w:val="0"/>
        <w:spacing w:line="360" w:lineRule="auto"/>
        <w:jc w:val="center"/>
        <w:rPr>
          <w:rFonts w:hint="eastAsia" w:ascii="宋体" w:hAnsi="宋体" w:eastAsia="宋体" w:cs="宋体"/>
          <w:b/>
          <w:color w:val="auto"/>
          <w:sz w:val="24"/>
          <w:highlight w:val="none"/>
        </w:rPr>
      </w:pPr>
      <w:r>
        <w:rPr>
          <w:rFonts w:hint="eastAsia" w:ascii="宋体" w:hAnsi="宋体" w:eastAsia="宋体" w:cs="宋体"/>
          <w:b/>
          <w:bCs/>
          <w:color w:val="auto"/>
          <w:sz w:val="44"/>
          <w:highlight w:val="none"/>
        </w:rPr>
        <w:br w:type="page"/>
      </w:r>
      <w:r>
        <w:rPr>
          <w:rFonts w:hint="eastAsia" w:ascii="宋体" w:hAnsi="宋体" w:eastAsia="宋体" w:cs="宋体"/>
          <w:b/>
          <w:color w:val="auto"/>
          <w:sz w:val="24"/>
          <w:highlight w:val="none"/>
        </w:rPr>
        <w:t>合同目录</w:t>
      </w:r>
    </w:p>
    <w:p>
      <w:pPr>
        <w:snapToGrid w:val="0"/>
        <w:spacing w:line="360" w:lineRule="auto"/>
        <w:jc w:val="center"/>
        <w:rPr>
          <w:rFonts w:hint="eastAsia" w:ascii="宋体" w:hAnsi="宋体" w:eastAsia="宋体" w:cs="宋体"/>
          <w:b/>
          <w:bCs/>
          <w:color w:val="auto"/>
          <w:sz w:val="44"/>
          <w:highlight w:val="none"/>
        </w:rPr>
      </w:pPr>
    </w:p>
    <w:p>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一、</w:t>
      </w:r>
      <w:r>
        <w:rPr>
          <w:rFonts w:hint="eastAsia" w:ascii="宋体" w:hAnsi="宋体" w:eastAsia="宋体" w:cs="宋体"/>
          <w:color w:val="auto"/>
          <w:sz w:val="24"/>
          <w:highlight w:val="none"/>
        </w:rPr>
        <w:t>第一部分 合同书</w:t>
      </w:r>
      <w:r>
        <w:rPr>
          <w:rFonts w:hint="eastAsia" w:ascii="宋体" w:hAnsi="宋体" w:eastAsia="宋体" w:cs="宋体"/>
          <w:color w:val="auto"/>
          <w:kern w:val="0"/>
          <w:sz w:val="24"/>
          <w:highlight w:val="none"/>
        </w:rPr>
        <w:t>……………………………………………………………（页码）</w:t>
      </w:r>
    </w:p>
    <w:p>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二、第二部分 合同一般条款……………………………………………………（页码）</w:t>
      </w:r>
    </w:p>
    <w:p>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三、第三部分 合同专用条款……………………………………………………（页码）</w:t>
      </w:r>
    </w:p>
    <w:p>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四、</w:t>
      </w:r>
      <w:r>
        <w:rPr>
          <w:rFonts w:hint="eastAsia" w:ascii="宋体" w:hAnsi="宋体" w:eastAsia="宋体" w:cs="宋体"/>
          <w:color w:val="auto"/>
          <w:sz w:val="24"/>
          <w:highlight w:val="none"/>
        </w:rPr>
        <w:t>第四部分 合同附件</w:t>
      </w:r>
      <w:r>
        <w:rPr>
          <w:rFonts w:hint="eastAsia" w:ascii="宋体" w:hAnsi="宋体" w:eastAsia="宋体" w:cs="宋体"/>
          <w:color w:val="auto"/>
          <w:kern w:val="0"/>
          <w:sz w:val="24"/>
          <w:highlight w:val="none"/>
        </w:rPr>
        <w:t>…………………………………………………………（页码）</w:t>
      </w:r>
    </w:p>
    <w:p>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4.1成交通知书 …………………………………………………………………（页码）</w:t>
      </w:r>
    </w:p>
    <w:p>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4.2采购文件服务需求一览表 …………………………………………………（页码）</w:t>
      </w:r>
    </w:p>
    <w:p>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4.3采购文件的更改通知（如有） ……………………………………………（页码）</w:t>
      </w:r>
    </w:p>
    <w:p>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4.4响应函 ………………………………………………………………………（页码）</w:t>
      </w:r>
    </w:p>
    <w:p>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4.5响应报价表 …………………………………………………………………（页码）</w:t>
      </w:r>
    </w:p>
    <w:p>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4.6服务需求偏离表 ……………………………………………………………（页码）</w:t>
      </w:r>
    </w:p>
    <w:p>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4.7商务条款偏离表 ……………………………………………………………（页码）</w:t>
      </w:r>
    </w:p>
    <w:p>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4.8成交供应商澄清函（如有请提供） ………………………………………（页码）</w:t>
      </w:r>
    </w:p>
    <w:p>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4.9其他与本合同相关的资料（如有请提供） ………………………………（页码）</w:t>
      </w:r>
    </w:p>
    <w:p>
      <w:pPr>
        <w:snapToGrid w:val="0"/>
        <w:spacing w:line="360" w:lineRule="auto"/>
        <w:rPr>
          <w:rFonts w:hint="eastAsia" w:ascii="宋体" w:hAnsi="宋体" w:eastAsia="宋体" w:cs="宋体"/>
          <w:color w:val="auto"/>
          <w:kern w:val="0"/>
          <w:sz w:val="24"/>
          <w:highlight w:val="none"/>
        </w:rPr>
      </w:pPr>
    </w:p>
    <w:p>
      <w:pPr>
        <w:ind w:firstLine="1126" w:firstLineChars="352"/>
        <w:rPr>
          <w:rFonts w:hint="eastAsia" w:ascii="宋体" w:hAnsi="宋体" w:eastAsia="宋体" w:cs="宋体"/>
          <w:color w:val="auto"/>
          <w:kern w:val="0"/>
          <w:sz w:val="32"/>
          <w:szCs w:val="20"/>
          <w:highlight w:val="none"/>
        </w:rPr>
        <w:sectPr>
          <w:pgSz w:w="11906" w:h="16838"/>
          <w:pgMar w:top="1440" w:right="1080" w:bottom="1440" w:left="1080" w:header="720" w:footer="720" w:gutter="0"/>
          <w:pgNumType w:fmt="decimal"/>
          <w:cols w:space="720" w:num="1"/>
          <w:docGrid w:type="lines" w:linePitch="331" w:charSpace="0"/>
        </w:sectPr>
      </w:pPr>
    </w:p>
    <w:p>
      <w:pPr>
        <w:pStyle w:val="83"/>
        <w:spacing w:after="0"/>
        <w:ind w:left="0" w:leftChars="0" w:firstLine="0" w:firstLineChars="0"/>
        <w:jc w:val="center"/>
        <w:outlineLvl w:val="1"/>
        <w:rPr>
          <w:rFonts w:hint="eastAsia" w:ascii="宋体" w:hAnsi="宋体" w:eastAsia="宋体" w:cs="宋体"/>
          <w:b/>
          <w:color w:val="auto"/>
          <w:sz w:val="28"/>
          <w:szCs w:val="28"/>
          <w:highlight w:val="none"/>
        </w:rPr>
      </w:pPr>
      <w:bookmarkStart w:id="129" w:name="_Toc80886948"/>
      <w:bookmarkStart w:id="130" w:name="_Toc80205944"/>
      <w:bookmarkStart w:id="131" w:name="_Toc31307"/>
      <w:r>
        <w:rPr>
          <w:rFonts w:hint="eastAsia" w:ascii="宋体" w:hAnsi="宋体" w:eastAsia="宋体" w:cs="宋体"/>
          <w:b/>
          <w:color w:val="auto"/>
          <w:sz w:val="28"/>
          <w:szCs w:val="28"/>
          <w:highlight w:val="none"/>
        </w:rPr>
        <w:t>第一部分 合同书</w:t>
      </w:r>
      <w:bookmarkEnd w:id="129"/>
      <w:bookmarkEnd w:id="130"/>
      <w:bookmarkEnd w:id="131"/>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lang w:val="zh-CN"/>
        </w:rPr>
        <w:t xml:space="preserve">     </w:t>
      </w:r>
      <w:r>
        <w:rPr>
          <w:rFonts w:hint="eastAsia" w:ascii="宋体" w:hAnsi="宋体" w:eastAsia="宋体" w:cs="宋体"/>
          <w:color w:val="auto"/>
          <w:sz w:val="24"/>
          <w:highlight w:val="none"/>
          <w:lang w:val="zh-CN"/>
        </w:rPr>
        <w:t>年</w:t>
      </w:r>
      <w:r>
        <w:rPr>
          <w:rFonts w:hint="eastAsia" w:ascii="宋体" w:hAnsi="宋体" w:eastAsia="宋体" w:cs="宋体"/>
          <w:color w:val="auto"/>
          <w:sz w:val="24"/>
          <w:highlight w:val="none"/>
          <w:u w:val="single"/>
          <w:lang w:val="zh-CN"/>
        </w:rPr>
        <w:t xml:space="preserve">    </w:t>
      </w:r>
      <w:r>
        <w:rPr>
          <w:rFonts w:hint="eastAsia" w:ascii="宋体" w:hAnsi="宋体" w:eastAsia="宋体" w:cs="宋体"/>
          <w:color w:val="auto"/>
          <w:sz w:val="24"/>
          <w:highlight w:val="none"/>
          <w:lang w:val="zh-CN"/>
        </w:rPr>
        <w:t>月</w:t>
      </w:r>
      <w:r>
        <w:rPr>
          <w:rFonts w:hint="eastAsia" w:ascii="宋体" w:hAnsi="宋体" w:eastAsia="宋体" w:cs="宋体"/>
          <w:color w:val="auto"/>
          <w:sz w:val="24"/>
          <w:highlight w:val="none"/>
          <w:u w:val="single"/>
          <w:lang w:val="zh-CN"/>
        </w:rPr>
        <w:t xml:space="preserve">    </w:t>
      </w:r>
      <w:r>
        <w:rPr>
          <w:rFonts w:hint="eastAsia" w:ascii="宋体" w:hAnsi="宋体" w:eastAsia="宋体" w:cs="宋体"/>
          <w:color w:val="auto"/>
          <w:sz w:val="24"/>
          <w:highlight w:val="none"/>
          <w:lang w:val="zh-CN"/>
        </w:rPr>
        <w:t>日</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w:t>
      </w:r>
      <w:bookmarkStart w:id="132" w:name="OLE_LINK12"/>
      <w:r>
        <w:rPr>
          <w:rFonts w:hint="eastAsia" w:ascii="宋体" w:hAnsi="宋体" w:eastAsia="宋体" w:cs="宋体"/>
          <w:color w:val="auto"/>
          <w:sz w:val="24"/>
          <w:highlight w:val="none"/>
          <w:u w:val="single"/>
          <w:lang w:val="en-US" w:eastAsia="zh-CN"/>
        </w:rPr>
        <w:t>横州市民政局</w:t>
      </w:r>
      <w:bookmarkEnd w:id="132"/>
      <w:r>
        <w:rPr>
          <w:rFonts w:hint="eastAsia" w:ascii="宋体" w:hAnsi="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以</w:t>
      </w:r>
      <w:r>
        <w:rPr>
          <w:rFonts w:hint="eastAsia" w:ascii="宋体" w:hAnsi="宋体" w:eastAsia="宋体" w:cs="宋体"/>
          <w:color w:val="auto"/>
          <w:sz w:val="24"/>
          <w:highlight w:val="none"/>
          <w:u w:val="single"/>
        </w:rPr>
        <w:t xml:space="preserve">  竞争性磋商方式  </w:t>
      </w:r>
      <w:r>
        <w:rPr>
          <w:rFonts w:hint="eastAsia" w:ascii="宋体" w:hAnsi="宋体" w:eastAsia="宋体" w:cs="宋体"/>
          <w:color w:val="auto"/>
          <w:sz w:val="24"/>
          <w:highlight w:val="none"/>
        </w:rPr>
        <w:t>对</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项目进行了采购。经</w:t>
      </w:r>
      <w:r>
        <w:rPr>
          <w:rFonts w:hint="eastAsia" w:ascii="宋体" w:hAnsi="宋体" w:eastAsia="宋体" w:cs="宋体"/>
          <w:color w:val="auto"/>
          <w:sz w:val="24"/>
          <w:highlight w:val="none"/>
          <w:u w:val="single"/>
        </w:rPr>
        <w:t xml:space="preserve">   （相关评定主体名称）   </w:t>
      </w:r>
      <w:r>
        <w:rPr>
          <w:rFonts w:hint="eastAsia" w:ascii="宋体" w:hAnsi="宋体" w:eastAsia="宋体" w:cs="宋体"/>
          <w:color w:val="auto"/>
          <w:sz w:val="24"/>
          <w:highlight w:val="none"/>
        </w:rPr>
        <w:t>评定，</w:t>
      </w:r>
      <w:r>
        <w:rPr>
          <w:rFonts w:hint="eastAsia" w:ascii="宋体" w:hAnsi="宋体" w:eastAsia="宋体" w:cs="宋体"/>
          <w:color w:val="auto"/>
          <w:sz w:val="24"/>
          <w:highlight w:val="none"/>
          <w:u w:val="single"/>
        </w:rPr>
        <w:t xml:space="preserve">   （供应商名称）</w:t>
      </w:r>
      <w:r>
        <w:rPr>
          <w:rFonts w:hint="eastAsia" w:ascii="宋体" w:hAnsi="宋体" w:eastAsia="宋体" w:cs="宋体"/>
          <w:color w:val="auto"/>
          <w:sz w:val="24"/>
          <w:highlight w:val="none"/>
        </w:rPr>
        <w:t>为该项目成交供应商。现于成交通知书发出之日起</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日（时限根据项目情况而定，不得超过25日）内，按照采购文件确定的事项签订本合同。</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lang w:val="zh-CN"/>
        </w:rPr>
        <w:t>根据《中华人民共和国民法典》、《中华人民共和国政府采购法》等相关法律法规之规定，按照平等、自愿、公平和诚实信用的原则，经</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横州市民政局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lang w:val="zh-CN"/>
        </w:rPr>
        <w:t>(以下简称：甲方)和</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成交</w:t>
      </w:r>
      <w:r>
        <w:rPr>
          <w:rFonts w:hint="eastAsia" w:ascii="宋体" w:hAnsi="宋体" w:eastAsia="宋体" w:cs="宋体"/>
          <w:color w:val="auto"/>
          <w:sz w:val="24"/>
          <w:highlight w:val="none"/>
          <w:u w:val="single"/>
        </w:rPr>
        <w:t xml:space="preserve">人名称）   </w:t>
      </w:r>
      <w:r>
        <w:rPr>
          <w:rFonts w:hint="eastAsia" w:ascii="宋体" w:hAnsi="宋体" w:eastAsia="宋体" w:cs="宋体"/>
          <w:color w:val="auto"/>
          <w:sz w:val="24"/>
          <w:highlight w:val="none"/>
          <w:lang w:val="zh-CN"/>
        </w:rPr>
        <w:t>(以下简称：乙方)协商一致，约定以下合同</w:t>
      </w:r>
      <w:r>
        <w:rPr>
          <w:rFonts w:hint="eastAsia" w:ascii="宋体" w:hAnsi="宋体" w:eastAsia="宋体" w:cs="宋体"/>
          <w:color w:val="auto"/>
          <w:sz w:val="24"/>
          <w:highlight w:val="none"/>
        </w:rPr>
        <w:t>条款，以兹共同遵守、全面履行。</w:t>
      </w:r>
    </w:p>
    <w:p>
      <w:pPr>
        <w:spacing w:line="360" w:lineRule="auto"/>
        <w:ind w:firstLine="482" w:firstLineChars="200"/>
        <w:rPr>
          <w:rFonts w:hint="eastAsia" w:ascii="宋体" w:hAnsi="宋体" w:eastAsia="宋体" w:cs="宋体"/>
          <w:b/>
          <w:color w:val="auto"/>
          <w:sz w:val="24"/>
          <w:highlight w:val="none"/>
        </w:rPr>
      </w:pPr>
      <w:bookmarkStart w:id="133" w:name="_Toc3029"/>
      <w:bookmarkStart w:id="134" w:name="_Toc2232"/>
      <w:bookmarkStart w:id="135" w:name="_Toc24059"/>
      <w:r>
        <w:rPr>
          <w:rFonts w:hint="eastAsia" w:ascii="宋体" w:hAnsi="宋体" w:eastAsia="宋体" w:cs="宋体"/>
          <w:b/>
          <w:color w:val="auto"/>
          <w:sz w:val="24"/>
          <w:highlight w:val="none"/>
        </w:rPr>
        <w:t>1.1 合同组成部分</w:t>
      </w:r>
      <w:bookmarkEnd w:id="133"/>
      <w:bookmarkEnd w:id="134"/>
      <w:bookmarkEnd w:id="135"/>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下列文件为本合同的组成部分，并构成一个整体，需综合解释、相互补充。如果下列文件内容出现不一致的情形，在保证按照采购文件确定的事项的前提下，组成本合同的多个文件的优先适用顺序如下：</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1.1.1 本合同及其补充合同、变更协议；</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1.1.2 成交通知书；</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1.1.3 采购文件及“响应报价”（含澄清或者说明文件）；</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1.1.4 采购文件（含澄清或者修改文件）；</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1.1.5 其他相关采购文件。</w:t>
      </w:r>
    </w:p>
    <w:p>
      <w:pPr>
        <w:spacing w:line="360" w:lineRule="auto"/>
        <w:ind w:firstLine="482" w:firstLineChars="200"/>
        <w:rPr>
          <w:rFonts w:hint="eastAsia" w:ascii="宋体" w:hAnsi="宋体" w:eastAsia="宋体" w:cs="宋体"/>
          <w:b/>
          <w:color w:val="auto"/>
          <w:sz w:val="24"/>
          <w:highlight w:val="none"/>
        </w:rPr>
      </w:pPr>
      <w:bookmarkStart w:id="136" w:name="_Toc21295"/>
      <w:bookmarkStart w:id="137" w:name="_Toc27126"/>
      <w:bookmarkStart w:id="138" w:name="_Toc24300"/>
      <w:r>
        <w:rPr>
          <w:rFonts w:hint="eastAsia" w:ascii="宋体" w:hAnsi="宋体" w:eastAsia="宋体" w:cs="宋体"/>
          <w:b/>
          <w:color w:val="auto"/>
          <w:sz w:val="24"/>
          <w:highlight w:val="none"/>
        </w:rPr>
        <w:t>1.2 标的物</w:t>
      </w:r>
      <w:bookmarkEnd w:id="136"/>
      <w:bookmarkEnd w:id="137"/>
      <w:bookmarkEnd w:id="138"/>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1.2.1 标的物1信息</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1.2.1.1名称：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1.2.1.2数量：</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1.2.1.3质量：</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p>
      <w:pPr>
        <w:spacing w:line="360" w:lineRule="auto"/>
        <w:ind w:firstLine="482" w:firstLineChars="200"/>
        <w:rPr>
          <w:rFonts w:hint="eastAsia" w:ascii="宋体" w:hAnsi="宋体" w:eastAsia="宋体" w:cs="宋体"/>
          <w:b/>
          <w:color w:val="auto"/>
          <w:sz w:val="24"/>
          <w:highlight w:val="none"/>
        </w:rPr>
      </w:pPr>
      <w:bookmarkStart w:id="139" w:name="_Toc21551"/>
      <w:bookmarkStart w:id="140" w:name="_Toc23292"/>
      <w:bookmarkStart w:id="141" w:name="_Toc21631"/>
      <w:r>
        <w:rPr>
          <w:rFonts w:hint="eastAsia" w:ascii="宋体" w:hAnsi="宋体" w:eastAsia="宋体" w:cs="宋体"/>
          <w:b/>
          <w:color w:val="auto"/>
          <w:sz w:val="24"/>
          <w:highlight w:val="none"/>
        </w:rPr>
        <w:t>1.3 价款</w:t>
      </w:r>
      <w:bookmarkEnd w:id="139"/>
      <w:bookmarkEnd w:id="140"/>
      <w:bookmarkEnd w:id="141"/>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1.3.1</w:t>
      </w:r>
      <w:r>
        <w:rPr>
          <w:rFonts w:hint="eastAsia" w:ascii="宋体" w:hAnsi="宋体" w:eastAsia="宋体" w:cs="宋体"/>
          <w:color w:val="auto"/>
          <w:sz w:val="24"/>
          <w:highlight w:val="none"/>
        </w:rPr>
        <w:t>本合同总价为：人民币</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元（大写：</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元人民币，含税）。</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分项价格：</w:t>
      </w:r>
    </w:p>
    <w:tbl>
      <w:tblPr>
        <w:tblStyle w:val="28"/>
        <w:tblW w:w="715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201" w:type="dxa"/>
            <w:noWrap w:val="0"/>
            <w:vAlign w:val="center"/>
          </w:tcPr>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序号</w:t>
            </w:r>
          </w:p>
        </w:tc>
        <w:tc>
          <w:tcPr>
            <w:tcW w:w="3402" w:type="dxa"/>
            <w:noWrap w:val="0"/>
            <w:vAlign w:val="center"/>
          </w:tcPr>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分项名称</w:t>
            </w:r>
          </w:p>
        </w:tc>
        <w:tc>
          <w:tcPr>
            <w:tcW w:w="2552" w:type="dxa"/>
            <w:noWrap w:val="0"/>
            <w:vAlign w:val="center"/>
          </w:tcPr>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201" w:type="dxa"/>
            <w:noWrap w:val="0"/>
            <w:vAlign w:val="center"/>
          </w:tcPr>
          <w:p>
            <w:pPr>
              <w:spacing w:line="360" w:lineRule="auto"/>
              <w:ind w:firstLine="480" w:firstLineChars="200"/>
              <w:rPr>
                <w:rFonts w:hint="eastAsia" w:ascii="宋体" w:hAnsi="宋体" w:eastAsia="宋体" w:cs="宋体"/>
                <w:color w:val="auto"/>
                <w:sz w:val="24"/>
                <w:highlight w:val="none"/>
              </w:rPr>
            </w:pPr>
          </w:p>
        </w:tc>
        <w:tc>
          <w:tcPr>
            <w:tcW w:w="3402" w:type="dxa"/>
            <w:noWrap w:val="0"/>
            <w:vAlign w:val="center"/>
          </w:tcPr>
          <w:p>
            <w:pPr>
              <w:spacing w:line="360" w:lineRule="auto"/>
              <w:ind w:firstLine="480" w:firstLineChars="200"/>
              <w:rPr>
                <w:rFonts w:hint="eastAsia" w:ascii="宋体" w:hAnsi="宋体" w:eastAsia="宋体" w:cs="宋体"/>
                <w:color w:val="auto"/>
                <w:sz w:val="24"/>
                <w:highlight w:val="none"/>
              </w:rPr>
            </w:pPr>
          </w:p>
        </w:tc>
        <w:tc>
          <w:tcPr>
            <w:tcW w:w="2552" w:type="dxa"/>
            <w:noWrap w:val="0"/>
            <w:vAlign w:val="center"/>
          </w:tcPr>
          <w:p>
            <w:pPr>
              <w:spacing w:line="360" w:lineRule="auto"/>
              <w:ind w:firstLine="480" w:firstLineChars="200"/>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201" w:type="dxa"/>
            <w:noWrap w:val="0"/>
            <w:vAlign w:val="center"/>
          </w:tcPr>
          <w:p>
            <w:pPr>
              <w:spacing w:line="360" w:lineRule="auto"/>
              <w:ind w:firstLine="480" w:firstLineChars="200"/>
              <w:rPr>
                <w:rFonts w:hint="eastAsia" w:ascii="宋体" w:hAnsi="宋体" w:eastAsia="宋体" w:cs="宋体"/>
                <w:color w:val="auto"/>
                <w:sz w:val="24"/>
                <w:highlight w:val="none"/>
              </w:rPr>
            </w:pPr>
          </w:p>
        </w:tc>
        <w:tc>
          <w:tcPr>
            <w:tcW w:w="3402" w:type="dxa"/>
            <w:noWrap w:val="0"/>
            <w:vAlign w:val="center"/>
          </w:tcPr>
          <w:p>
            <w:pPr>
              <w:spacing w:line="360" w:lineRule="auto"/>
              <w:ind w:firstLine="480" w:firstLineChars="200"/>
              <w:rPr>
                <w:rFonts w:hint="eastAsia" w:ascii="宋体" w:hAnsi="宋体" w:eastAsia="宋体" w:cs="宋体"/>
                <w:color w:val="auto"/>
                <w:sz w:val="24"/>
                <w:highlight w:val="none"/>
              </w:rPr>
            </w:pPr>
          </w:p>
        </w:tc>
        <w:tc>
          <w:tcPr>
            <w:tcW w:w="2552" w:type="dxa"/>
            <w:noWrap w:val="0"/>
            <w:vAlign w:val="center"/>
          </w:tcPr>
          <w:p>
            <w:pPr>
              <w:spacing w:line="360" w:lineRule="auto"/>
              <w:ind w:firstLine="480" w:firstLineChars="200"/>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201" w:type="dxa"/>
            <w:noWrap w:val="0"/>
            <w:vAlign w:val="center"/>
          </w:tcPr>
          <w:p>
            <w:pPr>
              <w:spacing w:line="360" w:lineRule="auto"/>
              <w:ind w:firstLine="480" w:firstLineChars="200"/>
              <w:rPr>
                <w:rFonts w:hint="eastAsia" w:ascii="宋体" w:hAnsi="宋体" w:eastAsia="宋体" w:cs="宋体"/>
                <w:color w:val="auto"/>
                <w:sz w:val="24"/>
                <w:highlight w:val="none"/>
              </w:rPr>
            </w:pPr>
          </w:p>
        </w:tc>
        <w:tc>
          <w:tcPr>
            <w:tcW w:w="3402" w:type="dxa"/>
            <w:noWrap w:val="0"/>
            <w:vAlign w:val="center"/>
          </w:tcPr>
          <w:p>
            <w:pPr>
              <w:spacing w:line="360" w:lineRule="auto"/>
              <w:ind w:firstLine="480" w:firstLineChars="200"/>
              <w:rPr>
                <w:rFonts w:hint="eastAsia" w:ascii="宋体" w:hAnsi="宋体" w:eastAsia="宋体" w:cs="宋体"/>
                <w:color w:val="auto"/>
                <w:sz w:val="24"/>
                <w:highlight w:val="none"/>
              </w:rPr>
            </w:pPr>
          </w:p>
        </w:tc>
        <w:tc>
          <w:tcPr>
            <w:tcW w:w="2552" w:type="dxa"/>
            <w:noWrap w:val="0"/>
            <w:vAlign w:val="center"/>
          </w:tcPr>
          <w:p>
            <w:pPr>
              <w:spacing w:line="360" w:lineRule="auto"/>
              <w:ind w:firstLine="480" w:firstLineChars="200"/>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4603" w:type="dxa"/>
            <w:gridSpan w:val="2"/>
            <w:noWrap w:val="0"/>
            <w:vAlign w:val="center"/>
          </w:tcPr>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总价</w:t>
            </w:r>
          </w:p>
        </w:tc>
        <w:tc>
          <w:tcPr>
            <w:tcW w:w="2552" w:type="dxa"/>
            <w:noWrap w:val="0"/>
            <w:vAlign w:val="center"/>
          </w:tcPr>
          <w:p>
            <w:pPr>
              <w:spacing w:line="360" w:lineRule="auto"/>
              <w:ind w:firstLine="480" w:firstLineChars="200"/>
              <w:rPr>
                <w:rFonts w:hint="eastAsia" w:ascii="宋体" w:hAnsi="宋体" w:eastAsia="宋体" w:cs="宋体"/>
                <w:color w:val="auto"/>
                <w:sz w:val="24"/>
                <w:highlight w:val="none"/>
              </w:rPr>
            </w:pPr>
          </w:p>
        </w:tc>
      </w:tr>
    </w:tbl>
    <w:p>
      <w:pPr>
        <w:spacing w:line="360" w:lineRule="auto"/>
        <w:ind w:firstLine="482" w:firstLineChars="200"/>
        <w:rPr>
          <w:rFonts w:hint="eastAsia" w:ascii="宋体" w:hAnsi="宋体" w:eastAsia="宋体" w:cs="宋体"/>
          <w:b/>
          <w:color w:val="auto"/>
          <w:sz w:val="24"/>
          <w:highlight w:val="none"/>
        </w:rPr>
      </w:pPr>
      <w:bookmarkStart w:id="142" w:name="_Toc10340"/>
      <w:bookmarkStart w:id="143" w:name="_Toc22618"/>
      <w:bookmarkStart w:id="144" w:name="_Toc1814"/>
      <w:r>
        <w:rPr>
          <w:rFonts w:hint="eastAsia" w:ascii="宋体" w:hAnsi="宋体" w:eastAsia="宋体" w:cs="宋体"/>
          <w:b/>
          <w:color w:val="auto"/>
          <w:sz w:val="24"/>
          <w:highlight w:val="none"/>
        </w:rPr>
        <w:t>1.4 付款方式和发票开具方式</w:t>
      </w:r>
      <w:bookmarkEnd w:id="142"/>
      <w:bookmarkEnd w:id="143"/>
      <w:bookmarkEnd w:id="144"/>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1.4.1 付款方式：</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1.4.2 发票开具方式：</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pPr>
        <w:spacing w:line="360" w:lineRule="auto"/>
        <w:ind w:firstLine="482" w:firstLineChars="200"/>
        <w:rPr>
          <w:rFonts w:hint="eastAsia" w:ascii="宋体" w:hAnsi="宋体" w:eastAsia="宋体" w:cs="宋体"/>
          <w:b/>
          <w:color w:val="auto"/>
          <w:sz w:val="24"/>
          <w:highlight w:val="none"/>
        </w:rPr>
      </w:pPr>
      <w:bookmarkStart w:id="145" w:name="_Toc32071"/>
      <w:bookmarkStart w:id="146" w:name="_Toc19304"/>
      <w:bookmarkStart w:id="147" w:name="_Toc2846"/>
      <w:r>
        <w:rPr>
          <w:rFonts w:hint="eastAsia" w:ascii="宋体" w:hAnsi="宋体" w:eastAsia="宋体" w:cs="宋体"/>
          <w:b/>
          <w:color w:val="auto"/>
          <w:sz w:val="24"/>
          <w:highlight w:val="none"/>
        </w:rPr>
        <w:t>1.5 标的物交付期限、地点、方式</w:t>
      </w:r>
      <w:bookmarkEnd w:id="145"/>
      <w:bookmarkEnd w:id="146"/>
      <w:bookmarkEnd w:id="147"/>
      <w:r>
        <w:rPr>
          <w:rFonts w:hint="eastAsia" w:ascii="宋体" w:hAnsi="宋体" w:eastAsia="宋体" w:cs="宋体"/>
          <w:b/>
          <w:color w:val="auto"/>
          <w:sz w:val="24"/>
          <w:highlight w:val="none"/>
        </w:rPr>
        <w:t>和服务期限</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1.5.1 交付期限：</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1.5.2 交付地点：</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1.5.3 交付方式：</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1.5.4 服务及质保期限：</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pPr>
        <w:spacing w:line="360" w:lineRule="auto"/>
        <w:ind w:firstLine="482" w:firstLineChars="200"/>
        <w:rPr>
          <w:rFonts w:hint="eastAsia" w:ascii="宋体" w:hAnsi="宋体" w:eastAsia="宋体" w:cs="宋体"/>
          <w:b/>
          <w:color w:val="auto"/>
          <w:sz w:val="24"/>
          <w:highlight w:val="none"/>
        </w:rPr>
      </w:pPr>
      <w:bookmarkStart w:id="148" w:name="_Toc21423"/>
      <w:bookmarkStart w:id="149" w:name="_Toc19554"/>
      <w:bookmarkStart w:id="150" w:name="_Toc27250"/>
      <w:r>
        <w:rPr>
          <w:rFonts w:hint="eastAsia" w:ascii="宋体" w:hAnsi="宋体" w:eastAsia="宋体" w:cs="宋体"/>
          <w:b/>
          <w:color w:val="auto"/>
          <w:sz w:val="24"/>
          <w:highlight w:val="none"/>
        </w:rPr>
        <w:t>1.6 违约责任</w:t>
      </w:r>
      <w:bookmarkEnd w:id="148"/>
      <w:bookmarkEnd w:id="149"/>
      <w:bookmarkEnd w:id="150"/>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1.6.1 除不可抗力外，如果乙方没有按照本合同约定的期限、地点和方式交付标的物，甲方可要求乙方支付违约金，违约金按每迟延交付标的物一日的应交付而未交付标的物价格的</w:t>
      </w:r>
      <w:r>
        <w:rPr>
          <w:rFonts w:hint="eastAsia" w:ascii="宋体" w:hAnsi="宋体" w:eastAsia="宋体" w:cs="宋体"/>
          <w:color w:val="auto"/>
          <w:sz w:val="24"/>
          <w:highlight w:val="none"/>
          <w:u w:val="single"/>
        </w:rPr>
        <w:t>万分之五</w:t>
      </w:r>
      <w:r>
        <w:rPr>
          <w:rFonts w:hint="eastAsia" w:ascii="宋体" w:hAnsi="宋体" w:eastAsia="宋体" w:cs="宋体"/>
          <w:color w:val="auto"/>
          <w:sz w:val="24"/>
          <w:highlight w:val="none"/>
        </w:rPr>
        <w:t>（根据项目实际填写，一般为万分之五）计算，最高限额为本合同总价的</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%（根据项目实际填写，一般为20%）；迟延超过【  】日的，甲方有权在要求乙方支付违约金的同时，书面通知乙方解除本合同，乙方应退回全部已收取的合同价款并按合同总金额的</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%（根据项目实际填写，一般为20%）向甲方支付违约金；</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1.6.2 除不可抗力外，如果甲方没有按照本合同约定的付款方式付款，乙方可要求甲方支付违约金，违约金按每迟延付款一日的应付而未付款的</w:t>
      </w:r>
      <w:r>
        <w:rPr>
          <w:rFonts w:hint="eastAsia" w:ascii="宋体" w:hAnsi="宋体" w:eastAsia="宋体" w:cs="宋体"/>
          <w:color w:val="auto"/>
          <w:sz w:val="24"/>
          <w:highlight w:val="none"/>
          <w:u w:val="single"/>
        </w:rPr>
        <w:t>万分之五</w:t>
      </w:r>
      <w:r>
        <w:rPr>
          <w:rFonts w:hint="eastAsia" w:ascii="宋体" w:hAnsi="宋体" w:eastAsia="宋体" w:cs="宋体"/>
          <w:color w:val="auto"/>
          <w:sz w:val="24"/>
          <w:highlight w:val="none"/>
        </w:rPr>
        <w:t>（根据项目实际填写，一般为万分之五）计算，最高限额为欠付金额的</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%（根据项目实际填写，一般为20%）；迟延付款的违约金计算数额达到前述最高限额之日起，乙方有权在要求甲方支付违约金的同时，书面通知甲方解除本合同；</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360" w:lineRule="auto"/>
        <w:ind w:left="239" w:leftChars="114" w:firstLine="240" w:firstLineChars="100"/>
        <w:rPr>
          <w:rFonts w:hint="eastAsia" w:ascii="宋体" w:hAnsi="宋体" w:eastAsia="宋体" w:cs="宋体"/>
          <w:color w:val="auto"/>
          <w:sz w:val="24"/>
          <w:highlight w:val="none"/>
        </w:rPr>
      </w:pPr>
      <w:r>
        <w:rPr>
          <w:rFonts w:hint="eastAsia" w:ascii="宋体" w:hAnsi="宋体" w:eastAsia="宋体" w:cs="宋体"/>
          <w:color w:val="auto"/>
          <w:sz w:val="24"/>
          <w:highlight w:val="none"/>
        </w:rPr>
        <w:t>1.6.4乙方在质保期内未按承诺提供售后等服务的，每发生一次向甲方支付</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rPr>
        <w:t>元（根据项目实际填写，一般为2000元）的违约金。</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1.6.5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1.6.6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1.6.7 如果出现政府采购监督管理部门在处理投诉事项期间，书面通知甲方暂停采购活动的情形，或者询问或质疑事项可能影响中标结果的，导致甲方中止履行合同的情形，均不视为甲方违约。</w:t>
      </w:r>
    </w:p>
    <w:p>
      <w:pPr>
        <w:spacing w:line="360" w:lineRule="auto"/>
        <w:ind w:firstLine="482" w:firstLineChars="200"/>
        <w:rPr>
          <w:rFonts w:hint="eastAsia" w:ascii="宋体" w:hAnsi="宋体" w:eastAsia="宋体" w:cs="宋体"/>
          <w:b/>
          <w:color w:val="auto"/>
          <w:sz w:val="24"/>
          <w:highlight w:val="none"/>
        </w:rPr>
      </w:pPr>
      <w:bookmarkStart w:id="151" w:name="_Toc28375"/>
      <w:bookmarkStart w:id="152" w:name="_Toc16021"/>
      <w:bookmarkStart w:id="153" w:name="_Toc15583"/>
      <w:r>
        <w:rPr>
          <w:rFonts w:hint="eastAsia" w:ascii="宋体" w:hAnsi="宋体" w:eastAsia="宋体" w:cs="宋体"/>
          <w:b/>
          <w:color w:val="auto"/>
          <w:sz w:val="24"/>
          <w:highlight w:val="none"/>
        </w:rPr>
        <w:t>1.7 合同争议的解决</w:t>
      </w:r>
      <w:bookmarkEnd w:id="151"/>
      <w:bookmarkEnd w:id="152"/>
      <w:bookmarkEnd w:id="153"/>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本合同履行过程中发生的任何争议，双方当事人均可通过和解或者调解解决；不愿和解、调解或者和解、调解不成的，可以选择下列第</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种方式解决：</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1.7.1 将争议提交</w:t>
      </w:r>
      <w:r>
        <w:rPr>
          <w:rFonts w:hint="eastAsia" w:ascii="宋体" w:hAnsi="宋体" w:eastAsia="宋体" w:cs="宋体"/>
          <w:color w:val="auto"/>
          <w:sz w:val="24"/>
          <w:highlight w:val="none"/>
          <w:u w:val="single"/>
        </w:rPr>
        <w:t>南宁</w:t>
      </w:r>
      <w:r>
        <w:rPr>
          <w:rFonts w:hint="eastAsia" w:ascii="宋体" w:hAnsi="宋体" w:eastAsia="宋体" w:cs="宋体"/>
          <w:color w:val="auto"/>
          <w:sz w:val="24"/>
          <w:highlight w:val="none"/>
        </w:rPr>
        <w:t>仲裁委员会依申请仲裁时其现行有效的仲裁规则裁决；</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1.7.2 向</w:t>
      </w:r>
      <w:r>
        <w:rPr>
          <w:rFonts w:hint="eastAsia" w:ascii="宋体" w:hAnsi="宋体" w:eastAsia="宋体" w:cs="宋体"/>
          <w:color w:val="auto"/>
          <w:sz w:val="24"/>
          <w:highlight w:val="none"/>
          <w:u w:val="single"/>
        </w:rPr>
        <w:t xml:space="preserve">   甲方所在地  </w:t>
      </w:r>
      <w:r>
        <w:rPr>
          <w:rFonts w:hint="eastAsia" w:ascii="宋体" w:hAnsi="宋体" w:eastAsia="宋体" w:cs="宋体"/>
          <w:color w:val="auto"/>
          <w:sz w:val="24"/>
          <w:highlight w:val="none"/>
        </w:rPr>
        <w:t>人民法院起诉。</w:t>
      </w:r>
    </w:p>
    <w:p>
      <w:pPr>
        <w:spacing w:line="360" w:lineRule="auto"/>
        <w:ind w:firstLine="482" w:firstLineChars="200"/>
        <w:rPr>
          <w:rFonts w:hint="eastAsia" w:ascii="宋体" w:hAnsi="宋体" w:eastAsia="宋体" w:cs="宋体"/>
          <w:b/>
          <w:color w:val="auto"/>
          <w:sz w:val="24"/>
          <w:highlight w:val="none"/>
        </w:rPr>
      </w:pPr>
      <w:bookmarkStart w:id="154" w:name="_Toc15322"/>
      <w:bookmarkStart w:id="155" w:name="_Toc7245"/>
      <w:bookmarkStart w:id="156" w:name="_Toc11173"/>
      <w:r>
        <w:rPr>
          <w:rFonts w:hint="eastAsia" w:ascii="宋体" w:hAnsi="宋体" w:eastAsia="宋体" w:cs="宋体"/>
          <w:b/>
          <w:color w:val="auto"/>
          <w:sz w:val="24"/>
          <w:highlight w:val="none"/>
        </w:rPr>
        <w:t>1.8 合同生效</w:t>
      </w:r>
      <w:bookmarkEnd w:id="154"/>
      <w:bookmarkEnd w:id="155"/>
      <w:bookmarkEnd w:id="156"/>
    </w:p>
    <w:p>
      <w:pPr>
        <w:spacing w:line="360" w:lineRule="auto"/>
        <w:ind w:firstLine="480" w:firstLineChars="200"/>
        <w:rPr>
          <w:rFonts w:hint="eastAsia" w:ascii="宋体" w:hAnsi="宋体" w:eastAsia="宋体" w:cs="宋体"/>
          <w:b/>
          <w:color w:val="auto"/>
          <w:sz w:val="24"/>
          <w:highlight w:val="none"/>
        </w:rPr>
      </w:pPr>
      <w:r>
        <w:rPr>
          <w:rFonts w:hint="eastAsia" w:ascii="宋体" w:hAnsi="宋体" w:eastAsia="宋体" w:cs="宋体"/>
          <w:color w:val="auto"/>
          <w:sz w:val="24"/>
          <w:highlight w:val="none"/>
        </w:rPr>
        <w:t>本合同自双方当事人加盖有效电子公章时生效。</w:t>
      </w:r>
    </w:p>
    <w:p>
      <w:pPr>
        <w:spacing w:line="360" w:lineRule="auto"/>
        <w:ind w:firstLine="20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甲方：                                   乙方：</w:t>
      </w:r>
    </w:p>
    <w:p>
      <w:pPr>
        <w:spacing w:line="360" w:lineRule="auto"/>
        <w:ind w:firstLine="20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统一社会信用代码：                        统一社会信用代码或身份证号码：</w:t>
      </w:r>
    </w:p>
    <w:p>
      <w:pPr>
        <w:spacing w:line="360" w:lineRule="auto"/>
        <w:ind w:firstLine="200"/>
        <w:rPr>
          <w:rFonts w:hint="eastAsia" w:ascii="宋体" w:hAnsi="宋体" w:eastAsia="宋体" w:cs="宋体"/>
          <w:color w:val="auto"/>
          <w:sz w:val="24"/>
          <w:highlight w:val="none"/>
          <w:lang w:val="zh-CN"/>
        </w:rPr>
      </w:pPr>
    </w:p>
    <w:p>
      <w:pPr>
        <w:spacing w:line="360" w:lineRule="auto"/>
        <w:ind w:firstLine="20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住所：                                   住所：</w:t>
      </w:r>
    </w:p>
    <w:p>
      <w:pPr>
        <w:spacing w:line="360" w:lineRule="auto"/>
        <w:ind w:firstLine="20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法定代表人或                             法定代表人</w:t>
      </w:r>
    </w:p>
    <w:p>
      <w:pPr>
        <w:spacing w:line="360" w:lineRule="auto"/>
        <w:ind w:firstLine="20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 xml:space="preserve">授权代表（签字或盖章）：                 或授权代表（签字或盖章）: </w:t>
      </w:r>
    </w:p>
    <w:p>
      <w:pPr>
        <w:spacing w:line="360" w:lineRule="auto"/>
        <w:ind w:firstLine="20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联系人：                                 联系人：</w:t>
      </w:r>
    </w:p>
    <w:p>
      <w:pPr>
        <w:spacing w:line="360" w:lineRule="auto"/>
        <w:ind w:firstLine="20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约定送达地址：                           约定送达地址：</w:t>
      </w:r>
    </w:p>
    <w:p>
      <w:pPr>
        <w:spacing w:line="360" w:lineRule="auto"/>
        <w:ind w:firstLine="20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邮政编码：                               邮政编码：</w:t>
      </w:r>
    </w:p>
    <w:p>
      <w:pPr>
        <w:spacing w:line="360" w:lineRule="auto"/>
        <w:ind w:firstLine="20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 xml:space="preserve">电话:                                    电话: </w:t>
      </w:r>
    </w:p>
    <w:p>
      <w:pPr>
        <w:spacing w:line="360" w:lineRule="auto"/>
        <w:ind w:firstLine="20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传真:                                    传真:</w:t>
      </w:r>
    </w:p>
    <w:p>
      <w:pPr>
        <w:spacing w:line="360" w:lineRule="auto"/>
        <w:ind w:firstLine="200"/>
        <w:rPr>
          <w:rFonts w:hint="eastAsia" w:ascii="宋体" w:hAnsi="宋体" w:eastAsia="宋体" w:cs="宋体"/>
          <w:color w:val="auto"/>
          <w:sz w:val="24"/>
          <w:highlight w:val="none"/>
        </w:rPr>
      </w:pPr>
      <w:r>
        <w:rPr>
          <w:rFonts w:hint="eastAsia" w:ascii="宋体" w:hAnsi="宋体" w:eastAsia="宋体" w:cs="宋体"/>
          <w:color w:val="auto"/>
          <w:sz w:val="24"/>
          <w:highlight w:val="none"/>
          <w:lang w:val="zh-CN"/>
        </w:rPr>
        <w:t>电子邮箱：                               电子邮箱：</w:t>
      </w:r>
    </w:p>
    <w:p>
      <w:pPr>
        <w:spacing w:line="360" w:lineRule="auto"/>
        <w:ind w:firstLine="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开户银行：                               开户银行： </w:t>
      </w:r>
    </w:p>
    <w:p>
      <w:pPr>
        <w:spacing w:line="360" w:lineRule="auto"/>
        <w:ind w:firstLine="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开户名称：                               开户名称： </w:t>
      </w:r>
    </w:p>
    <w:p>
      <w:pPr>
        <w:spacing w:line="360" w:lineRule="auto"/>
        <w:ind w:firstLine="200"/>
        <w:rPr>
          <w:rFonts w:hint="eastAsia" w:ascii="宋体" w:hAnsi="宋体" w:eastAsia="宋体" w:cs="宋体"/>
          <w:color w:val="auto"/>
          <w:sz w:val="24"/>
          <w:highlight w:val="none"/>
        </w:rPr>
      </w:pPr>
      <w:r>
        <w:rPr>
          <w:rFonts w:hint="eastAsia" w:ascii="宋体" w:hAnsi="宋体" w:eastAsia="宋体" w:cs="宋体"/>
          <w:color w:val="auto"/>
          <w:sz w:val="24"/>
          <w:highlight w:val="none"/>
        </w:rPr>
        <w:t>开户账号：</w:t>
      </w:r>
      <w:r>
        <w:rPr>
          <w:rFonts w:hint="eastAsia" w:ascii="宋体" w:hAnsi="宋体" w:eastAsia="宋体" w:cs="宋体"/>
          <w:color w:val="auto"/>
          <w:sz w:val="24"/>
          <w:highlight w:val="none"/>
          <w:lang w:val="zh-CN"/>
        </w:rPr>
        <w:t xml:space="preserve">                               </w:t>
      </w:r>
      <w:r>
        <w:rPr>
          <w:rFonts w:hint="eastAsia" w:ascii="宋体" w:hAnsi="宋体" w:eastAsia="宋体" w:cs="宋体"/>
          <w:color w:val="auto"/>
          <w:sz w:val="24"/>
          <w:highlight w:val="none"/>
        </w:rPr>
        <w:t>开户账号：</w:t>
      </w:r>
    </w:p>
    <w:p>
      <w:pPr>
        <w:pStyle w:val="83"/>
        <w:spacing w:after="0"/>
        <w:ind w:left="0" w:leftChars="0" w:firstLine="0" w:firstLineChars="0"/>
        <w:jc w:val="center"/>
        <w:outlineLvl w:val="1"/>
        <w:rPr>
          <w:rFonts w:hint="eastAsia" w:ascii="宋体" w:hAnsi="宋体" w:eastAsia="宋体" w:cs="宋体"/>
          <w:b/>
          <w:color w:val="auto"/>
          <w:sz w:val="28"/>
          <w:szCs w:val="28"/>
          <w:highlight w:val="none"/>
        </w:rPr>
      </w:pPr>
      <w:bookmarkStart w:id="157" w:name="_Toc331685783"/>
      <w:r>
        <w:rPr>
          <w:rFonts w:hint="eastAsia" w:ascii="宋体" w:hAnsi="宋体" w:eastAsia="宋体" w:cs="宋体"/>
          <w:b/>
          <w:color w:val="auto"/>
          <w:highlight w:val="none"/>
        </w:rPr>
        <w:br w:type="page"/>
      </w:r>
      <w:bookmarkStart w:id="158" w:name="_Toc80886949"/>
      <w:bookmarkStart w:id="159" w:name="_Toc80205945"/>
      <w:bookmarkStart w:id="160" w:name="_Toc23"/>
      <w:r>
        <w:rPr>
          <w:rFonts w:hint="eastAsia" w:ascii="宋体" w:hAnsi="宋体" w:eastAsia="宋体" w:cs="宋体"/>
          <w:b/>
          <w:color w:val="auto"/>
          <w:sz w:val="28"/>
          <w:szCs w:val="28"/>
          <w:highlight w:val="none"/>
        </w:rPr>
        <w:t>第二部分 合同一般条款</w:t>
      </w:r>
      <w:bookmarkEnd w:id="157"/>
      <w:bookmarkEnd w:id="158"/>
      <w:bookmarkEnd w:id="159"/>
      <w:bookmarkEnd w:id="160"/>
    </w:p>
    <w:p>
      <w:pPr>
        <w:spacing w:line="360" w:lineRule="auto"/>
        <w:ind w:firstLine="482" w:firstLineChars="200"/>
        <w:rPr>
          <w:rFonts w:hint="eastAsia" w:ascii="宋体" w:hAnsi="宋体" w:eastAsia="宋体" w:cs="宋体"/>
          <w:b/>
          <w:color w:val="auto"/>
          <w:sz w:val="24"/>
          <w:highlight w:val="none"/>
        </w:rPr>
      </w:pPr>
      <w:bookmarkStart w:id="161" w:name="_Toc259093669"/>
      <w:bookmarkStart w:id="162" w:name="_Toc28763"/>
      <w:bookmarkStart w:id="163" w:name="_Ref467379205"/>
      <w:bookmarkStart w:id="164" w:name="_Ref467378499"/>
      <w:bookmarkStart w:id="165" w:name="_Ref467379225"/>
      <w:bookmarkStart w:id="166" w:name="_Toc487900349"/>
      <w:bookmarkStart w:id="167" w:name="_Ref467378463"/>
      <w:bookmarkStart w:id="168" w:name="_Toc279701240"/>
      <w:bookmarkStart w:id="169" w:name="_Toc19614"/>
      <w:bookmarkStart w:id="170" w:name="_Ref467379214"/>
      <w:bookmarkStart w:id="171" w:name="_Ref467379109"/>
      <w:bookmarkStart w:id="172" w:name="_Ref467378404"/>
      <w:bookmarkStart w:id="173" w:name="_Ref467379094"/>
      <w:bookmarkStart w:id="174" w:name="_Ref467379195"/>
      <w:bookmarkStart w:id="175" w:name="_Toc16917"/>
      <w:bookmarkStart w:id="176" w:name="_Ref467379101"/>
      <w:r>
        <w:rPr>
          <w:rFonts w:hint="eastAsia" w:ascii="宋体" w:hAnsi="宋体" w:eastAsia="宋体" w:cs="宋体"/>
          <w:b/>
          <w:color w:val="auto"/>
          <w:sz w:val="24"/>
          <w:highlight w:val="none"/>
        </w:rPr>
        <w:t>2.1 定义</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本合同中的下列词语应按以下内容进行解释：</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2.1.1 “合同”系指采购人和中标人签订的载明双方当事人所达成的协议，并包括所有的附件、附录和构成合同的其他文件。</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2.1.2 “合同价”系指根据合同约定，中标人在完全履行合同义务后，采购人应支付给中标人的价格。</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2.1.3 “标的物”系指中标人根据合同约定应向采购人交付的一切各种形态和种类的货物、服务和工程，包括但不限于原材料、燃料、设备、机械、仪表、备件、计算机软件、信息化系统、信息化维保、物业服务、产品等，并包括工具、手册等其他相关资料。</w:t>
      </w:r>
    </w:p>
    <w:p>
      <w:pPr>
        <w:spacing w:line="360" w:lineRule="auto"/>
        <w:ind w:firstLine="480" w:firstLineChars="200"/>
        <w:rPr>
          <w:rFonts w:hint="eastAsia" w:ascii="宋体" w:hAnsi="宋体" w:eastAsia="宋体" w:cs="宋体"/>
          <w:color w:val="auto"/>
          <w:sz w:val="24"/>
          <w:highlight w:val="none"/>
        </w:rPr>
      </w:pPr>
      <w:bookmarkStart w:id="177" w:name="_Ref467378840"/>
      <w:r>
        <w:rPr>
          <w:rFonts w:hint="eastAsia" w:ascii="宋体" w:hAnsi="宋体" w:eastAsia="宋体" w:cs="宋体"/>
          <w:color w:val="auto"/>
          <w:sz w:val="24"/>
          <w:highlight w:val="none"/>
        </w:rPr>
        <w:t>2.1.4 “甲方”系指与中标人签署合同的采购人</w:t>
      </w:r>
      <w:bookmarkEnd w:id="177"/>
      <w:r>
        <w:rPr>
          <w:rFonts w:hint="eastAsia" w:ascii="宋体" w:hAnsi="宋体" w:eastAsia="宋体" w:cs="宋体"/>
          <w:color w:val="auto"/>
          <w:sz w:val="24"/>
          <w:highlight w:val="none"/>
        </w:rPr>
        <w:t>；采购人委托采购机构代表其与乙方签订合同的，采购人的授权委托书作为合同附件。</w:t>
      </w:r>
    </w:p>
    <w:p>
      <w:pPr>
        <w:spacing w:line="360" w:lineRule="auto"/>
        <w:ind w:firstLine="480" w:firstLineChars="200"/>
        <w:rPr>
          <w:rFonts w:hint="eastAsia" w:ascii="宋体" w:hAnsi="宋体" w:eastAsia="宋体" w:cs="宋体"/>
          <w:color w:val="auto"/>
          <w:sz w:val="24"/>
          <w:highlight w:val="none"/>
        </w:rPr>
      </w:pPr>
      <w:bookmarkStart w:id="178" w:name="_Ref467379400"/>
      <w:r>
        <w:rPr>
          <w:rFonts w:hint="eastAsia" w:ascii="宋体" w:hAnsi="宋体" w:eastAsia="宋体" w:cs="宋体"/>
          <w:color w:val="auto"/>
          <w:sz w:val="24"/>
          <w:highlight w:val="none"/>
        </w:rPr>
        <w:t>2.1.5 “乙方”系指根据合同约定交付标的物的</w:t>
      </w:r>
      <w:bookmarkEnd w:id="178"/>
      <w:r>
        <w:rPr>
          <w:rFonts w:hint="eastAsia" w:ascii="宋体" w:hAnsi="宋体" w:eastAsia="宋体" w:cs="宋体"/>
          <w:color w:val="auto"/>
          <w:sz w:val="24"/>
          <w:highlight w:val="none"/>
        </w:rPr>
        <w:t>中标人；两个以上的自然人、法人或者其他组织组成一个联合体，以一个供应商的身份共同参加政府采购的，联合体各方均应为乙方或者与乙方相同地位的合同当事人，并就合同约定的事项对甲方承担连带责任。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360" w:lineRule="auto"/>
        <w:ind w:firstLine="480" w:firstLineChars="200"/>
        <w:rPr>
          <w:rFonts w:hint="eastAsia" w:ascii="宋体" w:hAnsi="宋体" w:eastAsia="宋体" w:cs="宋体"/>
          <w:color w:val="auto"/>
          <w:sz w:val="24"/>
          <w:highlight w:val="none"/>
        </w:rPr>
      </w:pPr>
      <w:bookmarkStart w:id="179" w:name="_Ref467379436"/>
      <w:r>
        <w:rPr>
          <w:rFonts w:hint="eastAsia" w:ascii="宋体" w:hAnsi="宋体" w:eastAsia="宋体" w:cs="宋体"/>
          <w:color w:val="auto"/>
          <w:sz w:val="24"/>
          <w:highlight w:val="none"/>
        </w:rPr>
        <w:t>2.1.6 “现场”系指合同约定标的物将要运至或者实施或者安装的地点。</w:t>
      </w:r>
      <w:bookmarkEnd w:id="179"/>
    </w:p>
    <w:p>
      <w:pPr>
        <w:spacing w:line="360" w:lineRule="auto"/>
        <w:ind w:firstLine="482" w:firstLineChars="200"/>
        <w:rPr>
          <w:rFonts w:hint="eastAsia" w:ascii="宋体" w:hAnsi="宋体" w:eastAsia="宋体" w:cs="宋体"/>
          <w:b/>
          <w:color w:val="auto"/>
          <w:sz w:val="24"/>
          <w:highlight w:val="none"/>
        </w:rPr>
      </w:pPr>
      <w:bookmarkStart w:id="180" w:name="_Toc13336"/>
      <w:bookmarkStart w:id="181" w:name="_Toc32504"/>
      <w:bookmarkStart w:id="182" w:name="_Toc27635"/>
      <w:bookmarkStart w:id="183" w:name="_Toc279701241"/>
      <w:bookmarkStart w:id="184" w:name="_Toc487900350"/>
      <w:bookmarkStart w:id="185" w:name="_Toc259093670"/>
      <w:r>
        <w:rPr>
          <w:rFonts w:hint="eastAsia" w:ascii="宋体" w:hAnsi="宋体" w:eastAsia="宋体" w:cs="宋体"/>
          <w:b/>
          <w:color w:val="auto"/>
          <w:sz w:val="24"/>
          <w:highlight w:val="none"/>
        </w:rPr>
        <w:t>2.2 技术规范</w:t>
      </w:r>
      <w:bookmarkEnd w:id="180"/>
      <w:bookmarkEnd w:id="181"/>
      <w:bookmarkEnd w:id="182"/>
      <w:bookmarkEnd w:id="183"/>
      <w:bookmarkEnd w:id="184"/>
      <w:bookmarkEnd w:id="185"/>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标的物所应遵守的技术规范应与采购文件规定的技术规范和技术规范附件(如果有的话)及其技术规范偏差表(如果被甲方接受的话)相一致；如果采购文件中没有技术规范的相应说明，应以国家有关部门最新颁布的相应标准和规范为准。</w:t>
      </w:r>
    </w:p>
    <w:p>
      <w:pPr>
        <w:spacing w:line="360" w:lineRule="auto"/>
        <w:ind w:firstLine="482" w:firstLineChars="200"/>
        <w:rPr>
          <w:rFonts w:hint="eastAsia" w:ascii="宋体" w:hAnsi="宋体" w:eastAsia="宋体" w:cs="宋体"/>
          <w:b/>
          <w:color w:val="auto"/>
          <w:sz w:val="24"/>
          <w:highlight w:val="none"/>
        </w:rPr>
      </w:pPr>
      <w:bookmarkStart w:id="186" w:name="_Toc487900351"/>
      <w:bookmarkStart w:id="187" w:name="_Toc279701242"/>
      <w:bookmarkStart w:id="188" w:name="_Toc27853"/>
      <w:bookmarkStart w:id="189" w:name="_Toc259093671"/>
      <w:bookmarkStart w:id="190" w:name="_Toc9829"/>
      <w:bookmarkStart w:id="191" w:name="_Toc31634"/>
      <w:r>
        <w:rPr>
          <w:rFonts w:hint="eastAsia" w:ascii="宋体" w:hAnsi="宋体" w:eastAsia="宋体" w:cs="宋体"/>
          <w:b/>
          <w:color w:val="auto"/>
          <w:sz w:val="24"/>
          <w:highlight w:val="none"/>
        </w:rPr>
        <w:t>2.3 知识产权</w:t>
      </w:r>
      <w:bookmarkEnd w:id="186"/>
      <w:bookmarkEnd w:id="187"/>
      <w:bookmarkEnd w:id="188"/>
      <w:bookmarkEnd w:id="189"/>
      <w:bookmarkEnd w:id="190"/>
      <w:bookmarkEnd w:id="191"/>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2.3.1 乙方应保证甲方在使用该标的物或其任何一部分时不受任何第三方提出的侵犯其著作权、商标权、专利权等知识产权方面的起诉；如果任何第三方提出侵权指控，乙方须与该第三方交涉并承担由此发生的一切责任、费用和赔偿；</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2.3.2具有知识产权的计算机软件等标的物的知识产权归属，详见</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w:t>
      </w:r>
    </w:p>
    <w:p>
      <w:pPr>
        <w:spacing w:line="360" w:lineRule="auto"/>
        <w:ind w:firstLine="482" w:firstLineChars="200"/>
        <w:rPr>
          <w:rFonts w:hint="eastAsia" w:ascii="宋体" w:hAnsi="宋体" w:eastAsia="宋体" w:cs="宋体"/>
          <w:b/>
          <w:color w:val="auto"/>
          <w:sz w:val="24"/>
          <w:highlight w:val="none"/>
        </w:rPr>
      </w:pPr>
      <w:bookmarkStart w:id="192" w:name="_Toc4194"/>
      <w:bookmarkStart w:id="193" w:name="_Toc11932"/>
      <w:bookmarkStart w:id="194" w:name="_Toc29149"/>
      <w:r>
        <w:rPr>
          <w:rFonts w:hint="eastAsia" w:ascii="宋体" w:hAnsi="宋体" w:eastAsia="宋体" w:cs="宋体"/>
          <w:b/>
          <w:color w:val="auto"/>
          <w:sz w:val="24"/>
          <w:highlight w:val="none"/>
        </w:rPr>
        <w:t>2.4 包装和装运</w:t>
      </w:r>
      <w:bookmarkEnd w:id="192"/>
      <w:bookmarkEnd w:id="193"/>
      <w:bookmarkEnd w:id="194"/>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2.4.1除</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另有约定外,乙方交付的全部标的物,均应采用本行业通用的方式进行包装，没有通用方式的，应当采取足以保护标的物的包装方式，且该包装应符合国家有关包装的法律、法规的规定。如有必要，包装应适用于远距离运输、防潮、防震、防锈和防粗暴装卸，确保标的物安全无损地运抵现场。由于包装不善所引起的标的物锈蚀、损坏和损失等一切风险均由乙方承担。</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2.4.2 装运标的物的要求和通知，详见</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w:t>
      </w:r>
    </w:p>
    <w:p>
      <w:pPr>
        <w:spacing w:line="360" w:lineRule="auto"/>
        <w:ind w:firstLine="482" w:firstLineChars="200"/>
        <w:rPr>
          <w:rFonts w:hint="eastAsia" w:ascii="宋体" w:hAnsi="宋体" w:eastAsia="宋体" w:cs="宋体"/>
          <w:b/>
          <w:color w:val="auto"/>
          <w:sz w:val="24"/>
          <w:highlight w:val="none"/>
        </w:rPr>
      </w:pPr>
      <w:bookmarkStart w:id="195" w:name="_Toc487900354"/>
      <w:bookmarkStart w:id="196" w:name="_Toc259093674"/>
      <w:bookmarkStart w:id="197" w:name="_Ref467378541"/>
      <w:bookmarkStart w:id="198" w:name="_Ref467379542"/>
      <w:bookmarkStart w:id="199" w:name="_Toc279701245"/>
      <w:bookmarkStart w:id="200" w:name="_Ref467379527"/>
      <w:bookmarkStart w:id="201" w:name="_Ref467378591"/>
      <w:bookmarkStart w:id="202" w:name="_Ref467379536"/>
      <w:bookmarkStart w:id="203" w:name="_Toc26182"/>
      <w:bookmarkStart w:id="204" w:name="_Toc19074"/>
      <w:bookmarkStart w:id="205" w:name="_Toc30272"/>
      <w:r>
        <w:rPr>
          <w:rFonts w:hint="eastAsia" w:ascii="宋体" w:hAnsi="宋体" w:eastAsia="宋体" w:cs="宋体"/>
          <w:b/>
          <w:color w:val="auto"/>
          <w:sz w:val="24"/>
          <w:highlight w:val="none"/>
        </w:rPr>
        <w:t>2.</w:t>
      </w:r>
      <w:bookmarkEnd w:id="195"/>
      <w:bookmarkEnd w:id="196"/>
      <w:bookmarkEnd w:id="197"/>
      <w:bookmarkEnd w:id="198"/>
      <w:bookmarkEnd w:id="199"/>
      <w:bookmarkEnd w:id="200"/>
      <w:bookmarkEnd w:id="201"/>
      <w:bookmarkEnd w:id="202"/>
      <w:r>
        <w:rPr>
          <w:rFonts w:hint="eastAsia" w:ascii="宋体" w:hAnsi="宋体" w:eastAsia="宋体" w:cs="宋体"/>
          <w:b/>
          <w:color w:val="auto"/>
          <w:sz w:val="24"/>
          <w:highlight w:val="none"/>
        </w:rPr>
        <w:t>5 履约检查和问题反馈</w:t>
      </w:r>
      <w:bookmarkEnd w:id="203"/>
      <w:bookmarkEnd w:id="204"/>
      <w:bookmarkEnd w:id="205"/>
    </w:p>
    <w:p>
      <w:pPr>
        <w:spacing w:line="360" w:lineRule="auto"/>
        <w:ind w:firstLine="480" w:firstLineChars="200"/>
        <w:rPr>
          <w:rFonts w:hint="eastAsia" w:ascii="宋体" w:hAnsi="宋体" w:eastAsia="宋体" w:cs="宋体"/>
          <w:color w:val="auto"/>
          <w:sz w:val="24"/>
          <w:highlight w:val="none"/>
        </w:rPr>
      </w:pPr>
      <w:bookmarkStart w:id="206" w:name="_Ref467379657"/>
      <w:r>
        <w:rPr>
          <w:rFonts w:hint="eastAsia" w:ascii="宋体" w:hAnsi="宋体" w:eastAsia="宋体" w:cs="宋体"/>
          <w:color w:val="auto"/>
          <w:sz w:val="24"/>
          <w:highlight w:val="none"/>
        </w:rPr>
        <w:t>2.5.1</w:t>
      </w:r>
      <w:bookmarkEnd w:id="206"/>
      <w:bookmarkStart w:id="207" w:name="_Toc186431854"/>
      <w:bookmarkStart w:id="208" w:name="_Ref467379807"/>
      <w:bookmarkStart w:id="209" w:name="_Toc487900357"/>
      <w:bookmarkStart w:id="210" w:name="_Toc279701247"/>
      <w:bookmarkStart w:id="211" w:name="_Toc259093676"/>
      <w:bookmarkStart w:id="212" w:name="_Ref467379793"/>
      <w:r>
        <w:rPr>
          <w:rFonts w:hint="eastAsia" w:ascii="宋体" w:hAnsi="宋体" w:eastAsia="宋体" w:cs="宋体"/>
          <w:color w:val="auto"/>
          <w:sz w:val="24"/>
          <w:highlight w:val="none"/>
        </w:rPr>
        <w:t>甲方有权在其认为必要时，对乙方是否能够按照合同约定交付标的物进行履约检查，以确保乙方所交付的标的物能够依约满足甲方之项目需求，但不得因履约检查妨碍乙方的正常工作，乙方应予积极配合；</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2.5.2 合同履行期间，甲方有权将履行过程中出现的问题反馈给乙方，双方当事人应以书面形式约定需要完善和改进的内容</w:t>
      </w:r>
      <w:bookmarkEnd w:id="207"/>
      <w:bookmarkStart w:id="213" w:name="_Toc186431855"/>
      <w:r>
        <w:rPr>
          <w:rFonts w:hint="eastAsia" w:ascii="宋体" w:hAnsi="宋体" w:eastAsia="宋体" w:cs="宋体"/>
          <w:color w:val="auto"/>
          <w:sz w:val="24"/>
          <w:highlight w:val="none"/>
        </w:rPr>
        <w:t>。</w:t>
      </w:r>
    </w:p>
    <w:bookmarkEnd w:id="213"/>
    <w:p>
      <w:pPr>
        <w:spacing w:line="360" w:lineRule="auto"/>
        <w:ind w:firstLine="482" w:firstLineChars="200"/>
        <w:rPr>
          <w:rFonts w:hint="eastAsia" w:ascii="宋体" w:hAnsi="宋体" w:eastAsia="宋体" w:cs="宋体"/>
          <w:b/>
          <w:color w:val="auto"/>
          <w:sz w:val="24"/>
          <w:highlight w:val="none"/>
        </w:rPr>
      </w:pPr>
      <w:bookmarkStart w:id="214" w:name="_Toc19219"/>
      <w:bookmarkStart w:id="215" w:name="_Toc28451"/>
      <w:bookmarkStart w:id="216" w:name="_Toc7836"/>
      <w:r>
        <w:rPr>
          <w:rFonts w:hint="eastAsia" w:ascii="宋体" w:hAnsi="宋体" w:eastAsia="宋体" w:cs="宋体"/>
          <w:b/>
          <w:color w:val="auto"/>
          <w:sz w:val="24"/>
          <w:highlight w:val="none"/>
        </w:rPr>
        <w:t>2.6 结算方式和付款条件</w:t>
      </w:r>
      <w:bookmarkEnd w:id="208"/>
      <w:bookmarkEnd w:id="209"/>
      <w:bookmarkEnd w:id="210"/>
      <w:bookmarkEnd w:id="211"/>
      <w:bookmarkEnd w:id="212"/>
      <w:bookmarkEnd w:id="214"/>
      <w:bookmarkEnd w:id="215"/>
      <w:bookmarkEnd w:id="216"/>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详见</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w:t>
      </w:r>
    </w:p>
    <w:p>
      <w:pPr>
        <w:spacing w:line="360" w:lineRule="auto"/>
        <w:ind w:firstLine="482" w:firstLineChars="200"/>
        <w:rPr>
          <w:rFonts w:hint="eastAsia" w:ascii="宋体" w:hAnsi="宋体" w:eastAsia="宋体" w:cs="宋体"/>
          <w:b/>
          <w:color w:val="auto"/>
          <w:sz w:val="24"/>
          <w:highlight w:val="none"/>
        </w:rPr>
      </w:pPr>
      <w:bookmarkStart w:id="217" w:name="_Ref467379863"/>
      <w:bookmarkStart w:id="218" w:name="_Ref467379852"/>
      <w:bookmarkStart w:id="219" w:name="_Toc259093677"/>
      <w:bookmarkStart w:id="220" w:name="_Toc279701248"/>
      <w:bookmarkStart w:id="221" w:name="_Ref467379923"/>
      <w:bookmarkStart w:id="222" w:name="_Toc487900358"/>
      <w:bookmarkStart w:id="223" w:name="_Toc3225"/>
      <w:bookmarkStart w:id="224" w:name="_Toc16110"/>
      <w:bookmarkStart w:id="225" w:name="_Toc774"/>
      <w:r>
        <w:rPr>
          <w:rFonts w:hint="eastAsia" w:ascii="宋体" w:hAnsi="宋体" w:eastAsia="宋体" w:cs="宋体"/>
          <w:b/>
          <w:color w:val="auto"/>
          <w:sz w:val="24"/>
          <w:highlight w:val="none"/>
        </w:rPr>
        <w:t>2.7 技术资料</w:t>
      </w:r>
      <w:bookmarkEnd w:id="217"/>
      <w:bookmarkEnd w:id="218"/>
      <w:bookmarkEnd w:id="219"/>
      <w:bookmarkEnd w:id="220"/>
      <w:bookmarkEnd w:id="221"/>
      <w:bookmarkEnd w:id="222"/>
      <w:r>
        <w:rPr>
          <w:rFonts w:hint="eastAsia" w:ascii="宋体" w:hAnsi="宋体" w:eastAsia="宋体" w:cs="宋体"/>
          <w:b/>
          <w:color w:val="auto"/>
          <w:sz w:val="24"/>
          <w:highlight w:val="none"/>
        </w:rPr>
        <w:t>和保密义务</w:t>
      </w:r>
      <w:bookmarkEnd w:id="223"/>
      <w:bookmarkEnd w:id="224"/>
      <w:bookmarkEnd w:id="225"/>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2.7.1 乙方有权依据合同约定和项目需要，向甲方了解有关情况，调阅有关资料等，甲方应予积极配合；</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2.7.2 乙方有义务妥善保管和保护由甲方提供的前款信息和资料等；</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2.7.3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及方式防止任何第三方接触到对方当事人的上述保密信息和资料。</w:t>
      </w:r>
    </w:p>
    <w:p>
      <w:pPr>
        <w:spacing w:line="360" w:lineRule="auto"/>
        <w:ind w:firstLine="482" w:firstLineChars="200"/>
        <w:rPr>
          <w:rFonts w:hint="eastAsia" w:ascii="宋体" w:hAnsi="宋体" w:eastAsia="宋体" w:cs="宋体"/>
          <w:b/>
          <w:color w:val="auto"/>
          <w:sz w:val="24"/>
          <w:highlight w:val="none"/>
        </w:rPr>
      </w:pPr>
      <w:bookmarkStart w:id="226" w:name="_Toc7860"/>
      <w:r>
        <w:rPr>
          <w:rFonts w:hint="eastAsia" w:ascii="宋体" w:hAnsi="宋体" w:eastAsia="宋体" w:cs="宋体"/>
          <w:b/>
          <w:color w:val="auto"/>
          <w:sz w:val="24"/>
          <w:highlight w:val="none"/>
        </w:rPr>
        <w:t>2.8 质量保证</w:t>
      </w:r>
      <w:bookmarkEnd w:id="226"/>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2.8.1 乙方应建立和完善履行合同的内部质量保证体系，并提供相关内部规章制度给甲方，以便甲方进行监督检查；</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2.8.2 乙方应保证履行合同的人员数量和素质、软件和硬件设备的配置、场地、环境和设施等满足全面履行合同的要求，并应接受甲方的监督检查。</w:t>
      </w:r>
    </w:p>
    <w:p>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2.8.3乙方应确保项目技术人员的数量和水平与投标文件一致。未经甲方书面同意，乙方不得擅自更换投标文件中注明的项目经理和技术负责人。否则</w:t>
      </w:r>
      <w:r>
        <w:rPr>
          <w:rFonts w:hint="eastAsia" w:ascii="宋体" w:hAnsi="宋体" w:eastAsia="宋体" w:cs="宋体"/>
          <w:color w:val="auto"/>
          <w:kern w:val="0"/>
          <w:sz w:val="24"/>
          <w:highlight w:val="none"/>
        </w:rPr>
        <w:t>甲方有权放弃或终止合同。</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2.8.4因乙方原因造成甲方其他系统不能正常运行，酿成重大事故（工作日系统中断一天以上）的，乙方应承担全部法律责任，并赔偿经济损失，赔偿金额为项目总价的</w:t>
      </w:r>
      <w:r>
        <w:rPr>
          <w:rFonts w:hint="eastAsia" w:ascii="宋体" w:hAnsi="宋体" w:eastAsia="宋体" w:cs="宋体"/>
          <w:color w:val="auto"/>
          <w:sz w:val="24"/>
          <w:highlight w:val="none"/>
          <w:u w:val="single"/>
        </w:rPr>
        <w:t>30%</w:t>
      </w:r>
      <w:r>
        <w:rPr>
          <w:rFonts w:hint="eastAsia" w:ascii="宋体" w:hAnsi="宋体" w:eastAsia="宋体" w:cs="宋体"/>
          <w:color w:val="auto"/>
          <w:sz w:val="24"/>
          <w:highlight w:val="none"/>
        </w:rPr>
        <w:t>（根据项目实际情况填写，一般为30%）。</w:t>
      </w:r>
    </w:p>
    <w:p>
      <w:pPr>
        <w:spacing w:line="360" w:lineRule="auto"/>
        <w:ind w:firstLine="482" w:firstLineChars="200"/>
        <w:rPr>
          <w:rFonts w:hint="eastAsia" w:ascii="宋体" w:hAnsi="宋体" w:eastAsia="宋体" w:cs="宋体"/>
          <w:b/>
          <w:color w:val="auto"/>
          <w:sz w:val="24"/>
          <w:highlight w:val="none"/>
        </w:rPr>
      </w:pPr>
      <w:bookmarkStart w:id="227" w:name="_Toc17244"/>
      <w:bookmarkStart w:id="228" w:name="_Toc487900362"/>
      <w:bookmarkStart w:id="229" w:name="_Toc259093681"/>
      <w:bookmarkStart w:id="230" w:name="_Toc279701252"/>
      <w:r>
        <w:rPr>
          <w:rFonts w:hint="eastAsia" w:ascii="宋体" w:hAnsi="宋体" w:eastAsia="宋体" w:cs="宋体"/>
          <w:b/>
          <w:color w:val="auto"/>
          <w:sz w:val="24"/>
          <w:highlight w:val="none"/>
        </w:rPr>
        <w:t>2.9 标的物的风险负担</w:t>
      </w:r>
      <w:bookmarkEnd w:id="227"/>
    </w:p>
    <w:p>
      <w:pPr>
        <w:spacing w:line="360" w:lineRule="auto"/>
        <w:ind w:firstLine="480" w:firstLineChars="200"/>
        <w:rPr>
          <w:rFonts w:hint="eastAsia" w:ascii="宋体" w:hAnsi="宋体" w:eastAsia="宋体" w:cs="宋体"/>
          <w:b/>
          <w:color w:val="auto"/>
          <w:sz w:val="24"/>
          <w:highlight w:val="none"/>
        </w:rPr>
      </w:pPr>
      <w:r>
        <w:rPr>
          <w:rFonts w:hint="eastAsia" w:ascii="宋体" w:hAnsi="宋体" w:eastAsia="宋体" w:cs="宋体"/>
          <w:color w:val="auto"/>
          <w:sz w:val="24"/>
          <w:highlight w:val="none"/>
        </w:rPr>
        <w:t>标的物或者在途标的物或者交付给第一承运人后的标的物毁损、灭失的风险负担详见</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w:t>
      </w:r>
    </w:p>
    <w:p>
      <w:pPr>
        <w:spacing w:line="360" w:lineRule="auto"/>
        <w:ind w:firstLine="482" w:firstLineChars="200"/>
        <w:rPr>
          <w:rFonts w:hint="eastAsia" w:ascii="宋体" w:hAnsi="宋体" w:eastAsia="宋体" w:cs="宋体"/>
          <w:b/>
          <w:color w:val="auto"/>
          <w:sz w:val="24"/>
          <w:highlight w:val="none"/>
        </w:rPr>
      </w:pPr>
      <w:bookmarkStart w:id="231" w:name="_Toc14055"/>
      <w:r>
        <w:rPr>
          <w:rFonts w:hint="eastAsia" w:ascii="宋体" w:hAnsi="宋体" w:eastAsia="宋体" w:cs="宋体"/>
          <w:b/>
          <w:color w:val="auto"/>
          <w:sz w:val="24"/>
          <w:highlight w:val="none"/>
        </w:rPr>
        <w:t>2.10 延迟交货</w:t>
      </w:r>
      <w:bookmarkEnd w:id="228"/>
      <w:bookmarkEnd w:id="229"/>
      <w:bookmarkEnd w:id="230"/>
      <w:bookmarkEnd w:id="231"/>
      <w:r>
        <w:rPr>
          <w:rFonts w:hint="eastAsia" w:ascii="宋体" w:hAnsi="宋体" w:eastAsia="宋体" w:cs="宋体"/>
          <w:b/>
          <w:color w:val="auto"/>
          <w:sz w:val="24"/>
          <w:highlight w:val="none"/>
        </w:rPr>
        <w:t>/交付</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在合同履行过程中，如果乙方遇到不能按时交付标的物的情况，应及时以书面形式将不能按时交付标的物的理由、预期延误时间通知甲方；甲方收到乙方通知后，认为其理由正当的，可以书面形式酌情同意乙方可以延长交货的具体时间。</w:t>
      </w:r>
    </w:p>
    <w:p>
      <w:pPr>
        <w:spacing w:line="360" w:lineRule="auto"/>
        <w:ind w:firstLine="482" w:firstLineChars="200"/>
        <w:rPr>
          <w:rFonts w:hint="eastAsia" w:ascii="宋体" w:hAnsi="宋体" w:eastAsia="宋体" w:cs="宋体"/>
          <w:b/>
          <w:color w:val="auto"/>
          <w:sz w:val="24"/>
          <w:highlight w:val="none"/>
        </w:rPr>
      </w:pPr>
      <w:bookmarkStart w:id="232" w:name="_Toc7502"/>
      <w:bookmarkStart w:id="233" w:name="_Ref467378121"/>
      <w:bookmarkStart w:id="234" w:name="_Toc279701254"/>
      <w:bookmarkStart w:id="235" w:name="_Toc259093683"/>
      <w:bookmarkStart w:id="236" w:name="_Toc487900364"/>
      <w:r>
        <w:rPr>
          <w:rFonts w:hint="eastAsia" w:ascii="宋体" w:hAnsi="宋体" w:eastAsia="宋体" w:cs="宋体"/>
          <w:b/>
          <w:color w:val="auto"/>
          <w:sz w:val="24"/>
          <w:highlight w:val="none"/>
        </w:rPr>
        <w:t>2.11 合同变更</w:t>
      </w:r>
      <w:bookmarkEnd w:id="232"/>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2.11.1双方当事人协商一致，可以签订书面补充合同的形式变更合同，但不得违背采购文件确定的事项。如果系追加与合同标的相同的标的物的，那么需经采购监督管理部门同意，且所有补充合同的采购金额不得超过原合同价的10%；</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2.11.2 合同继续履行将损害国家利益和社会公共利益的，双方当事人应当以书面形式变更合同。有过错的一方应当承担赔偿责任，双方当事人都有过错的，各自承担相应的责任。</w:t>
      </w:r>
      <w:bookmarkStart w:id="237" w:name="_Toc487900369"/>
      <w:bookmarkStart w:id="238" w:name="_Toc259093688"/>
      <w:bookmarkStart w:id="239" w:name="_Toc279701259"/>
    </w:p>
    <w:p>
      <w:pPr>
        <w:spacing w:line="360" w:lineRule="auto"/>
        <w:ind w:firstLine="482" w:firstLineChars="200"/>
        <w:rPr>
          <w:rFonts w:hint="eastAsia" w:ascii="宋体" w:hAnsi="宋体" w:eastAsia="宋体" w:cs="宋体"/>
          <w:b/>
          <w:color w:val="auto"/>
          <w:sz w:val="24"/>
          <w:highlight w:val="none"/>
        </w:rPr>
      </w:pPr>
      <w:bookmarkStart w:id="240" w:name="_Toc22955"/>
      <w:bookmarkStart w:id="241" w:name="_Toc15237"/>
      <w:bookmarkStart w:id="242" w:name="_Toc10366"/>
      <w:r>
        <w:rPr>
          <w:rFonts w:hint="eastAsia" w:ascii="宋体" w:hAnsi="宋体" w:eastAsia="宋体" w:cs="宋体"/>
          <w:b/>
          <w:color w:val="auto"/>
          <w:sz w:val="24"/>
          <w:highlight w:val="none"/>
        </w:rPr>
        <w:t>2.12 合同转让</w:t>
      </w:r>
      <w:bookmarkEnd w:id="237"/>
      <w:bookmarkEnd w:id="238"/>
      <w:bookmarkEnd w:id="239"/>
      <w:r>
        <w:rPr>
          <w:rFonts w:hint="eastAsia" w:ascii="宋体" w:hAnsi="宋体" w:eastAsia="宋体" w:cs="宋体"/>
          <w:b/>
          <w:color w:val="auto"/>
          <w:sz w:val="24"/>
          <w:highlight w:val="none"/>
        </w:rPr>
        <w:t>和分包</w:t>
      </w:r>
      <w:bookmarkEnd w:id="240"/>
      <w:bookmarkEnd w:id="241"/>
      <w:bookmarkEnd w:id="242"/>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合同的权利义务依法不得转让，但经甲方书面同意，乙方可以依法采取分包方式履行合同，即：依法可以将合同项下的部分非主体、非关键性工作分包给他人完成，接受分包的供应商应当具备相应的资格条件，并不得再次分包，且乙方应就分包项目向甲方负责，并与分包供应商就分包项目向甲方承担连带责任。</w:t>
      </w:r>
    </w:p>
    <w:p>
      <w:pPr>
        <w:spacing w:line="360" w:lineRule="auto"/>
        <w:ind w:firstLine="482" w:firstLineChars="200"/>
        <w:rPr>
          <w:rFonts w:hint="eastAsia" w:ascii="宋体" w:hAnsi="宋体" w:eastAsia="宋体" w:cs="宋体"/>
          <w:b/>
          <w:color w:val="auto"/>
          <w:sz w:val="24"/>
          <w:highlight w:val="none"/>
        </w:rPr>
      </w:pPr>
      <w:bookmarkStart w:id="243" w:name="_Toc16508"/>
      <w:bookmarkStart w:id="244" w:name="_Toc13566"/>
      <w:bookmarkStart w:id="245" w:name="_Toc14066"/>
      <w:r>
        <w:rPr>
          <w:rFonts w:hint="eastAsia" w:ascii="宋体" w:hAnsi="宋体" w:eastAsia="宋体" w:cs="宋体"/>
          <w:b/>
          <w:color w:val="auto"/>
          <w:sz w:val="24"/>
          <w:highlight w:val="none"/>
        </w:rPr>
        <w:t>2.13 不可抗力</w:t>
      </w:r>
      <w:bookmarkEnd w:id="243"/>
      <w:bookmarkEnd w:id="244"/>
      <w:bookmarkEnd w:id="245"/>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2.13.1如果任何一方遭遇法律规定的不可抗力，致使合同履行受阻时，履行合同的期限应予延长，延长的期限应相当于不可抗力所影响的时间；</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2.13.2受不可抗力影响的一方在不可抗力发生后，应在</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约定时间内以书面形式通知对方当事人，并在</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约定时间内，将有关部门出具的证明文件送达对方当事人。</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2.13.3 因不可抗力致使不能实现合同目的的，当事人可以解除合同；</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2.13.4 因不可抗力致使合同有变更必要的，双方当事人应在</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约定时间内以书面形式变更合同；</w:t>
      </w:r>
    </w:p>
    <w:p>
      <w:pPr>
        <w:spacing w:line="360" w:lineRule="auto"/>
        <w:ind w:firstLine="482" w:firstLineChars="200"/>
        <w:rPr>
          <w:rFonts w:hint="eastAsia" w:ascii="宋体" w:hAnsi="宋体" w:eastAsia="宋体" w:cs="宋体"/>
          <w:b/>
          <w:color w:val="auto"/>
          <w:sz w:val="24"/>
          <w:highlight w:val="none"/>
        </w:rPr>
      </w:pPr>
      <w:bookmarkStart w:id="246" w:name="_Toc487900365"/>
      <w:bookmarkStart w:id="247" w:name="_Toc259093684"/>
      <w:bookmarkStart w:id="248" w:name="_Toc30676"/>
      <w:bookmarkStart w:id="249" w:name="_Toc6969"/>
      <w:bookmarkStart w:id="250" w:name="_Toc689"/>
      <w:bookmarkStart w:id="251" w:name="_Toc279701255"/>
      <w:r>
        <w:rPr>
          <w:rFonts w:hint="eastAsia" w:ascii="宋体" w:hAnsi="宋体" w:eastAsia="宋体" w:cs="宋体"/>
          <w:b/>
          <w:color w:val="auto"/>
          <w:sz w:val="24"/>
          <w:highlight w:val="none"/>
        </w:rPr>
        <w:t>2.14 税费</w:t>
      </w:r>
      <w:bookmarkEnd w:id="246"/>
      <w:bookmarkEnd w:id="247"/>
      <w:bookmarkEnd w:id="248"/>
      <w:bookmarkEnd w:id="249"/>
      <w:bookmarkEnd w:id="250"/>
      <w:bookmarkEnd w:id="251"/>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与合同有关的一切税费，均按照中华人民共和国法律的相关规定执行。</w:t>
      </w:r>
    </w:p>
    <w:p>
      <w:pPr>
        <w:spacing w:line="360" w:lineRule="auto"/>
        <w:ind w:firstLine="482" w:firstLineChars="200"/>
        <w:rPr>
          <w:rFonts w:hint="eastAsia" w:ascii="宋体" w:hAnsi="宋体" w:eastAsia="宋体" w:cs="宋体"/>
          <w:b/>
          <w:color w:val="auto"/>
          <w:sz w:val="24"/>
          <w:highlight w:val="none"/>
        </w:rPr>
      </w:pPr>
      <w:bookmarkStart w:id="252" w:name="_Toc16959"/>
      <w:bookmarkStart w:id="253" w:name="_Toc8298"/>
      <w:bookmarkStart w:id="254" w:name="_Toc259093687"/>
      <w:bookmarkStart w:id="255" w:name="_Toc279701258"/>
      <w:bookmarkStart w:id="256" w:name="_Toc7102"/>
      <w:bookmarkStart w:id="257" w:name="_Toc487900368"/>
      <w:r>
        <w:rPr>
          <w:rFonts w:hint="eastAsia" w:ascii="宋体" w:hAnsi="宋体" w:eastAsia="宋体" w:cs="宋体"/>
          <w:b/>
          <w:color w:val="auto"/>
          <w:sz w:val="24"/>
          <w:highlight w:val="none"/>
        </w:rPr>
        <w:t>2.15 乙方破产</w:t>
      </w:r>
      <w:bookmarkEnd w:id="252"/>
      <w:bookmarkEnd w:id="253"/>
      <w:bookmarkEnd w:id="254"/>
      <w:bookmarkEnd w:id="255"/>
      <w:bookmarkEnd w:id="256"/>
      <w:bookmarkEnd w:id="257"/>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360" w:lineRule="auto"/>
        <w:ind w:firstLine="482" w:firstLineChars="200"/>
        <w:rPr>
          <w:rFonts w:hint="eastAsia" w:ascii="宋体" w:hAnsi="宋体" w:eastAsia="宋体" w:cs="宋体"/>
          <w:b/>
          <w:color w:val="auto"/>
          <w:sz w:val="24"/>
          <w:highlight w:val="none"/>
        </w:rPr>
      </w:pPr>
      <w:bookmarkStart w:id="258" w:name="_Toc6134"/>
      <w:bookmarkStart w:id="259" w:name="_Toc15387"/>
      <w:bookmarkStart w:id="260" w:name="_Toc29333"/>
      <w:r>
        <w:rPr>
          <w:rFonts w:hint="eastAsia" w:ascii="宋体" w:hAnsi="宋体" w:eastAsia="宋体" w:cs="宋体"/>
          <w:b/>
          <w:color w:val="auto"/>
          <w:sz w:val="24"/>
          <w:highlight w:val="none"/>
        </w:rPr>
        <w:t>2.16 合同中止、终止</w:t>
      </w:r>
      <w:bookmarkEnd w:id="258"/>
      <w:bookmarkEnd w:id="259"/>
      <w:bookmarkEnd w:id="260"/>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2.16.1 双方当事人不得擅自中止或者终止合同；</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2.16.2合同继续履行将损害国家利益和社会公共利益的，双方当事人应当中止或者终止合同。有过错的一方应当承担赔偿责任，双方当事人都有过错的，各自承担相应的责任。</w:t>
      </w:r>
    </w:p>
    <w:p>
      <w:pPr>
        <w:spacing w:line="360" w:lineRule="auto"/>
        <w:ind w:firstLine="482" w:firstLineChars="200"/>
        <w:rPr>
          <w:rFonts w:hint="eastAsia" w:ascii="宋体" w:hAnsi="宋体" w:eastAsia="宋体" w:cs="宋体"/>
          <w:b/>
          <w:color w:val="auto"/>
          <w:sz w:val="24"/>
          <w:highlight w:val="none"/>
        </w:rPr>
      </w:pPr>
      <w:bookmarkStart w:id="261" w:name="_Toc1125"/>
      <w:bookmarkStart w:id="262" w:name="_Toc6596"/>
      <w:bookmarkStart w:id="263" w:name="_Toc14563"/>
      <w:r>
        <w:rPr>
          <w:rFonts w:hint="eastAsia" w:ascii="宋体" w:hAnsi="宋体" w:eastAsia="宋体" w:cs="宋体"/>
          <w:b/>
          <w:color w:val="auto"/>
          <w:sz w:val="24"/>
          <w:highlight w:val="none"/>
        </w:rPr>
        <w:t>2.17 检验和验收</w:t>
      </w:r>
      <w:bookmarkEnd w:id="261"/>
      <w:bookmarkEnd w:id="262"/>
      <w:bookmarkEnd w:id="263"/>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2.17.1标的物交付前，乙方应对标的物的质量、数量等方面进行详细、全面的检验，并向甲方出具证明标的物符合合同约定的文件；标的物交付时，乙方在</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约定时间内组织验收，并可依法邀请相关方参加，验收应出具验收书。</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2.17.2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2.17.3 检验和验收标准、程序等具体内容以及前述验收书的效力详见</w:t>
      </w:r>
      <w:r>
        <w:rPr>
          <w:rFonts w:hint="eastAsia" w:ascii="宋体" w:hAnsi="宋体" w:eastAsia="宋体" w:cs="宋体"/>
          <w:b/>
          <w:i/>
          <w:color w:val="auto"/>
          <w:sz w:val="24"/>
          <w:highlight w:val="none"/>
          <w:u w:val="single"/>
        </w:rPr>
        <w:t>合同专用条款</w:t>
      </w:r>
      <w:r>
        <w:rPr>
          <w:rFonts w:hint="eastAsia" w:ascii="宋体" w:hAnsi="宋体" w:eastAsia="宋体" w:cs="宋体"/>
          <w:i/>
          <w:color w:val="auto"/>
          <w:sz w:val="24"/>
          <w:highlight w:val="none"/>
        </w:rPr>
        <w:t>。</w:t>
      </w:r>
    </w:p>
    <w:bookmarkEnd w:id="233"/>
    <w:bookmarkEnd w:id="234"/>
    <w:bookmarkEnd w:id="235"/>
    <w:bookmarkEnd w:id="236"/>
    <w:p>
      <w:pPr>
        <w:spacing w:line="360" w:lineRule="auto"/>
        <w:ind w:firstLine="482" w:firstLineChars="200"/>
        <w:rPr>
          <w:rFonts w:hint="eastAsia" w:ascii="宋体" w:hAnsi="宋体" w:eastAsia="宋体" w:cs="宋体"/>
          <w:b/>
          <w:color w:val="auto"/>
          <w:sz w:val="24"/>
          <w:highlight w:val="none"/>
        </w:rPr>
      </w:pPr>
      <w:bookmarkStart w:id="264" w:name="_Toc259093690"/>
      <w:bookmarkStart w:id="265" w:name="_Toc279701261"/>
      <w:bookmarkStart w:id="266" w:name="_Toc487900371"/>
      <w:bookmarkStart w:id="267" w:name="_Toc25182"/>
      <w:bookmarkStart w:id="268" w:name="_Toc11284"/>
      <w:bookmarkStart w:id="269" w:name="_Toc19604"/>
      <w:r>
        <w:rPr>
          <w:rFonts w:hint="eastAsia" w:ascii="宋体" w:hAnsi="宋体" w:eastAsia="宋体" w:cs="宋体"/>
          <w:b/>
          <w:color w:val="auto"/>
          <w:sz w:val="24"/>
          <w:highlight w:val="none"/>
        </w:rPr>
        <w:t>2.18 通知</w:t>
      </w:r>
      <w:bookmarkEnd w:id="264"/>
      <w:bookmarkEnd w:id="265"/>
      <w:bookmarkEnd w:id="266"/>
      <w:r>
        <w:rPr>
          <w:rFonts w:hint="eastAsia" w:ascii="宋体" w:hAnsi="宋体" w:eastAsia="宋体" w:cs="宋体"/>
          <w:b/>
          <w:color w:val="auto"/>
          <w:sz w:val="24"/>
          <w:highlight w:val="none"/>
        </w:rPr>
        <w:t>和送达</w:t>
      </w:r>
      <w:bookmarkEnd w:id="267"/>
      <w:bookmarkEnd w:id="268"/>
      <w:bookmarkEnd w:id="269"/>
    </w:p>
    <w:p>
      <w:pPr>
        <w:spacing w:line="360" w:lineRule="auto"/>
        <w:ind w:firstLine="480" w:firstLineChars="200"/>
        <w:rPr>
          <w:rFonts w:hint="eastAsia" w:ascii="宋体" w:hAnsi="宋体" w:eastAsia="宋体" w:cs="宋体"/>
          <w:color w:val="auto"/>
          <w:sz w:val="24"/>
          <w:highlight w:val="none"/>
        </w:rPr>
      </w:pPr>
      <w:bookmarkStart w:id="270" w:name="_Toc3135"/>
      <w:bookmarkStart w:id="271" w:name="_Toc6698"/>
      <w:bookmarkStart w:id="272" w:name="_Toc487900372"/>
      <w:bookmarkStart w:id="273" w:name="_Toc279701262"/>
      <w:bookmarkStart w:id="274" w:name="_Toc259093691"/>
      <w:r>
        <w:rPr>
          <w:rFonts w:hint="eastAsia" w:ascii="宋体" w:hAnsi="宋体" w:eastAsia="宋体" w:cs="宋体"/>
          <w:color w:val="auto"/>
          <w:sz w:val="24"/>
          <w:highlight w:val="none"/>
        </w:rPr>
        <w:t>2.18.1 任何一方因履行合同而以合同第一部分尾部所列明的</w:t>
      </w:r>
      <w:r>
        <w:rPr>
          <w:rFonts w:hint="eastAsia" w:ascii="宋体" w:hAnsi="宋体" w:eastAsia="宋体" w:cs="宋体"/>
          <w:color w:val="auto"/>
          <w:sz w:val="24"/>
          <w:highlight w:val="none"/>
          <w:u w:val="single"/>
        </w:rPr>
        <w:t>“约定送达地址”</w:t>
      </w:r>
      <w:r>
        <w:rPr>
          <w:rFonts w:hint="eastAsia" w:ascii="宋体" w:hAnsi="宋体" w:eastAsia="宋体" w:cs="宋体"/>
          <w:color w:val="auto"/>
          <w:sz w:val="24"/>
          <w:highlight w:val="none"/>
        </w:rPr>
        <w:t>为收件地址的所有通知、文件、材料，均视为已向对方当事人送达；任何一方变更上述送达方式或者地址的，应于</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个工作日内（根据项目实际填写）书面通知对方当事人，在对方当事人收到有关变更通知之前，变更前的约定送达方式或者地址仍视为有效。</w:t>
      </w:r>
      <w:bookmarkEnd w:id="270"/>
      <w:bookmarkEnd w:id="271"/>
    </w:p>
    <w:p>
      <w:pPr>
        <w:spacing w:line="360" w:lineRule="auto"/>
        <w:ind w:firstLine="480" w:firstLineChars="200"/>
        <w:rPr>
          <w:rFonts w:hint="eastAsia" w:ascii="宋体" w:hAnsi="宋体" w:eastAsia="宋体" w:cs="宋体"/>
          <w:color w:val="auto"/>
          <w:sz w:val="24"/>
          <w:highlight w:val="none"/>
        </w:rPr>
      </w:pPr>
      <w:bookmarkStart w:id="275" w:name="_Toc23128"/>
      <w:bookmarkStart w:id="276" w:name="_Toc23294"/>
      <w:r>
        <w:rPr>
          <w:rFonts w:hint="eastAsia" w:ascii="宋体" w:hAnsi="宋体" w:eastAsia="宋体" w:cs="宋体"/>
          <w:color w:val="auto"/>
          <w:sz w:val="24"/>
          <w:highlight w:val="none"/>
        </w:rPr>
        <w:t>2.18.2以当面交付方式送达的，交付之时视为送达；以电子邮件方式送达的，发出电子邮件之时视为送达；以传真方式送达的，发出传真之时视为送达；以邮寄方式送达的，邮件挂号寄出或者交邮之日之次日视为送达。</w:t>
      </w:r>
      <w:bookmarkEnd w:id="275"/>
      <w:bookmarkEnd w:id="276"/>
    </w:p>
    <w:p>
      <w:pPr>
        <w:spacing w:line="360" w:lineRule="auto"/>
        <w:ind w:firstLine="482" w:firstLineChars="200"/>
        <w:rPr>
          <w:rFonts w:hint="eastAsia" w:ascii="宋体" w:hAnsi="宋体" w:eastAsia="宋体" w:cs="宋体"/>
          <w:b/>
          <w:color w:val="auto"/>
          <w:sz w:val="24"/>
          <w:highlight w:val="none"/>
        </w:rPr>
      </w:pPr>
      <w:bookmarkStart w:id="277" w:name="_Toc4355"/>
      <w:bookmarkStart w:id="278" w:name="_Toc18540"/>
      <w:bookmarkStart w:id="279" w:name="_Toc30599"/>
      <w:r>
        <w:rPr>
          <w:rFonts w:hint="eastAsia" w:ascii="宋体" w:hAnsi="宋体" w:eastAsia="宋体" w:cs="宋体"/>
          <w:b/>
          <w:color w:val="auto"/>
          <w:sz w:val="24"/>
          <w:highlight w:val="none"/>
        </w:rPr>
        <w:t>2.19 计量单位</w:t>
      </w:r>
      <w:bookmarkEnd w:id="272"/>
      <w:bookmarkEnd w:id="273"/>
      <w:bookmarkEnd w:id="274"/>
      <w:bookmarkEnd w:id="277"/>
      <w:bookmarkEnd w:id="278"/>
      <w:bookmarkEnd w:id="279"/>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除技术规范中另有规定外,合同的计量单位均使用国家法定计量单位。</w:t>
      </w:r>
    </w:p>
    <w:p>
      <w:pPr>
        <w:spacing w:line="360" w:lineRule="auto"/>
        <w:ind w:firstLine="482" w:firstLineChars="200"/>
        <w:rPr>
          <w:rFonts w:hint="eastAsia" w:ascii="宋体" w:hAnsi="宋体" w:eastAsia="宋体" w:cs="宋体"/>
          <w:b/>
          <w:color w:val="auto"/>
          <w:sz w:val="24"/>
          <w:highlight w:val="none"/>
        </w:rPr>
      </w:pPr>
      <w:bookmarkStart w:id="280" w:name="_Toc18567"/>
      <w:bookmarkStart w:id="281" w:name="_Toc12773"/>
      <w:bookmarkStart w:id="282" w:name="_Toc259093692"/>
      <w:bookmarkStart w:id="283" w:name="_Toc279701263"/>
      <w:bookmarkStart w:id="284" w:name="_Toc487900373"/>
      <w:bookmarkStart w:id="285" w:name="_Toc10330"/>
      <w:r>
        <w:rPr>
          <w:rFonts w:hint="eastAsia" w:ascii="宋体" w:hAnsi="宋体" w:eastAsia="宋体" w:cs="宋体"/>
          <w:b/>
          <w:color w:val="auto"/>
          <w:sz w:val="24"/>
          <w:highlight w:val="none"/>
        </w:rPr>
        <w:t>2.20 合同使用的文字和适用的法律</w:t>
      </w:r>
      <w:bookmarkEnd w:id="280"/>
      <w:bookmarkEnd w:id="281"/>
      <w:bookmarkEnd w:id="282"/>
      <w:bookmarkEnd w:id="283"/>
      <w:bookmarkEnd w:id="284"/>
      <w:bookmarkEnd w:id="285"/>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2.20.1 合同使用汉语书就、变更和解释；</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2.20.2 合同适用中华人民共和国法律。</w:t>
      </w:r>
    </w:p>
    <w:p>
      <w:pPr>
        <w:spacing w:line="360" w:lineRule="auto"/>
        <w:ind w:firstLine="482" w:firstLineChars="200"/>
        <w:rPr>
          <w:rFonts w:hint="eastAsia" w:ascii="宋体" w:hAnsi="宋体" w:eastAsia="宋体" w:cs="宋体"/>
          <w:b/>
          <w:color w:val="auto"/>
          <w:sz w:val="24"/>
          <w:highlight w:val="none"/>
        </w:rPr>
      </w:pPr>
      <w:bookmarkStart w:id="286" w:name="_Toc3148"/>
      <w:bookmarkStart w:id="287" w:name="_Toc279701264"/>
      <w:bookmarkStart w:id="288" w:name="_Toc16673"/>
      <w:bookmarkStart w:id="289" w:name="_Toc12004"/>
      <w:bookmarkStart w:id="290" w:name="_Toc259093693"/>
      <w:bookmarkStart w:id="291" w:name="_Toc487900374"/>
      <w:r>
        <w:rPr>
          <w:rFonts w:hint="eastAsia" w:ascii="宋体" w:hAnsi="宋体" w:eastAsia="宋体" w:cs="宋体"/>
          <w:b/>
          <w:color w:val="auto"/>
          <w:sz w:val="24"/>
          <w:highlight w:val="none"/>
        </w:rPr>
        <w:t>2.21 履约保证金</w:t>
      </w:r>
      <w:bookmarkEnd w:id="286"/>
      <w:bookmarkEnd w:id="287"/>
      <w:bookmarkEnd w:id="288"/>
      <w:bookmarkEnd w:id="289"/>
      <w:bookmarkEnd w:id="290"/>
    </w:p>
    <w:p>
      <w:pPr>
        <w:spacing w:line="360" w:lineRule="auto"/>
        <w:ind w:firstLine="480" w:firstLineChars="200"/>
        <w:rPr>
          <w:rFonts w:hint="eastAsia" w:ascii="宋体" w:hAnsi="宋体" w:eastAsia="宋体" w:cs="宋体"/>
          <w:snapToGrid w:val="0"/>
          <w:color w:val="auto"/>
          <w:kern w:val="0"/>
          <w:sz w:val="24"/>
          <w:highlight w:val="none"/>
        </w:rPr>
      </w:pPr>
      <w:r>
        <w:rPr>
          <w:rFonts w:hint="eastAsia" w:ascii="宋体" w:hAnsi="宋体" w:eastAsia="宋体" w:cs="宋体"/>
          <w:color w:val="auto"/>
          <w:sz w:val="24"/>
          <w:highlight w:val="none"/>
        </w:rPr>
        <w:t>本项目不收取履约保证金</w:t>
      </w:r>
    </w:p>
    <w:p>
      <w:pPr>
        <w:spacing w:line="360" w:lineRule="auto"/>
        <w:ind w:firstLine="482" w:firstLineChars="200"/>
        <w:rPr>
          <w:rFonts w:hint="eastAsia" w:ascii="宋体" w:hAnsi="宋体" w:eastAsia="宋体" w:cs="宋体"/>
          <w:color w:val="auto"/>
          <w:kern w:val="0"/>
          <w:sz w:val="24"/>
          <w:highlight w:val="none"/>
          <w:lang w:val="zh-CN"/>
        </w:rPr>
      </w:pPr>
      <w:r>
        <w:rPr>
          <w:rFonts w:hint="eastAsia" w:ascii="宋体" w:hAnsi="宋体" w:eastAsia="宋体" w:cs="宋体"/>
          <w:b/>
          <w:color w:val="auto"/>
          <w:sz w:val="24"/>
          <w:highlight w:val="none"/>
        </w:rPr>
        <w:t>2.22 中小企业政策</w:t>
      </w:r>
    </w:p>
    <w:p>
      <w:pPr>
        <w:spacing w:line="360" w:lineRule="auto"/>
        <w:ind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2.22.1本合同（□是  □否）为中小企业“政采贷”可融资合同，关于中小企业信用融资事项见采购文件“供应商须知正文”。</w:t>
      </w:r>
    </w:p>
    <w:p>
      <w:pPr>
        <w:spacing w:line="360" w:lineRule="auto"/>
        <w:ind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2.22.2本合同（□是  □否）为中小企业预留合同。</w:t>
      </w:r>
    </w:p>
    <w:bookmarkEnd w:id="291"/>
    <w:p>
      <w:pPr>
        <w:spacing w:line="360" w:lineRule="auto"/>
        <w:ind w:firstLine="482" w:firstLineChars="200"/>
        <w:rPr>
          <w:rFonts w:hint="eastAsia" w:ascii="宋体" w:hAnsi="宋体" w:eastAsia="宋体" w:cs="宋体"/>
          <w:b/>
          <w:color w:val="auto"/>
          <w:sz w:val="24"/>
          <w:highlight w:val="none"/>
        </w:rPr>
      </w:pPr>
      <w:bookmarkStart w:id="292" w:name="_Toc6885"/>
      <w:bookmarkStart w:id="293" w:name="_Toc14001"/>
      <w:bookmarkStart w:id="294" w:name="_Toc19890"/>
      <w:r>
        <w:rPr>
          <w:rFonts w:hint="eastAsia" w:ascii="宋体" w:hAnsi="宋体" w:eastAsia="宋体" w:cs="宋体"/>
          <w:b/>
          <w:color w:val="auto"/>
          <w:sz w:val="24"/>
          <w:highlight w:val="none"/>
        </w:rPr>
        <w:t>2.23 合同份数</w:t>
      </w:r>
      <w:bookmarkEnd w:id="292"/>
      <w:bookmarkEnd w:id="293"/>
      <w:bookmarkEnd w:id="294"/>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本合同壹式</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份，甲方执</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份，乙方执</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份。每份均具有同等法律效力。</w:t>
      </w:r>
    </w:p>
    <w:p>
      <w:pPr>
        <w:pStyle w:val="83"/>
        <w:spacing w:after="0"/>
        <w:jc w:val="center"/>
        <w:outlineLvl w:val="1"/>
        <w:rPr>
          <w:rFonts w:hint="eastAsia" w:ascii="宋体" w:hAnsi="宋体" w:eastAsia="宋体" w:cs="宋体"/>
          <w:b/>
          <w:color w:val="auto"/>
          <w:sz w:val="28"/>
          <w:szCs w:val="28"/>
          <w:highlight w:val="none"/>
        </w:rPr>
      </w:pPr>
      <w:r>
        <w:rPr>
          <w:rFonts w:hint="eastAsia" w:ascii="宋体" w:hAnsi="宋体" w:eastAsia="宋体" w:cs="宋体"/>
          <w:color w:val="auto"/>
          <w:highlight w:val="none"/>
        </w:rPr>
        <w:br w:type="page"/>
      </w:r>
      <w:bookmarkStart w:id="295" w:name="_Toc80886950"/>
      <w:bookmarkStart w:id="296" w:name="_Toc80205946"/>
      <w:bookmarkStart w:id="297" w:name="_Toc331685784"/>
      <w:bookmarkStart w:id="298" w:name="_Toc8624"/>
      <w:r>
        <w:rPr>
          <w:rFonts w:hint="eastAsia" w:ascii="宋体" w:hAnsi="宋体" w:eastAsia="宋体" w:cs="宋体"/>
          <w:b/>
          <w:color w:val="auto"/>
          <w:sz w:val="28"/>
          <w:szCs w:val="28"/>
          <w:highlight w:val="none"/>
        </w:rPr>
        <w:t>第三部分 合同专用条款</w:t>
      </w:r>
      <w:bookmarkEnd w:id="295"/>
      <w:bookmarkEnd w:id="296"/>
      <w:bookmarkEnd w:id="297"/>
      <w:bookmarkEnd w:id="298"/>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2.3.2具有知识产权的标的物知识产权归属：</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2.4.1包装和装运专用条款（如果有）：</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2.4.2装运标的物的要求和通知：</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b/>
          <w:color w:val="auto"/>
          <w:sz w:val="24"/>
          <w:highlight w:val="none"/>
        </w:rPr>
      </w:pPr>
      <w:r>
        <w:rPr>
          <w:rFonts w:hint="eastAsia" w:ascii="宋体" w:hAnsi="宋体" w:eastAsia="宋体" w:cs="宋体"/>
          <w:color w:val="auto"/>
          <w:sz w:val="24"/>
          <w:highlight w:val="none"/>
        </w:rPr>
        <w:t>2.6</w:t>
      </w:r>
      <w:r>
        <w:rPr>
          <w:rFonts w:hint="eastAsia" w:ascii="宋体" w:hAnsi="宋体" w:eastAsia="宋体" w:cs="宋体"/>
          <w:b/>
          <w:color w:val="auto"/>
          <w:sz w:val="24"/>
          <w:highlight w:val="none"/>
        </w:rPr>
        <w:t>结算方式和付款条件</w:t>
      </w:r>
    </w:p>
    <w:p>
      <w:pPr>
        <w:spacing w:line="360" w:lineRule="auto"/>
        <w:ind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本次项目合同总价为大写人民币</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lang w:val="zh-CN"/>
        </w:rPr>
        <w:t>￥    元）。本项目采用以下勾选结算方式进行支付：</w:t>
      </w:r>
    </w:p>
    <w:p>
      <w:pPr>
        <w:spacing w:line="360" w:lineRule="auto"/>
        <w:ind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□采用一次性支付方式，付款条件为：</w:t>
      </w:r>
      <w:r>
        <w:rPr>
          <w:rFonts w:hint="eastAsia" w:ascii="宋体" w:hAnsi="宋体" w:eastAsia="宋体" w:cs="宋体"/>
          <w:color w:val="auto"/>
          <w:kern w:val="0"/>
          <w:sz w:val="24"/>
          <w:highlight w:val="none"/>
          <w:u w:val="single"/>
        </w:rPr>
        <w:t xml:space="preserve">           </w:t>
      </w:r>
    </w:p>
    <w:p>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□采用分期付款方式，付款条件为</w:t>
      </w:r>
      <w:r>
        <w:rPr>
          <w:rFonts w:hint="eastAsia" w:ascii="宋体" w:hAnsi="宋体" w:eastAsia="宋体" w:cs="宋体"/>
          <w:color w:val="auto"/>
          <w:kern w:val="0"/>
          <w:sz w:val="24"/>
          <w:highlight w:val="none"/>
        </w:rPr>
        <w:t>：</w:t>
      </w:r>
    </w:p>
    <w:p>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第一期付款</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u w:val="single"/>
        </w:rPr>
        <w:t xml:space="preserve">                                        </w:t>
      </w:r>
    </w:p>
    <w:p>
      <w:pPr>
        <w:spacing w:line="360" w:lineRule="auto"/>
        <w:ind w:firstLine="480" w:firstLineChars="200"/>
        <w:rPr>
          <w:rFonts w:hint="eastAsia" w:ascii="宋体" w:hAnsi="宋体" w:eastAsia="宋体" w:cs="宋体"/>
          <w:color w:val="auto"/>
          <w:kern w:val="0"/>
          <w:sz w:val="24"/>
          <w:highlight w:val="none"/>
          <w:u w:val="single"/>
        </w:rPr>
      </w:pPr>
      <w:r>
        <w:rPr>
          <w:rFonts w:hint="eastAsia" w:ascii="宋体" w:hAnsi="宋体" w:eastAsia="宋体" w:cs="宋体"/>
          <w:color w:val="auto"/>
          <w:kern w:val="0"/>
          <w:sz w:val="24"/>
          <w:highlight w:val="none"/>
          <w:lang w:val="zh-CN"/>
        </w:rPr>
        <w:t>第</w:t>
      </w:r>
      <w:r>
        <w:rPr>
          <w:rFonts w:hint="eastAsia" w:ascii="宋体" w:hAnsi="宋体" w:eastAsia="宋体" w:cs="宋体"/>
          <w:color w:val="auto"/>
          <w:kern w:val="0"/>
          <w:sz w:val="24"/>
          <w:highlight w:val="none"/>
        </w:rPr>
        <w:t>二</w:t>
      </w:r>
      <w:r>
        <w:rPr>
          <w:rFonts w:hint="eastAsia" w:ascii="宋体" w:hAnsi="宋体" w:eastAsia="宋体" w:cs="宋体"/>
          <w:color w:val="auto"/>
          <w:kern w:val="0"/>
          <w:sz w:val="24"/>
          <w:highlight w:val="none"/>
          <w:lang w:val="zh-CN"/>
        </w:rPr>
        <w:t>期付款</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u w:val="single"/>
        </w:rPr>
        <w:t xml:space="preserve">                                        </w:t>
      </w:r>
    </w:p>
    <w:p>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p>
    <w:p>
      <w:pPr>
        <w:spacing w:line="360" w:lineRule="auto"/>
        <w:ind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sz w:val="24"/>
          <w:highlight w:val="none"/>
        </w:rPr>
        <w:t>甲方无故逾期支付服务费用的，按照每逾期一日支付欠付服务费额度的</w:t>
      </w:r>
      <w:r>
        <w:rPr>
          <w:rFonts w:hint="eastAsia" w:ascii="宋体" w:hAnsi="宋体" w:eastAsia="宋体" w:cs="宋体"/>
          <w:color w:val="auto"/>
          <w:sz w:val="24"/>
          <w:highlight w:val="none"/>
          <w:u w:val="single"/>
        </w:rPr>
        <w:t>万分之五</w:t>
      </w:r>
      <w:r>
        <w:rPr>
          <w:rFonts w:hint="eastAsia" w:ascii="宋体" w:hAnsi="宋体" w:eastAsia="宋体" w:cs="宋体"/>
          <w:color w:val="auto"/>
          <w:sz w:val="24"/>
          <w:highlight w:val="none"/>
        </w:rPr>
        <w:t>（根据项目实际填写，一般为万分之五）承担违约责任，违约金上限按照《合同书》约定执行。</w:t>
      </w:r>
    </w:p>
    <w:p>
      <w:pPr>
        <w:spacing w:line="360" w:lineRule="auto"/>
        <w:ind w:firstLine="480" w:firstLineChars="200"/>
        <w:rPr>
          <w:rFonts w:hint="eastAsia" w:ascii="宋体" w:hAnsi="宋体" w:eastAsia="宋体" w:cs="宋体"/>
          <w:b/>
          <w:color w:val="auto"/>
          <w:sz w:val="24"/>
          <w:highlight w:val="none"/>
        </w:rPr>
      </w:pPr>
      <w:r>
        <w:rPr>
          <w:rFonts w:hint="eastAsia" w:ascii="宋体" w:hAnsi="宋体" w:eastAsia="宋体" w:cs="宋体"/>
          <w:color w:val="auto"/>
          <w:sz w:val="24"/>
          <w:highlight w:val="none"/>
        </w:rPr>
        <w:t>2.9</w:t>
      </w:r>
      <w:r>
        <w:rPr>
          <w:rFonts w:hint="eastAsia" w:ascii="宋体" w:hAnsi="宋体" w:eastAsia="宋体" w:cs="宋体"/>
          <w:b/>
          <w:color w:val="auto"/>
          <w:sz w:val="24"/>
          <w:highlight w:val="none"/>
        </w:rPr>
        <w:t>标的物的风险负担</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标的物或者在途标的物或者交付给第一承运人后的标的物毁损、灭失的风险负担：</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u w:val="single"/>
        </w:rPr>
        <w:t xml:space="preserve">乙方                                                                       </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2.13.2受不可抗力影响的一方在不可抗力发生后，应在</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日内（根据项目实际填写）以书面形式通知对方当事人，并在</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日内（根据项目实际填写），将有关部门出具的证明文件送达对方当事人。</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2.13.4因不可抗力致使合同有变更必要的，双方当事人应在</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日内（根据项目实际填写）以书面形式变更合同；</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2.17.1标的物交付前，乙方应对标的物的质量、数量等方面进行详细、全面的检验，并向甲方出具证明标的物符合合同约定的文件；标的物交付时，乙方在</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日内（根据项目实际填写）发起验收，并可依法邀请相关方参加，验收应出具验收书。</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2.17.3 检验和验收标准、程序等具体内容以及前述验收书的效力：</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3.1 其他：</w:t>
      </w:r>
    </w:p>
    <w:p>
      <w:pPr>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项目验收：</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甲方参照《南宁市政府采购供应商履约验收评价管理办法》（南财采[2019]217号）规定组织对乙方履约的验收。验收方成员应当在验收书上签字，并承担相应的法律责任。如果发现与合同中要求不符，乙方须承担由此发生的一切损失和费用，并接受相应的处理。</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严格按照采购合同开展履约验收。甲方成立验收小组，按照采购合同的约定对供应商履约情况进行验收，验收时，按照采购合同的约定对每一项技术、服务、安全标准的履约情况进行确认，出具验收报告并经验收小组全体成员签字。甲方根据验收报告形成验收意见并经甲方与乙方签字盖章生效。验收结果与采购合同约定的资金支付条件挂钩。履约验收的各项资料应当存档备查。</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验收合格的项目，甲方将根据采购合同的约定及时向供应商支付采购资金。验收不合格的项目，甲方将依法及时处理。采购合同的履行、违约责任和解决争议的方式等适用《中华人民共和国民法典》，并按照《合同书》约定执行。</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4、验收产生的费用首次验收费用由甲方承担，如首次验收不合格，后续验收费用由乙方支付。</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5、验收内容及资料要求：</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根根据采购文件确定的技术指标或者服务要求确定验收指标和标准。未进行相应约定的，应当符合国家强制性规定、政策要求、安全标准、行业或企业有关标准等。</w:t>
      </w:r>
    </w:p>
    <w:p>
      <w:pPr>
        <w:tabs>
          <w:tab w:val="left" w:pos="904"/>
        </w:tabs>
        <w:snapToGrid w:val="0"/>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5.1验收内容</w:t>
      </w:r>
    </w:p>
    <w:tbl>
      <w:tblPr>
        <w:tblStyle w:val="28"/>
        <w:tblW w:w="851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
        <w:gridCol w:w="2217"/>
        <w:gridCol w:w="53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2" w:hRule="atLeast"/>
          <w:jc w:val="center"/>
        </w:trPr>
        <w:tc>
          <w:tcPr>
            <w:tcW w:w="920" w:type="dxa"/>
            <w:noWrap w:val="0"/>
            <w:vAlign w:val="center"/>
          </w:tcPr>
          <w:p>
            <w:pPr>
              <w:widowControl/>
              <w:spacing w:line="360" w:lineRule="auto"/>
              <w:jc w:val="center"/>
              <w:rPr>
                <w:rFonts w:hint="eastAsia" w:ascii="宋体" w:hAnsi="宋体" w:eastAsia="宋体" w:cs="宋体"/>
                <w:bCs/>
                <w:color w:val="auto"/>
                <w:kern w:val="0"/>
                <w:sz w:val="24"/>
                <w:highlight w:val="none"/>
              </w:rPr>
            </w:pPr>
            <w:r>
              <w:rPr>
                <w:rFonts w:hint="eastAsia" w:ascii="宋体" w:hAnsi="宋体" w:eastAsia="宋体" w:cs="宋体"/>
                <w:bCs/>
                <w:color w:val="auto"/>
                <w:kern w:val="0"/>
                <w:sz w:val="24"/>
                <w:highlight w:val="none"/>
              </w:rPr>
              <w:t>序号</w:t>
            </w:r>
          </w:p>
        </w:tc>
        <w:tc>
          <w:tcPr>
            <w:tcW w:w="2217" w:type="dxa"/>
            <w:noWrap w:val="0"/>
            <w:vAlign w:val="center"/>
          </w:tcPr>
          <w:p>
            <w:pPr>
              <w:widowControl/>
              <w:spacing w:line="360" w:lineRule="auto"/>
              <w:ind w:firstLine="200"/>
              <w:jc w:val="center"/>
              <w:rPr>
                <w:rFonts w:hint="eastAsia" w:ascii="宋体" w:hAnsi="宋体" w:eastAsia="宋体" w:cs="宋体"/>
                <w:bCs/>
                <w:color w:val="auto"/>
                <w:kern w:val="0"/>
                <w:sz w:val="24"/>
                <w:highlight w:val="none"/>
              </w:rPr>
            </w:pPr>
            <w:r>
              <w:rPr>
                <w:rFonts w:hint="eastAsia" w:ascii="宋体" w:hAnsi="宋体" w:eastAsia="宋体" w:cs="宋体"/>
                <w:bCs/>
                <w:color w:val="auto"/>
                <w:kern w:val="0"/>
                <w:sz w:val="24"/>
                <w:highlight w:val="none"/>
              </w:rPr>
              <w:t>验收内容</w:t>
            </w:r>
          </w:p>
        </w:tc>
        <w:tc>
          <w:tcPr>
            <w:tcW w:w="5380" w:type="dxa"/>
            <w:noWrap w:val="0"/>
            <w:vAlign w:val="center"/>
          </w:tcPr>
          <w:p>
            <w:pPr>
              <w:widowControl/>
              <w:spacing w:line="360" w:lineRule="auto"/>
              <w:ind w:firstLine="200"/>
              <w:jc w:val="center"/>
              <w:rPr>
                <w:rFonts w:hint="eastAsia" w:ascii="宋体" w:hAnsi="宋体" w:eastAsia="宋体" w:cs="宋体"/>
                <w:bCs/>
                <w:color w:val="auto"/>
                <w:kern w:val="0"/>
                <w:sz w:val="24"/>
                <w:highlight w:val="none"/>
              </w:rPr>
            </w:pPr>
            <w:r>
              <w:rPr>
                <w:rFonts w:hint="eastAsia" w:ascii="宋体" w:hAnsi="宋体" w:eastAsia="宋体" w:cs="宋体"/>
                <w:bCs/>
                <w:color w:val="auto"/>
                <w:kern w:val="0"/>
                <w:sz w:val="24"/>
                <w:highlight w:val="none"/>
              </w:rPr>
              <w:t>验收标准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4" w:hRule="atLeast"/>
          <w:jc w:val="center"/>
        </w:trPr>
        <w:tc>
          <w:tcPr>
            <w:tcW w:w="920" w:type="dxa"/>
            <w:noWrap w:val="0"/>
            <w:vAlign w:val="center"/>
          </w:tcPr>
          <w:p>
            <w:pPr>
              <w:widowControl/>
              <w:spacing w:line="360" w:lineRule="auto"/>
              <w:jc w:val="center"/>
              <w:rPr>
                <w:rFonts w:hint="eastAsia" w:ascii="宋体" w:hAnsi="宋体" w:eastAsia="宋体" w:cs="宋体"/>
                <w:bCs/>
                <w:color w:val="auto"/>
                <w:kern w:val="0"/>
                <w:sz w:val="24"/>
                <w:highlight w:val="none"/>
              </w:rPr>
            </w:pPr>
            <w:r>
              <w:rPr>
                <w:rFonts w:hint="eastAsia" w:ascii="宋体" w:hAnsi="宋体" w:eastAsia="宋体" w:cs="宋体"/>
                <w:bCs/>
                <w:color w:val="auto"/>
                <w:kern w:val="0"/>
                <w:sz w:val="24"/>
                <w:highlight w:val="none"/>
              </w:rPr>
              <w:t>1</w:t>
            </w:r>
          </w:p>
        </w:tc>
        <w:tc>
          <w:tcPr>
            <w:tcW w:w="2217" w:type="dxa"/>
            <w:noWrap w:val="0"/>
            <w:vAlign w:val="center"/>
          </w:tcPr>
          <w:p>
            <w:pPr>
              <w:widowControl/>
              <w:spacing w:line="360" w:lineRule="auto"/>
              <w:ind w:firstLine="200"/>
              <w:jc w:val="center"/>
              <w:rPr>
                <w:rFonts w:hint="eastAsia" w:ascii="宋体" w:hAnsi="宋体" w:eastAsia="宋体" w:cs="宋体"/>
                <w:bCs/>
                <w:color w:val="auto"/>
                <w:kern w:val="0"/>
                <w:sz w:val="24"/>
                <w:highlight w:val="none"/>
              </w:rPr>
            </w:pPr>
            <w:r>
              <w:rPr>
                <w:rFonts w:hint="eastAsia" w:ascii="宋体" w:hAnsi="宋体" w:eastAsia="宋体" w:cs="宋体"/>
                <w:bCs/>
                <w:color w:val="auto"/>
                <w:kern w:val="0"/>
                <w:sz w:val="24"/>
                <w:highlight w:val="none"/>
              </w:rPr>
              <w:t>交货产品数量</w:t>
            </w:r>
          </w:p>
        </w:tc>
        <w:tc>
          <w:tcPr>
            <w:tcW w:w="5380" w:type="dxa"/>
            <w:noWrap w:val="0"/>
            <w:vAlign w:val="center"/>
          </w:tcPr>
          <w:p>
            <w:pPr>
              <w:spacing w:line="360" w:lineRule="auto"/>
              <w:ind w:firstLine="480" w:firstLineChars="200"/>
              <w:rPr>
                <w:rFonts w:hint="eastAsia" w:ascii="宋体" w:hAnsi="宋体" w:eastAsia="宋体" w:cs="宋体"/>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8" w:hRule="atLeast"/>
          <w:jc w:val="center"/>
        </w:trPr>
        <w:tc>
          <w:tcPr>
            <w:tcW w:w="920" w:type="dxa"/>
            <w:noWrap w:val="0"/>
            <w:vAlign w:val="center"/>
          </w:tcPr>
          <w:p>
            <w:pPr>
              <w:widowControl/>
              <w:spacing w:line="360" w:lineRule="auto"/>
              <w:jc w:val="center"/>
              <w:rPr>
                <w:rFonts w:hint="eastAsia" w:ascii="宋体" w:hAnsi="宋体" w:eastAsia="宋体" w:cs="宋体"/>
                <w:bCs/>
                <w:color w:val="auto"/>
                <w:kern w:val="0"/>
                <w:sz w:val="24"/>
                <w:highlight w:val="none"/>
              </w:rPr>
            </w:pPr>
            <w:r>
              <w:rPr>
                <w:rFonts w:hint="eastAsia" w:ascii="宋体" w:hAnsi="宋体" w:eastAsia="宋体" w:cs="宋体"/>
                <w:bCs/>
                <w:color w:val="auto"/>
                <w:kern w:val="0"/>
                <w:sz w:val="24"/>
                <w:highlight w:val="none"/>
              </w:rPr>
              <w:t>2</w:t>
            </w:r>
          </w:p>
        </w:tc>
        <w:tc>
          <w:tcPr>
            <w:tcW w:w="2217" w:type="dxa"/>
            <w:noWrap w:val="0"/>
            <w:vAlign w:val="center"/>
          </w:tcPr>
          <w:p>
            <w:pPr>
              <w:widowControl/>
              <w:spacing w:line="360" w:lineRule="auto"/>
              <w:ind w:firstLine="200"/>
              <w:jc w:val="center"/>
              <w:rPr>
                <w:rFonts w:hint="eastAsia" w:ascii="宋体" w:hAnsi="宋体" w:eastAsia="宋体" w:cs="宋体"/>
                <w:bCs/>
                <w:color w:val="auto"/>
                <w:kern w:val="0"/>
                <w:sz w:val="24"/>
                <w:highlight w:val="none"/>
              </w:rPr>
            </w:pPr>
            <w:r>
              <w:rPr>
                <w:rFonts w:hint="eastAsia" w:ascii="宋体" w:hAnsi="宋体" w:eastAsia="宋体" w:cs="宋体"/>
                <w:bCs/>
                <w:color w:val="auto"/>
                <w:kern w:val="0"/>
                <w:sz w:val="24"/>
                <w:highlight w:val="none"/>
              </w:rPr>
              <w:t>交货产品的质量文件</w:t>
            </w:r>
          </w:p>
        </w:tc>
        <w:tc>
          <w:tcPr>
            <w:tcW w:w="5380" w:type="dxa"/>
            <w:noWrap w:val="0"/>
            <w:vAlign w:val="center"/>
          </w:tcPr>
          <w:p>
            <w:pPr>
              <w:widowControl/>
              <w:spacing w:line="360" w:lineRule="auto"/>
              <w:ind w:firstLine="200"/>
              <w:jc w:val="center"/>
              <w:rPr>
                <w:rFonts w:hint="eastAsia" w:ascii="宋体" w:hAnsi="宋体" w:eastAsia="宋体" w:cs="宋体"/>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3" w:hRule="atLeast"/>
          <w:jc w:val="center"/>
        </w:trPr>
        <w:tc>
          <w:tcPr>
            <w:tcW w:w="920" w:type="dxa"/>
            <w:noWrap w:val="0"/>
            <w:vAlign w:val="center"/>
          </w:tcPr>
          <w:p>
            <w:pPr>
              <w:widowControl/>
              <w:spacing w:line="360" w:lineRule="auto"/>
              <w:jc w:val="center"/>
              <w:rPr>
                <w:rFonts w:hint="eastAsia" w:ascii="宋体" w:hAnsi="宋体" w:eastAsia="宋体" w:cs="宋体"/>
                <w:bCs/>
                <w:color w:val="auto"/>
                <w:kern w:val="0"/>
                <w:sz w:val="24"/>
                <w:highlight w:val="none"/>
              </w:rPr>
            </w:pPr>
            <w:r>
              <w:rPr>
                <w:rFonts w:hint="eastAsia" w:ascii="宋体" w:hAnsi="宋体" w:eastAsia="宋体" w:cs="宋体"/>
                <w:bCs/>
                <w:color w:val="auto"/>
                <w:kern w:val="0"/>
                <w:sz w:val="24"/>
                <w:highlight w:val="none"/>
              </w:rPr>
              <w:t>4</w:t>
            </w:r>
          </w:p>
        </w:tc>
        <w:tc>
          <w:tcPr>
            <w:tcW w:w="2217" w:type="dxa"/>
            <w:noWrap w:val="0"/>
            <w:vAlign w:val="center"/>
          </w:tcPr>
          <w:p>
            <w:pPr>
              <w:spacing w:line="360" w:lineRule="auto"/>
              <w:ind w:firstLine="200"/>
              <w:jc w:val="center"/>
              <w:rPr>
                <w:rFonts w:hint="eastAsia" w:ascii="宋体" w:hAnsi="宋体" w:eastAsia="宋体" w:cs="宋体"/>
                <w:bCs/>
                <w:color w:val="auto"/>
                <w:kern w:val="0"/>
                <w:sz w:val="24"/>
                <w:highlight w:val="none"/>
              </w:rPr>
            </w:pPr>
            <w:r>
              <w:rPr>
                <w:rFonts w:hint="eastAsia" w:ascii="宋体" w:hAnsi="宋体" w:eastAsia="宋体" w:cs="宋体"/>
                <w:bCs/>
                <w:color w:val="auto"/>
                <w:kern w:val="0"/>
                <w:sz w:val="24"/>
                <w:highlight w:val="none"/>
              </w:rPr>
              <w:t>交货产品技术、性能指标</w:t>
            </w:r>
          </w:p>
        </w:tc>
        <w:tc>
          <w:tcPr>
            <w:tcW w:w="5380" w:type="dxa"/>
            <w:noWrap w:val="0"/>
            <w:vAlign w:val="center"/>
          </w:tcPr>
          <w:p>
            <w:pPr>
              <w:widowControl/>
              <w:spacing w:line="360" w:lineRule="auto"/>
              <w:ind w:firstLine="200"/>
              <w:jc w:val="center"/>
              <w:rPr>
                <w:rFonts w:hint="eastAsia" w:ascii="宋体" w:hAnsi="宋体" w:eastAsia="宋体" w:cs="宋体"/>
                <w:color w:val="auto"/>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1" w:hRule="atLeast"/>
          <w:jc w:val="center"/>
        </w:trPr>
        <w:tc>
          <w:tcPr>
            <w:tcW w:w="920" w:type="dxa"/>
            <w:noWrap w:val="0"/>
            <w:vAlign w:val="center"/>
          </w:tcPr>
          <w:p>
            <w:pPr>
              <w:widowControl/>
              <w:spacing w:line="360" w:lineRule="auto"/>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w:t>
            </w:r>
          </w:p>
        </w:tc>
        <w:tc>
          <w:tcPr>
            <w:tcW w:w="2217" w:type="dxa"/>
            <w:noWrap w:val="0"/>
            <w:vAlign w:val="center"/>
          </w:tcPr>
          <w:p>
            <w:pPr>
              <w:spacing w:line="360" w:lineRule="auto"/>
              <w:ind w:firstLine="20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售后服务</w:t>
            </w:r>
          </w:p>
          <w:p>
            <w:pPr>
              <w:widowControl/>
              <w:spacing w:line="360" w:lineRule="auto"/>
              <w:ind w:firstLine="200"/>
              <w:jc w:val="center"/>
              <w:rPr>
                <w:rFonts w:hint="eastAsia" w:ascii="宋体" w:hAnsi="宋体" w:eastAsia="宋体" w:cs="宋体"/>
                <w:bCs/>
                <w:color w:val="auto"/>
                <w:kern w:val="0"/>
                <w:sz w:val="24"/>
                <w:highlight w:val="none"/>
              </w:rPr>
            </w:pPr>
            <w:r>
              <w:rPr>
                <w:rFonts w:hint="eastAsia" w:ascii="宋体" w:hAnsi="宋体" w:eastAsia="宋体" w:cs="宋体"/>
                <w:color w:val="auto"/>
                <w:sz w:val="24"/>
                <w:highlight w:val="none"/>
              </w:rPr>
              <w:t>承诺</w:t>
            </w:r>
          </w:p>
        </w:tc>
        <w:tc>
          <w:tcPr>
            <w:tcW w:w="5380" w:type="dxa"/>
            <w:noWrap w:val="0"/>
            <w:vAlign w:val="center"/>
          </w:tcPr>
          <w:p>
            <w:pPr>
              <w:spacing w:line="360" w:lineRule="auto"/>
              <w:ind w:firstLine="200"/>
              <w:jc w:val="center"/>
              <w:rPr>
                <w:rFonts w:hint="eastAsia" w:ascii="宋体" w:hAnsi="宋体" w:eastAsia="宋体" w:cs="宋体"/>
                <w:color w:val="auto"/>
                <w:kern w:val="0"/>
                <w:sz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9" w:hRule="atLeast"/>
          <w:jc w:val="center"/>
        </w:trPr>
        <w:tc>
          <w:tcPr>
            <w:tcW w:w="920" w:type="dxa"/>
            <w:noWrap w:val="0"/>
            <w:vAlign w:val="center"/>
          </w:tcPr>
          <w:p>
            <w:pPr>
              <w:widowControl/>
              <w:spacing w:line="360" w:lineRule="auto"/>
              <w:jc w:val="center"/>
              <w:rPr>
                <w:rFonts w:hint="eastAsia" w:ascii="宋体" w:hAnsi="宋体" w:eastAsia="宋体" w:cs="宋体"/>
                <w:bCs/>
                <w:color w:val="auto"/>
                <w:kern w:val="0"/>
                <w:sz w:val="24"/>
                <w:highlight w:val="none"/>
              </w:rPr>
            </w:pPr>
            <w:r>
              <w:rPr>
                <w:rFonts w:hint="eastAsia" w:ascii="宋体" w:hAnsi="宋体" w:eastAsia="宋体" w:cs="宋体"/>
                <w:bCs/>
                <w:color w:val="auto"/>
                <w:kern w:val="0"/>
                <w:sz w:val="24"/>
                <w:highlight w:val="none"/>
              </w:rPr>
              <w:t>6</w:t>
            </w:r>
          </w:p>
        </w:tc>
        <w:tc>
          <w:tcPr>
            <w:tcW w:w="2217" w:type="dxa"/>
            <w:noWrap w:val="0"/>
            <w:vAlign w:val="center"/>
          </w:tcPr>
          <w:p>
            <w:pPr>
              <w:widowControl/>
              <w:spacing w:line="360" w:lineRule="auto"/>
              <w:ind w:firstLine="200"/>
              <w:jc w:val="center"/>
              <w:rPr>
                <w:rFonts w:hint="eastAsia" w:ascii="宋体" w:hAnsi="宋体" w:eastAsia="宋体" w:cs="宋体"/>
                <w:bCs/>
                <w:color w:val="auto"/>
                <w:kern w:val="0"/>
                <w:sz w:val="24"/>
                <w:highlight w:val="none"/>
              </w:rPr>
            </w:pPr>
            <w:r>
              <w:rPr>
                <w:rFonts w:hint="eastAsia" w:ascii="宋体" w:hAnsi="宋体" w:eastAsia="宋体" w:cs="宋体"/>
                <w:bCs/>
                <w:color w:val="auto"/>
                <w:kern w:val="0"/>
                <w:sz w:val="24"/>
                <w:highlight w:val="none"/>
              </w:rPr>
              <w:t>其他工作</w:t>
            </w:r>
          </w:p>
        </w:tc>
        <w:tc>
          <w:tcPr>
            <w:tcW w:w="5380" w:type="dxa"/>
            <w:noWrap w:val="0"/>
            <w:vAlign w:val="center"/>
          </w:tcPr>
          <w:p>
            <w:pPr>
              <w:widowControl/>
              <w:spacing w:line="360" w:lineRule="auto"/>
              <w:jc w:val="left"/>
              <w:rPr>
                <w:rFonts w:hint="eastAsia" w:ascii="宋体" w:hAnsi="宋体" w:eastAsia="宋体" w:cs="宋体"/>
                <w:color w:val="auto"/>
                <w:kern w:val="0"/>
                <w:sz w:val="24"/>
                <w:highlight w:val="none"/>
              </w:rPr>
            </w:pPr>
          </w:p>
        </w:tc>
      </w:tr>
    </w:tbl>
    <w:p>
      <w:pPr>
        <w:tabs>
          <w:tab w:val="left" w:pos="904"/>
        </w:tabs>
        <w:snapToGrid w:val="0"/>
        <w:spacing w:line="360" w:lineRule="auto"/>
        <w:ind w:firstLine="480" w:firstLineChars="200"/>
        <w:jc w:val="left"/>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5.2验收资料要求</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验收资料要求包括（不限于）以下内容：</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（1）采购文件；</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（2）响应文件；</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（3）采购合同；</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（4）到货核验单（需采购核验人、复核人及乙方交货人三方签字盖章）、产品拍照图片、产品说明书、产品合格证、质量保证书原件、三包凭证、产品的检测报告、原厂质保承诺函等；</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（5）其他需提供的相关材料。</w:t>
      </w:r>
    </w:p>
    <w:p>
      <w:pPr>
        <w:widowControl/>
        <w:ind w:firstLine="720" w:firstLineChars="300"/>
        <w:jc w:val="left"/>
        <w:rPr>
          <w:rFonts w:hint="eastAsia" w:ascii="宋体" w:hAnsi="宋体" w:eastAsia="宋体" w:cs="宋体"/>
          <w:bCs/>
          <w:color w:val="auto"/>
          <w:sz w:val="24"/>
          <w:highlight w:val="none"/>
        </w:rPr>
      </w:pPr>
    </w:p>
    <w:p>
      <w:pPr>
        <w:spacing w:line="360" w:lineRule="auto"/>
        <w:ind w:firstLine="480" w:firstLineChars="200"/>
        <w:rPr>
          <w:rFonts w:hint="eastAsia" w:ascii="宋体" w:hAnsi="宋体" w:eastAsia="宋体" w:cs="宋体"/>
          <w:b/>
          <w:color w:val="auto"/>
          <w:sz w:val="44"/>
          <w:szCs w:val="44"/>
          <w:highlight w:val="none"/>
        </w:rPr>
      </w:pPr>
      <w:r>
        <w:rPr>
          <w:rFonts w:hint="eastAsia" w:ascii="宋体" w:hAnsi="宋体" w:eastAsia="宋体" w:cs="宋体"/>
          <w:color w:val="auto"/>
          <w:sz w:val="24"/>
          <w:highlight w:val="none"/>
          <w:u w:val="single"/>
        </w:rPr>
        <w:t xml:space="preserve">                                                                       </w:t>
      </w:r>
    </w:p>
    <w:p>
      <w:pPr>
        <w:tabs>
          <w:tab w:val="left" w:pos="3261"/>
        </w:tabs>
        <w:spacing w:line="360" w:lineRule="auto"/>
        <w:contextualSpacing/>
        <w:jc w:val="center"/>
        <w:rPr>
          <w:rFonts w:hint="eastAsia" w:ascii="宋体" w:hAnsi="宋体" w:eastAsia="宋体" w:cs="宋体"/>
          <w:b/>
          <w:color w:val="auto"/>
          <w:sz w:val="44"/>
          <w:szCs w:val="44"/>
          <w:highlight w:val="none"/>
        </w:rPr>
      </w:pPr>
    </w:p>
    <w:p>
      <w:pPr>
        <w:tabs>
          <w:tab w:val="left" w:pos="7380"/>
        </w:tabs>
        <w:spacing w:line="360" w:lineRule="auto"/>
        <w:jc w:val="center"/>
        <w:rPr>
          <w:rFonts w:hint="eastAsia" w:ascii="宋体" w:hAnsi="宋体" w:eastAsia="宋体" w:cs="宋体"/>
          <w:b/>
          <w:color w:val="auto"/>
          <w:sz w:val="44"/>
          <w:szCs w:val="44"/>
          <w:highlight w:val="none"/>
        </w:rPr>
      </w:pPr>
    </w:p>
    <w:p>
      <w:pPr>
        <w:tabs>
          <w:tab w:val="left" w:pos="3261"/>
        </w:tabs>
        <w:spacing w:line="360" w:lineRule="auto"/>
        <w:contextualSpacing/>
        <w:jc w:val="center"/>
        <w:rPr>
          <w:rFonts w:hint="eastAsia" w:ascii="宋体" w:hAnsi="宋体" w:eastAsia="宋体" w:cs="宋体"/>
          <w:b/>
          <w:color w:val="auto"/>
          <w:sz w:val="44"/>
          <w:szCs w:val="44"/>
          <w:highlight w:val="none"/>
        </w:rPr>
      </w:pPr>
    </w:p>
    <w:p>
      <w:pPr>
        <w:tabs>
          <w:tab w:val="left" w:pos="3261"/>
        </w:tabs>
        <w:spacing w:line="360" w:lineRule="auto"/>
        <w:contextualSpacing/>
        <w:jc w:val="center"/>
        <w:rPr>
          <w:rFonts w:hint="eastAsia" w:ascii="宋体" w:hAnsi="宋体" w:eastAsia="宋体" w:cs="宋体"/>
          <w:b/>
          <w:color w:val="auto"/>
          <w:sz w:val="44"/>
          <w:szCs w:val="44"/>
          <w:highlight w:val="none"/>
        </w:rPr>
      </w:pPr>
    </w:p>
    <w:p>
      <w:pPr>
        <w:spacing w:line="360" w:lineRule="auto"/>
        <w:jc w:val="both"/>
        <w:rPr>
          <w:rFonts w:hint="eastAsia" w:ascii="宋体" w:hAnsi="宋体" w:eastAsia="宋体" w:cs="宋体"/>
          <w:b/>
          <w:bCs/>
          <w:color w:val="auto"/>
          <w:sz w:val="44"/>
          <w:szCs w:val="44"/>
          <w:highlight w:val="none"/>
        </w:rPr>
        <w:sectPr>
          <w:pgSz w:w="11910" w:h="16840"/>
          <w:pgMar w:top="1440" w:right="1080" w:bottom="1440" w:left="1080" w:header="720" w:footer="720" w:gutter="0"/>
          <w:pgNumType w:fmt="decimal"/>
          <w:cols w:space="720" w:num="1"/>
        </w:sectPr>
      </w:pPr>
    </w:p>
    <w:p>
      <w:pPr>
        <w:tabs>
          <w:tab w:val="left" w:pos="3261"/>
        </w:tabs>
        <w:spacing w:line="360" w:lineRule="auto"/>
        <w:contextualSpacing/>
        <w:jc w:val="center"/>
        <w:rPr>
          <w:rFonts w:hint="eastAsia" w:ascii="宋体" w:hAnsi="宋体" w:eastAsia="宋体" w:cs="宋体"/>
          <w:b/>
          <w:color w:val="auto"/>
          <w:sz w:val="44"/>
          <w:szCs w:val="44"/>
          <w:highlight w:val="none"/>
        </w:rPr>
      </w:pPr>
    </w:p>
    <w:p>
      <w:pPr>
        <w:tabs>
          <w:tab w:val="left" w:pos="3261"/>
        </w:tabs>
        <w:spacing w:line="360" w:lineRule="auto"/>
        <w:contextualSpacing/>
        <w:jc w:val="center"/>
        <w:rPr>
          <w:rFonts w:hint="eastAsia" w:ascii="宋体" w:hAnsi="宋体" w:eastAsia="宋体" w:cs="宋体"/>
          <w:b/>
          <w:color w:val="auto"/>
          <w:sz w:val="44"/>
          <w:szCs w:val="44"/>
          <w:highlight w:val="none"/>
        </w:rPr>
      </w:pPr>
    </w:p>
    <w:p>
      <w:pPr>
        <w:tabs>
          <w:tab w:val="left" w:pos="3261"/>
        </w:tabs>
        <w:spacing w:line="360" w:lineRule="auto"/>
        <w:contextualSpacing/>
        <w:jc w:val="center"/>
        <w:rPr>
          <w:rFonts w:hint="eastAsia" w:ascii="宋体" w:hAnsi="宋体" w:eastAsia="宋体" w:cs="宋体"/>
          <w:b/>
          <w:color w:val="auto"/>
          <w:sz w:val="44"/>
          <w:szCs w:val="44"/>
          <w:highlight w:val="none"/>
        </w:rPr>
      </w:pPr>
    </w:p>
    <w:p>
      <w:pPr>
        <w:tabs>
          <w:tab w:val="left" w:pos="3261"/>
        </w:tabs>
        <w:spacing w:line="360" w:lineRule="auto"/>
        <w:contextualSpacing/>
        <w:jc w:val="center"/>
        <w:rPr>
          <w:rFonts w:hint="eastAsia" w:ascii="宋体" w:hAnsi="宋体" w:eastAsia="宋体" w:cs="宋体"/>
          <w:b/>
          <w:color w:val="auto"/>
          <w:sz w:val="44"/>
          <w:szCs w:val="44"/>
          <w:highlight w:val="none"/>
        </w:rPr>
      </w:pPr>
    </w:p>
    <w:p>
      <w:pPr>
        <w:tabs>
          <w:tab w:val="left" w:pos="3261"/>
        </w:tabs>
        <w:spacing w:line="360" w:lineRule="auto"/>
        <w:contextualSpacing/>
        <w:jc w:val="center"/>
        <w:rPr>
          <w:rFonts w:hint="eastAsia" w:ascii="宋体" w:hAnsi="宋体" w:eastAsia="宋体" w:cs="宋体"/>
          <w:b/>
          <w:color w:val="auto"/>
          <w:sz w:val="44"/>
          <w:szCs w:val="44"/>
          <w:highlight w:val="none"/>
        </w:rPr>
      </w:pPr>
    </w:p>
    <w:p>
      <w:pPr>
        <w:keepNext/>
        <w:keepLines/>
        <w:spacing w:before="340" w:after="330" w:line="578" w:lineRule="auto"/>
        <w:jc w:val="center"/>
        <w:outlineLvl w:val="0"/>
        <w:rPr>
          <w:rFonts w:hint="eastAsia" w:ascii="宋体" w:hAnsi="宋体" w:eastAsia="宋体" w:cs="宋体"/>
          <w:b/>
          <w:bCs/>
          <w:color w:val="auto"/>
          <w:kern w:val="44"/>
          <w:sz w:val="44"/>
          <w:szCs w:val="44"/>
          <w:highlight w:val="none"/>
        </w:rPr>
        <w:sectPr>
          <w:pgSz w:w="11910" w:h="16840"/>
          <w:pgMar w:top="1440" w:right="1080" w:bottom="1440" w:left="1080" w:header="720" w:footer="720" w:gutter="0"/>
          <w:pgNumType w:fmt="decimal"/>
          <w:cols w:space="720" w:num="1"/>
        </w:sectPr>
      </w:pPr>
      <w:bookmarkStart w:id="299" w:name="_Toc11528"/>
      <w:bookmarkStart w:id="300" w:name="_Toc3803"/>
      <w:r>
        <w:rPr>
          <w:rFonts w:hint="eastAsia" w:ascii="宋体" w:hAnsi="宋体" w:eastAsia="宋体" w:cs="宋体"/>
          <w:bCs/>
          <w:color w:val="auto"/>
          <w:kern w:val="44"/>
          <w:sz w:val="44"/>
          <w:szCs w:val="44"/>
          <w:highlight w:val="none"/>
        </w:rPr>
        <w:t>第七章 质疑、投诉材料格式</w:t>
      </w:r>
      <w:bookmarkEnd w:id="299"/>
      <w:bookmarkEnd w:id="300"/>
    </w:p>
    <w:p>
      <w:pPr>
        <w:spacing w:line="360" w:lineRule="auto"/>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质疑函（格式）</w:t>
      </w:r>
    </w:p>
    <w:p>
      <w:pPr>
        <w:pStyle w:val="16"/>
        <w:spacing w:line="360" w:lineRule="auto"/>
        <w:ind w:firstLine="482" w:firstLineChars="200"/>
        <w:contextualSpacing/>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一、质疑供应商基本信息：</w:t>
      </w:r>
    </w:p>
    <w:p>
      <w:pPr>
        <w:pStyle w:val="16"/>
        <w:spacing w:line="360" w:lineRule="auto"/>
        <w:ind w:firstLine="480" w:firstLineChars="200"/>
        <w:contextualSpacing/>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质疑供应商：</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pPr>
        <w:pStyle w:val="16"/>
        <w:spacing w:line="360" w:lineRule="auto"/>
        <w:ind w:firstLine="480" w:firstLineChars="200"/>
        <w:contextualSpacing/>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地址：</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邮编：</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pPr>
        <w:pStyle w:val="16"/>
        <w:spacing w:line="360" w:lineRule="auto"/>
        <w:ind w:firstLine="480" w:firstLineChars="200"/>
        <w:contextualSpacing/>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联系人：</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联系电话：</w:t>
      </w:r>
      <w:r>
        <w:rPr>
          <w:rFonts w:hint="eastAsia" w:ascii="宋体" w:hAnsi="宋体" w:eastAsia="宋体" w:cs="宋体"/>
          <w:bCs/>
          <w:color w:val="auto"/>
          <w:sz w:val="24"/>
          <w:szCs w:val="24"/>
          <w:highlight w:val="none"/>
          <w:u w:val="single"/>
        </w:rPr>
        <w:t xml:space="preserve">                 </w:t>
      </w:r>
    </w:p>
    <w:p>
      <w:pPr>
        <w:pStyle w:val="16"/>
        <w:spacing w:line="360" w:lineRule="auto"/>
        <w:ind w:firstLine="480" w:firstLineChars="200"/>
        <w:contextualSpacing/>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授权代表：</w:t>
      </w:r>
      <w:r>
        <w:rPr>
          <w:rFonts w:hint="eastAsia" w:ascii="宋体" w:hAnsi="宋体" w:eastAsia="宋体" w:cs="宋体"/>
          <w:bCs/>
          <w:color w:val="auto"/>
          <w:sz w:val="24"/>
          <w:szCs w:val="24"/>
          <w:highlight w:val="none"/>
          <w:u w:val="single"/>
        </w:rPr>
        <w:t xml:space="preserve">                      </w:t>
      </w:r>
    </w:p>
    <w:p>
      <w:pPr>
        <w:pStyle w:val="16"/>
        <w:spacing w:line="360" w:lineRule="auto"/>
        <w:ind w:firstLine="480" w:firstLineChars="200"/>
        <w:contextualSpacing/>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联系电话：</w:t>
      </w:r>
      <w:r>
        <w:rPr>
          <w:rFonts w:hint="eastAsia" w:ascii="宋体" w:hAnsi="宋体" w:eastAsia="宋体" w:cs="宋体"/>
          <w:bCs/>
          <w:color w:val="auto"/>
          <w:sz w:val="24"/>
          <w:szCs w:val="24"/>
          <w:highlight w:val="none"/>
          <w:u w:val="single"/>
        </w:rPr>
        <w:t xml:space="preserve">                      </w:t>
      </w:r>
    </w:p>
    <w:p>
      <w:pPr>
        <w:pStyle w:val="16"/>
        <w:spacing w:line="360" w:lineRule="auto"/>
        <w:ind w:firstLine="480" w:firstLineChars="200"/>
        <w:contextualSpacing/>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地址：</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邮编：</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pPr>
        <w:pStyle w:val="16"/>
        <w:spacing w:line="360" w:lineRule="auto"/>
        <w:ind w:firstLine="482" w:firstLineChars="200"/>
        <w:contextualSpacing/>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二、质疑项目基本情况：</w:t>
      </w:r>
    </w:p>
    <w:p>
      <w:pPr>
        <w:pStyle w:val="16"/>
        <w:spacing w:line="360" w:lineRule="auto"/>
        <w:ind w:left="25" w:leftChars="12" w:firstLine="472" w:firstLineChars="197"/>
        <w:contextualSpacing/>
        <w:rPr>
          <w:rFonts w:hint="eastAsia" w:hAnsi="宋体" w:eastAsia="宋体" w:cs="宋体"/>
          <w:bCs/>
          <w:color w:val="auto"/>
          <w:sz w:val="24"/>
          <w:szCs w:val="24"/>
          <w:highlight w:val="none"/>
          <w:u w:val="single"/>
          <w:lang w:val="en-US" w:eastAsia="zh-CN"/>
        </w:rPr>
      </w:pPr>
      <w:r>
        <w:rPr>
          <w:rFonts w:hint="eastAsia" w:ascii="宋体" w:hAnsi="宋体" w:eastAsia="宋体" w:cs="宋体"/>
          <w:bCs/>
          <w:color w:val="auto"/>
          <w:sz w:val="24"/>
          <w:szCs w:val="24"/>
          <w:highlight w:val="none"/>
        </w:rPr>
        <w:t>质疑</w:t>
      </w:r>
      <w:r>
        <w:rPr>
          <w:rFonts w:hint="eastAsia" w:ascii="宋体" w:hAnsi="宋体" w:eastAsia="宋体" w:cs="宋体"/>
          <w:color w:val="auto"/>
          <w:sz w:val="24"/>
          <w:szCs w:val="24"/>
          <w:highlight w:val="none"/>
        </w:rPr>
        <w:t>项目的名称：</w:t>
      </w:r>
      <w:r>
        <w:rPr>
          <w:rFonts w:hint="eastAsia" w:ascii="宋体" w:hAnsi="宋体" w:eastAsia="宋体" w:cs="宋体"/>
          <w:bCs/>
          <w:color w:val="auto"/>
          <w:sz w:val="24"/>
          <w:szCs w:val="24"/>
          <w:highlight w:val="none"/>
          <w:u w:val="single"/>
        </w:rPr>
        <w:t xml:space="preserve"> </w:t>
      </w:r>
      <w:r>
        <w:rPr>
          <w:rFonts w:hint="eastAsia" w:hAnsi="宋体" w:eastAsia="宋体" w:cs="宋体"/>
          <w:bCs/>
          <w:color w:val="auto"/>
          <w:sz w:val="24"/>
          <w:szCs w:val="24"/>
          <w:highlight w:val="none"/>
          <w:u w:val="single"/>
          <w:lang w:val="en-US" w:eastAsia="zh-CN"/>
        </w:rPr>
        <w:t xml:space="preserve"> </w:t>
      </w:r>
    </w:p>
    <w:p>
      <w:pPr>
        <w:pStyle w:val="16"/>
        <w:spacing w:line="360" w:lineRule="auto"/>
        <w:ind w:left="25" w:leftChars="12" w:firstLine="472" w:firstLineChars="197"/>
        <w:contextualSpacing/>
        <w:rPr>
          <w:rFonts w:hint="eastAsia" w:ascii="宋体" w:hAnsi="宋体" w:eastAsia="宋体" w:cs="宋体"/>
          <w:color w:val="auto"/>
          <w:sz w:val="24"/>
          <w:szCs w:val="24"/>
          <w:highlight w:val="none"/>
          <w:lang w:eastAsia="zh-CN"/>
        </w:rPr>
      </w:pPr>
      <w:r>
        <w:rPr>
          <w:rFonts w:hint="eastAsia" w:ascii="宋体" w:hAnsi="宋体" w:eastAsia="宋体" w:cs="宋体"/>
          <w:bCs/>
          <w:color w:val="auto"/>
          <w:sz w:val="24"/>
          <w:szCs w:val="24"/>
          <w:highlight w:val="none"/>
        </w:rPr>
        <w:t>质疑</w:t>
      </w:r>
      <w:r>
        <w:rPr>
          <w:rFonts w:hint="eastAsia" w:ascii="宋体" w:hAnsi="宋体" w:eastAsia="宋体" w:cs="宋体"/>
          <w:color w:val="auto"/>
          <w:sz w:val="24"/>
          <w:szCs w:val="24"/>
          <w:highlight w:val="none"/>
        </w:rPr>
        <w:t>项目的编号：</w:t>
      </w:r>
    </w:p>
    <w:p>
      <w:pPr>
        <w:pStyle w:val="16"/>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采购人名称：</w:t>
      </w:r>
      <w:r>
        <w:rPr>
          <w:rFonts w:hint="eastAsia" w:ascii="宋体" w:hAnsi="宋体" w:eastAsia="宋体" w:cs="宋体"/>
          <w:bCs/>
          <w:color w:val="auto"/>
          <w:sz w:val="24"/>
          <w:szCs w:val="24"/>
          <w:highlight w:val="none"/>
          <w:u w:val="single"/>
        </w:rPr>
        <w:t xml:space="preserve">   </w:t>
      </w:r>
      <w:r>
        <w:rPr>
          <w:rFonts w:hint="eastAsia" w:hAnsi="宋体" w:eastAsia="宋体" w:cs="宋体"/>
          <w:bCs/>
          <w:color w:val="auto"/>
          <w:sz w:val="24"/>
          <w:szCs w:val="24"/>
          <w:highlight w:val="none"/>
          <w:u w:val="single"/>
          <w:lang w:val="en-US" w:eastAsia="zh-CN"/>
        </w:rPr>
        <w:t xml:space="preserve"> </w:t>
      </w:r>
      <w:r>
        <w:rPr>
          <w:rFonts w:hint="eastAsia" w:ascii="宋体" w:hAnsi="宋体" w:eastAsia="宋体" w:cs="宋体"/>
          <w:bCs/>
          <w:color w:val="auto"/>
          <w:sz w:val="24"/>
          <w:szCs w:val="24"/>
          <w:highlight w:val="none"/>
          <w:u w:val="single"/>
        </w:rPr>
        <w:t xml:space="preserve">  </w:t>
      </w:r>
    </w:p>
    <w:p>
      <w:pPr>
        <w:pStyle w:val="16"/>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质疑事项：</w:t>
      </w:r>
    </w:p>
    <w:p>
      <w:pPr>
        <w:pStyle w:val="16"/>
        <w:spacing w:line="360" w:lineRule="auto"/>
        <w:ind w:left="25" w:leftChars="12" w:firstLine="352" w:firstLineChars="14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□采购文件   采购文件获取日期：</w:t>
      </w:r>
      <w:r>
        <w:rPr>
          <w:rFonts w:hint="eastAsia" w:ascii="宋体" w:hAnsi="宋体" w:eastAsia="宋体" w:cs="宋体"/>
          <w:bCs/>
          <w:color w:val="auto"/>
          <w:sz w:val="24"/>
          <w:szCs w:val="24"/>
          <w:highlight w:val="none"/>
          <w:u w:val="single"/>
        </w:rPr>
        <w:t xml:space="preserve">                                   </w:t>
      </w:r>
    </w:p>
    <w:p>
      <w:pPr>
        <w:pStyle w:val="16"/>
        <w:spacing w:line="360" w:lineRule="auto"/>
        <w:ind w:left="25" w:leftChars="12" w:firstLine="352" w:firstLineChars="14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□采购过程   </w:t>
      </w:r>
    </w:p>
    <w:p>
      <w:pPr>
        <w:pStyle w:val="16"/>
        <w:spacing w:line="360" w:lineRule="auto"/>
        <w:ind w:left="25" w:leftChars="12" w:firstLine="352" w:firstLineChars="147"/>
        <w:contextualSpacing/>
        <w:rPr>
          <w:rFonts w:hint="eastAsia" w:ascii="宋体" w:hAnsi="宋体" w:eastAsia="宋体" w:cs="宋体"/>
          <w:bCs/>
          <w:color w:val="auto"/>
          <w:sz w:val="24"/>
          <w:szCs w:val="24"/>
          <w:highlight w:val="none"/>
          <w:u w:val="single"/>
        </w:rPr>
      </w:pPr>
      <w:r>
        <w:rPr>
          <w:rFonts w:hint="eastAsia" w:ascii="宋体" w:hAnsi="宋体" w:eastAsia="宋体" w:cs="宋体"/>
          <w:color w:val="auto"/>
          <w:sz w:val="24"/>
          <w:szCs w:val="24"/>
          <w:highlight w:val="none"/>
        </w:rPr>
        <w:t xml:space="preserve">□成交结果   </w:t>
      </w:r>
    </w:p>
    <w:p>
      <w:pPr>
        <w:pStyle w:val="16"/>
        <w:spacing w:line="360" w:lineRule="auto"/>
        <w:ind w:left="25" w:leftChars="12" w:firstLine="472" w:firstLineChars="196"/>
        <w:contextualSpacing/>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三、质疑事项具体内容</w:t>
      </w:r>
    </w:p>
    <w:p>
      <w:pPr>
        <w:pStyle w:val="16"/>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质疑事项1：</w:t>
      </w:r>
      <w:r>
        <w:rPr>
          <w:rFonts w:hint="eastAsia" w:ascii="宋体" w:hAnsi="宋体" w:eastAsia="宋体" w:cs="宋体"/>
          <w:bCs/>
          <w:color w:val="auto"/>
          <w:sz w:val="24"/>
          <w:szCs w:val="24"/>
          <w:highlight w:val="none"/>
          <w:u w:val="single"/>
        </w:rPr>
        <w:t xml:space="preserve">                                                                    </w:t>
      </w:r>
    </w:p>
    <w:p>
      <w:pPr>
        <w:pStyle w:val="16"/>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事实依据：</w:t>
      </w:r>
      <w:r>
        <w:rPr>
          <w:rFonts w:hint="eastAsia" w:ascii="宋体" w:hAnsi="宋体" w:eastAsia="宋体" w:cs="宋体"/>
          <w:bCs/>
          <w:color w:val="auto"/>
          <w:sz w:val="24"/>
          <w:szCs w:val="24"/>
          <w:highlight w:val="none"/>
          <w:u w:val="single"/>
        </w:rPr>
        <w:t xml:space="preserve">                                                                      </w:t>
      </w:r>
    </w:p>
    <w:p>
      <w:pPr>
        <w:pStyle w:val="16"/>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法律依据：</w:t>
      </w:r>
      <w:r>
        <w:rPr>
          <w:rFonts w:hint="eastAsia" w:ascii="宋体" w:hAnsi="宋体" w:eastAsia="宋体" w:cs="宋体"/>
          <w:color w:val="auto"/>
          <w:sz w:val="24"/>
          <w:szCs w:val="24"/>
          <w:highlight w:val="none"/>
          <w:u w:val="single"/>
        </w:rPr>
        <w:t xml:space="preserve">                                                        </w:t>
      </w:r>
      <w:r>
        <w:rPr>
          <w:rFonts w:hint="eastAsia" w:ascii="宋体" w:hAnsi="宋体" w:eastAsia="宋体" w:cs="宋体"/>
          <w:bCs/>
          <w:color w:val="auto"/>
          <w:sz w:val="24"/>
          <w:szCs w:val="24"/>
          <w:highlight w:val="none"/>
          <w:u w:val="single"/>
        </w:rPr>
        <w:t xml:space="preserve">               </w:t>
      </w:r>
    </w:p>
    <w:p>
      <w:pPr>
        <w:pStyle w:val="16"/>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质疑事项2</w:t>
      </w:r>
    </w:p>
    <w:p>
      <w:pPr>
        <w:pStyle w:val="16"/>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p>
      <w:pPr>
        <w:pStyle w:val="16"/>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四、与质疑事项相关的质疑请求：</w:t>
      </w:r>
    </w:p>
    <w:p>
      <w:pPr>
        <w:pStyle w:val="16"/>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请求：</w:t>
      </w:r>
      <w:r>
        <w:rPr>
          <w:rFonts w:hint="eastAsia" w:ascii="宋体" w:hAnsi="宋体" w:eastAsia="宋体" w:cs="宋体"/>
          <w:bCs/>
          <w:color w:val="auto"/>
          <w:sz w:val="24"/>
          <w:szCs w:val="24"/>
          <w:highlight w:val="none"/>
          <w:u w:val="single"/>
        </w:rPr>
        <w:t xml:space="preserve">                                                                </w:t>
      </w:r>
    </w:p>
    <w:p>
      <w:pPr>
        <w:pStyle w:val="16"/>
        <w:spacing w:line="360" w:lineRule="auto"/>
        <w:ind w:left="25" w:leftChars="12" w:firstLine="352" w:firstLineChars="147"/>
        <w:contextualSpacing/>
        <w:rPr>
          <w:rFonts w:hint="eastAsia" w:ascii="宋体" w:hAnsi="宋体" w:eastAsia="宋体" w:cs="宋体"/>
          <w:color w:val="auto"/>
          <w:sz w:val="24"/>
          <w:szCs w:val="24"/>
          <w:highlight w:val="none"/>
        </w:rPr>
      </w:pPr>
    </w:p>
    <w:p>
      <w:pPr>
        <w:pStyle w:val="16"/>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签字（签章）：                                       公章：</w:t>
      </w:r>
    </w:p>
    <w:p>
      <w:pPr>
        <w:pStyle w:val="16"/>
        <w:spacing w:line="360" w:lineRule="auto"/>
        <w:ind w:left="25" w:leftChars="12" w:firstLine="352" w:firstLineChars="147"/>
        <w:contextualSpacing/>
        <w:rPr>
          <w:rFonts w:hint="eastAsia" w:ascii="宋体" w:hAnsi="宋体" w:eastAsia="宋体" w:cs="宋体"/>
          <w:color w:val="auto"/>
          <w:sz w:val="24"/>
          <w:szCs w:val="24"/>
          <w:highlight w:val="none"/>
        </w:rPr>
      </w:pPr>
    </w:p>
    <w:p>
      <w:pPr>
        <w:pStyle w:val="16"/>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w:t>
      </w:r>
    </w:p>
    <w:p>
      <w:pPr>
        <w:pStyle w:val="16"/>
        <w:spacing w:line="360" w:lineRule="auto"/>
        <w:contextualSpacing/>
        <w:rPr>
          <w:rFonts w:hint="eastAsia" w:ascii="宋体" w:hAnsi="宋体" w:eastAsia="宋体" w:cs="宋体"/>
          <w:b/>
          <w:color w:val="auto"/>
          <w:sz w:val="24"/>
          <w:szCs w:val="24"/>
          <w:highlight w:val="none"/>
          <w:lang w:eastAsia="zh-CN"/>
        </w:rPr>
      </w:pPr>
    </w:p>
    <w:p>
      <w:pPr>
        <w:pStyle w:val="16"/>
        <w:spacing w:line="360" w:lineRule="auto"/>
        <w:contextualSpacing/>
        <w:rPr>
          <w:rFonts w:hint="eastAsia" w:ascii="宋体" w:hAnsi="宋体" w:eastAsia="宋体" w:cs="宋体"/>
          <w:b/>
          <w:color w:val="auto"/>
          <w:sz w:val="24"/>
          <w:szCs w:val="24"/>
          <w:highlight w:val="none"/>
          <w:lang w:eastAsia="zh-CN"/>
        </w:rPr>
      </w:pPr>
    </w:p>
    <w:p>
      <w:pPr>
        <w:pStyle w:val="16"/>
        <w:spacing w:line="360" w:lineRule="auto"/>
        <w:contextualSpacing/>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说明：</w:t>
      </w:r>
    </w:p>
    <w:p>
      <w:pPr>
        <w:pStyle w:val="16"/>
        <w:spacing w:line="360" w:lineRule="auto"/>
        <w:ind w:left="25" w:leftChars="12" w:firstLine="354" w:firstLineChars="147"/>
        <w:contextualSpacing/>
        <w:rPr>
          <w:rFonts w:hint="eastAsia" w:ascii="宋体" w:hAnsi="宋体" w:eastAsia="宋体" w:cs="宋体"/>
          <w:b/>
          <w:bCs/>
          <w:color w:val="auto"/>
          <w:sz w:val="24"/>
          <w:szCs w:val="24"/>
          <w:highlight w:val="none"/>
        </w:rPr>
      </w:pPr>
      <w:r>
        <w:rPr>
          <w:rFonts w:hint="eastAsia" w:ascii="宋体" w:hAnsi="宋体" w:eastAsia="宋体" w:cs="宋体"/>
          <w:b/>
          <w:color w:val="auto"/>
          <w:sz w:val="24"/>
          <w:szCs w:val="24"/>
          <w:highlight w:val="none"/>
        </w:rPr>
        <w:t>1.供应商提出质疑时，应提交质疑函和必要的证明材料</w:t>
      </w:r>
      <w:r>
        <w:rPr>
          <w:rFonts w:hint="eastAsia" w:ascii="宋体" w:hAnsi="宋体" w:eastAsia="宋体" w:cs="宋体"/>
          <w:b/>
          <w:bCs/>
          <w:color w:val="auto"/>
          <w:sz w:val="24"/>
          <w:szCs w:val="24"/>
          <w:highlight w:val="none"/>
        </w:rPr>
        <w:t>。</w:t>
      </w:r>
    </w:p>
    <w:p>
      <w:pPr>
        <w:pStyle w:val="16"/>
        <w:spacing w:line="360" w:lineRule="auto"/>
        <w:ind w:left="25" w:leftChars="12" w:firstLine="354" w:firstLineChars="147"/>
        <w:contextualSpacing/>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pStyle w:val="16"/>
        <w:spacing w:line="360" w:lineRule="auto"/>
        <w:ind w:left="25" w:leftChars="12" w:firstLine="354" w:firstLineChars="147"/>
        <w:contextualSpacing/>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3.质疑函的质疑事项应具体、明确，并有必要的事实依据和法律依据。</w:t>
      </w:r>
    </w:p>
    <w:p>
      <w:pPr>
        <w:pStyle w:val="16"/>
        <w:spacing w:line="360" w:lineRule="auto"/>
        <w:ind w:left="25" w:leftChars="12" w:firstLine="354" w:firstLineChars="147"/>
        <w:contextualSpacing/>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4.质疑函的质疑请求应与质疑事项相关。</w:t>
      </w:r>
    </w:p>
    <w:p>
      <w:pPr>
        <w:pStyle w:val="16"/>
        <w:spacing w:line="360" w:lineRule="auto"/>
        <w:ind w:left="25" w:leftChars="12" w:firstLine="354" w:firstLineChars="147"/>
        <w:contextualSpacing/>
        <w:rPr>
          <w:rFonts w:hint="eastAsia" w:ascii="宋体" w:hAnsi="宋体" w:eastAsia="宋体" w:cs="宋体"/>
          <w:b/>
          <w:color w:val="auto"/>
          <w:highlight w:val="none"/>
        </w:rPr>
      </w:pPr>
      <w:r>
        <w:rPr>
          <w:rFonts w:hint="eastAsia" w:ascii="宋体" w:hAnsi="宋体" w:eastAsia="宋体" w:cs="宋体"/>
          <w:b/>
          <w:color w:val="auto"/>
          <w:sz w:val="24"/>
          <w:szCs w:val="24"/>
          <w:highlight w:val="none"/>
        </w:rPr>
        <w:t>5.质疑供应商为法人或者其他组织的，质疑函应由法定代表人、主要负责人，或者其授权代表签字或者盖章，并加盖公章。</w:t>
      </w:r>
    </w:p>
    <w:p>
      <w:pPr>
        <w:pStyle w:val="16"/>
        <w:snapToGrid w:val="0"/>
        <w:rPr>
          <w:rFonts w:hint="eastAsia" w:ascii="宋体" w:hAnsi="宋体" w:eastAsia="宋体" w:cs="宋体"/>
          <w:b/>
          <w:color w:val="auto"/>
          <w:sz w:val="24"/>
          <w:szCs w:val="24"/>
          <w:highlight w:val="none"/>
        </w:rPr>
      </w:pPr>
    </w:p>
    <w:p>
      <w:pPr>
        <w:spacing w:line="460" w:lineRule="exact"/>
        <w:jc w:val="center"/>
        <w:rPr>
          <w:rFonts w:hint="eastAsia" w:ascii="宋体" w:hAnsi="宋体" w:eastAsia="宋体" w:cs="宋体"/>
          <w:color w:val="auto"/>
          <w:sz w:val="44"/>
          <w:highlight w:val="none"/>
        </w:rPr>
      </w:pPr>
      <w:r>
        <w:rPr>
          <w:rFonts w:hint="eastAsia" w:ascii="宋体" w:hAnsi="宋体" w:eastAsia="宋体" w:cs="宋体"/>
          <w:color w:val="auto"/>
          <w:sz w:val="44"/>
          <w:highlight w:val="none"/>
        </w:rPr>
        <w:br w:type="page"/>
      </w:r>
    </w:p>
    <w:p>
      <w:pPr>
        <w:spacing w:line="360" w:lineRule="auto"/>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投诉书（格式）</w:t>
      </w:r>
    </w:p>
    <w:p>
      <w:pPr>
        <w:pStyle w:val="16"/>
        <w:snapToGrid w:val="0"/>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一、投诉相关主体基本情况：</w:t>
      </w:r>
    </w:p>
    <w:p>
      <w:pPr>
        <w:pStyle w:val="16"/>
        <w:snapToGrid w:val="0"/>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供应商：</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pPr>
        <w:pStyle w:val="16"/>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地址：</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邮编：</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pPr>
        <w:pStyle w:val="16"/>
        <w:snapToGrid w:val="0"/>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法定代表人/主要负责人：</w:t>
      </w:r>
      <w:r>
        <w:rPr>
          <w:rFonts w:hint="eastAsia" w:ascii="宋体" w:hAnsi="宋体" w:eastAsia="宋体" w:cs="宋体"/>
          <w:bCs/>
          <w:color w:val="auto"/>
          <w:sz w:val="24"/>
          <w:szCs w:val="24"/>
          <w:highlight w:val="none"/>
          <w:u w:val="single"/>
        </w:rPr>
        <w:t xml:space="preserve">                                                         </w:t>
      </w:r>
    </w:p>
    <w:p>
      <w:pPr>
        <w:pStyle w:val="16"/>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联系电话：</w:t>
      </w:r>
      <w:r>
        <w:rPr>
          <w:rFonts w:hint="eastAsia" w:ascii="宋体" w:hAnsi="宋体" w:eastAsia="宋体" w:cs="宋体"/>
          <w:bCs/>
          <w:color w:val="auto"/>
          <w:sz w:val="24"/>
          <w:szCs w:val="24"/>
          <w:highlight w:val="none"/>
          <w:u w:val="single"/>
        </w:rPr>
        <w:t xml:space="preserve">                                         </w:t>
      </w:r>
    </w:p>
    <w:p>
      <w:pPr>
        <w:pStyle w:val="16"/>
        <w:snapToGrid w:val="0"/>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授权代表：</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联系电话：</w:t>
      </w:r>
      <w:r>
        <w:rPr>
          <w:rFonts w:hint="eastAsia" w:ascii="宋体" w:hAnsi="宋体" w:eastAsia="宋体" w:cs="宋体"/>
          <w:bCs/>
          <w:color w:val="auto"/>
          <w:sz w:val="24"/>
          <w:szCs w:val="24"/>
          <w:highlight w:val="none"/>
          <w:u w:val="single"/>
        </w:rPr>
        <w:t xml:space="preserve">                   </w:t>
      </w:r>
    </w:p>
    <w:p>
      <w:pPr>
        <w:pStyle w:val="16"/>
        <w:snapToGrid w:val="0"/>
        <w:spacing w:line="360" w:lineRule="auto"/>
        <w:ind w:firstLine="480" w:firstLineChars="200"/>
        <w:rPr>
          <w:rFonts w:hint="eastAsia" w:ascii="宋体" w:hAnsi="宋体" w:eastAsia="宋体" w:cs="宋体"/>
          <w:bCs/>
          <w:color w:val="auto"/>
          <w:sz w:val="24"/>
          <w:szCs w:val="24"/>
          <w:highlight w:val="none"/>
          <w:u w:val="single"/>
          <w:lang w:eastAsia="zh-CN"/>
        </w:rPr>
      </w:pPr>
      <w:r>
        <w:rPr>
          <w:rFonts w:hint="eastAsia" w:ascii="宋体" w:hAnsi="宋体" w:eastAsia="宋体" w:cs="宋体"/>
          <w:bCs/>
          <w:color w:val="auto"/>
          <w:sz w:val="24"/>
          <w:szCs w:val="24"/>
          <w:highlight w:val="none"/>
        </w:rPr>
        <w:t>地址：</w:t>
      </w:r>
      <w:r>
        <w:rPr>
          <w:rFonts w:hint="eastAsia" w:ascii="宋体" w:hAnsi="宋体" w:eastAsia="宋体" w:cs="宋体"/>
          <w:bCs/>
          <w:color w:val="auto"/>
          <w:sz w:val="24"/>
          <w:szCs w:val="24"/>
          <w:highlight w:val="none"/>
          <w:u w:val="single"/>
        </w:rPr>
        <w:t xml:space="preserve">                                                            </w:t>
      </w:r>
    </w:p>
    <w:p>
      <w:pPr>
        <w:pStyle w:val="16"/>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邮编：</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pPr>
        <w:pStyle w:val="16"/>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被投诉人1：</w:t>
      </w:r>
    </w:p>
    <w:p>
      <w:pPr>
        <w:pStyle w:val="16"/>
        <w:snapToGrid w:val="0"/>
        <w:spacing w:line="360" w:lineRule="auto"/>
        <w:ind w:firstLine="480" w:firstLineChars="200"/>
        <w:rPr>
          <w:rFonts w:hint="eastAsia" w:ascii="宋体" w:hAnsi="宋体" w:eastAsia="宋体" w:cs="宋体"/>
          <w:bCs/>
          <w:color w:val="auto"/>
          <w:sz w:val="24"/>
          <w:szCs w:val="24"/>
          <w:highlight w:val="none"/>
          <w:u w:val="single"/>
          <w:lang w:eastAsia="zh-CN"/>
        </w:rPr>
      </w:pPr>
      <w:r>
        <w:rPr>
          <w:rFonts w:hint="eastAsia" w:ascii="宋体" w:hAnsi="宋体" w:eastAsia="宋体" w:cs="宋体"/>
          <w:bCs/>
          <w:color w:val="auto"/>
          <w:sz w:val="24"/>
          <w:szCs w:val="24"/>
          <w:highlight w:val="none"/>
        </w:rPr>
        <w:t>地址：</w:t>
      </w:r>
      <w:r>
        <w:rPr>
          <w:rFonts w:hint="eastAsia" w:ascii="宋体" w:hAnsi="宋体" w:eastAsia="宋体" w:cs="宋体"/>
          <w:bCs/>
          <w:color w:val="auto"/>
          <w:sz w:val="24"/>
          <w:szCs w:val="24"/>
          <w:highlight w:val="none"/>
          <w:u w:val="single"/>
        </w:rPr>
        <w:t xml:space="preserve">                                                            </w:t>
      </w:r>
    </w:p>
    <w:p>
      <w:pPr>
        <w:pStyle w:val="16"/>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邮编：</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pPr>
        <w:pStyle w:val="16"/>
        <w:snapToGrid w:val="0"/>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联系人：</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联系电话：</w:t>
      </w:r>
      <w:r>
        <w:rPr>
          <w:rFonts w:hint="eastAsia" w:ascii="宋体" w:hAnsi="宋体" w:eastAsia="宋体" w:cs="宋体"/>
          <w:bCs/>
          <w:color w:val="auto"/>
          <w:sz w:val="24"/>
          <w:szCs w:val="24"/>
          <w:highlight w:val="none"/>
          <w:u w:val="single"/>
        </w:rPr>
        <w:t xml:space="preserve">                </w:t>
      </w:r>
    </w:p>
    <w:p>
      <w:pPr>
        <w:pStyle w:val="16"/>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被投诉人2：</w:t>
      </w:r>
    </w:p>
    <w:p>
      <w:pPr>
        <w:pStyle w:val="16"/>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p>
      <w:pPr>
        <w:pStyle w:val="16"/>
        <w:snapToGrid w:val="0"/>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相关供应商：</w:t>
      </w:r>
      <w:r>
        <w:rPr>
          <w:rFonts w:hint="eastAsia" w:ascii="宋体" w:hAnsi="宋体" w:eastAsia="宋体" w:cs="宋体"/>
          <w:bCs/>
          <w:color w:val="auto"/>
          <w:sz w:val="24"/>
          <w:szCs w:val="24"/>
          <w:highlight w:val="none"/>
          <w:u w:val="single"/>
        </w:rPr>
        <w:t xml:space="preserve">                                                                       </w:t>
      </w:r>
    </w:p>
    <w:p>
      <w:pPr>
        <w:pStyle w:val="16"/>
        <w:snapToGrid w:val="0"/>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地址：</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邮编：</w:t>
      </w:r>
      <w:r>
        <w:rPr>
          <w:rFonts w:hint="eastAsia" w:ascii="宋体" w:hAnsi="宋体" w:eastAsia="宋体" w:cs="宋体"/>
          <w:bCs/>
          <w:color w:val="auto"/>
          <w:sz w:val="24"/>
          <w:szCs w:val="24"/>
          <w:highlight w:val="none"/>
          <w:u w:val="single"/>
        </w:rPr>
        <w:t xml:space="preserve">                         </w:t>
      </w:r>
    </w:p>
    <w:p>
      <w:pPr>
        <w:pStyle w:val="16"/>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联系人：</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联系电话：</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pPr>
        <w:pStyle w:val="16"/>
        <w:snapToGrid w:val="0"/>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二、投诉项目基本情况：</w:t>
      </w:r>
    </w:p>
    <w:p>
      <w:pPr>
        <w:pStyle w:val="16"/>
        <w:spacing w:line="360" w:lineRule="auto"/>
        <w:ind w:left="25" w:leftChars="12" w:right="-309" w:rightChars="-147" w:firstLine="472" w:firstLineChars="197"/>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采购</w:t>
      </w:r>
      <w:r>
        <w:rPr>
          <w:rFonts w:hint="eastAsia" w:ascii="宋体" w:hAnsi="宋体" w:eastAsia="宋体" w:cs="宋体"/>
          <w:color w:val="auto"/>
          <w:sz w:val="24"/>
          <w:szCs w:val="24"/>
          <w:highlight w:val="none"/>
        </w:rPr>
        <w:t>项目的名称：</w:t>
      </w:r>
      <w:r>
        <w:rPr>
          <w:rFonts w:hint="eastAsia" w:ascii="宋体" w:hAnsi="宋体" w:eastAsia="宋体" w:cs="宋体"/>
          <w:bCs/>
          <w:color w:val="auto"/>
          <w:sz w:val="24"/>
          <w:szCs w:val="24"/>
          <w:highlight w:val="none"/>
          <w:u w:val="single"/>
        </w:rPr>
        <w:t xml:space="preserve">  </w:t>
      </w:r>
      <w:r>
        <w:rPr>
          <w:rFonts w:hint="eastAsia" w:hAnsi="宋体" w:eastAsia="宋体" w:cs="宋体"/>
          <w:bCs/>
          <w:color w:val="auto"/>
          <w:sz w:val="24"/>
          <w:szCs w:val="24"/>
          <w:highlight w:val="none"/>
          <w:u w:val="single"/>
          <w:lang w:val="en-US" w:eastAsia="zh-CN"/>
        </w:rPr>
        <w:t xml:space="preserve">                          </w:t>
      </w:r>
      <w:r>
        <w:rPr>
          <w:rFonts w:hint="eastAsia" w:ascii="宋体" w:hAnsi="宋体" w:eastAsia="宋体" w:cs="宋体"/>
          <w:bCs/>
          <w:color w:val="auto"/>
          <w:sz w:val="24"/>
          <w:szCs w:val="24"/>
          <w:highlight w:val="none"/>
          <w:u w:val="single"/>
        </w:rPr>
        <w:t xml:space="preserve"> </w:t>
      </w:r>
    </w:p>
    <w:p>
      <w:pPr>
        <w:pStyle w:val="16"/>
        <w:spacing w:line="360" w:lineRule="auto"/>
        <w:ind w:left="25" w:leftChars="12" w:firstLine="472" w:firstLineChars="197"/>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采购</w:t>
      </w:r>
      <w:r>
        <w:rPr>
          <w:rFonts w:hint="eastAsia" w:ascii="宋体" w:hAnsi="宋体" w:eastAsia="宋体" w:cs="宋体"/>
          <w:color w:val="auto"/>
          <w:sz w:val="24"/>
          <w:szCs w:val="24"/>
          <w:highlight w:val="none"/>
        </w:rPr>
        <w:t>项目的编号：</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u w:val="single"/>
          <w:lang w:val="en-US" w:eastAsia="zh-CN"/>
        </w:rPr>
        <w:t xml:space="preserve">                         </w:t>
      </w:r>
      <w:r>
        <w:rPr>
          <w:rFonts w:hint="eastAsia" w:ascii="宋体" w:hAnsi="宋体" w:eastAsia="宋体" w:cs="宋体"/>
          <w:bCs/>
          <w:color w:val="auto"/>
          <w:sz w:val="24"/>
          <w:szCs w:val="24"/>
          <w:highlight w:val="none"/>
          <w:u w:val="single"/>
        </w:rPr>
        <w:t xml:space="preserve">   </w:t>
      </w:r>
    </w:p>
    <w:p>
      <w:pPr>
        <w:pStyle w:val="16"/>
        <w:spacing w:line="360" w:lineRule="auto"/>
        <w:ind w:left="25" w:leftChars="12" w:firstLine="472" w:firstLineChars="197"/>
        <w:rPr>
          <w:rFonts w:hint="eastAsia" w:ascii="宋体" w:hAnsi="宋体" w:eastAsia="宋体" w:cs="宋体"/>
          <w:bCs/>
          <w:color w:val="auto"/>
          <w:sz w:val="24"/>
          <w:szCs w:val="24"/>
          <w:highlight w:val="none"/>
          <w:u w:val="single"/>
        </w:rPr>
      </w:pPr>
      <w:r>
        <w:rPr>
          <w:rFonts w:hint="eastAsia" w:ascii="宋体" w:hAnsi="宋体" w:eastAsia="宋体" w:cs="宋体"/>
          <w:color w:val="auto"/>
          <w:sz w:val="24"/>
          <w:szCs w:val="24"/>
          <w:highlight w:val="none"/>
        </w:rPr>
        <w:t>采购人名称：</w:t>
      </w:r>
      <w:r>
        <w:rPr>
          <w:rFonts w:hint="eastAsia" w:ascii="宋体" w:hAnsi="宋体" w:eastAsia="宋体" w:cs="宋体"/>
          <w:bCs/>
          <w:color w:val="auto"/>
          <w:sz w:val="24"/>
          <w:szCs w:val="24"/>
          <w:highlight w:val="none"/>
          <w:u w:val="single"/>
        </w:rPr>
        <w:t xml:space="preserve"> </w:t>
      </w:r>
      <w:r>
        <w:rPr>
          <w:rFonts w:hint="eastAsia" w:hAnsi="宋体" w:eastAsia="宋体" w:cs="宋体"/>
          <w:bCs/>
          <w:color w:val="auto"/>
          <w:sz w:val="24"/>
          <w:szCs w:val="24"/>
          <w:highlight w:val="none"/>
          <w:u w:val="single"/>
          <w:lang w:val="en-US" w:eastAsia="zh-CN"/>
        </w:rPr>
        <w:t xml:space="preserve">             </w:t>
      </w:r>
      <w:r>
        <w:rPr>
          <w:rFonts w:hint="eastAsia" w:ascii="宋体" w:hAnsi="宋体" w:eastAsia="宋体" w:cs="宋体"/>
          <w:bCs/>
          <w:color w:val="auto"/>
          <w:sz w:val="24"/>
          <w:szCs w:val="24"/>
          <w:highlight w:val="none"/>
          <w:u w:val="single"/>
        </w:rPr>
        <w:t xml:space="preserve">            </w:t>
      </w:r>
      <w:r>
        <w:rPr>
          <w:rFonts w:hint="eastAsia" w:hAnsi="宋体" w:eastAsia="宋体" w:cs="宋体"/>
          <w:bCs/>
          <w:color w:val="auto"/>
          <w:sz w:val="24"/>
          <w:szCs w:val="24"/>
          <w:highlight w:val="none"/>
          <w:u w:val="single"/>
          <w:lang w:val="en-US" w:eastAsia="zh-CN"/>
        </w:rPr>
        <w:t xml:space="preserve">   </w:t>
      </w:r>
      <w:r>
        <w:rPr>
          <w:rFonts w:hint="eastAsia" w:ascii="宋体" w:hAnsi="宋体" w:eastAsia="宋体" w:cs="宋体"/>
          <w:bCs/>
          <w:color w:val="auto"/>
          <w:sz w:val="24"/>
          <w:szCs w:val="24"/>
          <w:highlight w:val="none"/>
          <w:u w:val="single"/>
        </w:rPr>
        <w:t xml:space="preserve">    </w:t>
      </w:r>
    </w:p>
    <w:p>
      <w:pPr>
        <w:pStyle w:val="16"/>
        <w:spacing w:line="360" w:lineRule="auto"/>
        <w:ind w:left="25" w:leftChars="12" w:firstLine="472" w:firstLineChars="197"/>
        <w:rPr>
          <w:rFonts w:hint="eastAsia" w:ascii="宋体" w:hAnsi="宋体" w:eastAsia="宋体" w:cs="宋体"/>
          <w:bCs/>
          <w:color w:val="auto"/>
          <w:sz w:val="24"/>
          <w:szCs w:val="24"/>
          <w:highlight w:val="none"/>
          <w:u w:val="single"/>
        </w:rPr>
      </w:pPr>
      <w:r>
        <w:rPr>
          <w:rFonts w:hint="eastAsia" w:ascii="宋体" w:hAnsi="宋体" w:eastAsia="宋体" w:cs="宋体"/>
          <w:color w:val="auto"/>
          <w:sz w:val="24"/>
          <w:szCs w:val="24"/>
          <w:highlight w:val="none"/>
        </w:rPr>
        <w:t>代理机构名称：</w:t>
      </w:r>
      <w:r>
        <w:rPr>
          <w:rFonts w:hint="eastAsia" w:ascii="宋体" w:hAnsi="宋体" w:eastAsia="宋体" w:cs="宋体"/>
          <w:bCs/>
          <w:color w:val="auto"/>
          <w:sz w:val="24"/>
          <w:szCs w:val="24"/>
          <w:highlight w:val="none"/>
          <w:u w:val="single"/>
        </w:rPr>
        <w:t xml:space="preserve"> </w:t>
      </w:r>
      <w:r>
        <w:rPr>
          <w:rFonts w:hint="eastAsia" w:hAnsi="宋体" w:eastAsia="宋体" w:cs="宋体"/>
          <w:bCs/>
          <w:color w:val="auto"/>
          <w:sz w:val="24"/>
          <w:szCs w:val="24"/>
          <w:highlight w:val="none"/>
          <w:u w:val="single"/>
          <w:lang w:val="en-US" w:eastAsia="zh-CN"/>
        </w:rPr>
        <w:t xml:space="preserve">                   </w:t>
      </w:r>
      <w:r>
        <w:rPr>
          <w:rFonts w:hint="eastAsia" w:ascii="宋体" w:hAnsi="宋体" w:eastAsia="宋体" w:cs="宋体"/>
          <w:bCs/>
          <w:color w:val="auto"/>
          <w:sz w:val="24"/>
          <w:szCs w:val="24"/>
          <w:highlight w:val="none"/>
          <w:u w:val="single"/>
        </w:rPr>
        <w:t xml:space="preserve">           </w:t>
      </w:r>
    </w:p>
    <w:p>
      <w:pPr>
        <w:pStyle w:val="16"/>
        <w:spacing w:line="360" w:lineRule="auto"/>
        <w:ind w:left="25" w:leftChars="12" w:firstLine="472" w:firstLineChars="197"/>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招标文件公告：</w:t>
      </w:r>
      <w:r>
        <w:rPr>
          <w:rFonts w:hint="eastAsia" w:ascii="宋体" w:hAnsi="宋体" w:eastAsia="宋体" w:cs="宋体"/>
          <w:bCs/>
          <w:color w:val="auto"/>
          <w:sz w:val="24"/>
          <w:szCs w:val="24"/>
          <w:highlight w:val="none"/>
          <w:u w:val="single"/>
        </w:rPr>
        <w:t>是/否</w:t>
      </w:r>
      <w:r>
        <w:rPr>
          <w:rFonts w:hint="eastAsia" w:ascii="宋体" w:hAnsi="宋体" w:eastAsia="宋体" w:cs="宋体"/>
          <w:bCs/>
          <w:color w:val="auto"/>
          <w:sz w:val="24"/>
          <w:szCs w:val="24"/>
          <w:highlight w:val="none"/>
        </w:rPr>
        <w:t>公告期限：</w:t>
      </w:r>
      <w:r>
        <w:rPr>
          <w:rFonts w:hint="eastAsia" w:ascii="宋体" w:hAnsi="宋体" w:eastAsia="宋体" w:cs="宋体"/>
          <w:bCs/>
          <w:color w:val="auto"/>
          <w:sz w:val="24"/>
          <w:szCs w:val="24"/>
          <w:highlight w:val="none"/>
          <w:u w:val="single"/>
        </w:rPr>
        <w:t xml:space="preserve">                                                       </w:t>
      </w:r>
    </w:p>
    <w:p>
      <w:pPr>
        <w:pStyle w:val="16"/>
        <w:spacing w:line="360" w:lineRule="auto"/>
        <w:ind w:left="25" w:leftChars="12" w:firstLine="472" w:firstLineChars="197"/>
        <w:rPr>
          <w:rFonts w:hint="eastAsia" w:ascii="宋体" w:hAnsi="宋体" w:eastAsia="宋体" w:cs="宋体"/>
          <w:b/>
          <w:color w:val="auto"/>
          <w:sz w:val="24"/>
          <w:szCs w:val="24"/>
          <w:highlight w:val="none"/>
        </w:rPr>
      </w:pPr>
      <w:r>
        <w:rPr>
          <w:rFonts w:hint="eastAsia" w:ascii="宋体" w:hAnsi="宋体" w:eastAsia="宋体" w:cs="宋体"/>
          <w:bCs/>
          <w:color w:val="auto"/>
          <w:sz w:val="24"/>
          <w:szCs w:val="24"/>
          <w:highlight w:val="none"/>
        </w:rPr>
        <w:t>采购结果公告：</w:t>
      </w:r>
      <w:r>
        <w:rPr>
          <w:rFonts w:hint="eastAsia" w:ascii="宋体" w:hAnsi="宋体" w:eastAsia="宋体" w:cs="宋体"/>
          <w:bCs/>
          <w:color w:val="auto"/>
          <w:sz w:val="24"/>
          <w:szCs w:val="24"/>
          <w:highlight w:val="none"/>
          <w:u w:val="single"/>
        </w:rPr>
        <w:t>是/否</w:t>
      </w:r>
      <w:r>
        <w:rPr>
          <w:rFonts w:hint="eastAsia" w:ascii="宋体" w:hAnsi="宋体" w:eastAsia="宋体" w:cs="宋体"/>
          <w:bCs/>
          <w:color w:val="auto"/>
          <w:sz w:val="24"/>
          <w:szCs w:val="24"/>
          <w:highlight w:val="none"/>
        </w:rPr>
        <w:t>公告期限：</w:t>
      </w:r>
      <w:r>
        <w:rPr>
          <w:rFonts w:hint="eastAsia" w:ascii="宋体" w:hAnsi="宋体" w:eastAsia="宋体" w:cs="宋体"/>
          <w:bCs/>
          <w:color w:val="auto"/>
          <w:sz w:val="24"/>
          <w:szCs w:val="24"/>
          <w:highlight w:val="none"/>
          <w:u w:val="single"/>
        </w:rPr>
        <w:t xml:space="preserve">                                                       </w:t>
      </w:r>
    </w:p>
    <w:p>
      <w:pPr>
        <w:pStyle w:val="16"/>
        <w:spacing w:line="360" w:lineRule="auto"/>
        <w:ind w:left="25" w:leftChars="12" w:firstLine="472" w:firstLineChars="196"/>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三、质疑基本情况</w:t>
      </w:r>
    </w:p>
    <w:p>
      <w:pPr>
        <w:pStyle w:val="16"/>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投诉人于</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日，向</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提出质疑，质疑事项为：</w:t>
      </w:r>
    </w:p>
    <w:p>
      <w:pPr>
        <w:pStyle w:val="16"/>
        <w:spacing w:line="360" w:lineRule="auto"/>
        <w:ind w:firstLine="241"/>
        <w:rPr>
          <w:rFonts w:hint="eastAsia" w:ascii="宋体" w:hAnsi="宋体" w:eastAsia="宋体" w:cs="宋体"/>
          <w:bCs/>
          <w:color w:val="auto"/>
          <w:sz w:val="24"/>
          <w:szCs w:val="24"/>
          <w:highlight w:val="none"/>
          <w:u w:val="single"/>
        </w:rPr>
      </w:pPr>
      <w:r>
        <w:rPr>
          <w:rFonts w:hint="eastAsia" w:ascii="宋体" w:hAnsi="宋体" w:eastAsia="宋体" w:cs="宋体"/>
          <w:color w:val="auto"/>
          <w:sz w:val="24"/>
          <w:szCs w:val="24"/>
          <w:highlight w:val="none"/>
        </w:rPr>
        <w:t xml:space="preserve">    </w:t>
      </w:r>
      <w:r>
        <w:rPr>
          <w:rFonts w:hint="eastAsia" w:ascii="宋体" w:hAnsi="宋体" w:eastAsia="宋体" w:cs="宋体"/>
          <w:bCs/>
          <w:color w:val="auto"/>
          <w:sz w:val="24"/>
          <w:szCs w:val="24"/>
          <w:highlight w:val="none"/>
          <w:u w:val="single"/>
        </w:rPr>
        <w:t xml:space="preserve">                                                                                      </w:t>
      </w:r>
    </w:p>
    <w:p>
      <w:pPr>
        <w:pStyle w:val="16"/>
        <w:spacing w:line="360" w:lineRule="auto"/>
        <w:ind w:firstLine="241"/>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 xml:space="preserve">    </w:t>
      </w:r>
      <w:r>
        <w:rPr>
          <w:rFonts w:hint="eastAsia" w:ascii="宋体" w:hAnsi="宋体" w:eastAsia="宋体" w:cs="宋体"/>
          <w:bCs/>
          <w:color w:val="auto"/>
          <w:sz w:val="24"/>
          <w:szCs w:val="24"/>
          <w:highlight w:val="none"/>
          <w:u w:val="single"/>
        </w:rPr>
        <w:t xml:space="preserve">                                                                                      </w:t>
      </w:r>
    </w:p>
    <w:p>
      <w:pPr>
        <w:pStyle w:val="16"/>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u w:val="single"/>
        </w:rPr>
        <w:t>采购人/代理机构</w:t>
      </w:r>
      <w:r>
        <w:rPr>
          <w:rFonts w:hint="eastAsia" w:ascii="宋体" w:hAnsi="宋体" w:eastAsia="宋体" w:cs="宋体"/>
          <w:bCs/>
          <w:color w:val="auto"/>
          <w:sz w:val="24"/>
          <w:szCs w:val="24"/>
          <w:highlight w:val="none"/>
        </w:rPr>
        <w:t>于</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r>
        <w:rPr>
          <w:rFonts w:hint="eastAsia" w:ascii="宋体" w:hAnsi="宋体" w:eastAsia="宋体" w:cs="宋体"/>
          <w:bCs/>
          <w:color w:val="auto"/>
          <w:sz w:val="24"/>
          <w:szCs w:val="24"/>
          <w:highlight w:val="none"/>
        </w:rPr>
        <w:t xml:space="preserve">就质疑事项作出了答复/没有在法定期限内作出答复。                                                                                             </w:t>
      </w:r>
    </w:p>
    <w:p>
      <w:pPr>
        <w:pStyle w:val="16"/>
        <w:spacing w:line="360" w:lineRule="auto"/>
        <w:ind w:left="25" w:leftChars="12" w:firstLine="472" w:firstLineChars="196"/>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四、投诉事项具体内容</w:t>
      </w:r>
    </w:p>
    <w:p>
      <w:pPr>
        <w:pStyle w:val="16"/>
        <w:spacing w:line="360" w:lineRule="auto"/>
        <w:ind w:left="25" w:leftChars="12" w:firstLine="472" w:firstLineChars="197"/>
        <w:rPr>
          <w:rFonts w:hint="eastAsia" w:ascii="宋体" w:hAnsi="宋体" w:eastAsia="宋体" w:cs="宋体"/>
          <w:bCs/>
          <w:color w:val="auto"/>
          <w:sz w:val="24"/>
          <w:szCs w:val="24"/>
          <w:highlight w:val="none"/>
          <w:u w:val="single"/>
        </w:rPr>
      </w:pPr>
      <w:r>
        <w:rPr>
          <w:rFonts w:hint="eastAsia" w:ascii="宋体" w:hAnsi="宋体" w:eastAsia="宋体" w:cs="宋体"/>
          <w:color w:val="auto"/>
          <w:sz w:val="24"/>
          <w:szCs w:val="24"/>
          <w:highlight w:val="none"/>
        </w:rPr>
        <w:t>投诉事项1：</w:t>
      </w:r>
      <w:r>
        <w:rPr>
          <w:rFonts w:hint="eastAsia" w:ascii="宋体" w:hAnsi="宋体" w:eastAsia="宋体" w:cs="宋体"/>
          <w:bCs/>
          <w:color w:val="auto"/>
          <w:sz w:val="24"/>
          <w:szCs w:val="24"/>
          <w:highlight w:val="none"/>
          <w:u w:val="single"/>
        </w:rPr>
        <w:t xml:space="preserve">                                                                           </w:t>
      </w:r>
    </w:p>
    <w:p>
      <w:pPr>
        <w:pStyle w:val="16"/>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事实依据：</w:t>
      </w:r>
      <w:r>
        <w:rPr>
          <w:rFonts w:hint="eastAsia" w:ascii="宋体" w:hAnsi="宋体" w:eastAsia="宋体" w:cs="宋体"/>
          <w:color w:val="auto"/>
          <w:sz w:val="24"/>
          <w:szCs w:val="24"/>
          <w:highlight w:val="none"/>
        </w:rPr>
        <w:t xml:space="preserve"> </w:t>
      </w:r>
      <w:r>
        <w:rPr>
          <w:rFonts w:hint="eastAsia" w:ascii="宋体" w:hAnsi="宋体" w:eastAsia="宋体" w:cs="宋体"/>
          <w:bCs/>
          <w:color w:val="auto"/>
          <w:sz w:val="24"/>
          <w:szCs w:val="24"/>
          <w:highlight w:val="none"/>
          <w:u w:val="single"/>
        </w:rPr>
        <w:t xml:space="preserve">                                                                                      </w:t>
      </w:r>
    </w:p>
    <w:p>
      <w:pPr>
        <w:pStyle w:val="16"/>
        <w:spacing w:line="360" w:lineRule="auto"/>
        <w:ind w:left="25" w:leftChars="12" w:firstLine="472" w:firstLineChars="197"/>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u w:val="single"/>
        </w:rPr>
        <w:t xml:space="preserve">                                                                                        </w:t>
      </w:r>
    </w:p>
    <w:p>
      <w:pPr>
        <w:pStyle w:val="16"/>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法律依据：</w:t>
      </w:r>
      <w:r>
        <w:rPr>
          <w:rFonts w:hint="eastAsia" w:ascii="宋体" w:hAnsi="宋体" w:eastAsia="宋体" w:cs="宋体"/>
          <w:color w:val="auto"/>
          <w:sz w:val="24"/>
          <w:szCs w:val="24"/>
          <w:highlight w:val="none"/>
        </w:rPr>
        <w:t xml:space="preserve"> </w:t>
      </w:r>
      <w:r>
        <w:rPr>
          <w:rFonts w:hint="eastAsia" w:ascii="宋体" w:hAnsi="宋体" w:eastAsia="宋体" w:cs="宋体"/>
          <w:bCs/>
          <w:color w:val="auto"/>
          <w:sz w:val="24"/>
          <w:szCs w:val="24"/>
          <w:highlight w:val="none"/>
          <w:u w:val="single"/>
        </w:rPr>
        <w:t xml:space="preserve">                                                                                      </w:t>
      </w:r>
    </w:p>
    <w:p>
      <w:pPr>
        <w:pStyle w:val="16"/>
        <w:spacing w:line="360" w:lineRule="auto"/>
        <w:ind w:left="25" w:leftChars="12" w:firstLine="352" w:firstLineChars="147"/>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 xml:space="preserve"> </w:t>
      </w:r>
      <w:r>
        <w:rPr>
          <w:rFonts w:hint="eastAsia" w:ascii="宋体" w:hAnsi="宋体" w:eastAsia="宋体" w:cs="宋体"/>
          <w:bCs/>
          <w:color w:val="auto"/>
          <w:sz w:val="24"/>
          <w:szCs w:val="24"/>
          <w:highlight w:val="none"/>
          <w:u w:val="single"/>
        </w:rPr>
        <w:t xml:space="preserve">                                                                                        </w:t>
      </w:r>
    </w:p>
    <w:p>
      <w:pPr>
        <w:pStyle w:val="16"/>
        <w:spacing w:line="360" w:lineRule="auto"/>
        <w:ind w:left="25" w:leftChars="12" w:firstLine="472" w:firstLineChars="197"/>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t xml:space="preserve">投诉事项2  </w:t>
      </w:r>
      <w:r>
        <w:rPr>
          <w:rFonts w:hint="eastAsia" w:ascii="宋体" w:hAnsi="宋体" w:eastAsia="宋体" w:cs="宋体"/>
          <w:bCs/>
          <w:color w:val="auto"/>
          <w:sz w:val="24"/>
          <w:szCs w:val="24"/>
          <w:highlight w:val="none"/>
        </w:rPr>
        <w:t xml:space="preserve">   </w:t>
      </w:r>
    </w:p>
    <w:p>
      <w:pPr>
        <w:pStyle w:val="16"/>
        <w:spacing w:line="360" w:lineRule="auto"/>
        <w:ind w:left="25" w:leftChars="12" w:firstLine="472" w:firstLineChars="197"/>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p>
      <w:pPr>
        <w:pStyle w:val="16"/>
        <w:spacing w:line="360" w:lineRule="auto"/>
        <w:ind w:left="25" w:leftChars="12" w:firstLine="472" w:firstLineChars="196"/>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五、与投诉事项相关的投诉请求：</w:t>
      </w:r>
    </w:p>
    <w:p>
      <w:pPr>
        <w:pStyle w:val="16"/>
        <w:spacing w:line="360" w:lineRule="auto"/>
        <w:ind w:left="25" w:leftChars="12" w:firstLine="472" w:firstLineChars="19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请求：</w:t>
      </w:r>
      <w:r>
        <w:rPr>
          <w:rFonts w:hint="eastAsia" w:ascii="宋体" w:hAnsi="宋体" w:eastAsia="宋体" w:cs="宋体"/>
          <w:bCs/>
          <w:color w:val="auto"/>
          <w:sz w:val="24"/>
          <w:szCs w:val="24"/>
          <w:highlight w:val="none"/>
          <w:u w:val="single"/>
        </w:rPr>
        <w:t xml:space="preserve">                                                                                 </w:t>
      </w:r>
    </w:p>
    <w:p>
      <w:pPr>
        <w:pStyle w:val="16"/>
        <w:spacing w:line="360" w:lineRule="auto"/>
        <w:ind w:left="25" w:leftChars="12" w:firstLine="352" w:firstLineChars="147"/>
        <w:rPr>
          <w:rFonts w:hint="eastAsia" w:ascii="宋体" w:hAnsi="宋体" w:eastAsia="宋体" w:cs="宋体"/>
          <w:color w:val="auto"/>
          <w:sz w:val="24"/>
          <w:szCs w:val="24"/>
          <w:highlight w:val="none"/>
        </w:rPr>
      </w:pPr>
    </w:p>
    <w:p>
      <w:pPr>
        <w:pStyle w:val="16"/>
        <w:spacing w:line="360" w:lineRule="auto"/>
        <w:ind w:left="25" w:leftChars="12" w:firstLine="472" w:firstLineChars="19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签字（签章）：                                       公章：</w:t>
      </w:r>
    </w:p>
    <w:p>
      <w:pPr>
        <w:pStyle w:val="16"/>
        <w:spacing w:line="360" w:lineRule="auto"/>
        <w:ind w:left="25" w:leftChars="12" w:firstLine="352" w:firstLineChars="147"/>
        <w:rPr>
          <w:rFonts w:hint="eastAsia" w:ascii="宋体" w:hAnsi="宋体" w:eastAsia="宋体" w:cs="宋体"/>
          <w:color w:val="auto"/>
          <w:sz w:val="24"/>
          <w:szCs w:val="24"/>
          <w:highlight w:val="none"/>
        </w:rPr>
      </w:pPr>
    </w:p>
    <w:p>
      <w:pPr>
        <w:pStyle w:val="16"/>
        <w:spacing w:line="360" w:lineRule="auto"/>
        <w:ind w:left="25" w:leftChars="12" w:firstLine="472" w:firstLineChars="19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w:t>
      </w:r>
    </w:p>
    <w:p>
      <w:pPr>
        <w:pStyle w:val="16"/>
        <w:spacing w:line="360" w:lineRule="auto"/>
        <w:ind w:left="25" w:leftChars="12" w:firstLine="472" w:firstLineChars="197"/>
        <w:rPr>
          <w:rFonts w:hint="eastAsia" w:ascii="宋体" w:hAnsi="宋体" w:eastAsia="宋体" w:cs="宋体"/>
          <w:b/>
          <w:color w:val="auto"/>
          <w:sz w:val="24"/>
          <w:szCs w:val="24"/>
          <w:highlight w:val="none"/>
        </w:rPr>
      </w:pPr>
      <w:r>
        <w:rPr>
          <w:rFonts w:hint="eastAsia" w:ascii="宋体" w:hAnsi="宋体" w:eastAsia="宋体" w:cs="宋体"/>
          <w:bCs/>
          <w:color w:val="auto"/>
          <w:sz w:val="24"/>
          <w:szCs w:val="24"/>
          <w:highlight w:val="none"/>
        </w:rPr>
        <w:t xml:space="preserve">                                                                                 </w:t>
      </w:r>
    </w:p>
    <w:p>
      <w:pPr>
        <w:pStyle w:val="16"/>
        <w:snapToGrid w:val="0"/>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说明：</w:t>
      </w:r>
    </w:p>
    <w:p>
      <w:pPr>
        <w:pStyle w:val="16"/>
        <w:spacing w:line="360" w:lineRule="auto"/>
        <w:ind w:left="25" w:leftChars="12" w:firstLine="354" w:firstLineChars="147"/>
        <w:rPr>
          <w:rFonts w:hint="eastAsia" w:ascii="宋体" w:hAnsi="宋体" w:eastAsia="宋体" w:cs="宋体"/>
          <w:b/>
          <w:bCs/>
          <w:color w:val="auto"/>
          <w:sz w:val="24"/>
          <w:szCs w:val="24"/>
          <w:highlight w:val="none"/>
        </w:rPr>
      </w:pPr>
      <w:r>
        <w:rPr>
          <w:rFonts w:hint="eastAsia" w:ascii="宋体" w:hAnsi="宋体" w:eastAsia="宋体" w:cs="宋体"/>
          <w:b/>
          <w:color w:val="auto"/>
          <w:sz w:val="24"/>
          <w:szCs w:val="24"/>
          <w:highlight w:val="none"/>
        </w:rPr>
        <w:t>1.投诉人提起投诉时，应当提交投诉书和必要的证明材料，并按照被投诉人和与投诉事项有关的供应商数量提供投诉书副本</w:t>
      </w:r>
      <w:r>
        <w:rPr>
          <w:rFonts w:hint="eastAsia" w:ascii="宋体" w:hAnsi="宋体" w:eastAsia="宋体" w:cs="宋体"/>
          <w:b/>
          <w:bCs/>
          <w:color w:val="auto"/>
          <w:sz w:val="24"/>
          <w:szCs w:val="24"/>
          <w:highlight w:val="none"/>
        </w:rPr>
        <w:t>。</w:t>
      </w:r>
    </w:p>
    <w:p>
      <w:pPr>
        <w:pStyle w:val="16"/>
        <w:spacing w:line="360" w:lineRule="auto"/>
        <w:ind w:left="25" w:leftChars="12" w:firstLine="354" w:firstLineChars="147"/>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pPr>
        <w:pStyle w:val="16"/>
        <w:spacing w:line="360" w:lineRule="auto"/>
        <w:ind w:left="25" w:leftChars="12" w:firstLine="354" w:firstLineChars="147"/>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3.投诉书应简要列明质疑事项，质疑函、质疑答复等作为附件材料提供。</w:t>
      </w:r>
    </w:p>
    <w:p>
      <w:pPr>
        <w:pStyle w:val="16"/>
        <w:spacing w:line="360" w:lineRule="auto"/>
        <w:ind w:left="25" w:leftChars="12" w:firstLine="354" w:firstLineChars="147"/>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4.投诉书的投诉事项应具体、明确，并有必要的事实依据和法律依据。</w:t>
      </w:r>
    </w:p>
    <w:p>
      <w:pPr>
        <w:pStyle w:val="16"/>
        <w:spacing w:line="360" w:lineRule="auto"/>
        <w:ind w:left="25" w:leftChars="12" w:firstLine="354" w:firstLineChars="147"/>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5.投诉书的投诉请求应与投诉事项相关。</w:t>
      </w:r>
    </w:p>
    <w:p>
      <w:pPr>
        <w:pStyle w:val="16"/>
        <w:spacing w:line="360" w:lineRule="auto"/>
        <w:ind w:left="25" w:leftChars="12" w:firstLine="354" w:firstLineChars="147"/>
        <w:rPr>
          <w:rFonts w:hint="eastAsia" w:ascii="宋体" w:hAnsi="宋体" w:eastAsia="宋体" w:cs="宋体"/>
          <w:color w:val="auto"/>
          <w:highlight w:val="none"/>
        </w:rPr>
      </w:pPr>
      <w:r>
        <w:rPr>
          <w:rFonts w:hint="eastAsia" w:ascii="宋体" w:hAnsi="宋体" w:eastAsia="宋体" w:cs="宋体"/>
          <w:b/>
          <w:color w:val="auto"/>
          <w:sz w:val="24"/>
          <w:szCs w:val="24"/>
          <w:highlight w:val="none"/>
        </w:rPr>
        <w:t>6.投诉人为法人或者其他组织的，投诉书应由法定代表人、主要负责人，或者其授权代表签字或者盖章，并加盖公章。</w:t>
      </w:r>
    </w:p>
    <w:p>
      <w:pPr>
        <w:rPr>
          <w:rFonts w:hint="eastAsia"/>
          <w:color w:val="auto"/>
          <w:highlight w:val="none"/>
        </w:rPr>
      </w:pPr>
    </w:p>
    <w:sectPr>
      <w:footerReference r:id="rId15" w:type="first"/>
      <w:footerReference r:id="rId14" w:type="default"/>
      <w:pgSz w:w="11910" w:h="16840"/>
      <w:pgMar w:top="1340" w:right="1500" w:bottom="280" w:left="1680" w:header="720" w:footer="720" w:gutter="0"/>
      <w:pgNumType w:fmt="decimal"/>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Segoe UI Symbol">
    <w:panose1 w:val="020B0502040204020203"/>
    <w:charset w:val="00"/>
    <w:family w:val="swiss"/>
    <w:pitch w:val="default"/>
    <w:sig w:usb0="800001E3" w:usb1="1200FFEF" w:usb2="00040000" w:usb3="04000000" w:csb0="00000001" w:csb1="40000000"/>
  </w:font>
  <w:font w:name="Wingdings 2">
    <w:altName w:val="Wingdings"/>
    <w:panose1 w:val="05020102010507070707"/>
    <w:charset w:val="02"/>
    <w:family w:val="auto"/>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tabs>
        <w:tab w:val="center" w:pos="4439"/>
        <w:tab w:val="clear" w:pos="4153"/>
      </w:tabs>
      <w:jc w:val="both"/>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tabs>
        <w:tab w:val="center" w:pos="4439"/>
        <w:tab w:val="clear" w:pos="4153"/>
      </w:tabs>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51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txbxContent>
                    </wps:txbx>
                    <wps:bodyPr wrap="none" lIns="0" tIns="0" rIns="0" bIns="0" upright="1">
                      <a:spAutoFit/>
                    </wps:bodyPr>
                  </wps:wsp>
                </a:graphicData>
              </a:graphic>
            </wp:anchor>
          </w:drawing>
        </mc:Choice>
        <mc:Fallback>
          <w:pict>
            <v:shape id="文本框 5124"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6pebnPAAAABQEAAA8AAAAAAAAAAQAgAAAAIgAAAGRycy9kb3ducmV2LnhtbFBLAQIUABQA&#10;AAAIAIdO4kDGLaMuwAEAAGUDAAAOAAAAAAAAAAEAIAAAAB4BAABkcnMvZTJvRG9jLnhtbFBLBQYA&#10;AAAABgAGAFkBAABQBQAAAAA=&#10;">
              <v:fill on="f" focussize="0,0"/>
              <v:stroke on="f"/>
              <v:imagedata o:title=""/>
              <o:lock v:ext="edit" aspectratio="f"/>
              <v:textbox inset="0mm,0mm,0mm,0mm" style="mso-fit-shape-to-text:t;">
                <w:txbxContent>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tabs>
        <w:tab w:val="center" w:pos="4439"/>
        <w:tab w:val="clear" w:pos="4153"/>
      </w:tabs>
      <w:jc w:val="both"/>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CzSVju0AAAAAUBAAAPAAAAAAAAAAEA&#10;IAAAACIAAABkcnMvZG93bnJldi54bWxQSwECFAAUAAAACACHTuJA/ufGT8ICAADWBQAADgAAAAAA&#10;AAABACAAAAAfAQAAZHJzL2Uyb0RvYy54bWxQSwUGAAAAAAYABgBZAQAAUwYAAAAA&#10;">
              <v:fill on="f" focussize="0,0"/>
              <v:stroke on="f" weight="0.5pt"/>
              <v:imagedata o:title=""/>
              <o:lock v:ext="edit" aspectratio="f"/>
              <v:textbox inset="0mm,0mm,0mm,0mm" style="mso-fit-shape-to-text:t;">
                <w:txbxContent>
                  <w:p>
                    <w:pPr>
                      <w:pStyle w:val="1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6" w:lineRule="exact"/>
      <w:ind w:left="715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16</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CzSVju0AAAAAUBAAAPAAAAAAAAAAEA&#10;IAAAACIAAABkcnMvZG93bnJldi54bWxQSwECFAAUAAAACACHTuJAkR0XoMICAADWBQAADgAAAAAA&#10;AAABACAAAAAfAQAAZHJzL2Uyb0RvYy54bWxQSwUGAAAAAAYABgBZAQAAUwYAAAAA&#10;">
              <v:fill on="f" focussize="0,0"/>
              <v:stroke on="f" weight="0.5pt"/>
              <v:imagedata o:title=""/>
              <o:lock v:ext="edit" aspectratio="f"/>
              <v:textbox inset="0mm,0mm,0mm,0mm" style="mso-fit-shape-to-text:t;">
                <w:txbxContent>
                  <w:p>
                    <w:pPr>
                      <w:pStyle w:val="1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16</w:t>
                    </w:r>
                    <w:r>
                      <w:rPr>
                        <w:rFonts w:hint="eastAsia"/>
                        <w:lang w:eastAsia="zh-CN"/>
                      </w:rPr>
                      <w:fldChar w:fldCharType="end"/>
                    </w:r>
                  </w:p>
                </w:txbxContent>
              </v:textbox>
            </v:shape>
          </w:pict>
        </mc:Fallback>
      </mc:AlternateContent>
    </w:r>
    <w:r>
      <w:rPr>
        <w:rFonts w:ascii="Times New Roman" w:hAnsi="Times New Roman" w:eastAsia="Times New Roman" w:cs="Times New Roman"/>
        <w:spacing w:val="-2"/>
        <w:position w:val="1"/>
        <w:sz w:val="18"/>
        <w:szCs w:val="18"/>
      </w:rPr>
      <w:t>25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CzSVju0AAAAAUBAAAPAAAAAAAAAAEA&#10;IAAAACIAAABkcnMvZG93bnJldi54bWxQSwECFAAUAAAACACHTuJAi0l3TMICAADWBQAADgAAAAAA&#10;AAABACAAAAAfAQAAZHJzL2Uyb0RvYy54bWxQSwUGAAAAAAYABgBZAQAAUwYAAAAA&#10;">
              <v:fill on="f" focussize="0,0"/>
              <v:stroke on="f" weight="0.5pt"/>
              <v:imagedata o:title=""/>
              <o:lock v:ext="edit" aspectratio="f"/>
              <v:textbox inset="0mm,0mm,0mm,0mm" style="mso-fit-shape-to-text:t;">
                <w:txbxContent>
                  <w:p>
                    <w:pPr>
                      <w:pStyle w:val="1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32</w:t>
                    </w:r>
                    <w:r>
                      <w:rPr>
                        <w:rFonts w:hint="eastAsia"/>
                        <w:lang w:eastAsia="zh-CN"/>
                      </w:rPr>
                      <w:fldChar w:fldCharType="end"/>
                    </w:r>
                  </w:p>
                </w:txbxContent>
              </v:textbox>
            </v:shape>
          </w:pict>
        </mc:Fallback>
      </mc:AlternateContent>
    </w:r>
    <w:r>
      <w:rPr>
        <w:rFonts w:hint="eastAsia"/>
      </w:rPr>
      <w:t xml:space="preserve">  </w:t>
    </w:r>
  </w:p>
  <w:p>
    <w:pPr>
      <w:pStyle w:val="1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51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9"/>
                          </w:pPr>
                          <w:r>
                            <w:fldChar w:fldCharType="begin"/>
                          </w:r>
                          <w:r>
                            <w:instrText xml:space="preserve"> PAGE  \* MERGEFORMAT </w:instrText>
                          </w:r>
                          <w:r>
                            <w:fldChar w:fldCharType="separate"/>
                          </w:r>
                          <w:r>
                            <w:t>63</w:t>
                          </w:r>
                          <w:r>
                            <w:fldChar w:fldCharType="end"/>
                          </w:r>
                        </w:p>
                      </w:txbxContent>
                    </wps:txbx>
                    <wps:bodyPr wrap="none" lIns="0" tIns="0" rIns="0" bIns="0" upright="1">
                      <a:spAutoFit/>
                    </wps:bodyPr>
                  </wps:wsp>
                </a:graphicData>
              </a:graphic>
            </wp:anchor>
          </w:drawing>
        </mc:Choice>
        <mc:Fallback>
          <w:pict>
            <v:shape id="文本框 512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6pebnPAAAABQEAAA8AAAAAAAAAAQAgAAAAIgAAAGRycy9kb3ducmV2LnhtbFBLAQIUABQA&#10;AAAIAIdO4kB7Qz9CwAEAAGUDAAAOAAAAAAAAAAEAIAAAAB4BAABkcnMvZTJvRG9jLnhtbFBLBQYA&#10;AAAABgAGAFkBAABQBQAAAAA=&#10;">
              <v:fill on="f" focussize="0,0"/>
              <v:stroke on="f"/>
              <v:imagedata o:title=""/>
              <o:lock v:ext="edit" aspectratio="f"/>
              <v:textbox inset="0mm,0mm,0mm,0mm" style="mso-fit-shape-to-text:t;">
                <w:txbxContent>
                  <w:p>
                    <w:pPr>
                      <w:pStyle w:val="19"/>
                    </w:pPr>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109</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LNJWO7QAAAABQEAAA8AAAAAAAAAAQAg&#10;AAAAIgAAAGRycy9kb3ducmV2LnhtbFBLAQIUABQAAAAIAIdO4kAO78WkwQIAANYFAAAOAAAAAAAA&#10;AAEAIAAAAB8BAABkcnMvZTJvRG9jLnhtbFBLBQYAAAAABgAGAFkBAABSBgAAAAA=&#10;">
              <v:fill on="f" focussize="0,0"/>
              <v:stroke on="f" weight="0.5pt"/>
              <v:imagedata o:title=""/>
              <o:lock v:ext="edit" aspectratio="f"/>
              <v:textbox inset="0mm,0mm,0mm,0mm" style="mso-fit-shape-to-text:t;">
                <w:txbxContent>
                  <w:p>
                    <w:pPr>
                      <w:pStyle w:val="1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109</w:t>
                    </w:r>
                    <w:r>
                      <w:rPr>
                        <w:rFonts w:hint="eastAsia"/>
                        <w:lang w:eastAsia="zh-CN"/>
                      </w:rPr>
                      <w:fldChar w:fldCharType="end"/>
                    </w:r>
                  </w:p>
                </w:txbxContent>
              </v:textbox>
            </v:shape>
          </w:pict>
        </mc:Fallback>
      </mc:AlternateContent>
    </w:r>
  </w:p>
  <w:p>
    <w:pPr>
      <w:pStyle w:val="19"/>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51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9"/>
                            <w:rPr>
                              <w:rFonts w:hint="eastAsia"/>
                            </w:rPr>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wps:txbx>
                    <wps:bodyPr wrap="none" lIns="0" tIns="0" rIns="0" bIns="0" upright="0">
                      <a:spAutoFit/>
                    </wps:bodyPr>
                  </wps:wsp>
                </a:graphicData>
              </a:graphic>
            </wp:anchor>
          </w:drawing>
        </mc:Choice>
        <mc:Fallback>
          <w:pict>
            <v:shape id="文本框 512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M6pebnPAAAABQEA&#10;AA8AAAAAAAAAAQAgAAAAIgAAAGRycy9kb3ducmV2LnhtbFBLAQIUABQAAAAIAIdO4kBV9dbxsQEA&#10;AE4DAAAOAAAAAAAAAAEAIAAAAB4BAABkcnMvZTJvRG9jLnhtbFBLBQYAAAAABgAGAFkBAABBBQAA&#10;AAA=&#10;">
              <v:fill on="f" focussize="0,0"/>
              <v:stroke on="f"/>
              <v:imagedata o:title=""/>
              <o:lock v:ext="edit" aspectratio="f"/>
              <v:textbox inset="0mm,0mm,0mm,0mm" style="mso-fit-shape-to-text:t;">
                <w:txbxContent>
                  <w:p>
                    <w:pPr>
                      <w:pStyle w:val="19"/>
                      <w:rPr>
                        <w:rFonts w:hint="eastAsia"/>
                      </w:rPr>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enter" w:pos="0"/>
        <w:tab w:val="clear" w:pos="4153"/>
      </w:tabs>
      <w:rPr>
        <w:color w:val="auto"/>
        <w:highlight w:val="non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w:rPr>
        <w:rFonts w:hint="eastAsia"/>
      </w:rPr>
      <w:t>南宁市政府采购竞争性磋商采购文件（项目编号：</w:t>
    </w:r>
    <w:r>
      <w:rPr>
        <w:rFonts w:hint="eastAsia"/>
        <w:lang w:eastAsia="zh-CN"/>
      </w:rPr>
      <w:t>NNZC2025-C3-270095-XMZX</w:t>
    </w:r>
    <w:r>
      <w:rPr>
        <w:rFonts w:hint="eastAsia"/>
      </w:rPr>
      <w:t>）</w:t>
    </w:r>
  </w:p>
  <w:p>
    <w:pPr>
      <w:pStyle w:val="20"/>
      <w:pBdr>
        <w:bottom w:val="none" w:color="auto" w:sz="0" w:space="0"/>
      </w:pBdr>
      <w:rPr>
        <w:color w:val="auto"/>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w:rPr>
        <w:rFonts w:hint="eastAsia"/>
      </w:rPr>
      <w:t>南宁市政府采购竞争性磋商采购文件（项目编号：</w:t>
    </w:r>
    <w:r>
      <w:rPr>
        <w:rFonts w:hint="eastAsia"/>
        <w:lang w:eastAsia="zh-CN"/>
      </w:rPr>
      <w:t>NNZC2025-C3-270095-XMZX</w:t>
    </w:r>
    <w:r>
      <w:rPr>
        <w:rFonts w:hint="eastAsia"/>
      </w:rPr>
      <w:t>）</w:t>
    </w:r>
  </w:p>
  <w:p>
    <w:pPr>
      <w:pStyle w:val="20"/>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w:rPr>
        <w:rFonts w:hint="eastAsia"/>
      </w:rPr>
      <w:t>南宁市政府采购竞争性磋商采购文件（项目编号：</w:t>
    </w:r>
    <w:r>
      <w:rPr>
        <w:rFonts w:hint="eastAsia"/>
        <w:lang w:eastAsia="zh-CN"/>
      </w:rPr>
      <w:t>NNZC2025-C3-270095-XMZX</w:t>
    </w:r>
    <w:r>
      <w:rPr>
        <w:rFonts w:hint="eastAsia"/>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F21104E"/>
    <w:multiLevelType w:val="singleLevel"/>
    <w:tmpl w:val="9F21104E"/>
    <w:lvl w:ilvl="0" w:tentative="0">
      <w:start w:val="1"/>
      <w:numFmt w:val="decimal"/>
      <w:lvlText w:val="%1."/>
      <w:lvlJc w:val="left"/>
      <w:pPr>
        <w:tabs>
          <w:tab w:val="left" w:pos="312"/>
        </w:tabs>
      </w:pPr>
    </w:lvl>
  </w:abstractNum>
  <w:abstractNum w:abstractNumId="1">
    <w:nsid w:val="AE0DA47A"/>
    <w:multiLevelType w:val="singleLevel"/>
    <w:tmpl w:val="AE0DA47A"/>
    <w:lvl w:ilvl="0" w:tentative="0">
      <w:start w:val="2"/>
      <w:numFmt w:val="chineseCounting"/>
      <w:suff w:val="nothing"/>
      <w:lvlText w:val="%1、"/>
      <w:lvlJc w:val="left"/>
      <w:rPr>
        <w:rFonts w:hint="eastAsia"/>
      </w:rPr>
    </w:lvl>
  </w:abstractNum>
  <w:abstractNum w:abstractNumId="2">
    <w:nsid w:val="0000000B"/>
    <w:multiLevelType w:val="multilevel"/>
    <w:tmpl w:val="0000000B"/>
    <w:lvl w:ilvl="0" w:tentative="0">
      <w:start w:val="1"/>
      <w:numFmt w:val="decimal"/>
      <w:lvlText w:val="（%1）"/>
      <w:lvlJc w:val="left"/>
      <w:pPr>
        <w:tabs>
          <w:tab w:val="left" w:pos="1140"/>
        </w:tabs>
        <w:ind w:left="1140" w:hanging="720"/>
      </w:pPr>
      <w:rPr>
        <w:rFonts w:ascii="宋体" w:hAnsi="宋体" w:eastAsia="宋体" w:cs="Times New Roman"/>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3">
    <w:nsid w:val="4F3E32C9"/>
    <w:multiLevelType w:val="singleLevel"/>
    <w:tmpl w:val="4F3E32C9"/>
    <w:lvl w:ilvl="0" w:tentative="0">
      <w:start w:val="1"/>
      <w:numFmt w:val="decimal"/>
      <w:lvlText w:val="%1."/>
      <w:lvlJc w:val="left"/>
      <w:pPr>
        <w:tabs>
          <w:tab w:val="left" w:pos="312"/>
        </w:tabs>
      </w:pPr>
    </w:lvl>
  </w:abstractNum>
  <w:abstractNum w:abstractNumId="4">
    <w:nsid w:val="639863FA"/>
    <w:multiLevelType w:val="singleLevel"/>
    <w:tmpl w:val="639863FA"/>
    <w:lvl w:ilvl="0" w:tentative="0">
      <w:start w:val="2"/>
      <w:numFmt w:val="decimal"/>
      <w:lvlText w:val="%1."/>
      <w:lvlJc w:val="left"/>
      <w:pPr>
        <w:tabs>
          <w:tab w:val="left" w:pos="312"/>
        </w:tabs>
      </w:pPr>
    </w:lvl>
  </w:abstractNum>
  <w:abstractNum w:abstractNumId="5">
    <w:nsid w:val="6ABD4550"/>
    <w:multiLevelType w:val="singleLevel"/>
    <w:tmpl w:val="6ABD4550"/>
    <w:lvl w:ilvl="0" w:tentative="0">
      <w:start w:val="2"/>
      <w:numFmt w:val="chineseCounting"/>
      <w:suff w:val="nothing"/>
      <w:lvlText w:val="%1、"/>
      <w:lvlJc w:val="left"/>
      <w:rPr>
        <w:rFonts w:hint="eastAsia"/>
      </w:rPr>
    </w:lvl>
  </w:abstractNum>
  <w:num w:numId="1">
    <w:abstractNumId w:val="5"/>
  </w:num>
  <w:num w:numId="2">
    <w:abstractNumId w:val="1"/>
  </w:num>
  <w:num w:numId="3">
    <w:abstractNumId w:val="3"/>
  </w:num>
  <w:num w:numId="4">
    <w:abstractNumId w:val="0"/>
  </w:num>
  <w:num w:numId="5">
    <w:abstractNumId w:val="4"/>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1,3,4,5,6,7"/>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c4NGIyZGRmMTQ4NGViN2ZiNDMyZTgxMjI2YjNmNjcifQ=="/>
  </w:docVars>
  <w:rsids>
    <w:rsidRoot w:val="00F34B14"/>
    <w:rsid w:val="00000672"/>
    <w:rsid w:val="00001013"/>
    <w:rsid w:val="00001799"/>
    <w:rsid w:val="00001AF2"/>
    <w:rsid w:val="00001ECA"/>
    <w:rsid w:val="00002D29"/>
    <w:rsid w:val="00003B93"/>
    <w:rsid w:val="0000474D"/>
    <w:rsid w:val="00005FDF"/>
    <w:rsid w:val="000070B3"/>
    <w:rsid w:val="000076B8"/>
    <w:rsid w:val="0001047A"/>
    <w:rsid w:val="000109DC"/>
    <w:rsid w:val="00010D39"/>
    <w:rsid w:val="0001172C"/>
    <w:rsid w:val="00011A4D"/>
    <w:rsid w:val="00011BC9"/>
    <w:rsid w:val="00012854"/>
    <w:rsid w:val="00012EA6"/>
    <w:rsid w:val="00013359"/>
    <w:rsid w:val="000139CF"/>
    <w:rsid w:val="00013AA4"/>
    <w:rsid w:val="00013DFE"/>
    <w:rsid w:val="000141EA"/>
    <w:rsid w:val="00015094"/>
    <w:rsid w:val="00016ABC"/>
    <w:rsid w:val="000177DB"/>
    <w:rsid w:val="000179C9"/>
    <w:rsid w:val="00017CCC"/>
    <w:rsid w:val="00020227"/>
    <w:rsid w:val="00020263"/>
    <w:rsid w:val="00020455"/>
    <w:rsid w:val="00020527"/>
    <w:rsid w:val="00020813"/>
    <w:rsid w:val="000220B2"/>
    <w:rsid w:val="0002264C"/>
    <w:rsid w:val="00022731"/>
    <w:rsid w:val="00022792"/>
    <w:rsid w:val="00024463"/>
    <w:rsid w:val="00025461"/>
    <w:rsid w:val="00025636"/>
    <w:rsid w:val="00025E36"/>
    <w:rsid w:val="00026855"/>
    <w:rsid w:val="00026886"/>
    <w:rsid w:val="0002785D"/>
    <w:rsid w:val="000329E0"/>
    <w:rsid w:val="000352E9"/>
    <w:rsid w:val="00035494"/>
    <w:rsid w:val="00036125"/>
    <w:rsid w:val="00036A07"/>
    <w:rsid w:val="0003780B"/>
    <w:rsid w:val="00040571"/>
    <w:rsid w:val="00040973"/>
    <w:rsid w:val="0004156E"/>
    <w:rsid w:val="00041713"/>
    <w:rsid w:val="0004440C"/>
    <w:rsid w:val="00046B5E"/>
    <w:rsid w:val="000470CB"/>
    <w:rsid w:val="000509D9"/>
    <w:rsid w:val="00051ACB"/>
    <w:rsid w:val="000533E7"/>
    <w:rsid w:val="00055D41"/>
    <w:rsid w:val="00057CD6"/>
    <w:rsid w:val="00060DCE"/>
    <w:rsid w:val="000610E3"/>
    <w:rsid w:val="000614F3"/>
    <w:rsid w:val="000623B4"/>
    <w:rsid w:val="00062405"/>
    <w:rsid w:val="000634A7"/>
    <w:rsid w:val="00063B0B"/>
    <w:rsid w:val="00063F81"/>
    <w:rsid w:val="00064847"/>
    <w:rsid w:val="00065E08"/>
    <w:rsid w:val="000673E2"/>
    <w:rsid w:val="0007063F"/>
    <w:rsid w:val="000707FD"/>
    <w:rsid w:val="00070949"/>
    <w:rsid w:val="000711E4"/>
    <w:rsid w:val="000724D9"/>
    <w:rsid w:val="00072AED"/>
    <w:rsid w:val="00073F47"/>
    <w:rsid w:val="0007492F"/>
    <w:rsid w:val="00074ED8"/>
    <w:rsid w:val="00075B7E"/>
    <w:rsid w:val="00077ACA"/>
    <w:rsid w:val="00077C70"/>
    <w:rsid w:val="000813B5"/>
    <w:rsid w:val="00081BA3"/>
    <w:rsid w:val="00081D2E"/>
    <w:rsid w:val="00081F89"/>
    <w:rsid w:val="00082619"/>
    <w:rsid w:val="00082D02"/>
    <w:rsid w:val="00083871"/>
    <w:rsid w:val="00083B91"/>
    <w:rsid w:val="0008473C"/>
    <w:rsid w:val="0008520B"/>
    <w:rsid w:val="000860BD"/>
    <w:rsid w:val="000871B8"/>
    <w:rsid w:val="000916DA"/>
    <w:rsid w:val="00092442"/>
    <w:rsid w:val="000929EF"/>
    <w:rsid w:val="000933BE"/>
    <w:rsid w:val="00093CD4"/>
    <w:rsid w:val="0009560F"/>
    <w:rsid w:val="0009588E"/>
    <w:rsid w:val="000959EE"/>
    <w:rsid w:val="00097183"/>
    <w:rsid w:val="000972CB"/>
    <w:rsid w:val="00097608"/>
    <w:rsid w:val="000A13F3"/>
    <w:rsid w:val="000A23B1"/>
    <w:rsid w:val="000A2B0E"/>
    <w:rsid w:val="000A398F"/>
    <w:rsid w:val="000A3BB7"/>
    <w:rsid w:val="000A448C"/>
    <w:rsid w:val="000A509C"/>
    <w:rsid w:val="000A54A7"/>
    <w:rsid w:val="000A6007"/>
    <w:rsid w:val="000A65A6"/>
    <w:rsid w:val="000A70E3"/>
    <w:rsid w:val="000A7275"/>
    <w:rsid w:val="000A7A12"/>
    <w:rsid w:val="000A7A72"/>
    <w:rsid w:val="000B1202"/>
    <w:rsid w:val="000B1801"/>
    <w:rsid w:val="000B1D0C"/>
    <w:rsid w:val="000B2273"/>
    <w:rsid w:val="000B2585"/>
    <w:rsid w:val="000B2BC6"/>
    <w:rsid w:val="000B2D03"/>
    <w:rsid w:val="000B3815"/>
    <w:rsid w:val="000B3C7B"/>
    <w:rsid w:val="000B3ED8"/>
    <w:rsid w:val="000B4321"/>
    <w:rsid w:val="000B6A6B"/>
    <w:rsid w:val="000B6C95"/>
    <w:rsid w:val="000B79FC"/>
    <w:rsid w:val="000B7BD1"/>
    <w:rsid w:val="000C02B1"/>
    <w:rsid w:val="000C1679"/>
    <w:rsid w:val="000C1EE3"/>
    <w:rsid w:val="000C3AE7"/>
    <w:rsid w:val="000C3CC9"/>
    <w:rsid w:val="000C6DE4"/>
    <w:rsid w:val="000C7202"/>
    <w:rsid w:val="000D0A89"/>
    <w:rsid w:val="000D1389"/>
    <w:rsid w:val="000D1798"/>
    <w:rsid w:val="000D2626"/>
    <w:rsid w:val="000D291C"/>
    <w:rsid w:val="000D3FB6"/>
    <w:rsid w:val="000D411D"/>
    <w:rsid w:val="000D4589"/>
    <w:rsid w:val="000D4809"/>
    <w:rsid w:val="000D73DD"/>
    <w:rsid w:val="000E1C51"/>
    <w:rsid w:val="000E28AB"/>
    <w:rsid w:val="000E2E3E"/>
    <w:rsid w:val="000E3583"/>
    <w:rsid w:val="000E3AF0"/>
    <w:rsid w:val="000E4E04"/>
    <w:rsid w:val="000E693B"/>
    <w:rsid w:val="000E6EC9"/>
    <w:rsid w:val="000E70B4"/>
    <w:rsid w:val="000E7B62"/>
    <w:rsid w:val="000F0E1E"/>
    <w:rsid w:val="000F1A1B"/>
    <w:rsid w:val="000F2A95"/>
    <w:rsid w:val="000F3281"/>
    <w:rsid w:val="000F32FD"/>
    <w:rsid w:val="000F3733"/>
    <w:rsid w:val="000F5F8B"/>
    <w:rsid w:val="000F6153"/>
    <w:rsid w:val="000F63C8"/>
    <w:rsid w:val="000F64AA"/>
    <w:rsid w:val="000F7AF4"/>
    <w:rsid w:val="000F7C33"/>
    <w:rsid w:val="000F7F0C"/>
    <w:rsid w:val="001004D6"/>
    <w:rsid w:val="00102676"/>
    <w:rsid w:val="00103646"/>
    <w:rsid w:val="00103918"/>
    <w:rsid w:val="00104897"/>
    <w:rsid w:val="00104EDE"/>
    <w:rsid w:val="00105CDA"/>
    <w:rsid w:val="00106BEE"/>
    <w:rsid w:val="00107C74"/>
    <w:rsid w:val="0011091C"/>
    <w:rsid w:val="00111266"/>
    <w:rsid w:val="001112EB"/>
    <w:rsid w:val="00112768"/>
    <w:rsid w:val="00113678"/>
    <w:rsid w:val="00113C3E"/>
    <w:rsid w:val="00115E11"/>
    <w:rsid w:val="00115EEE"/>
    <w:rsid w:val="00115F56"/>
    <w:rsid w:val="00116CA9"/>
    <w:rsid w:val="00116F38"/>
    <w:rsid w:val="001170A4"/>
    <w:rsid w:val="00117AE7"/>
    <w:rsid w:val="00117CBD"/>
    <w:rsid w:val="0012006A"/>
    <w:rsid w:val="00121979"/>
    <w:rsid w:val="00121C4E"/>
    <w:rsid w:val="00122064"/>
    <w:rsid w:val="00124341"/>
    <w:rsid w:val="00124492"/>
    <w:rsid w:val="00124B12"/>
    <w:rsid w:val="001250A0"/>
    <w:rsid w:val="001263B8"/>
    <w:rsid w:val="0012763E"/>
    <w:rsid w:val="00130217"/>
    <w:rsid w:val="00130783"/>
    <w:rsid w:val="00130A47"/>
    <w:rsid w:val="00130D7C"/>
    <w:rsid w:val="00132B47"/>
    <w:rsid w:val="001337F8"/>
    <w:rsid w:val="001348B4"/>
    <w:rsid w:val="001351CB"/>
    <w:rsid w:val="00135530"/>
    <w:rsid w:val="00135947"/>
    <w:rsid w:val="001359A2"/>
    <w:rsid w:val="00135F92"/>
    <w:rsid w:val="00136020"/>
    <w:rsid w:val="00136445"/>
    <w:rsid w:val="00140132"/>
    <w:rsid w:val="00141C9C"/>
    <w:rsid w:val="0014277F"/>
    <w:rsid w:val="001434BE"/>
    <w:rsid w:val="00144050"/>
    <w:rsid w:val="0014479F"/>
    <w:rsid w:val="001452B4"/>
    <w:rsid w:val="00145320"/>
    <w:rsid w:val="001476D3"/>
    <w:rsid w:val="001509CF"/>
    <w:rsid w:val="00150D1D"/>
    <w:rsid w:val="001525AA"/>
    <w:rsid w:val="00152A87"/>
    <w:rsid w:val="00153BB5"/>
    <w:rsid w:val="00154518"/>
    <w:rsid w:val="00156359"/>
    <w:rsid w:val="001568F3"/>
    <w:rsid w:val="00156DD6"/>
    <w:rsid w:val="0016086E"/>
    <w:rsid w:val="00160D0C"/>
    <w:rsid w:val="00161172"/>
    <w:rsid w:val="00161998"/>
    <w:rsid w:val="00161E65"/>
    <w:rsid w:val="00162597"/>
    <w:rsid w:val="001629AF"/>
    <w:rsid w:val="001629FD"/>
    <w:rsid w:val="0016428A"/>
    <w:rsid w:val="001647C9"/>
    <w:rsid w:val="00165627"/>
    <w:rsid w:val="00165929"/>
    <w:rsid w:val="001661A3"/>
    <w:rsid w:val="00167226"/>
    <w:rsid w:val="0016782B"/>
    <w:rsid w:val="0016784D"/>
    <w:rsid w:val="00172CA8"/>
    <w:rsid w:val="00173256"/>
    <w:rsid w:val="00173B0E"/>
    <w:rsid w:val="00173E03"/>
    <w:rsid w:val="00174182"/>
    <w:rsid w:val="0017512C"/>
    <w:rsid w:val="0017586A"/>
    <w:rsid w:val="00175BA6"/>
    <w:rsid w:val="00176CA7"/>
    <w:rsid w:val="00176F8E"/>
    <w:rsid w:val="001778C5"/>
    <w:rsid w:val="00177E56"/>
    <w:rsid w:val="00177F0A"/>
    <w:rsid w:val="00180DA0"/>
    <w:rsid w:val="00181EAD"/>
    <w:rsid w:val="00181F43"/>
    <w:rsid w:val="00182862"/>
    <w:rsid w:val="00184F57"/>
    <w:rsid w:val="00185544"/>
    <w:rsid w:val="00185617"/>
    <w:rsid w:val="00186823"/>
    <w:rsid w:val="00186FE1"/>
    <w:rsid w:val="00187A14"/>
    <w:rsid w:val="0019171E"/>
    <w:rsid w:val="00192368"/>
    <w:rsid w:val="001923A0"/>
    <w:rsid w:val="001928B1"/>
    <w:rsid w:val="00193537"/>
    <w:rsid w:val="00193846"/>
    <w:rsid w:val="00195424"/>
    <w:rsid w:val="001955FF"/>
    <w:rsid w:val="00196D6E"/>
    <w:rsid w:val="00197EDD"/>
    <w:rsid w:val="001A02B3"/>
    <w:rsid w:val="001A04BB"/>
    <w:rsid w:val="001A08D0"/>
    <w:rsid w:val="001A1B39"/>
    <w:rsid w:val="001A2120"/>
    <w:rsid w:val="001A28C6"/>
    <w:rsid w:val="001A2E69"/>
    <w:rsid w:val="001A3C34"/>
    <w:rsid w:val="001A3EDE"/>
    <w:rsid w:val="001A4222"/>
    <w:rsid w:val="001A50EA"/>
    <w:rsid w:val="001A5BA2"/>
    <w:rsid w:val="001A5E24"/>
    <w:rsid w:val="001A6B27"/>
    <w:rsid w:val="001A6D8B"/>
    <w:rsid w:val="001A6DAA"/>
    <w:rsid w:val="001A7717"/>
    <w:rsid w:val="001A793A"/>
    <w:rsid w:val="001B125A"/>
    <w:rsid w:val="001B1EBA"/>
    <w:rsid w:val="001B2142"/>
    <w:rsid w:val="001B2F2B"/>
    <w:rsid w:val="001B327A"/>
    <w:rsid w:val="001B35DE"/>
    <w:rsid w:val="001B3A13"/>
    <w:rsid w:val="001B3F5C"/>
    <w:rsid w:val="001B59FF"/>
    <w:rsid w:val="001B6512"/>
    <w:rsid w:val="001B65D7"/>
    <w:rsid w:val="001B6752"/>
    <w:rsid w:val="001B6768"/>
    <w:rsid w:val="001B6F1F"/>
    <w:rsid w:val="001B7CD7"/>
    <w:rsid w:val="001B7ECC"/>
    <w:rsid w:val="001C025B"/>
    <w:rsid w:val="001C115F"/>
    <w:rsid w:val="001C1EAB"/>
    <w:rsid w:val="001C25A7"/>
    <w:rsid w:val="001C318C"/>
    <w:rsid w:val="001C35C4"/>
    <w:rsid w:val="001C4287"/>
    <w:rsid w:val="001C4479"/>
    <w:rsid w:val="001C5190"/>
    <w:rsid w:val="001C6081"/>
    <w:rsid w:val="001C7B48"/>
    <w:rsid w:val="001D0CFB"/>
    <w:rsid w:val="001D1A0D"/>
    <w:rsid w:val="001D343C"/>
    <w:rsid w:val="001D34F5"/>
    <w:rsid w:val="001D56FC"/>
    <w:rsid w:val="001D58A1"/>
    <w:rsid w:val="001D58C2"/>
    <w:rsid w:val="001D5A8A"/>
    <w:rsid w:val="001D61CA"/>
    <w:rsid w:val="001D6E87"/>
    <w:rsid w:val="001D735E"/>
    <w:rsid w:val="001D73C8"/>
    <w:rsid w:val="001D7BC6"/>
    <w:rsid w:val="001E129E"/>
    <w:rsid w:val="001E175C"/>
    <w:rsid w:val="001E1B0E"/>
    <w:rsid w:val="001E3B63"/>
    <w:rsid w:val="001E522E"/>
    <w:rsid w:val="001E5A94"/>
    <w:rsid w:val="001E5F6F"/>
    <w:rsid w:val="001F0373"/>
    <w:rsid w:val="001F2A2E"/>
    <w:rsid w:val="001F3356"/>
    <w:rsid w:val="001F3C63"/>
    <w:rsid w:val="001F4460"/>
    <w:rsid w:val="001F711A"/>
    <w:rsid w:val="001F75B0"/>
    <w:rsid w:val="00200CE5"/>
    <w:rsid w:val="00200F7C"/>
    <w:rsid w:val="002014DB"/>
    <w:rsid w:val="0020150B"/>
    <w:rsid w:val="00201E12"/>
    <w:rsid w:val="002033B5"/>
    <w:rsid w:val="0020382C"/>
    <w:rsid w:val="0020437A"/>
    <w:rsid w:val="0020454C"/>
    <w:rsid w:val="00204740"/>
    <w:rsid w:val="00205129"/>
    <w:rsid w:val="0020521F"/>
    <w:rsid w:val="0020532C"/>
    <w:rsid w:val="002114C7"/>
    <w:rsid w:val="0021302C"/>
    <w:rsid w:val="00213B1C"/>
    <w:rsid w:val="00214202"/>
    <w:rsid w:val="002148E3"/>
    <w:rsid w:val="0021552D"/>
    <w:rsid w:val="002156AE"/>
    <w:rsid w:val="00215E99"/>
    <w:rsid w:val="0022054D"/>
    <w:rsid w:val="00223DDB"/>
    <w:rsid w:val="00223FA4"/>
    <w:rsid w:val="00223FB0"/>
    <w:rsid w:val="00224067"/>
    <w:rsid w:val="0022421C"/>
    <w:rsid w:val="00224E83"/>
    <w:rsid w:val="00225664"/>
    <w:rsid w:val="0022663D"/>
    <w:rsid w:val="00227F2D"/>
    <w:rsid w:val="00230179"/>
    <w:rsid w:val="00231851"/>
    <w:rsid w:val="002319FB"/>
    <w:rsid w:val="00231B89"/>
    <w:rsid w:val="00231F11"/>
    <w:rsid w:val="00231F5E"/>
    <w:rsid w:val="002346B4"/>
    <w:rsid w:val="00234F6E"/>
    <w:rsid w:val="002355BE"/>
    <w:rsid w:val="002358EA"/>
    <w:rsid w:val="00236578"/>
    <w:rsid w:val="00236DE9"/>
    <w:rsid w:val="00237342"/>
    <w:rsid w:val="00237D5A"/>
    <w:rsid w:val="002415AE"/>
    <w:rsid w:val="00241D3C"/>
    <w:rsid w:val="00242109"/>
    <w:rsid w:val="00243189"/>
    <w:rsid w:val="002439AB"/>
    <w:rsid w:val="00243C19"/>
    <w:rsid w:val="00244AE8"/>
    <w:rsid w:val="00244DC9"/>
    <w:rsid w:val="00245587"/>
    <w:rsid w:val="00245F2B"/>
    <w:rsid w:val="00247F3A"/>
    <w:rsid w:val="00250122"/>
    <w:rsid w:val="00250755"/>
    <w:rsid w:val="00251043"/>
    <w:rsid w:val="00251C4A"/>
    <w:rsid w:val="0025271C"/>
    <w:rsid w:val="002529E4"/>
    <w:rsid w:val="002533CD"/>
    <w:rsid w:val="002535EA"/>
    <w:rsid w:val="00254EAB"/>
    <w:rsid w:val="002557AF"/>
    <w:rsid w:val="0025589C"/>
    <w:rsid w:val="00255B62"/>
    <w:rsid w:val="002566B1"/>
    <w:rsid w:val="002575E3"/>
    <w:rsid w:val="00257A74"/>
    <w:rsid w:val="002603C1"/>
    <w:rsid w:val="002609A1"/>
    <w:rsid w:val="002612B1"/>
    <w:rsid w:val="00266165"/>
    <w:rsid w:val="002662FE"/>
    <w:rsid w:val="00266F2C"/>
    <w:rsid w:val="0027125E"/>
    <w:rsid w:val="00271767"/>
    <w:rsid w:val="00272293"/>
    <w:rsid w:val="002723C8"/>
    <w:rsid w:val="00273C2A"/>
    <w:rsid w:val="00273CBE"/>
    <w:rsid w:val="002746B1"/>
    <w:rsid w:val="00274BAD"/>
    <w:rsid w:val="00282D56"/>
    <w:rsid w:val="002835B0"/>
    <w:rsid w:val="00283C74"/>
    <w:rsid w:val="0028407E"/>
    <w:rsid w:val="0028410F"/>
    <w:rsid w:val="00284572"/>
    <w:rsid w:val="00285221"/>
    <w:rsid w:val="00286FB5"/>
    <w:rsid w:val="00287763"/>
    <w:rsid w:val="00287FCB"/>
    <w:rsid w:val="00290606"/>
    <w:rsid w:val="002909B2"/>
    <w:rsid w:val="00291D6D"/>
    <w:rsid w:val="00291FF1"/>
    <w:rsid w:val="00292AA2"/>
    <w:rsid w:val="00293361"/>
    <w:rsid w:val="002952B1"/>
    <w:rsid w:val="00295D11"/>
    <w:rsid w:val="00296FB6"/>
    <w:rsid w:val="002A0001"/>
    <w:rsid w:val="002A0BD9"/>
    <w:rsid w:val="002A0C3A"/>
    <w:rsid w:val="002A1130"/>
    <w:rsid w:val="002A1880"/>
    <w:rsid w:val="002A23B7"/>
    <w:rsid w:val="002A3A57"/>
    <w:rsid w:val="002A4B4F"/>
    <w:rsid w:val="002A57A8"/>
    <w:rsid w:val="002A6DEF"/>
    <w:rsid w:val="002A6E42"/>
    <w:rsid w:val="002A770B"/>
    <w:rsid w:val="002B013E"/>
    <w:rsid w:val="002B058D"/>
    <w:rsid w:val="002B0C16"/>
    <w:rsid w:val="002B2AC5"/>
    <w:rsid w:val="002B3528"/>
    <w:rsid w:val="002B3539"/>
    <w:rsid w:val="002B4532"/>
    <w:rsid w:val="002B5042"/>
    <w:rsid w:val="002B69CC"/>
    <w:rsid w:val="002B6D71"/>
    <w:rsid w:val="002C0C1C"/>
    <w:rsid w:val="002C54C2"/>
    <w:rsid w:val="002C5D34"/>
    <w:rsid w:val="002C5D7F"/>
    <w:rsid w:val="002C60BB"/>
    <w:rsid w:val="002C661A"/>
    <w:rsid w:val="002D0D6F"/>
    <w:rsid w:val="002D25FC"/>
    <w:rsid w:val="002D4AC6"/>
    <w:rsid w:val="002D5BF5"/>
    <w:rsid w:val="002D5E95"/>
    <w:rsid w:val="002D5EE8"/>
    <w:rsid w:val="002D7360"/>
    <w:rsid w:val="002D7648"/>
    <w:rsid w:val="002D780A"/>
    <w:rsid w:val="002E109C"/>
    <w:rsid w:val="002E193E"/>
    <w:rsid w:val="002E1A94"/>
    <w:rsid w:val="002E1D55"/>
    <w:rsid w:val="002E26C4"/>
    <w:rsid w:val="002E30A5"/>
    <w:rsid w:val="002E47E4"/>
    <w:rsid w:val="002E4BF9"/>
    <w:rsid w:val="002E4D61"/>
    <w:rsid w:val="002E5FED"/>
    <w:rsid w:val="002E68A7"/>
    <w:rsid w:val="002E6E6C"/>
    <w:rsid w:val="002F0522"/>
    <w:rsid w:val="002F0B85"/>
    <w:rsid w:val="002F16DD"/>
    <w:rsid w:val="002F199D"/>
    <w:rsid w:val="002F213C"/>
    <w:rsid w:val="002F2453"/>
    <w:rsid w:val="002F352D"/>
    <w:rsid w:val="002F381E"/>
    <w:rsid w:val="002F4084"/>
    <w:rsid w:val="002F4A08"/>
    <w:rsid w:val="002F4ADB"/>
    <w:rsid w:val="002F531E"/>
    <w:rsid w:val="002F548D"/>
    <w:rsid w:val="002F5ACC"/>
    <w:rsid w:val="002F704B"/>
    <w:rsid w:val="002F72C3"/>
    <w:rsid w:val="002F768C"/>
    <w:rsid w:val="002F7D1E"/>
    <w:rsid w:val="00300201"/>
    <w:rsid w:val="0030025A"/>
    <w:rsid w:val="00301ADC"/>
    <w:rsid w:val="00302EFC"/>
    <w:rsid w:val="00303243"/>
    <w:rsid w:val="00303BCC"/>
    <w:rsid w:val="00303F2B"/>
    <w:rsid w:val="00303F8D"/>
    <w:rsid w:val="0030572D"/>
    <w:rsid w:val="0030586A"/>
    <w:rsid w:val="0030622D"/>
    <w:rsid w:val="00306811"/>
    <w:rsid w:val="00306F32"/>
    <w:rsid w:val="003074C5"/>
    <w:rsid w:val="00307A3C"/>
    <w:rsid w:val="00307FA4"/>
    <w:rsid w:val="00310290"/>
    <w:rsid w:val="0031083D"/>
    <w:rsid w:val="00310CC1"/>
    <w:rsid w:val="00311B60"/>
    <w:rsid w:val="00312504"/>
    <w:rsid w:val="00313026"/>
    <w:rsid w:val="00313913"/>
    <w:rsid w:val="0031421F"/>
    <w:rsid w:val="00314B31"/>
    <w:rsid w:val="00315A65"/>
    <w:rsid w:val="003165D7"/>
    <w:rsid w:val="00317BA7"/>
    <w:rsid w:val="00320BE2"/>
    <w:rsid w:val="00321886"/>
    <w:rsid w:val="00323694"/>
    <w:rsid w:val="00323BE7"/>
    <w:rsid w:val="00324C3A"/>
    <w:rsid w:val="00324D63"/>
    <w:rsid w:val="003255AF"/>
    <w:rsid w:val="003256EB"/>
    <w:rsid w:val="003259DB"/>
    <w:rsid w:val="003314D9"/>
    <w:rsid w:val="00331653"/>
    <w:rsid w:val="00331A48"/>
    <w:rsid w:val="00331BCC"/>
    <w:rsid w:val="003330C9"/>
    <w:rsid w:val="0033364C"/>
    <w:rsid w:val="00334415"/>
    <w:rsid w:val="00335EA1"/>
    <w:rsid w:val="0033691E"/>
    <w:rsid w:val="00336A6A"/>
    <w:rsid w:val="00336CCB"/>
    <w:rsid w:val="003411D1"/>
    <w:rsid w:val="003416BA"/>
    <w:rsid w:val="00342148"/>
    <w:rsid w:val="00342F99"/>
    <w:rsid w:val="0034575A"/>
    <w:rsid w:val="00345F57"/>
    <w:rsid w:val="00350458"/>
    <w:rsid w:val="00350E6C"/>
    <w:rsid w:val="003518A6"/>
    <w:rsid w:val="00351E7F"/>
    <w:rsid w:val="00352953"/>
    <w:rsid w:val="00354062"/>
    <w:rsid w:val="0035459E"/>
    <w:rsid w:val="00355C0D"/>
    <w:rsid w:val="003566A9"/>
    <w:rsid w:val="00356988"/>
    <w:rsid w:val="003569D3"/>
    <w:rsid w:val="00356CE9"/>
    <w:rsid w:val="003570BB"/>
    <w:rsid w:val="00357128"/>
    <w:rsid w:val="0035755E"/>
    <w:rsid w:val="00357A80"/>
    <w:rsid w:val="00361441"/>
    <w:rsid w:val="00361B8B"/>
    <w:rsid w:val="00363F39"/>
    <w:rsid w:val="0036445C"/>
    <w:rsid w:val="00364627"/>
    <w:rsid w:val="00364AB0"/>
    <w:rsid w:val="00364D71"/>
    <w:rsid w:val="003667B0"/>
    <w:rsid w:val="003667DD"/>
    <w:rsid w:val="00366B48"/>
    <w:rsid w:val="00367764"/>
    <w:rsid w:val="00370316"/>
    <w:rsid w:val="00370DC7"/>
    <w:rsid w:val="00371CBD"/>
    <w:rsid w:val="00371F20"/>
    <w:rsid w:val="003721E3"/>
    <w:rsid w:val="00372B98"/>
    <w:rsid w:val="003737B7"/>
    <w:rsid w:val="003740CC"/>
    <w:rsid w:val="003745F4"/>
    <w:rsid w:val="00374E79"/>
    <w:rsid w:val="0037529A"/>
    <w:rsid w:val="00375388"/>
    <w:rsid w:val="00375FB9"/>
    <w:rsid w:val="00376170"/>
    <w:rsid w:val="00376851"/>
    <w:rsid w:val="00376FA2"/>
    <w:rsid w:val="00377A3B"/>
    <w:rsid w:val="00377E3C"/>
    <w:rsid w:val="00380B00"/>
    <w:rsid w:val="00380BBE"/>
    <w:rsid w:val="00381D70"/>
    <w:rsid w:val="0038235E"/>
    <w:rsid w:val="003829D0"/>
    <w:rsid w:val="0038326A"/>
    <w:rsid w:val="0038444F"/>
    <w:rsid w:val="003861F0"/>
    <w:rsid w:val="00387051"/>
    <w:rsid w:val="00387ECF"/>
    <w:rsid w:val="0039021B"/>
    <w:rsid w:val="00390429"/>
    <w:rsid w:val="003906A0"/>
    <w:rsid w:val="0039366C"/>
    <w:rsid w:val="00393EC8"/>
    <w:rsid w:val="003950F5"/>
    <w:rsid w:val="0039538F"/>
    <w:rsid w:val="00395E42"/>
    <w:rsid w:val="00396409"/>
    <w:rsid w:val="00396A2D"/>
    <w:rsid w:val="00396FC3"/>
    <w:rsid w:val="003A1A94"/>
    <w:rsid w:val="003A204E"/>
    <w:rsid w:val="003A2D25"/>
    <w:rsid w:val="003A5728"/>
    <w:rsid w:val="003A60E7"/>
    <w:rsid w:val="003A7092"/>
    <w:rsid w:val="003A72A1"/>
    <w:rsid w:val="003A7611"/>
    <w:rsid w:val="003A7D1F"/>
    <w:rsid w:val="003B0B6A"/>
    <w:rsid w:val="003B22F7"/>
    <w:rsid w:val="003B29CF"/>
    <w:rsid w:val="003B3A90"/>
    <w:rsid w:val="003B534F"/>
    <w:rsid w:val="003B5E4F"/>
    <w:rsid w:val="003B7A79"/>
    <w:rsid w:val="003C0FE1"/>
    <w:rsid w:val="003C151A"/>
    <w:rsid w:val="003C350C"/>
    <w:rsid w:val="003C3903"/>
    <w:rsid w:val="003C3BA0"/>
    <w:rsid w:val="003C4580"/>
    <w:rsid w:val="003C5C5E"/>
    <w:rsid w:val="003C6746"/>
    <w:rsid w:val="003C7555"/>
    <w:rsid w:val="003C7898"/>
    <w:rsid w:val="003D0FF5"/>
    <w:rsid w:val="003D11A3"/>
    <w:rsid w:val="003D1537"/>
    <w:rsid w:val="003D183C"/>
    <w:rsid w:val="003D2D1B"/>
    <w:rsid w:val="003D48C7"/>
    <w:rsid w:val="003D4C27"/>
    <w:rsid w:val="003D7109"/>
    <w:rsid w:val="003D7CE8"/>
    <w:rsid w:val="003E0514"/>
    <w:rsid w:val="003E1032"/>
    <w:rsid w:val="003E1904"/>
    <w:rsid w:val="003E285E"/>
    <w:rsid w:val="003E3124"/>
    <w:rsid w:val="003E3300"/>
    <w:rsid w:val="003E43D3"/>
    <w:rsid w:val="003E48E1"/>
    <w:rsid w:val="003E59BB"/>
    <w:rsid w:val="003E6225"/>
    <w:rsid w:val="003E65AC"/>
    <w:rsid w:val="003E66AE"/>
    <w:rsid w:val="003E72B9"/>
    <w:rsid w:val="003E7ED4"/>
    <w:rsid w:val="003F0E52"/>
    <w:rsid w:val="003F0F6B"/>
    <w:rsid w:val="003F1FC6"/>
    <w:rsid w:val="003F1FE3"/>
    <w:rsid w:val="003F2359"/>
    <w:rsid w:val="003F3865"/>
    <w:rsid w:val="003F3D55"/>
    <w:rsid w:val="003F44E2"/>
    <w:rsid w:val="003F4632"/>
    <w:rsid w:val="003F47BA"/>
    <w:rsid w:val="003F4FE6"/>
    <w:rsid w:val="003F5638"/>
    <w:rsid w:val="003F6617"/>
    <w:rsid w:val="00402332"/>
    <w:rsid w:val="004025C2"/>
    <w:rsid w:val="00403195"/>
    <w:rsid w:val="004033A9"/>
    <w:rsid w:val="00403E55"/>
    <w:rsid w:val="0040407C"/>
    <w:rsid w:val="0040416C"/>
    <w:rsid w:val="00404681"/>
    <w:rsid w:val="00405AC1"/>
    <w:rsid w:val="00406923"/>
    <w:rsid w:val="0040763D"/>
    <w:rsid w:val="00410D17"/>
    <w:rsid w:val="00413442"/>
    <w:rsid w:val="00413821"/>
    <w:rsid w:val="00413BA5"/>
    <w:rsid w:val="004141A3"/>
    <w:rsid w:val="00414909"/>
    <w:rsid w:val="0041582F"/>
    <w:rsid w:val="00416112"/>
    <w:rsid w:val="00416AC8"/>
    <w:rsid w:val="00417AE0"/>
    <w:rsid w:val="00417BAA"/>
    <w:rsid w:val="0042042B"/>
    <w:rsid w:val="00420B45"/>
    <w:rsid w:val="00420D7A"/>
    <w:rsid w:val="00421257"/>
    <w:rsid w:val="00422193"/>
    <w:rsid w:val="004223DE"/>
    <w:rsid w:val="00422A10"/>
    <w:rsid w:val="00424D17"/>
    <w:rsid w:val="00425DFD"/>
    <w:rsid w:val="004263A3"/>
    <w:rsid w:val="00427713"/>
    <w:rsid w:val="00427CCC"/>
    <w:rsid w:val="0043013A"/>
    <w:rsid w:val="00430421"/>
    <w:rsid w:val="00430A36"/>
    <w:rsid w:val="00430B4F"/>
    <w:rsid w:val="00431084"/>
    <w:rsid w:val="004310D7"/>
    <w:rsid w:val="004322D6"/>
    <w:rsid w:val="00432589"/>
    <w:rsid w:val="00432A94"/>
    <w:rsid w:val="00432C95"/>
    <w:rsid w:val="00433827"/>
    <w:rsid w:val="00433A40"/>
    <w:rsid w:val="00434B70"/>
    <w:rsid w:val="004360C8"/>
    <w:rsid w:val="004371D5"/>
    <w:rsid w:val="0044006B"/>
    <w:rsid w:val="0044033F"/>
    <w:rsid w:val="00440630"/>
    <w:rsid w:val="00441F0F"/>
    <w:rsid w:val="00442965"/>
    <w:rsid w:val="00444157"/>
    <w:rsid w:val="0044417C"/>
    <w:rsid w:val="00444DB3"/>
    <w:rsid w:val="00445617"/>
    <w:rsid w:val="00445A2F"/>
    <w:rsid w:val="0044684E"/>
    <w:rsid w:val="00446F22"/>
    <w:rsid w:val="0045019F"/>
    <w:rsid w:val="004503A4"/>
    <w:rsid w:val="00450555"/>
    <w:rsid w:val="004506FA"/>
    <w:rsid w:val="00450DC6"/>
    <w:rsid w:val="004516A5"/>
    <w:rsid w:val="00451E9C"/>
    <w:rsid w:val="0045280F"/>
    <w:rsid w:val="004535AE"/>
    <w:rsid w:val="0045444D"/>
    <w:rsid w:val="0045463A"/>
    <w:rsid w:val="00454AC9"/>
    <w:rsid w:val="00455050"/>
    <w:rsid w:val="004554A3"/>
    <w:rsid w:val="00455A6E"/>
    <w:rsid w:val="00455EAD"/>
    <w:rsid w:val="004578EB"/>
    <w:rsid w:val="004604D5"/>
    <w:rsid w:val="00460697"/>
    <w:rsid w:val="0046117B"/>
    <w:rsid w:val="00464AB7"/>
    <w:rsid w:val="00465DE5"/>
    <w:rsid w:val="00467EF8"/>
    <w:rsid w:val="00472429"/>
    <w:rsid w:val="004725E5"/>
    <w:rsid w:val="00472751"/>
    <w:rsid w:val="00473128"/>
    <w:rsid w:val="00473263"/>
    <w:rsid w:val="00475078"/>
    <w:rsid w:val="00475767"/>
    <w:rsid w:val="004779A0"/>
    <w:rsid w:val="004808E3"/>
    <w:rsid w:val="00481016"/>
    <w:rsid w:val="0048204C"/>
    <w:rsid w:val="004821BB"/>
    <w:rsid w:val="004826FE"/>
    <w:rsid w:val="004827D5"/>
    <w:rsid w:val="00482AF2"/>
    <w:rsid w:val="004830C9"/>
    <w:rsid w:val="00483347"/>
    <w:rsid w:val="00483E2E"/>
    <w:rsid w:val="00484B69"/>
    <w:rsid w:val="00485406"/>
    <w:rsid w:val="0048590F"/>
    <w:rsid w:val="004865D9"/>
    <w:rsid w:val="00486D60"/>
    <w:rsid w:val="00491FA1"/>
    <w:rsid w:val="00492A25"/>
    <w:rsid w:val="004938A3"/>
    <w:rsid w:val="0049558B"/>
    <w:rsid w:val="00496350"/>
    <w:rsid w:val="0049797C"/>
    <w:rsid w:val="004A00E1"/>
    <w:rsid w:val="004A0943"/>
    <w:rsid w:val="004A1405"/>
    <w:rsid w:val="004A1FC6"/>
    <w:rsid w:val="004A2E5F"/>
    <w:rsid w:val="004A38C2"/>
    <w:rsid w:val="004A3C03"/>
    <w:rsid w:val="004A3DB7"/>
    <w:rsid w:val="004A5088"/>
    <w:rsid w:val="004A5255"/>
    <w:rsid w:val="004A6CB0"/>
    <w:rsid w:val="004A70FF"/>
    <w:rsid w:val="004A7EDE"/>
    <w:rsid w:val="004B0D93"/>
    <w:rsid w:val="004B1FA4"/>
    <w:rsid w:val="004B29AC"/>
    <w:rsid w:val="004B35DF"/>
    <w:rsid w:val="004B3627"/>
    <w:rsid w:val="004B4922"/>
    <w:rsid w:val="004B57DF"/>
    <w:rsid w:val="004B5976"/>
    <w:rsid w:val="004B7137"/>
    <w:rsid w:val="004B722E"/>
    <w:rsid w:val="004B72E8"/>
    <w:rsid w:val="004C01A5"/>
    <w:rsid w:val="004C0412"/>
    <w:rsid w:val="004C0DBA"/>
    <w:rsid w:val="004C1142"/>
    <w:rsid w:val="004C2138"/>
    <w:rsid w:val="004C3940"/>
    <w:rsid w:val="004C51FD"/>
    <w:rsid w:val="004C65A8"/>
    <w:rsid w:val="004C6689"/>
    <w:rsid w:val="004D139A"/>
    <w:rsid w:val="004D14DC"/>
    <w:rsid w:val="004D17C6"/>
    <w:rsid w:val="004D2858"/>
    <w:rsid w:val="004D28C5"/>
    <w:rsid w:val="004D2E49"/>
    <w:rsid w:val="004D35BA"/>
    <w:rsid w:val="004D38E5"/>
    <w:rsid w:val="004D3C5A"/>
    <w:rsid w:val="004D449A"/>
    <w:rsid w:val="004D4701"/>
    <w:rsid w:val="004D47C7"/>
    <w:rsid w:val="004D4F35"/>
    <w:rsid w:val="004D5D45"/>
    <w:rsid w:val="004D618D"/>
    <w:rsid w:val="004D62A9"/>
    <w:rsid w:val="004D6FC3"/>
    <w:rsid w:val="004D7476"/>
    <w:rsid w:val="004D7716"/>
    <w:rsid w:val="004E0306"/>
    <w:rsid w:val="004E0572"/>
    <w:rsid w:val="004E06D5"/>
    <w:rsid w:val="004E1641"/>
    <w:rsid w:val="004E1818"/>
    <w:rsid w:val="004E1990"/>
    <w:rsid w:val="004E25A8"/>
    <w:rsid w:val="004E3930"/>
    <w:rsid w:val="004E3ED9"/>
    <w:rsid w:val="004E5866"/>
    <w:rsid w:val="004E6097"/>
    <w:rsid w:val="004E61EF"/>
    <w:rsid w:val="004E63C6"/>
    <w:rsid w:val="004E76A7"/>
    <w:rsid w:val="004E7B03"/>
    <w:rsid w:val="004F0064"/>
    <w:rsid w:val="004F06AC"/>
    <w:rsid w:val="004F1D2A"/>
    <w:rsid w:val="004F243F"/>
    <w:rsid w:val="004F252C"/>
    <w:rsid w:val="004F36A3"/>
    <w:rsid w:val="004F3E0C"/>
    <w:rsid w:val="004F4308"/>
    <w:rsid w:val="004F7160"/>
    <w:rsid w:val="00500258"/>
    <w:rsid w:val="00500B2D"/>
    <w:rsid w:val="00501A99"/>
    <w:rsid w:val="00503180"/>
    <w:rsid w:val="005038A4"/>
    <w:rsid w:val="0050456D"/>
    <w:rsid w:val="00505450"/>
    <w:rsid w:val="005100B7"/>
    <w:rsid w:val="005113C9"/>
    <w:rsid w:val="00512050"/>
    <w:rsid w:val="00512055"/>
    <w:rsid w:val="0051280C"/>
    <w:rsid w:val="00512842"/>
    <w:rsid w:val="005128BE"/>
    <w:rsid w:val="0051356F"/>
    <w:rsid w:val="00513E7C"/>
    <w:rsid w:val="005140BB"/>
    <w:rsid w:val="00514FBE"/>
    <w:rsid w:val="00514FD9"/>
    <w:rsid w:val="0051550A"/>
    <w:rsid w:val="0051608F"/>
    <w:rsid w:val="00520EF8"/>
    <w:rsid w:val="005210F7"/>
    <w:rsid w:val="00521753"/>
    <w:rsid w:val="0052239D"/>
    <w:rsid w:val="005224EE"/>
    <w:rsid w:val="00522879"/>
    <w:rsid w:val="00523BB1"/>
    <w:rsid w:val="0052570E"/>
    <w:rsid w:val="005260CD"/>
    <w:rsid w:val="00526265"/>
    <w:rsid w:val="0052655D"/>
    <w:rsid w:val="005265E0"/>
    <w:rsid w:val="00526BC3"/>
    <w:rsid w:val="00531761"/>
    <w:rsid w:val="0053248F"/>
    <w:rsid w:val="0053332A"/>
    <w:rsid w:val="0053358A"/>
    <w:rsid w:val="00534668"/>
    <w:rsid w:val="00534DDD"/>
    <w:rsid w:val="00535291"/>
    <w:rsid w:val="00535A94"/>
    <w:rsid w:val="00537874"/>
    <w:rsid w:val="0053795F"/>
    <w:rsid w:val="00537D3D"/>
    <w:rsid w:val="00537DE2"/>
    <w:rsid w:val="00540511"/>
    <w:rsid w:val="00540578"/>
    <w:rsid w:val="00540808"/>
    <w:rsid w:val="0054080E"/>
    <w:rsid w:val="00540EA1"/>
    <w:rsid w:val="0054358E"/>
    <w:rsid w:val="00543AF4"/>
    <w:rsid w:val="00544191"/>
    <w:rsid w:val="0054440C"/>
    <w:rsid w:val="005448EC"/>
    <w:rsid w:val="00544C0A"/>
    <w:rsid w:val="00544F39"/>
    <w:rsid w:val="00546F90"/>
    <w:rsid w:val="00547EFB"/>
    <w:rsid w:val="005522F2"/>
    <w:rsid w:val="005531DF"/>
    <w:rsid w:val="00553874"/>
    <w:rsid w:val="00554577"/>
    <w:rsid w:val="00554AD8"/>
    <w:rsid w:val="00554F78"/>
    <w:rsid w:val="00555DA1"/>
    <w:rsid w:val="00556BF7"/>
    <w:rsid w:val="00557F60"/>
    <w:rsid w:val="00561730"/>
    <w:rsid w:val="00561B97"/>
    <w:rsid w:val="00562149"/>
    <w:rsid w:val="00567B5D"/>
    <w:rsid w:val="005706D5"/>
    <w:rsid w:val="00570757"/>
    <w:rsid w:val="00573733"/>
    <w:rsid w:val="00573F8B"/>
    <w:rsid w:val="00574554"/>
    <w:rsid w:val="00574E06"/>
    <w:rsid w:val="005751BB"/>
    <w:rsid w:val="00576089"/>
    <w:rsid w:val="005764B1"/>
    <w:rsid w:val="00576852"/>
    <w:rsid w:val="00576D06"/>
    <w:rsid w:val="00577287"/>
    <w:rsid w:val="005779E4"/>
    <w:rsid w:val="00577F9F"/>
    <w:rsid w:val="00580EC7"/>
    <w:rsid w:val="00581132"/>
    <w:rsid w:val="0058289C"/>
    <w:rsid w:val="005836C7"/>
    <w:rsid w:val="0058408E"/>
    <w:rsid w:val="00585374"/>
    <w:rsid w:val="005854CA"/>
    <w:rsid w:val="00585FAB"/>
    <w:rsid w:val="00590B77"/>
    <w:rsid w:val="00590D9A"/>
    <w:rsid w:val="005913A3"/>
    <w:rsid w:val="005940D4"/>
    <w:rsid w:val="00594A7B"/>
    <w:rsid w:val="0059580E"/>
    <w:rsid w:val="00595D90"/>
    <w:rsid w:val="00596A6F"/>
    <w:rsid w:val="00596FCE"/>
    <w:rsid w:val="005A11BC"/>
    <w:rsid w:val="005A1525"/>
    <w:rsid w:val="005A1E17"/>
    <w:rsid w:val="005A252B"/>
    <w:rsid w:val="005A2A8F"/>
    <w:rsid w:val="005A3204"/>
    <w:rsid w:val="005A3341"/>
    <w:rsid w:val="005A3C3D"/>
    <w:rsid w:val="005A46EC"/>
    <w:rsid w:val="005A5EAE"/>
    <w:rsid w:val="005A6407"/>
    <w:rsid w:val="005A726C"/>
    <w:rsid w:val="005B07EC"/>
    <w:rsid w:val="005B2B11"/>
    <w:rsid w:val="005B32A4"/>
    <w:rsid w:val="005B3371"/>
    <w:rsid w:val="005B338D"/>
    <w:rsid w:val="005B36D7"/>
    <w:rsid w:val="005B3BAF"/>
    <w:rsid w:val="005B4DA3"/>
    <w:rsid w:val="005B5BEE"/>
    <w:rsid w:val="005B77D2"/>
    <w:rsid w:val="005C019B"/>
    <w:rsid w:val="005C08D0"/>
    <w:rsid w:val="005C1AED"/>
    <w:rsid w:val="005C30F5"/>
    <w:rsid w:val="005C49CA"/>
    <w:rsid w:val="005C51A5"/>
    <w:rsid w:val="005C557A"/>
    <w:rsid w:val="005C566F"/>
    <w:rsid w:val="005C5C47"/>
    <w:rsid w:val="005C61DD"/>
    <w:rsid w:val="005C6438"/>
    <w:rsid w:val="005C6B8B"/>
    <w:rsid w:val="005C727F"/>
    <w:rsid w:val="005D02E3"/>
    <w:rsid w:val="005D1F34"/>
    <w:rsid w:val="005D2C1F"/>
    <w:rsid w:val="005D2DE8"/>
    <w:rsid w:val="005D34B2"/>
    <w:rsid w:val="005D3B54"/>
    <w:rsid w:val="005D40CD"/>
    <w:rsid w:val="005D41B0"/>
    <w:rsid w:val="005D6B59"/>
    <w:rsid w:val="005D784B"/>
    <w:rsid w:val="005E03E4"/>
    <w:rsid w:val="005E0454"/>
    <w:rsid w:val="005E05F6"/>
    <w:rsid w:val="005E2442"/>
    <w:rsid w:val="005E3111"/>
    <w:rsid w:val="005E3F85"/>
    <w:rsid w:val="005E4A5F"/>
    <w:rsid w:val="005E57B0"/>
    <w:rsid w:val="005E5B01"/>
    <w:rsid w:val="005E6D3B"/>
    <w:rsid w:val="005F009E"/>
    <w:rsid w:val="005F0DF1"/>
    <w:rsid w:val="005F1516"/>
    <w:rsid w:val="005F229E"/>
    <w:rsid w:val="005F2564"/>
    <w:rsid w:val="005F3822"/>
    <w:rsid w:val="005F4635"/>
    <w:rsid w:val="005F4900"/>
    <w:rsid w:val="005F4E52"/>
    <w:rsid w:val="005F6D58"/>
    <w:rsid w:val="005F7383"/>
    <w:rsid w:val="0060058E"/>
    <w:rsid w:val="00601F77"/>
    <w:rsid w:val="00602A3C"/>
    <w:rsid w:val="00603EFD"/>
    <w:rsid w:val="0060475B"/>
    <w:rsid w:val="00604BED"/>
    <w:rsid w:val="00604FB6"/>
    <w:rsid w:val="00605387"/>
    <w:rsid w:val="00606302"/>
    <w:rsid w:val="006076FD"/>
    <w:rsid w:val="0061143F"/>
    <w:rsid w:val="006114D8"/>
    <w:rsid w:val="00613553"/>
    <w:rsid w:val="00613601"/>
    <w:rsid w:val="00613791"/>
    <w:rsid w:val="006150D6"/>
    <w:rsid w:val="00615245"/>
    <w:rsid w:val="0061590D"/>
    <w:rsid w:val="0061641E"/>
    <w:rsid w:val="00617EEE"/>
    <w:rsid w:val="00620A1F"/>
    <w:rsid w:val="006214DE"/>
    <w:rsid w:val="0062169D"/>
    <w:rsid w:val="0062181E"/>
    <w:rsid w:val="0062211B"/>
    <w:rsid w:val="00622BB7"/>
    <w:rsid w:val="00622C1E"/>
    <w:rsid w:val="00623389"/>
    <w:rsid w:val="00623DAA"/>
    <w:rsid w:val="00623FAF"/>
    <w:rsid w:val="006265C4"/>
    <w:rsid w:val="0062678A"/>
    <w:rsid w:val="006270AF"/>
    <w:rsid w:val="0063420F"/>
    <w:rsid w:val="00634367"/>
    <w:rsid w:val="00640082"/>
    <w:rsid w:val="00640291"/>
    <w:rsid w:val="00640EFE"/>
    <w:rsid w:val="00641D6D"/>
    <w:rsid w:val="00641FAC"/>
    <w:rsid w:val="00643664"/>
    <w:rsid w:val="00643CAA"/>
    <w:rsid w:val="00644F16"/>
    <w:rsid w:val="006455EB"/>
    <w:rsid w:val="006456C2"/>
    <w:rsid w:val="00645A65"/>
    <w:rsid w:val="006477F0"/>
    <w:rsid w:val="006478E4"/>
    <w:rsid w:val="0065171A"/>
    <w:rsid w:val="00652680"/>
    <w:rsid w:val="00653CDE"/>
    <w:rsid w:val="00654585"/>
    <w:rsid w:val="00655AB6"/>
    <w:rsid w:val="00656281"/>
    <w:rsid w:val="0065636A"/>
    <w:rsid w:val="00657003"/>
    <w:rsid w:val="00660238"/>
    <w:rsid w:val="006602EF"/>
    <w:rsid w:val="00661277"/>
    <w:rsid w:val="006619E0"/>
    <w:rsid w:val="00663FEA"/>
    <w:rsid w:val="00664803"/>
    <w:rsid w:val="006657C5"/>
    <w:rsid w:val="006661A4"/>
    <w:rsid w:val="00666AC0"/>
    <w:rsid w:val="006670E0"/>
    <w:rsid w:val="006671B8"/>
    <w:rsid w:val="00667275"/>
    <w:rsid w:val="00667532"/>
    <w:rsid w:val="0066783E"/>
    <w:rsid w:val="00667E53"/>
    <w:rsid w:val="006711C4"/>
    <w:rsid w:val="006713AB"/>
    <w:rsid w:val="006716AD"/>
    <w:rsid w:val="00672CA5"/>
    <w:rsid w:val="00673711"/>
    <w:rsid w:val="00673F82"/>
    <w:rsid w:val="00674F74"/>
    <w:rsid w:val="0067508F"/>
    <w:rsid w:val="00677576"/>
    <w:rsid w:val="0068051E"/>
    <w:rsid w:val="00680B9D"/>
    <w:rsid w:val="00681F13"/>
    <w:rsid w:val="0068231C"/>
    <w:rsid w:val="00682344"/>
    <w:rsid w:val="00682F28"/>
    <w:rsid w:val="00683515"/>
    <w:rsid w:val="00684842"/>
    <w:rsid w:val="006859AA"/>
    <w:rsid w:val="00685BD6"/>
    <w:rsid w:val="00687116"/>
    <w:rsid w:val="006878A6"/>
    <w:rsid w:val="00687D5F"/>
    <w:rsid w:val="00690437"/>
    <w:rsid w:val="00690DC3"/>
    <w:rsid w:val="00690E65"/>
    <w:rsid w:val="006911B7"/>
    <w:rsid w:val="00691387"/>
    <w:rsid w:val="0069188E"/>
    <w:rsid w:val="00691974"/>
    <w:rsid w:val="00692BF6"/>
    <w:rsid w:val="00692CE6"/>
    <w:rsid w:val="00693186"/>
    <w:rsid w:val="00693381"/>
    <w:rsid w:val="00693B6C"/>
    <w:rsid w:val="006942AE"/>
    <w:rsid w:val="00695421"/>
    <w:rsid w:val="00697BD3"/>
    <w:rsid w:val="00697DFA"/>
    <w:rsid w:val="006A16D5"/>
    <w:rsid w:val="006A1772"/>
    <w:rsid w:val="006A1780"/>
    <w:rsid w:val="006A21DD"/>
    <w:rsid w:val="006A26C6"/>
    <w:rsid w:val="006A3302"/>
    <w:rsid w:val="006A3B28"/>
    <w:rsid w:val="006A4FEE"/>
    <w:rsid w:val="006A703E"/>
    <w:rsid w:val="006A7BE3"/>
    <w:rsid w:val="006A7D32"/>
    <w:rsid w:val="006B01D1"/>
    <w:rsid w:val="006B0DF4"/>
    <w:rsid w:val="006B0E2B"/>
    <w:rsid w:val="006B16EA"/>
    <w:rsid w:val="006B1780"/>
    <w:rsid w:val="006B224E"/>
    <w:rsid w:val="006B376E"/>
    <w:rsid w:val="006B4589"/>
    <w:rsid w:val="006B610E"/>
    <w:rsid w:val="006B643B"/>
    <w:rsid w:val="006B6805"/>
    <w:rsid w:val="006B6DE0"/>
    <w:rsid w:val="006C16C3"/>
    <w:rsid w:val="006C2187"/>
    <w:rsid w:val="006C32F4"/>
    <w:rsid w:val="006C3C54"/>
    <w:rsid w:val="006C4B6B"/>
    <w:rsid w:val="006C4F9F"/>
    <w:rsid w:val="006C71A2"/>
    <w:rsid w:val="006C73EC"/>
    <w:rsid w:val="006D0C1D"/>
    <w:rsid w:val="006D2E9D"/>
    <w:rsid w:val="006D4A4E"/>
    <w:rsid w:val="006D4C42"/>
    <w:rsid w:val="006D5389"/>
    <w:rsid w:val="006D5809"/>
    <w:rsid w:val="006D607E"/>
    <w:rsid w:val="006D6781"/>
    <w:rsid w:val="006D6E12"/>
    <w:rsid w:val="006D70CB"/>
    <w:rsid w:val="006D715C"/>
    <w:rsid w:val="006D7363"/>
    <w:rsid w:val="006D774E"/>
    <w:rsid w:val="006D7EA2"/>
    <w:rsid w:val="006E0754"/>
    <w:rsid w:val="006E2668"/>
    <w:rsid w:val="006E2D39"/>
    <w:rsid w:val="006E32B0"/>
    <w:rsid w:val="006E348E"/>
    <w:rsid w:val="006E396A"/>
    <w:rsid w:val="006E3D63"/>
    <w:rsid w:val="006E58BF"/>
    <w:rsid w:val="006E5DD8"/>
    <w:rsid w:val="006E5EA1"/>
    <w:rsid w:val="006E6DEE"/>
    <w:rsid w:val="006E7D4B"/>
    <w:rsid w:val="006F0760"/>
    <w:rsid w:val="006F11E2"/>
    <w:rsid w:val="006F2574"/>
    <w:rsid w:val="006F3221"/>
    <w:rsid w:val="006F3231"/>
    <w:rsid w:val="006F3DE3"/>
    <w:rsid w:val="006F4787"/>
    <w:rsid w:val="006F5C43"/>
    <w:rsid w:val="006F61D8"/>
    <w:rsid w:val="006F62B7"/>
    <w:rsid w:val="006F70BC"/>
    <w:rsid w:val="006F734B"/>
    <w:rsid w:val="006F7E7C"/>
    <w:rsid w:val="0070174E"/>
    <w:rsid w:val="007018DB"/>
    <w:rsid w:val="00701DE6"/>
    <w:rsid w:val="00702740"/>
    <w:rsid w:val="0070381B"/>
    <w:rsid w:val="007076DD"/>
    <w:rsid w:val="0070796C"/>
    <w:rsid w:val="007109BB"/>
    <w:rsid w:val="00710EBF"/>
    <w:rsid w:val="007110B8"/>
    <w:rsid w:val="0071209F"/>
    <w:rsid w:val="007125A2"/>
    <w:rsid w:val="00713DD9"/>
    <w:rsid w:val="00713F79"/>
    <w:rsid w:val="007148A8"/>
    <w:rsid w:val="00716AC8"/>
    <w:rsid w:val="00716E54"/>
    <w:rsid w:val="00717421"/>
    <w:rsid w:val="0072033C"/>
    <w:rsid w:val="00720B1B"/>
    <w:rsid w:val="00721062"/>
    <w:rsid w:val="00721E5D"/>
    <w:rsid w:val="007229D4"/>
    <w:rsid w:val="007230F8"/>
    <w:rsid w:val="007233F4"/>
    <w:rsid w:val="00724044"/>
    <w:rsid w:val="007248D3"/>
    <w:rsid w:val="00724DF8"/>
    <w:rsid w:val="00725137"/>
    <w:rsid w:val="00725378"/>
    <w:rsid w:val="00727A43"/>
    <w:rsid w:val="00727FF2"/>
    <w:rsid w:val="00730550"/>
    <w:rsid w:val="00730C2A"/>
    <w:rsid w:val="00731434"/>
    <w:rsid w:val="00731E59"/>
    <w:rsid w:val="007323E0"/>
    <w:rsid w:val="00732911"/>
    <w:rsid w:val="00733721"/>
    <w:rsid w:val="00733DE2"/>
    <w:rsid w:val="007352EA"/>
    <w:rsid w:val="0073625F"/>
    <w:rsid w:val="0073792F"/>
    <w:rsid w:val="00740C81"/>
    <w:rsid w:val="00740DA6"/>
    <w:rsid w:val="00741B4B"/>
    <w:rsid w:val="00741D1E"/>
    <w:rsid w:val="00741DD6"/>
    <w:rsid w:val="00741EE2"/>
    <w:rsid w:val="0074207F"/>
    <w:rsid w:val="00742367"/>
    <w:rsid w:val="00742EAA"/>
    <w:rsid w:val="00743360"/>
    <w:rsid w:val="00743818"/>
    <w:rsid w:val="00743857"/>
    <w:rsid w:val="007441FB"/>
    <w:rsid w:val="00744517"/>
    <w:rsid w:val="0074522A"/>
    <w:rsid w:val="00747295"/>
    <w:rsid w:val="00747829"/>
    <w:rsid w:val="00747DE2"/>
    <w:rsid w:val="007504BF"/>
    <w:rsid w:val="007506CD"/>
    <w:rsid w:val="0075267F"/>
    <w:rsid w:val="007526EC"/>
    <w:rsid w:val="007527F7"/>
    <w:rsid w:val="00753C48"/>
    <w:rsid w:val="00754250"/>
    <w:rsid w:val="00754FE4"/>
    <w:rsid w:val="00755216"/>
    <w:rsid w:val="00756236"/>
    <w:rsid w:val="00756271"/>
    <w:rsid w:val="00756348"/>
    <w:rsid w:val="00756521"/>
    <w:rsid w:val="00756AB7"/>
    <w:rsid w:val="0076106D"/>
    <w:rsid w:val="007623FB"/>
    <w:rsid w:val="00762517"/>
    <w:rsid w:val="00763240"/>
    <w:rsid w:val="0076376A"/>
    <w:rsid w:val="007648AD"/>
    <w:rsid w:val="0076504E"/>
    <w:rsid w:val="00767BFD"/>
    <w:rsid w:val="00767EA0"/>
    <w:rsid w:val="0077068F"/>
    <w:rsid w:val="00771EDF"/>
    <w:rsid w:val="00772986"/>
    <w:rsid w:val="00772A90"/>
    <w:rsid w:val="00772F8D"/>
    <w:rsid w:val="0077408D"/>
    <w:rsid w:val="00774270"/>
    <w:rsid w:val="007743F6"/>
    <w:rsid w:val="00775679"/>
    <w:rsid w:val="0077574F"/>
    <w:rsid w:val="00775823"/>
    <w:rsid w:val="007777CC"/>
    <w:rsid w:val="00777B32"/>
    <w:rsid w:val="0078051E"/>
    <w:rsid w:val="00781089"/>
    <w:rsid w:val="007838F3"/>
    <w:rsid w:val="007856FE"/>
    <w:rsid w:val="00785F46"/>
    <w:rsid w:val="007865F4"/>
    <w:rsid w:val="00786D5C"/>
    <w:rsid w:val="00786E96"/>
    <w:rsid w:val="00787DFF"/>
    <w:rsid w:val="00787F93"/>
    <w:rsid w:val="00791E6D"/>
    <w:rsid w:val="00791EB5"/>
    <w:rsid w:val="00791FF2"/>
    <w:rsid w:val="00793696"/>
    <w:rsid w:val="007955DA"/>
    <w:rsid w:val="00796F65"/>
    <w:rsid w:val="007A11C2"/>
    <w:rsid w:val="007A18BB"/>
    <w:rsid w:val="007A27DD"/>
    <w:rsid w:val="007A41BF"/>
    <w:rsid w:val="007A490A"/>
    <w:rsid w:val="007A7B95"/>
    <w:rsid w:val="007B0297"/>
    <w:rsid w:val="007B02FA"/>
    <w:rsid w:val="007B0F53"/>
    <w:rsid w:val="007B21AE"/>
    <w:rsid w:val="007B2570"/>
    <w:rsid w:val="007B3113"/>
    <w:rsid w:val="007B3304"/>
    <w:rsid w:val="007B7490"/>
    <w:rsid w:val="007C0525"/>
    <w:rsid w:val="007C13F7"/>
    <w:rsid w:val="007C218D"/>
    <w:rsid w:val="007C2D28"/>
    <w:rsid w:val="007C3E22"/>
    <w:rsid w:val="007C5B90"/>
    <w:rsid w:val="007C6218"/>
    <w:rsid w:val="007C6484"/>
    <w:rsid w:val="007C67C6"/>
    <w:rsid w:val="007C78BE"/>
    <w:rsid w:val="007C7E59"/>
    <w:rsid w:val="007D0476"/>
    <w:rsid w:val="007D0B91"/>
    <w:rsid w:val="007D1386"/>
    <w:rsid w:val="007D1452"/>
    <w:rsid w:val="007D3DCB"/>
    <w:rsid w:val="007D460C"/>
    <w:rsid w:val="007D4996"/>
    <w:rsid w:val="007D4AD3"/>
    <w:rsid w:val="007D5D19"/>
    <w:rsid w:val="007D5FDC"/>
    <w:rsid w:val="007D6176"/>
    <w:rsid w:val="007D6D68"/>
    <w:rsid w:val="007E32DA"/>
    <w:rsid w:val="007E4998"/>
    <w:rsid w:val="007E4A9C"/>
    <w:rsid w:val="007E6914"/>
    <w:rsid w:val="007E7F78"/>
    <w:rsid w:val="007F0179"/>
    <w:rsid w:val="007F2C13"/>
    <w:rsid w:val="007F2CEC"/>
    <w:rsid w:val="007F3435"/>
    <w:rsid w:val="007F55DE"/>
    <w:rsid w:val="007F762D"/>
    <w:rsid w:val="007F78F0"/>
    <w:rsid w:val="007F78FF"/>
    <w:rsid w:val="008001C5"/>
    <w:rsid w:val="00800F6C"/>
    <w:rsid w:val="00801065"/>
    <w:rsid w:val="00802C0B"/>
    <w:rsid w:val="008051FC"/>
    <w:rsid w:val="008055A9"/>
    <w:rsid w:val="008056C4"/>
    <w:rsid w:val="008057FD"/>
    <w:rsid w:val="00805D8B"/>
    <w:rsid w:val="00810BB6"/>
    <w:rsid w:val="00810E8E"/>
    <w:rsid w:val="00812C44"/>
    <w:rsid w:val="0081341F"/>
    <w:rsid w:val="008135E1"/>
    <w:rsid w:val="00813779"/>
    <w:rsid w:val="00813E26"/>
    <w:rsid w:val="0081481D"/>
    <w:rsid w:val="00814BE8"/>
    <w:rsid w:val="00814F6E"/>
    <w:rsid w:val="00815363"/>
    <w:rsid w:val="00815B84"/>
    <w:rsid w:val="00816BE9"/>
    <w:rsid w:val="0082027C"/>
    <w:rsid w:val="00822518"/>
    <w:rsid w:val="008226F5"/>
    <w:rsid w:val="00823FC6"/>
    <w:rsid w:val="00824306"/>
    <w:rsid w:val="00825C74"/>
    <w:rsid w:val="00825CFA"/>
    <w:rsid w:val="00826AB9"/>
    <w:rsid w:val="00826E0E"/>
    <w:rsid w:val="00827D11"/>
    <w:rsid w:val="00827E0F"/>
    <w:rsid w:val="00827F6E"/>
    <w:rsid w:val="00831758"/>
    <w:rsid w:val="008317D9"/>
    <w:rsid w:val="0083279F"/>
    <w:rsid w:val="008334DB"/>
    <w:rsid w:val="00833B7F"/>
    <w:rsid w:val="00833E8E"/>
    <w:rsid w:val="00834906"/>
    <w:rsid w:val="00836075"/>
    <w:rsid w:val="00836417"/>
    <w:rsid w:val="00836A3E"/>
    <w:rsid w:val="00837526"/>
    <w:rsid w:val="00837F20"/>
    <w:rsid w:val="008407A7"/>
    <w:rsid w:val="0084322B"/>
    <w:rsid w:val="00843F81"/>
    <w:rsid w:val="00844087"/>
    <w:rsid w:val="00844526"/>
    <w:rsid w:val="008448F1"/>
    <w:rsid w:val="0084519E"/>
    <w:rsid w:val="00845CAE"/>
    <w:rsid w:val="00846370"/>
    <w:rsid w:val="008477E7"/>
    <w:rsid w:val="00847C2B"/>
    <w:rsid w:val="00850272"/>
    <w:rsid w:val="008506B9"/>
    <w:rsid w:val="00851822"/>
    <w:rsid w:val="008532BF"/>
    <w:rsid w:val="008539B2"/>
    <w:rsid w:val="00853BF4"/>
    <w:rsid w:val="00854294"/>
    <w:rsid w:val="0085572E"/>
    <w:rsid w:val="0085788B"/>
    <w:rsid w:val="00857A9E"/>
    <w:rsid w:val="00857DE2"/>
    <w:rsid w:val="00863A8E"/>
    <w:rsid w:val="0086407F"/>
    <w:rsid w:val="008645E3"/>
    <w:rsid w:val="00864E79"/>
    <w:rsid w:val="0086661F"/>
    <w:rsid w:val="00866A0D"/>
    <w:rsid w:val="00866DB5"/>
    <w:rsid w:val="0086701D"/>
    <w:rsid w:val="0086702B"/>
    <w:rsid w:val="008672E2"/>
    <w:rsid w:val="0086784E"/>
    <w:rsid w:val="0087121C"/>
    <w:rsid w:val="00871FD2"/>
    <w:rsid w:val="00872084"/>
    <w:rsid w:val="00872827"/>
    <w:rsid w:val="00872A32"/>
    <w:rsid w:val="00874911"/>
    <w:rsid w:val="008754E4"/>
    <w:rsid w:val="00876EAE"/>
    <w:rsid w:val="00880106"/>
    <w:rsid w:val="00880F95"/>
    <w:rsid w:val="00882B44"/>
    <w:rsid w:val="008838AD"/>
    <w:rsid w:val="008864B3"/>
    <w:rsid w:val="008865E5"/>
    <w:rsid w:val="008871B0"/>
    <w:rsid w:val="00890B57"/>
    <w:rsid w:val="008916BA"/>
    <w:rsid w:val="0089217C"/>
    <w:rsid w:val="00892790"/>
    <w:rsid w:val="008931DA"/>
    <w:rsid w:val="00893671"/>
    <w:rsid w:val="008946DC"/>
    <w:rsid w:val="00895838"/>
    <w:rsid w:val="00895A1E"/>
    <w:rsid w:val="00895A72"/>
    <w:rsid w:val="00895CDF"/>
    <w:rsid w:val="00896679"/>
    <w:rsid w:val="00896D8C"/>
    <w:rsid w:val="008A0FC9"/>
    <w:rsid w:val="008A1956"/>
    <w:rsid w:val="008A1A7C"/>
    <w:rsid w:val="008A2CE2"/>
    <w:rsid w:val="008A40D3"/>
    <w:rsid w:val="008A469C"/>
    <w:rsid w:val="008A51D1"/>
    <w:rsid w:val="008A5DCE"/>
    <w:rsid w:val="008A75D3"/>
    <w:rsid w:val="008B05DD"/>
    <w:rsid w:val="008B07B8"/>
    <w:rsid w:val="008B17E8"/>
    <w:rsid w:val="008B2E7C"/>
    <w:rsid w:val="008B321A"/>
    <w:rsid w:val="008B399A"/>
    <w:rsid w:val="008B45F0"/>
    <w:rsid w:val="008B4A70"/>
    <w:rsid w:val="008B502F"/>
    <w:rsid w:val="008B6DFC"/>
    <w:rsid w:val="008B7227"/>
    <w:rsid w:val="008C02FB"/>
    <w:rsid w:val="008C04E0"/>
    <w:rsid w:val="008C191C"/>
    <w:rsid w:val="008C1DA4"/>
    <w:rsid w:val="008C29B0"/>
    <w:rsid w:val="008C2CD5"/>
    <w:rsid w:val="008C3618"/>
    <w:rsid w:val="008C39E7"/>
    <w:rsid w:val="008C43AD"/>
    <w:rsid w:val="008C6118"/>
    <w:rsid w:val="008C6341"/>
    <w:rsid w:val="008C731F"/>
    <w:rsid w:val="008C74D9"/>
    <w:rsid w:val="008D03C2"/>
    <w:rsid w:val="008D12FB"/>
    <w:rsid w:val="008D3B2D"/>
    <w:rsid w:val="008D58D9"/>
    <w:rsid w:val="008D5AD4"/>
    <w:rsid w:val="008D695E"/>
    <w:rsid w:val="008D6DD5"/>
    <w:rsid w:val="008D6E59"/>
    <w:rsid w:val="008D7155"/>
    <w:rsid w:val="008D76E0"/>
    <w:rsid w:val="008E0B29"/>
    <w:rsid w:val="008E141A"/>
    <w:rsid w:val="008E1A44"/>
    <w:rsid w:val="008E1E55"/>
    <w:rsid w:val="008E28E6"/>
    <w:rsid w:val="008E3232"/>
    <w:rsid w:val="008E3674"/>
    <w:rsid w:val="008E3B6C"/>
    <w:rsid w:val="008E3DE7"/>
    <w:rsid w:val="008E562C"/>
    <w:rsid w:val="008E6540"/>
    <w:rsid w:val="008E77D4"/>
    <w:rsid w:val="008E7ADD"/>
    <w:rsid w:val="008F091F"/>
    <w:rsid w:val="008F17B2"/>
    <w:rsid w:val="008F22B3"/>
    <w:rsid w:val="008F357B"/>
    <w:rsid w:val="008F44CA"/>
    <w:rsid w:val="008F49D3"/>
    <w:rsid w:val="008F62C1"/>
    <w:rsid w:val="008F6519"/>
    <w:rsid w:val="008F7012"/>
    <w:rsid w:val="008F7ADA"/>
    <w:rsid w:val="008F7B17"/>
    <w:rsid w:val="00900042"/>
    <w:rsid w:val="0090034B"/>
    <w:rsid w:val="00901121"/>
    <w:rsid w:val="00902623"/>
    <w:rsid w:val="00902A67"/>
    <w:rsid w:val="00902C5E"/>
    <w:rsid w:val="00904BE4"/>
    <w:rsid w:val="0090504A"/>
    <w:rsid w:val="009051F5"/>
    <w:rsid w:val="00905221"/>
    <w:rsid w:val="00905A7C"/>
    <w:rsid w:val="00905D7E"/>
    <w:rsid w:val="00907037"/>
    <w:rsid w:val="0091112C"/>
    <w:rsid w:val="0091160A"/>
    <w:rsid w:val="00912E04"/>
    <w:rsid w:val="00913258"/>
    <w:rsid w:val="00913851"/>
    <w:rsid w:val="00913BB0"/>
    <w:rsid w:val="0091456C"/>
    <w:rsid w:val="00914C58"/>
    <w:rsid w:val="0091564D"/>
    <w:rsid w:val="009156DA"/>
    <w:rsid w:val="00915774"/>
    <w:rsid w:val="00916BC5"/>
    <w:rsid w:val="0091726A"/>
    <w:rsid w:val="00917C01"/>
    <w:rsid w:val="00920184"/>
    <w:rsid w:val="00920EA4"/>
    <w:rsid w:val="00921792"/>
    <w:rsid w:val="00921BEA"/>
    <w:rsid w:val="009227BE"/>
    <w:rsid w:val="009238FD"/>
    <w:rsid w:val="00923998"/>
    <w:rsid w:val="00923DB4"/>
    <w:rsid w:val="0092420B"/>
    <w:rsid w:val="0092430E"/>
    <w:rsid w:val="00924570"/>
    <w:rsid w:val="00924A46"/>
    <w:rsid w:val="00926112"/>
    <w:rsid w:val="0092625F"/>
    <w:rsid w:val="00926B28"/>
    <w:rsid w:val="00926D9C"/>
    <w:rsid w:val="00927028"/>
    <w:rsid w:val="00927763"/>
    <w:rsid w:val="00927A2D"/>
    <w:rsid w:val="00927B37"/>
    <w:rsid w:val="00931917"/>
    <w:rsid w:val="009321B1"/>
    <w:rsid w:val="00932ED7"/>
    <w:rsid w:val="009333CF"/>
    <w:rsid w:val="0093422D"/>
    <w:rsid w:val="0093483B"/>
    <w:rsid w:val="00934CF9"/>
    <w:rsid w:val="00934DD7"/>
    <w:rsid w:val="009369A9"/>
    <w:rsid w:val="00936CF7"/>
    <w:rsid w:val="00937783"/>
    <w:rsid w:val="00937EAD"/>
    <w:rsid w:val="00937F28"/>
    <w:rsid w:val="00940FE1"/>
    <w:rsid w:val="009412D2"/>
    <w:rsid w:val="00942306"/>
    <w:rsid w:val="00942384"/>
    <w:rsid w:val="009424B8"/>
    <w:rsid w:val="00944668"/>
    <w:rsid w:val="00944DC6"/>
    <w:rsid w:val="009458B0"/>
    <w:rsid w:val="00945B52"/>
    <w:rsid w:val="00945B7A"/>
    <w:rsid w:val="00945F05"/>
    <w:rsid w:val="00946348"/>
    <w:rsid w:val="00947797"/>
    <w:rsid w:val="009478A2"/>
    <w:rsid w:val="00953808"/>
    <w:rsid w:val="009539A6"/>
    <w:rsid w:val="00954032"/>
    <w:rsid w:val="00954537"/>
    <w:rsid w:val="0095472D"/>
    <w:rsid w:val="00955FBB"/>
    <w:rsid w:val="0095694B"/>
    <w:rsid w:val="00956BD5"/>
    <w:rsid w:val="00956D84"/>
    <w:rsid w:val="009577B5"/>
    <w:rsid w:val="009608E6"/>
    <w:rsid w:val="00960F57"/>
    <w:rsid w:val="00961C90"/>
    <w:rsid w:val="00965443"/>
    <w:rsid w:val="00965954"/>
    <w:rsid w:val="00965A21"/>
    <w:rsid w:val="00965E55"/>
    <w:rsid w:val="0096608E"/>
    <w:rsid w:val="00966522"/>
    <w:rsid w:val="00966C33"/>
    <w:rsid w:val="00966FCB"/>
    <w:rsid w:val="00970F18"/>
    <w:rsid w:val="00971CF1"/>
    <w:rsid w:val="00971F5D"/>
    <w:rsid w:val="009721E9"/>
    <w:rsid w:val="00973772"/>
    <w:rsid w:val="0097471B"/>
    <w:rsid w:val="0097560A"/>
    <w:rsid w:val="00975E1E"/>
    <w:rsid w:val="00975E70"/>
    <w:rsid w:val="009761DE"/>
    <w:rsid w:val="009766FA"/>
    <w:rsid w:val="00977CD6"/>
    <w:rsid w:val="0098048B"/>
    <w:rsid w:val="00980DF9"/>
    <w:rsid w:val="00981150"/>
    <w:rsid w:val="0098243D"/>
    <w:rsid w:val="00982D26"/>
    <w:rsid w:val="00983B6E"/>
    <w:rsid w:val="00983FE5"/>
    <w:rsid w:val="009849E9"/>
    <w:rsid w:val="009859E4"/>
    <w:rsid w:val="00987812"/>
    <w:rsid w:val="00990225"/>
    <w:rsid w:val="00992A13"/>
    <w:rsid w:val="00994AAD"/>
    <w:rsid w:val="00994DE1"/>
    <w:rsid w:val="00995150"/>
    <w:rsid w:val="00995D67"/>
    <w:rsid w:val="009A013B"/>
    <w:rsid w:val="009A01A8"/>
    <w:rsid w:val="009A02F4"/>
    <w:rsid w:val="009A06BF"/>
    <w:rsid w:val="009A0D17"/>
    <w:rsid w:val="009A2494"/>
    <w:rsid w:val="009A295D"/>
    <w:rsid w:val="009A32B1"/>
    <w:rsid w:val="009A33A3"/>
    <w:rsid w:val="009A36F2"/>
    <w:rsid w:val="009A40C3"/>
    <w:rsid w:val="009A40D5"/>
    <w:rsid w:val="009A57D0"/>
    <w:rsid w:val="009A6559"/>
    <w:rsid w:val="009A68FC"/>
    <w:rsid w:val="009A6CE4"/>
    <w:rsid w:val="009A7514"/>
    <w:rsid w:val="009A7E7A"/>
    <w:rsid w:val="009B1584"/>
    <w:rsid w:val="009B18F0"/>
    <w:rsid w:val="009B1F4C"/>
    <w:rsid w:val="009B2471"/>
    <w:rsid w:val="009B314F"/>
    <w:rsid w:val="009B439C"/>
    <w:rsid w:val="009B46BC"/>
    <w:rsid w:val="009B49A1"/>
    <w:rsid w:val="009B4A6C"/>
    <w:rsid w:val="009B4DA8"/>
    <w:rsid w:val="009B519A"/>
    <w:rsid w:val="009B620C"/>
    <w:rsid w:val="009B6753"/>
    <w:rsid w:val="009B676C"/>
    <w:rsid w:val="009B6A26"/>
    <w:rsid w:val="009C079D"/>
    <w:rsid w:val="009C0D70"/>
    <w:rsid w:val="009C13D1"/>
    <w:rsid w:val="009C1AF6"/>
    <w:rsid w:val="009C2913"/>
    <w:rsid w:val="009C2BD4"/>
    <w:rsid w:val="009C5AFE"/>
    <w:rsid w:val="009C6606"/>
    <w:rsid w:val="009C6CE5"/>
    <w:rsid w:val="009C6D50"/>
    <w:rsid w:val="009C7547"/>
    <w:rsid w:val="009D05EC"/>
    <w:rsid w:val="009D18D4"/>
    <w:rsid w:val="009D2F60"/>
    <w:rsid w:val="009D3A2E"/>
    <w:rsid w:val="009D5ADE"/>
    <w:rsid w:val="009D5BAC"/>
    <w:rsid w:val="009D5C56"/>
    <w:rsid w:val="009D6265"/>
    <w:rsid w:val="009D64BD"/>
    <w:rsid w:val="009D6CB1"/>
    <w:rsid w:val="009E0286"/>
    <w:rsid w:val="009E153F"/>
    <w:rsid w:val="009E322A"/>
    <w:rsid w:val="009E393E"/>
    <w:rsid w:val="009E444E"/>
    <w:rsid w:val="009E4968"/>
    <w:rsid w:val="009E663C"/>
    <w:rsid w:val="009E684A"/>
    <w:rsid w:val="009E6BB1"/>
    <w:rsid w:val="009E6E14"/>
    <w:rsid w:val="009E794A"/>
    <w:rsid w:val="009E7C14"/>
    <w:rsid w:val="009F0494"/>
    <w:rsid w:val="009F0CD9"/>
    <w:rsid w:val="009F1A79"/>
    <w:rsid w:val="009F1F57"/>
    <w:rsid w:val="009F2DDD"/>
    <w:rsid w:val="009F3447"/>
    <w:rsid w:val="009F65F4"/>
    <w:rsid w:val="009F676B"/>
    <w:rsid w:val="009F6D2D"/>
    <w:rsid w:val="009F6D54"/>
    <w:rsid w:val="00A0010C"/>
    <w:rsid w:val="00A004DF"/>
    <w:rsid w:val="00A00FD5"/>
    <w:rsid w:val="00A012C0"/>
    <w:rsid w:val="00A019A8"/>
    <w:rsid w:val="00A01B03"/>
    <w:rsid w:val="00A01B89"/>
    <w:rsid w:val="00A02C66"/>
    <w:rsid w:val="00A02C84"/>
    <w:rsid w:val="00A0464C"/>
    <w:rsid w:val="00A050BB"/>
    <w:rsid w:val="00A054E0"/>
    <w:rsid w:val="00A05D91"/>
    <w:rsid w:val="00A0740B"/>
    <w:rsid w:val="00A07ED3"/>
    <w:rsid w:val="00A10CA8"/>
    <w:rsid w:val="00A11042"/>
    <w:rsid w:val="00A12579"/>
    <w:rsid w:val="00A133D8"/>
    <w:rsid w:val="00A13812"/>
    <w:rsid w:val="00A15655"/>
    <w:rsid w:val="00A160B0"/>
    <w:rsid w:val="00A1740C"/>
    <w:rsid w:val="00A20069"/>
    <w:rsid w:val="00A2244D"/>
    <w:rsid w:val="00A2253D"/>
    <w:rsid w:val="00A2267F"/>
    <w:rsid w:val="00A22CDB"/>
    <w:rsid w:val="00A247B8"/>
    <w:rsid w:val="00A2495A"/>
    <w:rsid w:val="00A24C7A"/>
    <w:rsid w:val="00A24D8F"/>
    <w:rsid w:val="00A25B8B"/>
    <w:rsid w:val="00A25C5D"/>
    <w:rsid w:val="00A2689F"/>
    <w:rsid w:val="00A26ECA"/>
    <w:rsid w:val="00A27461"/>
    <w:rsid w:val="00A27D67"/>
    <w:rsid w:val="00A30ABC"/>
    <w:rsid w:val="00A33B74"/>
    <w:rsid w:val="00A3467F"/>
    <w:rsid w:val="00A34B4C"/>
    <w:rsid w:val="00A35030"/>
    <w:rsid w:val="00A3551A"/>
    <w:rsid w:val="00A366A0"/>
    <w:rsid w:val="00A37209"/>
    <w:rsid w:val="00A37584"/>
    <w:rsid w:val="00A376E8"/>
    <w:rsid w:val="00A37F8E"/>
    <w:rsid w:val="00A41537"/>
    <w:rsid w:val="00A41737"/>
    <w:rsid w:val="00A42B8F"/>
    <w:rsid w:val="00A42D8E"/>
    <w:rsid w:val="00A43254"/>
    <w:rsid w:val="00A43896"/>
    <w:rsid w:val="00A43A26"/>
    <w:rsid w:val="00A447A0"/>
    <w:rsid w:val="00A459F5"/>
    <w:rsid w:val="00A45FC0"/>
    <w:rsid w:val="00A46B74"/>
    <w:rsid w:val="00A47ECC"/>
    <w:rsid w:val="00A50171"/>
    <w:rsid w:val="00A504FA"/>
    <w:rsid w:val="00A5102E"/>
    <w:rsid w:val="00A5132E"/>
    <w:rsid w:val="00A51375"/>
    <w:rsid w:val="00A51533"/>
    <w:rsid w:val="00A531D4"/>
    <w:rsid w:val="00A54572"/>
    <w:rsid w:val="00A575B8"/>
    <w:rsid w:val="00A61C60"/>
    <w:rsid w:val="00A61ECB"/>
    <w:rsid w:val="00A6410C"/>
    <w:rsid w:val="00A647B1"/>
    <w:rsid w:val="00A64DEF"/>
    <w:rsid w:val="00A654D2"/>
    <w:rsid w:val="00A665DF"/>
    <w:rsid w:val="00A67928"/>
    <w:rsid w:val="00A67FCC"/>
    <w:rsid w:val="00A70AA5"/>
    <w:rsid w:val="00A70C03"/>
    <w:rsid w:val="00A71256"/>
    <w:rsid w:val="00A7217B"/>
    <w:rsid w:val="00A73861"/>
    <w:rsid w:val="00A739A6"/>
    <w:rsid w:val="00A740ED"/>
    <w:rsid w:val="00A74C29"/>
    <w:rsid w:val="00A74C62"/>
    <w:rsid w:val="00A75DF5"/>
    <w:rsid w:val="00A75EF9"/>
    <w:rsid w:val="00A8311C"/>
    <w:rsid w:val="00A835D0"/>
    <w:rsid w:val="00A84C5F"/>
    <w:rsid w:val="00A85930"/>
    <w:rsid w:val="00A863F7"/>
    <w:rsid w:val="00A86604"/>
    <w:rsid w:val="00A87519"/>
    <w:rsid w:val="00A9246D"/>
    <w:rsid w:val="00A92CCA"/>
    <w:rsid w:val="00A93BD0"/>
    <w:rsid w:val="00A93CC2"/>
    <w:rsid w:val="00A974CC"/>
    <w:rsid w:val="00AA1067"/>
    <w:rsid w:val="00AA2001"/>
    <w:rsid w:val="00AA2B5C"/>
    <w:rsid w:val="00AA32D2"/>
    <w:rsid w:val="00AA4016"/>
    <w:rsid w:val="00AA4C1F"/>
    <w:rsid w:val="00AA5328"/>
    <w:rsid w:val="00AA5393"/>
    <w:rsid w:val="00AA63D4"/>
    <w:rsid w:val="00AB03FD"/>
    <w:rsid w:val="00AB2000"/>
    <w:rsid w:val="00AB2E94"/>
    <w:rsid w:val="00AB38CB"/>
    <w:rsid w:val="00AB3BEC"/>
    <w:rsid w:val="00AB44E4"/>
    <w:rsid w:val="00AB4AEB"/>
    <w:rsid w:val="00AB4E5F"/>
    <w:rsid w:val="00AB5352"/>
    <w:rsid w:val="00AB56AE"/>
    <w:rsid w:val="00AB62D5"/>
    <w:rsid w:val="00AB65B5"/>
    <w:rsid w:val="00AB6DCD"/>
    <w:rsid w:val="00AB6EE0"/>
    <w:rsid w:val="00AC17A2"/>
    <w:rsid w:val="00AC40B7"/>
    <w:rsid w:val="00AC531F"/>
    <w:rsid w:val="00AC5B36"/>
    <w:rsid w:val="00AC6377"/>
    <w:rsid w:val="00AC66A4"/>
    <w:rsid w:val="00AC6CB1"/>
    <w:rsid w:val="00AC7D6D"/>
    <w:rsid w:val="00AD0091"/>
    <w:rsid w:val="00AD23EF"/>
    <w:rsid w:val="00AD2662"/>
    <w:rsid w:val="00AD307B"/>
    <w:rsid w:val="00AD4014"/>
    <w:rsid w:val="00AD41B3"/>
    <w:rsid w:val="00AD5721"/>
    <w:rsid w:val="00AD5C4D"/>
    <w:rsid w:val="00AD69F0"/>
    <w:rsid w:val="00AD7127"/>
    <w:rsid w:val="00AD730C"/>
    <w:rsid w:val="00AE123A"/>
    <w:rsid w:val="00AE1539"/>
    <w:rsid w:val="00AE28A7"/>
    <w:rsid w:val="00AE2A98"/>
    <w:rsid w:val="00AE2CF2"/>
    <w:rsid w:val="00AE3012"/>
    <w:rsid w:val="00AE33A6"/>
    <w:rsid w:val="00AE3729"/>
    <w:rsid w:val="00AE4138"/>
    <w:rsid w:val="00AE4CCE"/>
    <w:rsid w:val="00AE5C6A"/>
    <w:rsid w:val="00AE6317"/>
    <w:rsid w:val="00AE6B62"/>
    <w:rsid w:val="00AE7280"/>
    <w:rsid w:val="00AF033A"/>
    <w:rsid w:val="00AF1699"/>
    <w:rsid w:val="00AF1FD3"/>
    <w:rsid w:val="00AF2910"/>
    <w:rsid w:val="00AF34B8"/>
    <w:rsid w:val="00AF3896"/>
    <w:rsid w:val="00AF3FC2"/>
    <w:rsid w:val="00B0098A"/>
    <w:rsid w:val="00B00A5F"/>
    <w:rsid w:val="00B00F89"/>
    <w:rsid w:val="00B029B8"/>
    <w:rsid w:val="00B02F60"/>
    <w:rsid w:val="00B032B8"/>
    <w:rsid w:val="00B04721"/>
    <w:rsid w:val="00B04B15"/>
    <w:rsid w:val="00B04B46"/>
    <w:rsid w:val="00B0534D"/>
    <w:rsid w:val="00B05685"/>
    <w:rsid w:val="00B05F9F"/>
    <w:rsid w:val="00B06368"/>
    <w:rsid w:val="00B068DA"/>
    <w:rsid w:val="00B06A00"/>
    <w:rsid w:val="00B06FC6"/>
    <w:rsid w:val="00B074C9"/>
    <w:rsid w:val="00B07D9D"/>
    <w:rsid w:val="00B11AE5"/>
    <w:rsid w:val="00B12FE6"/>
    <w:rsid w:val="00B1303F"/>
    <w:rsid w:val="00B1364A"/>
    <w:rsid w:val="00B13859"/>
    <w:rsid w:val="00B13EC9"/>
    <w:rsid w:val="00B14319"/>
    <w:rsid w:val="00B14A06"/>
    <w:rsid w:val="00B158E1"/>
    <w:rsid w:val="00B16715"/>
    <w:rsid w:val="00B1768E"/>
    <w:rsid w:val="00B17910"/>
    <w:rsid w:val="00B20F18"/>
    <w:rsid w:val="00B21516"/>
    <w:rsid w:val="00B21A37"/>
    <w:rsid w:val="00B21D23"/>
    <w:rsid w:val="00B21F62"/>
    <w:rsid w:val="00B22CE0"/>
    <w:rsid w:val="00B23738"/>
    <w:rsid w:val="00B23BEF"/>
    <w:rsid w:val="00B247BB"/>
    <w:rsid w:val="00B2504A"/>
    <w:rsid w:val="00B25EE6"/>
    <w:rsid w:val="00B3115A"/>
    <w:rsid w:val="00B31825"/>
    <w:rsid w:val="00B31A5C"/>
    <w:rsid w:val="00B33B06"/>
    <w:rsid w:val="00B33C19"/>
    <w:rsid w:val="00B35A15"/>
    <w:rsid w:val="00B35B45"/>
    <w:rsid w:val="00B36A99"/>
    <w:rsid w:val="00B42264"/>
    <w:rsid w:val="00B434B2"/>
    <w:rsid w:val="00B43D45"/>
    <w:rsid w:val="00B468F2"/>
    <w:rsid w:val="00B469DE"/>
    <w:rsid w:val="00B47286"/>
    <w:rsid w:val="00B50234"/>
    <w:rsid w:val="00B51BF4"/>
    <w:rsid w:val="00B52C68"/>
    <w:rsid w:val="00B5372B"/>
    <w:rsid w:val="00B542FE"/>
    <w:rsid w:val="00B55A1B"/>
    <w:rsid w:val="00B561DB"/>
    <w:rsid w:val="00B56DF9"/>
    <w:rsid w:val="00B600BD"/>
    <w:rsid w:val="00B61274"/>
    <w:rsid w:val="00B61DCE"/>
    <w:rsid w:val="00B62188"/>
    <w:rsid w:val="00B62F79"/>
    <w:rsid w:val="00B62F82"/>
    <w:rsid w:val="00B6306A"/>
    <w:rsid w:val="00B635E3"/>
    <w:rsid w:val="00B653D7"/>
    <w:rsid w:val="00B662FF"/>
    <w:rsid w:val="00B66679"/>
    <w:rsid w:val="00B70145"/>
    <w:rsid w:val="00B71A92"/>
    <w:rsid w:val="00B721D8"/>
    <w:rsid w:val="00B730CA"/>
    <w:rsid w:val="00B747C5"/>
    <w:rsid w:val="00B747D1"/>
    <w:rsid w:val="00B74F2F"/>
    <w:rsid w:val="00B753ED"/>
    <w:rsid w:val="00B769BC"/>
    <w:rsid w:val="00B77349"/>
    <w:rsid w:val="00B7761E"/>
    <w:rsid w:val="00B80A3D"/>
    <w:rsid w:val="00B80B04"/>
    <w:rsid w:val="00B8127B"/>
    <w:rsid w:val="00B819E5"/>
    <w:rsid w:val="00B821E4"/>
    <w:rsid w:val="00B823E0"/>
    <w:rsid w:val="00B8260D"/>
    <w:rsid w:val="00B82B78"/>
    <w:rsid w:val="00B845B4"/>
    <w:rsid w:val="00B84662"/>
    <w:rsid w:val="00B84C74"/>
    <w:rsid w:val="00B85191"/>
    <w:rsid w:val="00B858A1"/>
    <w:rsid w:val="00B85FEC"/>
    <w:rsid w:val="00B864A3"/>
    <w:rsid w:val="00B86C2A"/>
    <w:rsid w:val="00B878BE"/>
    <w:rsid w:val="00B902A5"/>
    <w:rsid w:val="00B90420"/>
    <w:rsid w:val="00B90848"/>
    <w:rsid w:val="00B91146"/>
    <w:rsid w:val="00B913E4"/>
    <w:rsid w:val="00B91DB9"/>
    <w:rsid w:val="00B91FF3"/>
    <w:rsid w:val="00B93EFE"/>
    <w:rsid w:val="00B944B9"/>
    <w:rsid w:val="00B94956"/>
    <w:rsid w:val="00B94C7F"/>
    <w:rsid w:val="00B94E93"/>
    <w:rsid w:val="00B956B5"/>
    <w:rsid w:val="00B96DF2"/>
    <w:rsid w:val="00B96E18"/>
    <w:rsid w:val="00B96F5A"/>
    <w:rsid w:val="00BA0B39"/>
    <w:rsid w:val="00BA0CB2"/>
    <w:rsid w:val="00BA0E26"/>
    <w:rsid w:val="00BA138B"/>
    <w:rsid w:val="00BA305B"/>
    <w:rsid w:val="00BA31BF"/>
    <w:rsid w:val="00BA3FC7"/>
    <w:rsid w:val="00BA478B"/>
    <w:rsid w:val="00BA5224"/>
    <w:rsid w:val="00BA575E"/>
    <w:rsid w:val="00BA76B7"/>
    <w:rsid w:val="00BA7E3B"/>
    <w:rsid w:val="00BB078D"/>
    <w:rsid w:val="00BB079C"/>
    <w:rsid w:val="00BB0D7A"/>
    <w:rsid w:val="00BB10E1"/>
    <w:rsid w:val="00BB2471"/>
    <w:rsid w:val="00BB25B8"/>
    <w:rsid w:val="00BB3035"/>
    <w:rsid w:val="00BB39C1"/>
    <w:rsid w:val="00BB3DF5"/>
    <w:rsid w:val="00BB5D16"/>
    <w:rsid w:val="00BB6180"/>
    <w:rsid w:val="00BB69E6"/>
    <w:rsid w:val="00BB7BE5"/>
    <w:rsid w:val="00BC08BD"/>
    <w:rsid w:val="00BC11E8"/>
    <w:rsid w:val="00BC1B7A"/>
    <w:rsid w:val="00BC2C17"/>
    <w:rsid w:val="00BC3ACD"/>
    <w:rsid w:val="00BC3B20"/>
    <w:rsid w:val="00BC3EE4"/>
    <w:rsid w:val="00BC588C"/>
    <w:rsid w:val="00BC62F4"/>
    <w:rsid w:val="00BC6E73"/>
    <w:rsid w:val="00BC74D3"/>
    <w:rsid w:val="00BD0014"/>
    <w:rsid w:val="00BD01D8"/>
    <w:rsid w:val="00BD255F"/>
    <w:rsid w:val="00BD2895"/>
    <w:rsid w:val="00BD4236"/>
    <w:rsid w:val="00BD483B"/>
    <w:rsid w:val="00BD5CD4"/>
    <w:rsid w:val="00BD65D9"/>
    <w:rsid w:val="00BD6DF3"/>
    <w:rsid w:val="00BD6E09"/>
    <w:rsid w:val="00BD6EF9"/>
    <w:rsid w:val="00BE0ACB"/>
    <w:rsid w:val="00BE2260"/>
    <w:rsid w:val="00BE3917"/>
    <w:rsid w:val="00BE50FD"/>
    <w:rsid w:val="00BE51CA"/>
    <w:rsid w:val="00BE537F"/>
    <w:rsid w:val="00BE5D77"/>
    <w:rsid w:val="00BE6D47"/>
    <w:rsid w:val="00BE7032"/>
    <w:rsid w:val="00BE7330"/>
    <w:rsid w:val="00BF01C5"/>
    <w:rsid w:val="00BF061A"/>
    <w:rsid w:val="00BF066A"/>
    <w:rsid w:val="00BF14CC"/>
    <w:rsid w:val="00BF1821"/>
    <w:rsid w:val="00BF4342"/>
    <w:rsid w:val="00BF4704"/>
    <w:rsid w:val="00BF4FFC"/>
    <w:rsid w:val="00BF5050"/>
    <w:rsid w:val="00BF50D1"/>
    <w:rsid w:val="00BF5422"/>
    <w:rsid w:val="00BF59B1"/>
    <w:rsid w:val="00BF6A78"/>
    <w:rsid w:val="00BF7695"/>
    <w:rsid w:val="00BF79B4"/>
    <w:rsid w:val="00BF7C61"/>
    <w:rsid w:val="00C00037"/>
    <w:rsid w:val="00C00D18"/>
    <w:rsid w:val="00C01427"/>
    <w:rsid w:val="00C014C7"/>
    <w:rsid w:val="00C047AB"/>
    <w:rsid w:val="00C058AF"/>
    <w:rsid w:val="00C075B6"/>
    <w:rsid w:val="00C124C1"/>
    <w:rsid w:val="00C128AE"/>
    <w:rsid w:val="00C12BA8"/>
    <w:rsid w:val="00C136D6"/>
    <w:rsid w:val="00C13902"/>
    <w:rsid w:val="00C13D5B"/>
    <w:rsid w:val="00C141D7"/>
    <w:rsid w:val="00C1711B"/>
    <w:rsid w:val="00C17AE2"/>
    <w:rsid w:val="00C17E00"/>
    <w:rsid w:val="00C20140"/>
    <w:rsid w:val="00C20F27"/>
    <w:rsid w:val="00C215CF"/>
    <w:rsid w:val="00C2244B"/>
    <w:rsid w:val="00C22711"/>
    <w:rsid w:val="00C2280A"/>
    <w:rsid w:val="00C22B0D"/>
    <w:rsid w:val="00C22BFF"/>
    <w:rsid w:val="00C23522"/>
    <w:rsid w:val="00C240C1"/>
    <w:rsid w:val="00C24AED"/>
    <w:rsid w:val="00C250D0"/>
    <w:rsid w:val="00C252AC"/>
    <w:rsid w:val="00C25C0F"/>
    <w:rsid w:val="00C26567"/>
    <w:rsid w:val="00C26923"/>
    <w:rsid w:val="00C27214"/>
    <w:rsid w:val="00C27597"/>
    <w:rsid w:val="00C27E5E"/>
    <w:rsid w:val="00C30382"/>
    <w:rsid w:val="00C30772"/>
    <w:rsid w:val="00C30D6F"/>
    <w:rsid w:val="00C31063"/>
    <w:rsid w:val="00C31B7E"/>
    <w:rsid w:val="00C322D1"/>
    <w:rsid w:val="00C3242A"/>
    <w:rsid w:val="00C33201"/>
    <w:rsid w:val="00C33A39"/>
    <w:rsid w:val="00C33B57"/>
    <w:rsid w:val="00C34619"/>
    <w:rsid w:val="00C35D01"/>
    <w:rsid w:val="00C360B3"/>
    <w:rsid w:val="00C37027"/>
    <w:rsid w:val="00C37B19"/>
    <w:rsid w:val="00C413CB"/>
    <w:rsid w:val="00C42752"/>
    <w:rsid w:val="00C42973"/>
    <w:rsid w:val="00C44C69"/>
    <w:rsid w:val="00C4712A"/>
    <w:rsid w:val="00C5034F"/>
    <w:rsid w:val="00C50830"/>
    <w:rsid w:val="00C52479"/>
    <w:rsid w:val="00C5266E"/>
    <w:rsid w:val="00C52C59"/>
    <w:rsid w:val="00C5349E"/>
    <w:rsid w:val="00C539FF"/>
    <w:rsid w:val="00C544BD"/>
    <w:rsid w:val="00C54D3D"/>
    <w:rsid w:val="00C55A30"/>
    <w:rsid w:val="00C56384"/>
    <w:rsid w:val="00C60F8C"/>
    <w:rsid w:val="00C61794"/>
    <w:rsid w:val="00C62A48"/>
    <w:rsid w:val="00C62AC4"/>
    <w:rsid w:val="00C62B59"/>
    <w:rsid w:val="00C62F96"/>
    <w:rsid w:val="00C631E1"/>
    <w:rsid w:val="00C638D8"/>
    <w:rsid w:val="00C63AE7"/>
    <w:rsid w:val="00C63D26"/>
    <w:rsid w:val="00C6540A"/>
    <w:rsid w:val="00C668A1"/>
    <w:rsid w:val="00C67223"/>
    <w:rsid w:val="00C707B8"/>
    <w:rsid w:val="00C712AC"/>
    <w:rsid w:val="00C71C15"/>
    <w:rsid w:val="00C71F3D"/>
    <w:rsid w:val="00C72F53"/>
    <w:rsid w:val="00C74035"/>
    <w:rsid w:val="00C748EA"/>
    <w:rsid w:val="00C77818"/>
    <w:rsid w:val="00C8063F"/>
    <w:rsid w:val="00C81282"/>
    <w:rsid w:val="00C827B4"/>
    <w:rsid w:val="00C83214"/>
    <w:rsid w:val="00C8329F"/>
    <w:rsid w:val="00C84F8A"/>
    <w:rsid w:val="00C85BA4"/>
    <w:rsid w:val="00C8618F"/>
    <w:rsid w:val="00C8625D"/>
    <w:rsid w:val="00C90372"/>
    <w:rsid w:val="00C9041F"/>
    <w:rsid w:val="00C9166B"/>
    <w:rsid w:val="00C91A45"/>
    <w:rsid w:val="00C91FB4"/>
    <w:rsid w:val="00C92150"/>
    <w:rsid w:val="00C92328"/>
    <w:rsid w:val="00C92D42"/>
    <w:rsid w:val="00C938C2"/>
    <w:rsid w:val="00C93F8A"/>
    <w:rsid w:val="00C94EA1"/>
    <w:rsid w:val="00C9511B"/>
    <w:rsid w:val="00C95745"/>
    <w:rsid w:val="00C95902"/>
    <w:rsid w:val="00C962E3"/>
    <w:rsid w:val="00C978E2"/>
    <w:rsid w:val="00C97997"/>
    <w:rsid w:val="00CA10A2"/>
    <w:rsid w:val="00CA1D83"/>
    <w:rsid w:val="00CA25C0"/>
    <w:rsid w:val="00CA3451"/>
    <w:rsid w:val="00CA35C6"/>
    <w:rsid w:val="00CA4948"/>
    <w:rsid w:val="00CA52F9"/>
    <w:rsid w:val="00CA5368"/>
    <w:rsid w:val="00CA568B"/>
    <w:rsid w:val="00CA573A"/>
    <w:rsid w:val="00CA5C58"/>
    <w:rsid w:val="00CB19D7"/>
    <w:rsid w:val="00CB19FE"/>
    <w:rsid w:val="00CB1C3F"/>
    <w:rsid w:val="00CB2364"/>
    <w:rsid w:val="00CB304C"/>
    <w:rsid w:val="00CB3933"/>
    <w:rsid w:val="00CB53E8"/>
    <w:rsid w:val="00CB594A"/>
    <w:rsid w:val="00CB5CB2"/>
    <w:rsid w:val="00CB6979"/>
    <w:rsid w:val="00CB7DDE"/>
    <w:rsid w:val="00CC0A3D"/>
    <w:rsid w:val="00CC1585"/>
    <w:rsid w:val="00CC3C53"/>
    <w:rsid w:val="00CC3D24"/>
    <w:rsid w:val="00CC3F91"/>
    <w:rsid w:val="00CC4ACD"/>
    <w:rsid w:val="00CC4B0A"/>
    <w:rsid w:val="00CC544A"/>
    <w:rsid w:val="00CC57EA"/>
    <w:rsid w:val="00CC5954"/>
    <w:rsid w:val="00CC629B"/>
    <w:rsid w:val="00CC6C4E"/>
    <w:rsid w:val="00CD009D"/>
    <w:rsid w:val="00CD05A2"/>
    <w:rsid w:val="00CD29D4"/>
    <w:rsid w:val="00CD2B5C"/>
    <w:rsid w:val="00CD2FF3"/>
    <w:rsid w:val="00CD3323"/>
    <w:rsid w:val="00CD38F5"/>
    <w:rsid w:val="00CD437E"/>
    <w:rsid w:val="00CD5DAD"/>
    <w:rsid w:val="00CD72C5"/>
    <w:rsid w:val="00CD79A7"/>
    <w:rsid w:val="00CE0789"/>
    <w:rsid w:val="00CE0E8D"/>
    <w:rsid w:val="00CE1A03"/>
    <w:rsid w:val="00CE2346"/>
    <w:rsid w:val="00CE25B2"/>
    <w:rsid w:val="00CE2687"/>
    <w:rsid w:val="00CE3529"/>
    <w:rsid w:val="00CE35C8"/>
    <w:rsid w:val="00CE3962"/>
    <w:rsid w:val="00CE4D1A"/>
    <w:rsid w:val="00CE4E8A"/>
    <w:rsid w:val="00CE5105"/>
    <w:rsid w:val="00CE56BD"/>
    <w:rsid w:val="00CE5EC0"/>
    <w:rsid w:val="00CE6A0B"/>
    <w:rsid w:val="00CE6F9F"/>
    <w:rsid w:val="00CE781A"/>
    <w:rsid w:val="00CE7B08"/>
    <w:rsid w:val="00CE7D52"/>
    <w:rsid w:val="00CF1D74"/>
    <w:rsid w:val="00CF2BE2"/>
    <w:rsid w:val="00CF3DEB"/>
    <w:rsid w:val="00CF55F9"/>
    <w:rsid w:val="00CF7074"/>
    <w:rsid w:val="00CF7390"/>
    <w:rsid w:val="00CF7495"/>
    <w:rsid w:val="00D01CF9"/>
    <w:rsid w:val="00D0334D"/>
    <w:rsid w:val="00D0374D"/>
    <w:rsid w:val="00D06D7B"/>
    <w:rsid w:val="00D06DA5"/>
    <w:rsid w:val="00D07191"/>
    <w:rsid w:val="00D07F1D"/>
    <w:rsid w:val="00D10558"/>
    <w:rsid w:val="00D11D4D"/>
    <w:rsid w:val="00D126DC"/>
    <w:rsid w:val="00D12B03"/>
    <w:rsid w:val="00D13E70"/>
    <w:rsid w:val="00D15FCD"/>
    <w:rsid w:val="00D16C58"/>
    <w:rsid w:val="00D17019"/>
    <w:rsid w:val="00D17FC8"/>
    <w:rsid w:val="00D20B44"/>
    <w:rsid w:val="00D21168"/>
    <w:rsid w:val="00D2438C"/>
    <w:rsid w:val="00D2585A"/>
    <w:rsid w:val="00D259B0"/>
    <w:rsid w:val="00D26C3F"/>
    <w:rsid w:val="00D27026"/>
    <w:rsid w:val="00D27185"/>
    <w:rsid w:val="00D30EF8"/>
    <w:rsid w:val="00D32518"/>
    <w:rsid w:val="00D33488"/>
    <w:rsid w:val="00D33AB3"/>
    <w:rsid w:val="00D33F24"/>
    <w:rsid w:val="00D34160"/>
    <w:rsid w:val="00D346B8"/>
    <w:rsid w:val="00D34DCA"/>
    <w:rsid w:val="00D35AC8"/>
    <w:rsid w:val="00D36F87"/>
    <w:rsid w:val="00D37E4E"/>
    <w:rsid w:val="00D400A4"/>
    <w:rsid w:val="00D40DEF"/>
    <w:rsid w:val="00D417D8"/>
    <w:rsid w:val="00D41F78"/>
    <w:rsid w:val="00D42E6C"/>
    <w:rsid w:val="00D4351C"/>
    <w:rsid w:val="00D43B80"/>
    <w:rsid w:val="00D44988"/>
    <w:rsid w:val="00D45B4C"/>
    <w:rsid w:val="00D45BA4"/>
    <w:rsid w:val="00D471AF"/>
    <w:rsid w:val="00D4724F"/>
    <w:rsid w:val="00D50519"/>
    <w:rsid w:val="00D512C8"/>
    <w:rsid w:val="00D51601"/>
    <w:rsid w:val="00D51ECB"/>
    <w:rsid w:val="00D5264C"/>
    <w:rsid w:val="00D52BBC"/>
    <w:rsid w:val="00D537FE"/>
    <w:rsid w:val="00D53CC9"/>
    <w:rsid w:val="00D54A6A"/>
    <w:rsid w:val="00D54B8F"/>
    <w:rsid w:val="00D55951"/>
    <w:rsid w:val="00D559F0"/>
    <w:rsid w:val="00D57EB6"/>
    <w:rsid w:val="00D608C0"/>
    <w:rsid w:val="00D60D6D"/>
    <w:rsid w:val="00D6128C"/>
    <w:rsid w:val="00D66D8B"/>
    <w:rsid w:val="00D70849"/>
    <w:rsid w:val="00D72297"/>
    <w:rsid w:val="00D72A1C"/>
    <w:rsid w:val="00D7308F"/>
    <w:rsid w:val="00D7313E"/>
    <w:rsid w:val="00D73580"/>
    <w:rsid w:val="00D73802"/>
    <w:rsid w:val="00D73C2C"/>
    <w:rsid w:val="00D73D52"/>
    <w:rsid w:val="00D745E7"/>
    <w:rsid w:val="00D774ED"/>
    <w:rsid w:val="00D777C3"/>
    <w:rsid w:val="00D7797C"/>
    <w:rsid w:val="00D77C44"/>
    <w:rsid w:val="00D77F88"/>
    <w:rsid w:val="00D81AFA"/>
    <w:rsid w:val="00D81EAA"/>
    <w:rsid w:val="00D81FE2"/>
    <w:rsid w:val="00D8259F"/>
    <w:rsid w:val="00D825F2"/>
    <w:rsid w:val="00D8285C"/>
    <w:rsid w:val="00D828B1"/>
    <w:rsid w:val="00D82A55"/>
    <w:rsid w:val="00D83D49"/>
    <w:rsid w:val="00D84181"/>
    <w:rsid w:val="00D846AD"/>
    <w:rsid w:val="00D84754"/>
    <w:rsid w:val="00D84F27"/>
    <w:rsid w:val="00D853F0"/>
    <w:rsid w:val="00D85862"/>
    <w:rsid w:val="00D86D47"/>
    <w:rsid w:val="00D8710C"/>
    <w:rsid w:val="00D873C6"/>
    <w:rsid w:val="00D9074A"/>
    <w:rsid w:val="00D9099E"/>
    <w:rsid w:val="00D9193A"/>
    <w:rsid w:val="00D923B2"/>
    <w:rsid w:val="00D92463"/>
    <w:rsid w:val="00D93E64"/>
    <w:rsid w:val="00D93F64"/>
    <w:rsid w:val="00D94CA4"/>
    <w:rsid w:val="00D95E99"/>
    <w:rsid w:val="00D965D5"/>
    <w:rsid w:val="00D97DA2"/>
    <w:rsid w:val="00DA1A3A"/>
    <w:rsid w:val="00DA2351"/>
    <w:rsid w:val="00DA249E"/>
    <w:rsid w:val="00DA2D3D"/>
    <w:rsid w:val="00DA4C30"/>
    <w:rsid w:val="00DA7722"/>
    <w:rsid w:val="00DB145E"/>
    <w:rsid w:val="00DB1A94"/>
    <w:rsid w:val="00DB1D52"/>
    <w:rsid w:val="00DB1E2B"/>
    <w:rsid w:val="00DB1F62"/>
    <w:rsid w:val="00DB21E7"/>
    <w:rsid w:val="00DB2E03"/>
    <w:rsid w:val="00DB3742"/>
    <w:rsid w:val="00DB3E9B"/>
    <w:rsid w:val="00DB3F4B"/>
    <w:rsid w:val="00DB5375"/>
    <w:rsid w:val="00DB67C1"/>
    <w:rsid w:val="00DB6C0B"/>
    <w:rsid w:val="00DB70F4"/>
    <w:rsid w:val="00DB748A"/>
    <w:rsid w:val="00DC009D"/>
    <w:rsid w:val="00DC1056"/>
    <w:rsid w:val="00DC1442"/>
    <w:rsid w:val="00DC21D8"/>
    <w:rsid w:val="00DC282A"/>
    <w:rsid w:val="00DC34DC"/>
    <w:rsid w:val="00DC3780"/>
    <w:rsid w:val="00DC3ADA"/>
    <w:rsid w:val="00DC3CC6"/>
    <w:rsid w:val="00DC3F55"/>
    <w:rsid w:val="00DC4782"/>
    <w:rsid w:val="00DC514A"/>
    <w:rsid w:val="00DC67B1"/>
    <w:rsid w:val="00DC7FBC"/>
    <w:rsid w:val="00DD0019"/>
    <w:rsid w:val="00DD132B"/>
    <w:rsid w:val="00DD1725"/>
    <w:rsid w:val="00DD2159"/>
    <w:rsid w:val="00DD218B"/>
    <w:rsid w:val="00DD2A18"/>
    <w:rsid w:val="00DD3044"/>
    <w:rsid w:val="00DD3985"/>
    <w:rsid w:val="00DD61E8"/>
    <w:rsid w:val="00DD62C0"/>
    <w:rsid w:val="00DD64DE"/>
    <w:rsid w:val="00DD7859"/>
    <w:rsid w:val="00DD7B41"/>
    <w:rsid w:val="00DE0784"/>
    <w:rsid w:val="00DE0A1D"/>
    <w:rsid w:val="00DE15B2"/>
    <w:rsid w:val="00DE1A9A"/>
    <w:rsid w:val="00DE3D2C"/>
    <w:rsid w:val="00DE5E82"/>
    <w:rsid w:val="00DE5FA6"/>
    <w:rsid w:val="00DE6792"/>
    <w:rsid w:val="00DE6AA1"/>
    <w:rsid w:val="00DE7AAB"/>
    <w:rsid w:val="00DE7EF7"/>
    <w:rsid w:val="00DF015B"/>
    <w:rsid w:val="00DF02EC"/>
    <w:rsid w:val="00DF10FC"/>
    <w:rsid w:val="00DF1185"/>
    <w:rsid w:val="00DF1299"/>
    <w:rsid w:val="00DF1A70"/>
    <w:rsid w:val="00DF1E5F"/>
    <w:rsid w:val="00DF23A8"/>
    <w:rsid w:val="00DF2F27"/>
    <w:rsid w:val="00DF36B6"/>
    <w:rsid w:val="00DF4296"/>
    <w:rsid w:val="00DF53F0"/>
    <w:rsid w:val="00DF5F38"/>
    <w:rsid w:val="00DF6608"/>
    <w:rsid w:val="00DF6CCC"/>
    <w:rsid w:val="00DF6D0C"/>
    <w:rsid w:val="00DF6F64"/>
    <w:rsid w:val="00DF721E"/>
    <w:rsid w:val="00DF7B8A"/>
    <w:rsid w:val="00DF7C87"/>
    <w:rsid w:val="00E009B0"/>
    <w:rsid w:val="00E00A12"/>
    <w:rsid w:val="00E00C49"/>
    <w:rsid w:val="00E01C9C"/>
    <w:rsid w:val="00E0219D"/>
    <w:rsid w:val="00E04C0F"/>
    <w:rsid w:val="00E0570B"/>
    <w:rsid w:val="00E10343"/>
    <w:rsid w:val="00E10913"/>
    <w:rsid w:val="00E10B87"/>
    <w:rsid w:val="00E121CE"/>
    <w:rsid w:val="00E1478B"/>
    <w:rsid w:val="00E14FAC"/>
    <w:rsid w:val="00E15007"/>
    <w:rsid w:val="00E16277"/>
    <w:rsid w:val="00E16EC7"/>
    <w:rsid w:val="00E219CE"/>
    <w:rsid w:val="00E24071"/>
    <w:rsid w:val="00E24EBC"/>
    <w:rsid w:val="00E2522C"/>
    <w:rsid w:val="00E2552F"/>
    <w:rsid w:val="00E2599B"/>
    <w:rsid w:val="00E2710C"/>
    <w:rsid w:val="00E27428"/>
    <w:rsid w:val="00E305B4"/>
    <w:rsid w:val="00E31AFA"/>
    <w:rsid w:val="00E31CB7"/>
    <w:rsid w:val="00E324EE"/>
    <w:rsid w:val="00E32990"/>
    <w:rsid w:val="00E34DB1"/>
    <w:rsid w:val="00E35931"/>
    <w:rsid w:val="00E359FF"/>
    <w:rsid w:val="00E36BD1"/>
    <w:rsid w:val="00E402C5"/>
    <w:rsid w:val="00E402F4"/>
    <w:rsid w:val="00E405F1"/>
    <w:rsid w:val="00E4178B"/>
    <w:rsid w:val="00E417DB"/>
    <w:rsid w:val="00E43054"/>
    <w:rsid w:val="00E43655"/>
    <w:rsid w:val="00E44440"/>
    <w:rsid w:val="00E46013"/>
    <w:rsid w:val="00E47099"/>
    <w:rsid w:val="00E47284"/>
    <w:rsid w:val="00E4730A"/>
    <w:rsid w:val="00E477C3"/>
    <w:rsid w:val="00E47BE3"/>
    <w:rsid w:val="00E517A5"/>
    <w:rsid w:val="00E51E16"/>
    <w:rsid w:val="00E53730"/>
    <w:rsid w:val="00E5438D"/>
    <w:rsid w:val="00E54511"/>
    <w:rsid w:val="00E54E50"/>
    <w:rsid w:val="00E55288"/>
    <w:rsid w:val="00E57577"/>
    <w:rsid w:val="00E62043"/>
    <w:rsid w:val="00E626B9"/>
    <w:rsid w:val="00E627C9"/>
    <w:rsid w:val="00E630F3"/>
    <w:rsid w:val="00E6332F"/>
    <w:rsid w:val="00E637C9"/>
    <w:rsid w:val="00E6402D"/>
    <w:rsid w:val="00E6680A"/>
    <w:rsid w:val="00E66F0D"/>
    <w:rsid w:val="00E70615"/>
    <w:rsid w:val="00E7161E"/>
    <w:rsid w:val="00E7207B"/>
    <w:rsid w:val="00E72E86"/>
    <w:rsid w:val="00E7347A"/>
    <w:rsid w:val="00E75A47"/>
    <w:rsid w:val="00E75BB6"/>
    <w:rsid w:val="00E75D8C"/>
    <w:rsid w:val="00E777F2"/>
    <w:rsid w:val="00E802C9"/>
    <w:rsid w:val="00E80BFB"/>
    <w:rsid w:val="00E80F0A"/>
    <w:rsid w:val="00E815D4"/>
    <w:rsid w:val="00E8291B"/>
    <w:rsid w:val="00E82E70"/>
    <w:rsid w:val="00E82F92"/>
    <w:rsid w:val="00E8395F"/>
    <w:rsid w:val="00E8410F"/>
    <w:rsid w:val="00E849D7"/>
    <w:rsid w:val="00E85E41"/>
    <w:rsid w:val="00E85EA1"/>
    <w:rsid w:val="00E86703"/>
    <w:rsid w:val="00E91044"/>
    <w:rsid w:val="00E910D3"/>
    <w:rsid w:val="00E91257"/>
    <w:rsid w:val="00E92154"/>
    <w:rsid w:val="00E923CF"/>
    <w:rsid w:val="00E93685"/>
    <w:rsid w:val="00E93B65"/>
    <w:rsid w:val="00E93C8C"/>
    <w:rsid w:val="00E95111"/>
    <w:rsid w:val="00E95FDF"/>
    <w:rsid w:val="00EA14C8"/>
    <w:rsid w:val="00EA2110"/>
    <w:rsid w:val="00EA283A"/>
    <w:rsid w:val="00EA2C90"/>
    <w:rsid w:val="00EA2E07"/>
    <w:rsid w:val="00EA383B"/>
    <w:rsid w:val="00EA48F3"/>
    <w:rsid w:val="00EA60BF"/>
    <w:rsid w:val="00EA7365"/>
    <w:rsid w:val="00EA763F"/>
    <w:rsid w:val="00EA77E9"/>
    <w:rsid w:val="00EB05D0"/>
    <w:rsid w:val="00EB1151"/>
    <w:rsid w:val="00EB1D49"/>
    <w:rsid w:val="00EB23D9"/>
    <w:rsid w:val="00EB39A0"/>
    <w:rsid w:val="00EB559F"/>
    <w:rsid w:val="00EB566C"/>
    <w:rsid w:val="00EB5F3D"/>
    <w:rsid w:val="00EC1CEB"/>
    <w:rsid w:val="00EC1DC0"/>
    <w:rsid w:val="00EC1DC2"/>
    <w:rsid w:val="00EC21EC"/>
    <w:rsid w:val="00EC24B8"/>
    <w:rsid w:val="00EC268C"/>
    <w:rsid w:val="00EC3753"/>
    <w:rsid w:val="00EC4E71"/>
    <w:rsid w:val="00EC5F1C"/>
    <w:rsid w:val="00ED0365"/>
    <w:rsid w:val="00ED0865"/>
    <w:rsid w:val="00ED1C60"/>
    <w:rsid w:val="00ED2EB9"/>
    <w:rsid w:val="00ED32D5"/>
    <w:rsid w:val="00ED3722"/>
    <w:rsid w:val="00ED3A31"/>
    <w:rsid w:val="00ED4469"/>
    <w:rsid w:val="00ED5424"/>
    <w:rsid w:val="00ED5F23"/>
    <w:rsid w:val="00ED6DC0"/>
    <w:rsid w:val="00ED7A7A"/>
    <w:rsid w:val="00EE0327"/>
    <w:rsid w:val="00EE038C"/>
    <w:rsid w:val="00EE28C5"/>
    <w:rsid w:val="00EE2F09"/>
    <w:rsid w:val="00EE47C5"/>
    <w:rsid w:val="00EE490C"/>
    <w:rsid w:val="00EE4E57"/>
    <w:rsid w:val="00EE5738"/>
    <w:rsid w:val="00EE58BD"/>
    <w:rsid w:val="00EE5E59"/>
    <w:rsid w:val="00EE6549"/>
    <w:rsid w:val="00EE73D0"/>
    <w:rsid w:val="00EE7CB0"/>
    <w:rsid w:val="00EF08A8"/>
    <w:rsid w:val="00EF167B"/>
    <w:rsid w:val="00EF30BF"/>
    <w:rsid w:val="00EF41A8"/>
    <w:rsid w:val="00EF44FB"/>
    <w:rsid w:val="00EF5122"/>
    <w:rsid w:val="00EF5554"/>
    <w:rsid w:val="00EF5AD8"/>
    <w:rsid w:val="00EF6B90"/>
    <w:rsid w:val="00EF7807"/>
    <w:rsid w:val="00EF79F7"/>
    <w:rsid w:val="00F006C0"/>
    <w:rsid w:val="00F0125F"/>
    <w:rsid w:val="00F019AA"/>
    <w:rsid w:val="00F0267E"/>
    <w:rsid w:val="00F02686"/>
    <w:rsid w:val="00F030C0"/>
    <w:rsid w:val="00F03291"/>
    <w:rsid w:val="00F0459B"/>
    <w:rsid w:val="00F04E15"/>
    <w:rsid w:val="00F05DF3"/>
    <w:rsid w:val="00F0692C"/>
    <w:rsid w:val="00F069EA"/>
    <w:rsid w:val="00F070E5"/>
    <w:rsid w:val="00F07DDE"/>
    <w:rsid w:val="00F11675"/>
    <w:rsid w:val="00F12557"/>
    <w:rsid w:val="00F13599"/>
    <w:rsid w:val="00F13B28"/>
    <w:rsid w:val="00F14E01"/>
    <w:rsid w:val="00F156A0"/>
    <w:rsid w:val="00F15730"/>
    <w:rsid w:val="00F176A6"/>
    <w:rsid w:val="00F202C2"/>
    <w:rsid w:val="00F212F6"/>
    <w:rsid w:val="00F22756"/>
    <w:rsid w:val="00F23248"/>
    <w:rsid w:val="00F23890"/>
    <w:rsid w:val="00F2504D"/>
    <w:rsid w:val="00F2637F"/>
    <w:rsid w:val="00F268F7"/>
    <w:rsid w:val="00F30B83"/>
    <w:rsid w:val="00F30BDB"/>
    <w:rsid w:val="00F30CF8"/>
    <w:rsid w:val="00F31EDF"/>
    <w:rsid w:val="00F32CDE"/>
    <w:rsid w:val="00F32D4C"/>
    <w:rsid w:val="00F3327E"/>
    <w:rsid w:val="00F338C3"/>
    <w:rsid w:val="00F34B14"/>
    <w:rsid w:val="00F34F58"/>
    <w:rsid w:val="00F35DA7"/>
    <w:rsid w:val="00F36A6A"/>
    <w:rsid w:val="00F40101"/>
    <w:rsid w:val="00F404F7"/>
    <w:rsid w:val="00F40CCA"/>
    <w:rsid w:val="00F42D97"/>
    <w:rsid w:val="00F436B2"/>
    <w:rsid w:val="00F43813"/>
    <w:rsid w:val="00F43FEE"/>
    <w:rsid w:val="00F45A72"/>
    <w:rsid w:val="00F46723"/>
    <w:rsid w:val="00F4706D"/>
    <w:rsid w:val="00F476E1"/>
    <w:rsid w:val="00F47D1D"/>
    <w:rsid w:val="00F47F29"/>
    <w:rsid w:val="00F50016"/>
    <w:rsid w:val="00F50058"/>
    <w:rsid w:val="00F5118A"/>
    <w:rsid w:val="00F51A21"/>
    <w:rsid w:val="00F52614"/>
    <w:rsid w:val="00F5276E"/>
    <w:rsid w:val="00F52E9F"/>
    <w:rsid w:val="00F53304"/>
    <w:rsid w:val="00F53B81"/>
    <w:rsid w:val="00F540FE"/>
    <w:rsid w:val="00F556FF"/>
    <w:rsid w:val="00F55D12"/>
    <w:rsid w:val="00F5687F"/>
    <w:rsid w:val="00F56D3F"/>
    <w:rsid w:val="00F575C7"/>
    <w:rsid w:val="00F57FD0"/>
    <w:rsid w:val="00F60305"/>
    <w:rsid w:val="00F61B12"/>
    <w:rsid w:val="00F63264"/>
    <w:rsid w:val="00F634E4"/>
    <w:rsid w:val="00F6379E"/>
    <w:rsid w:val="00F64047"/>
    <w:rsid w:val="00F64FEF"/>
    <w:rsid w:val="00F65171"/>
    <w:rsid w:val="00F6560D"/>
    <w:rsid w:val="00F65C23"/>
    <w:rsid w:val="00F67844"/>
    <w:rsid w:val="00F70799"/>
    <w:rsid w:val="00F70A8B"/>
    <w:rsid w:val="00F70B8D"/>
    <w:rsid w:val="00F71936"/>
    <w:rsid w:val="00F724FB"/>
    <w:rsid w:val="00F726B8"/>
    <w:rsid w:val="00F72A26"/>
    <w:rsid w:val="00F733C3"/>
    <w:rsid w:val="00F746A1"/>
    <w:rsid w:val="00F74820"/>
    <w:rsid w:val="00F756DD"/>
    <w:rsid w:val="00F77F4E"/>
    <w:rsid w:val="00F80047"/>
    <w:rsid w:val="00F800C7"/>
    <w:rsid w:val="00F8104D"/>
    <w:rsid w:val="00F81587"/>
    <w:rsid w:val="00F8288F"/>
    <w:rsid w:val="00F84033"/>
    <w:rsid w:val="00F84802"/>
    <w:rsid w:val="00F85B72"/>
    <w:rsid w:val="00F86540"/>
    <w:rsid w:val="00F865CE"/>
    <w:rsid w:val="00F8766F"/>
    <w:rsid w:val="00F91082"/>
    <w:rsid w:val="00F9116D"/>
    <w:rsid w:val="00F91A9A"/>
    <w:rsid w:val="00F9203B"/>
    <w:rsid w:val="00F93ABB"/>
    <w:rsid w:val="00F94D79"/>
    <w:rsid w:val="00F9658C"/>
    <w:rsid w:val="00F97A7F"/>
    <w:rsid w:val="00FA0889"/>
    <w:rsid w:val="00FA16E7"/>
    <w:rsid w:val="00FA31C7"/>
    <w:rsid w:val="00FA472D"/>
    <w:rsid w:val="00FB0CBF"/>
    <w:rsid w:val="00FB18F6"/>
    <w:rsid w:val="00FB2A52"/>
    <w:rsid w:val="00FB3F92"/>
    <w:rsid w:val="00FB52C7"/>
    <w:rsid w:val="00FB57DC"/>
    <w:rsid w:val="00FB6E19"/>
    <w:rsid w:val="00FB71F6"/>
    <w:rsid w:val="00FC0AF8"/>
    <w:rsid w:val="00FC1483"/>
    <w:rsid w:val="00FC1C47"/>
    <w:rsid w:val="00FC3102"/>
    <w:rsid w:val="00FC39ED"/>
    <w:rsid w:val="00FC4419"/>
    <w:rsid w:val="00FC47E2"/>
    <w:rsid w:val="00FC4AA5"/>
    <w:rsid w:val="00FC4B88"/>
    <w:rsid w:val="00FC4BB8"/>
    <w:rsid w:val="00FC5148"/>
    <w:rsid w:val="00FC623A"/>
    <w:rsid w:val="00FC6524"/>
    <w:rsid w:val="00FC75AC"/>
    <w:rsid w:val="00FD01BF"/>
    <w:rsid w:val="00FD0525"/>
    <w:rsid w:val="00FD0AB7"/>
    <w:rsid w:val="00FD297D"/>
    <w:rsid w:val="00FD2D13"/>
    <w:rsid w:val="00FD374D"/>
    <w:rsid w:val="00FD6071"/>
    <w:rsid w:val="00FD633B"/>
    <w:rsid w:val="00FE0794"/>
    <w:rsid w:val="00FE1041"/>
    <w:rsid w:val="00FE24CB"/>
    <w:rsid w:val="00FE323F"/>
    <w:rsid w:val="00FE3473"/>
    <w:rsid w:val="00FE4049"/>
    <w:rsid w:val="00FE4794"/>
    <w:rsid w:val="00FE480F"/>
    <w:rsid w:val="00FE4998"/>
    <w:rsid w:val="00FE57DE"/>
    <w:rsid w:val="00FE7A68"/>
    <w:rsid w:val="00FF0231"/>
    <w:rsid w:val="00FF1C9B"/>
    <w:rsid w:val="00FF1D49"/>
    <w:rsid w:val="00FF203B"/>
    <w:rsid w:val="00FF2562"/>
    <w:rsid w:val="00FF3A41"/>
    <w:rsid w:val="00FF3E5B"/>
    <w:rsid w:val="00FF57E4"/>
    <w:rsid w:val="00FF78E5"/>
    <w:rsid w:val="01AF3D99"/>
    <w:rsid w:val="02511F9D"/>
    <w:rsid w:val="025E6DBD"/>
    <w:rsid w:val="02FF6568"/>
    <w:rsid w:val="03A314B8"/>
    <w:rsid w:val="03D82B98"/>
    <w:rsid w:val="03D91106"/>
    <w:rsid w:val="03F83E8B"/>
    <w:rsid w:val="05C56868"/>
    <w:rsid w:val="068F5F5B"/>
    <w:rsid w:val="06FB0825"/>
    <w:rsid w:val="07B72767"/>
    <w:rsid w:val="08077E72"/>
    <w:rsid w:val="08882DD0"/>
    <w:rsid w:val="09CC2AAC"/>
    <w:rsid w:val="09D26E76"/>
    <w:rsid w:val="0A652D3E"/>
    <w:rsid w:val="0B2E5354"/>
    <w:rsid w:val="0B326F2A"/>
    <w:rsid w:val="0B6F173E"/>
    <w:rsid w:val="0C1E2888"/>
    <w:rsid w:val="0C92213C"/>
    <w:rsid w:val="0D84032B"/>
    <w:rsid w:val="0DFC4CE7"/>
    <w:rsid w:val="0E521A41"/>
    <w:rsid w:val="0ECB03BA"/>
    <w:rsid w:val="0F2A74C4"/>
    <w:rsid w:val="10A27F31"/>
    <w:rsid w:val="118C46E7"/>
    <w:rsid w:val="11927058"/>
    <w:rsid w:val="11D97125"/>
    <w:rsid w:val="12DF216D"/>
    <w:rsid w:val="13AF4F03"/>
    <w:rsid w:val="14736E66"/>
    <w:rsid w:val="147F458F"/>
    <w:rsid w:val="14D958EC"/>
    <w:rsid w:val="1534169A"/>
    <w:rsid w:val="15C03E03"/>
    <w:rsid w:val="15FB1ED0"/>
    <w:rsid w:val="15FD20F2"/>
    <w:rsid w:val="162A25EB"/>
    <w:rsid w:val="164C2968"/>
    <w:rsid w:val="16E401CB"/>
    <w:rsid w:val="16FD2A55"/>
    <w:rsid w:val="17067C1A"/>
    <w:rsid w:val="17366761"/>
    <w:rsid w:val="177C01F0"/>
    <w:rsid w:val="17C73DF4"/>
    <w:rsid w:val="17CE6630"/>
    <w:rsid w:val="180F7719"/>
    <w:rsid w:val="181E7C06"/>
    <w:rsid w:val="188926BD"/>
    <w:rsid w:val="188E5864"/>
    <w:rsid w:val="18E019A8"/>
    <w:rsid w:val="1AFF0AFE"/>
    <w:rsid w:val="1B4F19F8"/>
    <w:rsid w:val="1C226F03"/>
    <w:rsid w:val="1ECC44FA"/>
    <w:rsid w:val="1F063325"/>
    <w:rsid w:val="1FBC5DF5"/>
    <w:rsid w:val="1FF90588"/>
    <w:rsid w:val="202C62D7"/>
    <w:rsid w:val="20C3623F"/>
    <w:rsid w:val="21781212"/>
    <w:rsid w:val="21B83F86"/>
    <w:rsid w:val="221178A8"/>
    <w:rsid w:val="221213CF"/>
    <w:rsid w:val="22327A92"/>
    <w:rsid w:val="22797159"/>
    <w:rsid w:val="231D53A2"/>
    <w:rsid w:val="236D5383"/>
    <w:rsid w:val="23B7504C"/>
    <w:rsid w:val="23E0247D"/>
    <w:rsid w:val="24571307"/>
    <w:rsid w:val="25110A2A"/>
    <w:rsid w:val="256C0944"/>
    <w:rsid w:val="26446DE3"/>
    <w:rsid w:val="269669E7"/>
    <w:rsid w:val="26D7699F"/>
    <w:rsid w:val="280271D9"/>
    <w:rsid w:val="28221316"/>
    <w:rsid w:val="28A16921"/>
    <w:rsid w:val="292D4914"/>
    <w:rsid w:val="2A146DB0"/>
    <w:rsid w:val="2B774624"/>
    <w:rsid w:val="2C7A72BE"/>
    <w:rsid w:val="2C9A7D75"/>
    <w:rsid w:val="2CC17412"/>
    <w:rsid w:val="2E9976CE"/>
    <w:rsid w:val="2F401D3C"/>
    <w:rsid w:val="2F5B24E1"/>
    <w:rsid w:val="2F955351"/>
    <w:rsid w:val="2FA95C88"/>
    <w:rsid w:val="3041370F"/>
    <w:rsid w:val="307C50F6"/>
    <w:rsid w:val="312B50A3"/>
    <w:rsid w:val="3238172D"/>
    <w:rsid w:val="32453A27"/>
    <w:rsid w:val="3263064A"/>
    <w:rsid w:val="32A43132"/>
    <w:rsid w:val="32AC0C06"/>
    <w:rsid w:val="32FB29B6"/>
    <w:rsid w:val="33344EF5"/>
    <w:rsid w:val="341A0263"/>
    <w:rsid w:val="34296E42"/>
    <w:rsid w:val="34AC6590"/>
    <w:rsid w:val="3537750C"/>
    <w:rsid w:val="3537798C"/>
    <w:rsid w:val="35C13FC9"/>
    <w:rsid w:val="364257B6"/>
    <w:rsid w:val="37EA5922"/>
    <w:rsid w:val="38276B93"/>
    <w:rsid w:val="38AC3431"/>
    <w:rsid w:val="392F2E16"/>
    <w:rsid w:val="39E00529"/>
    <w:rsid w:val="3A0B64A7"/>
    <w:rsid w:val="3A437EA2"/>
    <w:rsid w:val="3A574DDA"/>
    <w:rsid w:val="3AD3075A"/>
    <w:rsid w:val="3AF74C02"/>
    <w:rsid w:val="3B0B1FFB"/>
    <w:rsid w:val="3C0059A5"/>
    <w:rsid w:val="3C134E78"/>
    <w:rsid w:val="3DEC7285"/>
    <w:rsid w:val="3DF6345D"/>
    <w:rsid w:val="3E2B5515"/>
    <w:rsid w:val="3E4D4F28"/>
    <w:rsid w:val="3EE13701"/>
    <w:rsid w:val="3F1A4BB3"/>
    <w:rsid w:val="3F256C92"/>
    <w:rsid w:val="40192BA6"/>
    <w:rsid w:val="40994C08"/>
    <w:rsid w:val="41766EA9"/>
    <w:rsid w:val="42550A18"/>
    <w:rsid w:val="426D602D"/>
    <w:rsid w:val="429D496A"/>
    <w:rsid w:val="42F473A1"/>
    <w:rsid w:val="42FF2712"/>
    <w:rsid w:val="430D30B6"/>
    <w:rsid w:val="441E62C0"/>
    <w:rsid w:val="45325D14"/>
    <w:rsid w:val="45811C7C"/>
    <w:rsid w:val="45906116"/>
    <w:rsid w:val="460918C6"/>
    <w:rsid w:val="468B3EFB"/>
    <w:rsid w:val="470A6193"/>
    <w:rsid w:val="47385210"/>
    <w:rsid w:val="47DC4F5C"/>
    <w:rsid w:val="483D2FCF"/>
    <w:rsid w:val="48B40671"/>
    <w:rsid w:val="48DF154C"/>
    <w:rsid w:val="499B5738"/>
    <w:rsid w:val="499F244D"/>
    <w:rsid w:val="49D338FF"/>
    <w:rsid w:val="4A10626D"/>
    <w:rsid w:val="4A5030AE"/>
    <w:rsid w:val="4A973F3F"/>
    <w:rsid w:val="4AF96BC7"/>
    <w:rsid w:val="4B5A416B"/>
    <w:rsid w:val="4B862A85"/>
    <w:rsid w:val="4BDF3638"/>
    <w:rsid w:val="4CEF36E2"/>
    <w:rsid w:val="4CEF4DC5"/>
    <w:rsid w:val="4E257655"/>
    <w:rsid w:val="4E8E7871"/>
    <w:rsid w:val="4F372380"/>
    <w:rsid w:val="4F372FFB"/>
    <w:rsid w:val="5025116D"/>
    <w:rsid w:val="508734C0"/>
    <w:rsid w:val="512355B7"/>
    <w:rsid w:val="52395ECD"/>
    <w:rsid w:val="524353B7"/>
    <w:rsid w:val="52666FD7"/>
    <w:rsid w:val="52C10D75"/>
    <w:rsid w:val="53877500"/>
    <w:rsid w:val="53C27FF8"/>
    <w:rsid w:val="549E1A80"/>
    <w:rsid w:val="54C658F4"/>
    <w:rsid w:val="54F30019"/>
    <w:rsid w:val="550C4BD7"/>
    <w:rsid w:val="554C1D56"/>
    <w:rsid w:val="55572986"/>
    <w:rsid w:val="55C062DD"/>
    <w:rsid w:val="565340FA"/>
    <w:rsid w:val="5723343E"/>
    <w:rsid w:val="573D7EAB"/>
    <w:rsid w:val="585E2EC1"/>
    <w:rsid w:val="58E02ABB"/>
    <w:rsid w:val="58F700DD"/>
    <w:rsid w:val="597E14A1"/>
    <w:rsid w:val="5A2F2CC8"/>
    <w:rsid w:val="5BA26962"/>
    <w:rsid w:val="5C10702D"/>
    <w:rsid w:val="5C152601"/>
    <w:rsid w:val="5C4F68B6"/>
    <w:rsid w:val="5C591F03"/>
    <w:rsid w:val="5C8A1B2F"/>
    <w:rsid w:val="5D914004"/>
    <w:rsid w:val="5E205892"/>
    <w:rsid w:val="5E855638"/>
    <w:rsid w:val="5F561B72"/>
    <w:rsid w:val="5FEB627D"/>
    <w:rsid w:val="606007BB"/>
    <w:rsid w:val="60AC7F66"/>
    <w:rsid w:val="60B12E4B"/>
    <w:rsid w:val="60FB7073"/>
    <w:rsid w:val="61A5796E"/>
    <w:rsid w:val="61BF10D9"/>
    <w:rsid w:val="61DA3D4C"/>
    <w:rsid w:val="62AC22DC"/>
    <w:rsid w:val="637833E8"/>
    <w:rsid w:val="63935BEF"/>
    <w:rsid w:val="63CE1F5E"/>
    <w:rsid w:val="64E45EF7"/>
    <w:rsid w:val="654237C0"/>
    <w:rsid w:val="65C8407E"/>
    <w:rsid w:val="6691014E"/>
    <w:rsid w:val="66C87CCE"/>
    <w:rsid w:val="677435B2"/>
    <w:rsid w:val="67EF75F1"/>
    <w:rsid w:val="68FB42DC"/>
    <w:rsid w:val="69124F16"/>
    <w:rsid w:val="694A5205"/>
    <w:rsid w:val="69CD5C14"/>
    <w:rsid w:val="69CF0D33"/>
    <w:rsid w:val="6B9946B3"/>
    <w:rsid w:val="6BD526E8"/>
    <w:rsid w:val="6C662189"/>
    <w:rsid w:val="6C7007C7"/>
    <w:rsid w:val="6C791682"/>
    <w:rsid w:val="6DC41603"/>
    <w:rsid w:val="6DE76850"/>
    <w:rsid w:val="6E3522FC"/>
    <w:rsid w:val="6FB20BD4"/>
    <w:rsid w:val="6FB650F7"/>
    <w:rsid w:val="6FBA59BE"/>
    <w:rsid w:val="6FCC50F7"/>
    <w:rsid w:val="6FCF48DC"/>
    <w:rsid w:val="70296B3E"/>
    <w:rsid w:val="70611204"/>
    <w:rsid w:val="71881FAB"/>
    <w:rsid w:val="73445350"/>
    <w:rsid w:val="73780185"/>
    <w:rsid w:val="74203ADA"/>
    <w:rsid w:val="74FA2C30"/>
    <w:rsid w:val="754D5C4B"/>
    <w:rsid w:val="75F85260"/>
    <w:rsid w:val="76C240A7"/>
    <w:rsid w:val="775246B7"/>
    <w:rsid w:val="781E69D1"/>
    <w:rsid w:val="794400AF"/>
    <w:rsid w:val="79E22DE1"/>
    <w:rsid w:val="7A263B6B"/>
    <w:rsid w:val="7AEE273B"/>
    <w:rsid w:val="7AF46346"/>
    <w:rsid w:val="7B0F5EBF"/>
    <w:rsid w:val="7B126774"/>
    <w:rsid w:val="7B130FB9"/>
    <w:rsid w:val="7BF64EDE"/>
    <w:rsid w:val="7C400C1E"/>
    <w:rsid w:val="7D7A4749"/>
    <w:rsid w:val="7D8027B1"/>
    <w:rsid w:val="7DD11708"/>
    <w:rsid w:val="7EBD579E"/>
    <w:rsid w:val="7EC167BD"/>
    <w:rsid w:val="7F272D9E"/>
    <w:rsid w:val="7F7338C5"/>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0" w:semiHidden="0" w:name="heading 4"/>
    <w:lsdException w:qFormat="1" w:uiPriority="0" w:semiHidden="0" w:name="heading 5"/>
    <w:lsdException w:qFormat="1" w:uiPriority="0" w:name="heading 6"/>
    <w:lsdException w:qFormat="1" w:uiPriority="0" w:name="heading 7"/>
    <w:lsdException w:qFormat="1" w:uiPriority="0" w:semiHidden="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qFormat="1"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6"/>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7"/>
    <w:unhideWhenUsed/>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38"/>
    <w:unhideWhenUsed/>
    <w:qFormat/>
    <w:uiPriority w:val="0"/>
    <w:pPr>
      <w:keepNext/>
      <w:keepLines/>
      <w:spacing w:before="260" w:after="260" w:line="416" w:lineRule="auto"/>
      <w:outlineLvl w:val="2"/>
    </w:pPr>
    <w:rPr>
      <w:b/>
      <w:bCs/>
      <w:sz w:val="32"/>
      <w:szCs w:val="32"/>
    </w:rPr>
  </w:style>
  <w:style w:type="paragraph" w:styleId="5">
    <w:name w:val="heading 4"/>
    <w:basedOn w:val="1"/>
    <w:next w:val="1"/>
    <w:qFormat/>
    <w:uiPriority w:val="0"/>
    <w:pPr>
      <w:widowControl/>
      <w:tabs>
        <w:tab w:val="left" w:pos="2155"/>
      </w:tabs>
      <w:kinsoku w:val="0"/>
      <w:autoSpaceDE w:val="0"/>
      <w:autoSpaceDN w:val="0"/>
      <w:adjustRightInd w:val="0"/>
      <w:snapToGrid w:val="0"/>
      <w:spacing w:before="120" w:beforeLines="0" w:line="360" w:lineRule="auto"/>
      <w:ind w:left="2155" w:hanging="1078"/>
      <w:jc w:val="left"/>
      <w:textAlignment w:val="baseline"/>
      <w:outlineLvl w:val="3"/>
    </w:pPr>
    <w:rPr>
      <w:rFonts w:ascii="Arial" w:hAnsi="Arial" w:eastAsia="黑体" w:cs="Arial"/>
      <w:snapToGrid w:val="0"/>
      <w:color w:val="000000"/>
      <w:kern w:val="0"/>
      <w:sz w:val="28"/>
      <w:szCs w:val="20"/>
      <w:lang w:eastAsia="en-US"/>
    </w:rPr>
  </w:style>
  <w:style w:type="paragraph" w:styleId="6">
    <w:name w:val="heading 5"/>
    <w:basedOn w:val="1"/>
    <w:next w:val="7"/>
    <w:link w:val="39"/>
    <w:unhideWhenUsed/>
    <w:qFormat/>
    <w:uiPriority w:val="0"/>
    <w:pPr>
      <w:keepNext/>
      <w:keepLines/>
      <w:spacing w:before="280" w:after="290" w:line="376" w:lineRule="auto"/>
      <w:outlineLvl w:val="4"/>
    </w:pPr>
    <w:rPr>
      <w:b/>
      <w:bCs/>
      <w:sz w:val="28"/>
      <w:szCs w:val="28"/>
    </w:rPr>
  </w:style>
  <w:style w:type="paragraph" w:styleId="8">
    <w:name w:val="heading 8"/>
    <w:basedOn w:val="1"/>
    <w:next w:val="1"/>
    <w:link w:val="40"/>
    <w:unhideWhenUsed/>
    <w:qFormat/>
    <w:uiPriority w:val="0"/>
    <w:pPr>
      <w:keepNext/>
      <w:keepLines/>
      <w:spacing w:before="240" w:after="64" w:line="320" w:lineRule="auto"/>
      <w:outlineLvl w:val="7"/>
    </w:pPr>
    <w:rPr>
      <w:rFonts w:ascii="等线 Light" w:hAnsi="等线 Light" w:eastAsia="等线 Light"/>
      <w:sz w:val="24"/>
    </w:rPr>
  </w:style>
  <w:style w:type="character" w:default="1" w:styleId="30">
    <w:name w:val="Default Paragraph Font"/>
    <w:semiHidden/>
    <w:qFormat/>
    <w:uiPriority w:val="0"/>
  </w:style>
  <w:style w:type="table" w:default="1" w:styleId="28">
    <w:name w:val="Normal Table"/>
    <w:semiHidden/>
    <w:qFormat/>
    <w:uiPriority w:val="0"/>
    <w:tblPr>
      <w:tblLayout w:type="fixed"/>
      <w:tblCellMar>
        <w:top w:w="0" w:type="dxa"/>
        <w:left w:w="108" w:type="dxa"/>
        <w:bottom w:w="0" w:type="dxa"/>
        <w:right w:w="108" w:type="dxa"/>
      </w:tblCellMar>
    </w:tblPr>
  </w:style>
  <w:style w:type="paragraph" w:styleId="7">
    <w:name w:val="Normal Indent"/>
    <w:basedOn w:val="1"/>
    <w:qFormat/>
    <w:uiPriority w:val="0"/>
    <w:pPr>
      <w:ind w:firstLine="420"/>
    </w:pPr>
    <w:rPr>
      <w:szCs w:val="20"/>
    </w:rPr>
  </w:style>
  <w:style w:type="paragraph" w:styleId="9">
    <w:name w:val="List Number"/>
    <w:basedOn w:val="1"/>
    <w:qFormat/>
    <w:uiPriority w:val="0"/>
    <w:pPr>
      <w:widowControl/>
      <w:tabs>
        <w:tab w:val="left" w:pos="454"/>
        <w:tab w:val="left" w:pos="720"/>
        <w:tab w:val="left" w:pos="840"/>
      </w:tabs>
      <w:spacing w:after="50" w:afterLines="50"/>
      <w:ind w:left="454" w:hanging="284"/>
      <w:jc w:val="left"/>
    </w:pPr>
    <w:rPr>
      <w:kern w:val="0"/>
      <w:sz w:val="24"/>
      <w:szCs w:val="20"/>
    </w:rPr>
  </w:style>
  <w:style w:type="paragraph" w:styleId="10">
    <w:name w:val="annotation text"/>
    <w:basedOn w:val="1"/>
    <w:link w:val="41"/>
    <w:qFormat/>
    <w:uiPriority w:val="0"/>
    <w:pPr>
      <w:jc w:val="left"/>
    </w:pPr>
  </w:style>
  <w:style w:type="paragraph" w:styleId="11">
    <w:name w:val="Body Text 3"/>
    <w:basedOn w:val="1"/>
    <w:link w:val="42"/>
    <w:qFormat/>
    <w:uiPriority w:val="0"/>
    <w:pPr>
      <w:spacing w:after="120"/>
    </w:pPr>
    <w:rPr>
      <w:sz w:val="16"/>
      <w:szCs w:val="16"/>
    </w:rPr>
  </w:style>
  <w:style w:type="paragraph" w:styleId="12">
    <w:name w:val="Body Text"/>
    <w:basedOn w:val="1"/>
    <w:link w:val="43"/>
    <w:semiHidden/>
    <w:qFormat/>
    <w:uiPriority w:val="0"/>
    <w:pPr>
      <w:spacing w:after="120"/>
    </w:pPr>
  </w:style>
  <w:style w:type="paragraph" w:styleId="13">
    <w:name w:val="Body Text Indent"/>
    <w:basedOn w:val="1"/>
    <w:link w:val="44"/>
    <w:qFormat/>
    <w:uiPriority w:val="0"/>
    <w:pPr>
      <w:ind w:firstLine="830" w:firstLineChars="352"/>
    </w:pPr>
    <w:rPr>
      <w:rFonts w:ascii="仿宋_GB2312" w:eastAsia="仿宋_GB2312"/>
      <w:kern w:val="0"/>
      <w:sz w:val="32"/>
      <w:szCs w:val="20"/>
    </w:rPr>
  </w:style>
  <w:style w:type="paragraph" w:styleId="14">
    <w:name w:val="List 2"/>
    <w:basedOn w:val="1"/>
    <w:qFormat/>
    <w:uiPriority w:val="0"/>
    <w:pPr>
      <w:ind w:left="100" w:leftChars="200" w:hanging="200" w:hangingChars="200"/>
      <w:contextualSpacing/>
    </w:pPr>
  </w:style>
  <w:style w:type="paragraph" w:styleId="15">
    <w:name w:val="toc 3"/>
    <w:basedOn w:val="1"/>
    <w:next w:val="1"/>
    <w:qFormat/>
    <w:uiPriority w:val="0"/>
    <w:pPr>
      <w:ind w:left="840" w:leftChars="400"/>
    </w:pPr>
  </w:style>
  <w:style w:type="paragraph" w:styleId="16">
    <w:name w:val="Plain Text"/>
    <w:basedOn w:val="1"/>
    <w:next w:val="5"/>
    <w:link w:val="45"/>
    <w:qFormat/>
    <w:uiPriority w:val="0"/>
    <w:rPr>
      <w:rFonts w:ascii="宋体" w:hAnsi="Courier New"/>
      <w:kern w:val="0"/>
      <w:sz w:val="20"/>
      <w:szCs w:val="21"/>
    </w:rPr>
  </w:style>
  <w:style w:type="paragraph" w:styleId="17">
    <w:name w:val="Date"/>
    <w:basedOn w:val="1"/>
    <w:next w:val="1"/>
    <w:link w:val="46"/>
    <w:qFormat/>
    <w:uiPriority w:val="0"/>
    <w:pPr>
      <w:ind w:left="100" w:leftChars="2500"/>
    </w:pPr>
  </w:style>
  <w:style w:type="paragraph" w:styleId="18">
    <w:name w:val="Balloon Text"/>
    <w:basedOn w:val="1"/>
    <w:link w:val="47"/>
    <w:qFormat/>
    <w:uiPriority w:val="0"/>
    <w:rPr>
      <w:sz w:val="18"/>
      <w:szCs w:val="18"/>
    </w:rPr>
  </w:style>
  <w:style w:type="paragraph" w:styleId="19">
    <w:name w:val="footer"/>
    <w:basedOn w:val="1"/>
    <w:link w:val="48"/>
    <w:unhideWhenUsed/>
    <w:qFormat/>
    <w:uiPriority w:val="99"/>
    <w:pPr>
      <w:tabs>
        <w:tab w:val="center" w:pos="4153"/>
        <w:tab w:val="right" w:pos="8306"/>
      </w:tabs>
      <w:snapToGrid w:val="0"/>
      <w:jc w:val="left"/>
    </w:pPr>
    <w:rPr>
      <w:kern w:val="0"/>
      <w:sz w:val="18"/>
      <w:szCs w:val="18"/>
    </w:rPr>
  </w:style>
  <w:style w:type="paragraph" w:styleId="20">
    <w:name w:val="header"/>
    <w:basedOn w:val="1"/>
    <w:link w:val="49"/>
    <w:qFormat/>
    <w:uiPriority w:val="0"/>
    <w:pPr>
      <w:pBdr>
        <w:bottom w:val="single" w:color="auto" w:sz="6" w:space="1"/>
      </w:pBdr>
      <w:tabs>
        <w:tab w:val="center" w:pos="4153"/>
        <w:tab w:val="right" w:pos="8306"/>
      </w:tabs>
      <w:snapToGrid w:val="0"/>
      <w:jc w:val="center"/>
    </w:pPr>
    <w:rPr>
      <w:kern w:val="0"/>
      <w:sz w:val="18"/>
      <w:szCs w:val="18"/>
    </w:rPr>
  </w:style>
  <w:style w:type="paragraph" w:styleId="21">
    <w:name w:val="toc 1"/>
    <w:basedOn w:val="1"/>
    <w:next w:val="1"/>
    <w:qFormat/>
    <w:uiPriority w:val="0"/>
  </w:style>
  <w:style w:type="paragraph" w:styleId="22">
    <w:name w:val="List"/>
    <w:basedOn w:val="1"/>
    <w:qFormat/>
    <w:uiPriority w:val="0"/>
    <w:pPr>
      <w:ind w:left="200" w:hanging="200" w:hangingChars="200"/>
      <w:contextualSpacing/>
    </w:pPr>
  </w:style>
  <w:style w:type="paragraph" w:styleId="23">
    <w:name w:val="toc 2"/>
    <w:basedOn w:val="1"/>
    <w:next w:val="1"/>
    <w:qFormat/>
    <w:uiPriority w:val="0"/>
    <w:pPr>
      <w:tabs>
        <w:tab w:val="right" w:leader="dot" w:pos="8296"/>
      </w:tabs>
      <w:ind w:left="420" w:leftChars="200"/>
    </w:pPr>
  </w:style>
  <w:style w:type="paragraph" w:styleId="24">
    <w:name w:val="Normal (Web)"/>
    <w:basedOn w:val="1"/>
    <w:qFormat/>
    <w:uiPriority w:val="0"/>
    <w:pPr>
      <w:spacing w:before="0" w:beforeAutospacing="0" w:after="0" w:afterAutospacing="0"/>
      <w:ind w:left="0" w:right="0"/>
      <w:jc w:val="both"/>
    </w:pPr>
    <w:rPr>
      <w:rFonts w:hint="default" w:ascii="Calibri" w:hAnsi="Calibri" w:cs="Calibri"/>
      <w:kern w:val="0"/>
      <w:sz w:val="24"/>
      <w:szCs w:val="24"/>
      <w:lang w:val="en-US" w:eastAsia="zh-CN" w:bidi="ar"/>
    </w:rPr>
  </w:style>
  <w:style w:type="paragraph" w:styleId="25">
    <w:name w:val="annotation subject"/>
    <w:basedOn w:val="10"/>
    <w:next w:val="10"/>
    <w:link w:val="50"/>
    <w:qFormat/>
    <w:uiPriority w:val="0"/>
    <w:rPr>
      <w:b/>
      <w:bCs/>
    </w:rPr>
  </w:style>
  <w:style w:type="paragraph" w:styleId="26">
    <w:name w:val="Body Text First Indent"/>
    <w:basedOn w:val="12"/>
    <w:qFormat/>
    <w:uiPriority w:val="0"/>
    <w:pPr>
      <w:ind w:firstLine="420" w:firstLineChars="100"/>
    </w:pPr>
  </w:style>
  <w:style w:type="paragraph" w:styleId="27">
    <w:name w:val="Body Text First Indent 2"/>
    <w:basedOn w:val="13"/>
    <w:qFormat/>
    <w:uiPriority w:val="0"/>
    <w:pPr>
      <w:spacing w:after="0" w:line="200" w:lineRule="exact"/>
      <w:ind w:left="0" w:leftChars="0" w:firstLine="420" w:firstLineChars="200"/>
    </w:pPr>
    <w:rPr>
      <w:rFonts w:ascii="宋体" w:hAnsi="Courier New" w:eastAsia="宋体" w:cs="Times New Roman"/>
      <w:spacing w:val="-4"/>
      <w:sz w:val="24"/>
      <w:szCs w:val="20"/>
    </w:rPr>
  </w:style>
  <w:style w:type="table" w:styleId="29">
    <w:name w:val="Table Grid"/>
    <w:basedOn w:val="28"/>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character" w:styleId="31">
    <w:name w:val="endnote reference"/>
    <w:qFormat/>
    <w:uiPriority w:val="0"/>
    <w:rPr>
      <w:vertAlign w:val="superscript"/>
    </w:rPr>
  </w:style>
  <w:style w:type="character" w:styleId="32">
    <w:name w:val="page number"/>
    <w:qFormat/>
    <w:uiPriority w:val="0"/>
  </w:style>
  <w:style w:type="character" w:styleId="33">
    <w:name w:val="FollowedHyperlink"/>
    <w:qFormat/>
    <w:uiPriority w:val="0"/>
    <w:rPr>
      <w:color w:val="800080"/>
      <w:u w:val="single"/>
    </w:rPr>
  </w:style>
  <w:style w:type="character" w:styleId="34">
    <w:name w:val="Hyperlink"/>
    <w:qFormat/>
    <w:uiPriority w:val="0"/>
    <w:rPr>
      <w:color w:val="0000FF"/>
      <w:u w:val="single"/>
    </w:rPr>
  </w:style>
  <w:style w:type="character" w:styleId="35">
    <w:name w:val="annotation reference"/>
    <w:qFormat/>
    <w:uiPriority w:val="0"/>
    <w:rPr>
      <w:sz w:val="21"/>
      <w:szCs w:val="21"/>
    </w:rPr>
  </w:style>
  <w:style w:type="character" w:customStyle="1" w:styleId="36">
    <w:name w:val="标题 1 字符2"/>
    <w:link w:val="2"/>
    <w:qFormat/>
    <w:uiPriority w:val="9"/>
    <w:rPr>
      <w:b/>
      <w:bCs/>
      <w:kern w:val="44"/>
      <w:sz w:val="44"/>
      <w:szCs w:val="44"/>
    </w:rPr>
  </w:style>
  <w:style w:type="character" w:customStyle="1" w:styleId="37">
    <w:name w:val="标题 2 字符1"/>
    <w:link w:val="3"/>
    <w:qFormat/>
    <w:uiPriority w:val="9"/>
    <w:rPr>
      <w:rFonts w:ascii="Cambria" w:hAnsi="Cambria" w:eastAsia="宋体" w:cs="Times New Roman"/>
      <w:b/>
      <w:bCs/>
      <w:kern w:val="2"/>
      <w:sz w:val="32"/>
      <w:szCs w:val="32"/>
    </w:rPr>
  </w:style>
  <w:style w:type="character" w:customStyle="1" w:styleId="38">
    <w:name w:val="标题 3 字符1"/>
    <w:link w:val="4"/>
    <w:qFormat/>
    <w:uiPriority w:val="9"/>
    <w:rPr>
      <w:b/>
      <w:bCs/>
      <w:kern w:val="2"/>
      <w:sz w:val="32"/>
      <w:szCs w:val="32"/>
    </w:rPr>
  </w:style>
  <w:style w:type="character" w:customStyle="1" w:styleId="39">
    <w:name w:val="标题 5 字符1"/>
    <w:link w:val="6"/>
    <w:qFormat/>
    <w:uiPriority w:val="9"/>
    <w:rPr>
      <w:rFonts w:ascii="Times New Roman" w:hAnsi="Times New Roman"/>
      <w:b/>
      <w:bCs/>
      <w:kern w:val="2"/>
      <w:sz w:val="28"/>
      <w:szCs w:val="28"/>
    </w:rPr>
  </w:style>
  <w:style w:type="character" w:customStyle="1" w:styleId="40">
    <w:name w:val="标题 8 字符1"/>
    <w:link w:val="8"/>
    <w:qFormat/>
    <w:uiPriority w:val="9"/>
    <w:rPr>
      <w:rFonts w:ascii="等线 Light" w:hAnsi="等线 Light" w:eastAsia="等线 Light" w:cs="Times New Roman"/>
      <w:kern w:val="2"/>
      <w:sz w:val="24"/>
      <w:szCs w:val="24"/>
    </w:rPr>
  </w:style>
  <w:style w:type="character" w:customStyle="1" w:styleId="41">
    <w:name w:val="批注文字 字符3"/>
    <w:link w:val="10"/>
    <w:qFormat/>
    <w:uiPriority w:val="0"/>
    <w:rPr>
      <w:rFonts w:ascii="Times New Roman" w:hAnsi="Times New Roman"/>
      <w:kern w:val="2"/>
      <w:sz w:val="21"/>
      <w:szCs w:val="24"/>
    </w:rPr>
  </w:style>
  <w:style w:type="character" w:customStyle="1" w:styleId="42">
    <w:name w:val="正文文本 3 字符1"/>
    <w:link w:val="11"/>
    <w:qFormat/>
    <w:uiPriority w:val="99"/>
    <w:rPr>
      <w:kern w:val="2"/>
      <w:sz w:val="16"/>
      <w:szCs w:val="16"/>
    </w:rPr>
  </w:style>
  <w:style w:type="character" w:customStyle="1" w:styleId="43">
    <w:name w:val="正文文本 字符2"/>
    <w:link w:val="12"/>
    <w:qFormat/>
    <w:uiPriority w:val="0"/>
    <w:rPr>
      <w:rFonts w:ascii="Times New Roman" w:hAnsi="Times New Roman"/>
      <w:kern w:val="2"/>
      <w:sz w:val="21"/>
      <w:szCs w:val="24"/>
    </w:rPr>
  </w:style>
  <w:style w:type="character" w:customStyle="1" w:styleId="44">
    <w:name w:val="正文文本缩进 字符1"/>
    <w:link w:val="13"/>
    <w:qFormat/>
    <w:uiPriority w:val="0"/>
    <w:rPr>
      <w:rFonts w:ascii="仿宋_GB2312" w:hAnsi="Times New Roman" w:eastAsia="仿宋_GB2312" w:cs="Times New Roman"/>
      <w:sz w:val="32"/>
      <w:szCs w:val="20"/>
    </w:rPr>
  </w:style>
  <w:style w:type="character" w:customStyle="1" w:styleId="45">
    <w:name w:val="纯文本 字符4"/>
    <w:link w:val="16"/>
    <w:qFormat/>
    <w:uiPriority w:val="0"/>
    <w:rPr>
      <w:rFonts w:ascii="宋体" w:hAnsi="Courier New" w:eastAsia="宋体" w:cs="Courier New"/>
      <w:szCs w:val="21"/>
    </w:rPr>
  </w:style>
  <w:style w:type="character" w:customStyle="1" w:styleId="46">
    <w:name w:val="日期 字符1"/>
    <w:link w:val="17"/>
    <w:qFormat/>
    <w:uiPriority w:val="99"/>
    <w:rPr>
      <w:rFonts w:ascii="Times New Roman" w:hAnsi="Times New Roman"/>
      <w:kern w:val="2"/>
      <w:sz w:val="21"/>
      <w:szCs w:val="24"/>
    </w:rPr>
  </w:style>
  <w:style w:type="character" w:customStyle="1" w:styleId="47">
    <w:name w:val="批注框文本 字符"/>
    <w:link w:val="18"/>
    <w:semiHidden/>
    <w:qFormat/>
    <w:uiPriority w:val="99"/>
    <w:rPr>
      <w:kern w:val="2"/>
      <w:sz w:val="18"/>
      <w:szCs w:val="18"/>
    </w:rPr>
  </w:style>
  <w:style w:type="character" w:customStyle="1" w:styleId="48">
    <w:name w:val="页脚 字符1"/>
    <w:link w:val="19"/>
    <w:qFormat/>
    <w:uiPriority w:val="99"/>
    <w:rPr>
      <w:sz w:val="18"/>
      <w:szCs w:val="18"/>
    </w:rPr>
  </w:style>
  <w:style w:type="character" w:customStyle="1" w:styleId="49">
    <w:name w:val="页眉 字符1"/>
    <w:link w:val="20"/>
    <w:qFormat/>
    <w:uiPriority w:val="99"/>
    <w:rPr>
      <w:sz w:val="18"/>
      <w:szCs w:val="18"/>
    </w:rPr>
  </w:style>
  <w:style w:type="character" w:customStyle="1" w:styleId="50">
    <w:name w:val="批注主题 字符1"/>
    <w:link w:val="25"/>
    <w:qFormat/>
    <w:uiPriority w:val="99"/>
    <w:rPr>
      <w:rFonts w:ascii="Times New Roman" w:hAnsi="Times New Roman"/>
      <w:b/>
      <w:bCs/>
      <w:kern w:val="2"/>
      <w:sz w:val="21"/>
      <w:szCs w:val="24"/>
    </w:rPr>
  </w:style>
  <w:style w:type="character" w:customStyle="1" w:styleId="51">
    <w:name w:val="批注主题 字符"/>
    <w:qFormat/>
    <w:uiPriority w:val="99"/>
    <w:rPr>
      <w:rFonts w:ascii="Times New Roman" w:hAnsi="Times New Roman"/>
      <w:b/>
      <w:bCs/>
      <w:kern w:val="2"/>
      <w:sz w:val="21"/>
      <w:szCs w:val="24"/>
    </w:rPr>
  </w:style>
  <w:style w:type="character" w:customStyle="1" w:styleId="52">
    <w:name w:val="标题 2 Char"/>
    <w:qFormat/>
    <w:uiPriority w:val="9"/>
    <w:rPr>
      <w:rFonts w:ascii="Cambria" w:hAnsi="Cambria" w:eastAsia="宋体" w:cs="Times New Roman"/>
      <w:b/>
      <w:bCs/>
      <w:kern w:val="2"/>
      <w:sz w:val="32"/>
      <w:szCs w:val="32"/>
    </w:rPr>
  </w:style>
  <w:style w:type="character" w:customStyle="1" w:styleId="53">
    <w:name w:val="正文文本 Char"/>
    <w:qFormat/>
    <w:uiPriority w:val="0"/>
    <w:rPr>
      <w:rFonts w:ascii="Times New Roman" w:hAnsi="Times New Roman"/>
      <w:kern w:val="2"/>
      <w:sz w:val="21"/>
      <w:szCs w:val="24"/>
    </w:rPr>
  </w:style>
  <w:style w:type="character" w:customStyle="1" w:styleId="54">
    <w:name w:val="正文文本 字符"/>
    <w:qFormat/>
    <w:uiPriority w:val="0"/>
    <w:rPr>
      <w:rFonts w:ascii="Times New Roman" w:hAnsi="Times New Roman"/>
      <w:kern w:val="2"/>
      <w:sz w:val="21"/>
      <w:szCs w:val="24"/>
    </w:rPr>
  </w:style>
  <w:style w:type="character" w:customStyle="1" w:styleId="55">
    <w:name w:val="正文文本 3 字符"/>
    <w:qFormat/>
    <w:uiPriority w:val="99"/>
    <w:rPr>
      <w:kern w:val="2"/>
      <w:sz w:val="16"/>
      <w:szCs w:val="16"/>
    </w:rPr>
  </w:style>
  <w:style w:type="character" w:customStyle="1" w:styleId="56">
    <w:name w:val="纯文本 字符3"/>
    <w:qFormat/>
    <w:uiPriority w:val="99"/>
    <w:rPr>
      <w:rFonts w:ascii="宋体" w:hAnsi="Courier New"/>
      <w:szCs w:val="21"/>
    </w:rPr>
  </w:style>
  <w:style w:type="character" w:customStyle="1" w:styleId="57">
    <w:name w:val="纯文本 字符2"/>
    <w:qFormat/>
    <w:uiPriority w:val="0"/>
    <w:rPr>
      <w:rFonts w:ascii="宋体" w:hAnsi="Courier New" w:eastAsia="宋体" w:cs="Courier New"/>
      <w:szCs w:val="21"/>
    </w:rPr>
  </w:style>
  <w:style w:type="character" w:customStyle="1" w:styleId="58">
    <w:name w:val="标题 8 字符"/>
    <w:qFormat/>
    <w:uiPriority w:val="9"/>
    <w:rPr>
      <w:rFonts w:ascii="等线 Light" w:hAnsi="等线 Light" w:eastAsia="等线 Light"/>
      <w:kern w:val="2"/>
      <w:sz w:val="24"/>
      <w:szCs w:val="24"/>
    </w:rPr>
  </w:style>
  <w:style w:type="character" w:customStyle="1" w:styleId="59">
    <w:name w:val="标题 2 字符"/>
    <w:qFormat/>
    <w:uiPriority w:val="9"/>
    <w:rPr>
      <w:rFonts w:ascii="Cambria" w:hAnsi="Cambria"/>
      <w:b/>
      <w:bCs/>
      <w:kern w:val="2"/>
      <w:sz w:val="32"/>
      <w:szCs w:val="32"/>
    </w:rPr>
  </w:style>
  <w:style w:type="character" w:customStyle="1" w:styleId="60">
    <w:name w:val="批注文字 字符2"/>
    <w:qFormat/>
    <w:uiPriority w:val="99"/>
    <w:rPr>
      <w:kern w:val="2"/>
      <w:sz w:val="21"/>
      <w:szCs w:val="24"/>
    </w:rPr>
  </w:style>
  <w:style w:type="character" w:customStyle="1" w:styleId="61">
    <w:name w:val="页眉 字符"/>
    <w:qFormat/>
    <w:uiPriority w:val="99"/>
    <w:rPr>
      <w:sz w:val="18"/>
      <w:szCs w:val="18"/>
    </w:rPr>
  </w:style>
  <w:style w:type="character" w:customStyle="1" w:styleId="62">
    <w:name w:val="标题 3 字符"/>
    <w:qFormat/>
    <w:uiPriority w:val="9"/>
    <w:rPr>
      <w:b/>
      <w:bCs/>
      <w:kern w:val="2"/>
      <w:sz w:val="32"/>
      <w:szCs w:val="32"/>
    </w:rPr>
  </w:style>
  <w:style w:type="character" w:customStyle="1" w:styleId="63">
    <w:name w:val="apple-style-span"/>
    <w:qFormat/>
    <w:uiPriority w:val="0"/>
  </w:style>
  <w:style w:type="character" w:customStyle="1" w:styleId="64">
    <w:name w:val="标题 1 字符"/>
    <w:qFormat/>
    <w:uiPriority w:val="9"/>
    <w:rPr>
      <w:b/>
      <w:bCs/>
      <w:kern w:val="44"/>
      <w:sz w:val="44"/>
      <w:szCs w:val="44"/>
    </w:rPr>
  </w:style>
  <w:style w:type="character" w:customStyle="1" w:styleId="65">
    <w:name w:val="正文2 Char Char"/>
    <w:link w:val="66"/>
    <w:qFormat/>
    <w:uiPriority w:val="0"/>
    <w:rPr>
      <w:sz w:val="24"/>
    </w:rPr>
  </w:style>
  <w:style w:type="paragraph" w:customStyle="1" w:styleId="66">
    <w:name w:val="正文2"/>
    <w:basedOn w:val="1"/>
    <w:link w:val="65"/>
    <w:qFormat/>
    <w:uiPriority w:val="0"/>
    <w:pPr>
      <w:adjustRightInd w:val="0"/>
      <w:spacing w:before="156" w:line="360" w:lineRule="auto"/>
      <w:ind w:firstLine="510" w:firstLineChars="200"/>
    </w:pPr>
    <w:rPr>
      <w:kern w:val="0"/>
      <w:sz w:val="24"/>
      <w:szCs w:val="20"/>
    </w:rPr>
  </w:style>
  <w:style w:type="character" w:customStyle="1" w:styleId="67">
    <w:name w:val="日期 字符"/>
    <w:qFormat/>
    <w:uiPriority w:val="99"/>
    <w:rPr>
      <w:kern w:val="2"/>
      <w:sz w:val="21"/>
      <w:szCs w:val="24"/>
    </w:rPr>
  </w:style>
  <w:style w:type="character" w:customStyle="1" w:styleId="68">
    <w:name w:val="纯文本 字符"/>
    <w:qFormat/>
    <w:uiPriority w:val="0"/>
    <w:rPr>
      <w:rFonts w:ascii="宋体" w:hAnsi="Courier New" w:eastAsia="宋体" w:cs="Courier New"/>
      <w:szCs w:val="21"/>
    </w:rPr>
  </w:style>
  <w:style w:type="character" w:customStyle="1" w:styleId="69">
    <w:name w:val="页脚 字符"/>
    <w:qFormat/>
    <w:uiPriority w:val="99"/>
    <w:rPr>
      <w:sz w:val="18"/>
      <w:szCs w:val="18"/>
    </w:rPr>
  </w:style>
  <w:style w:type="character" w:customStyle="1" w:styleId="70">
    <w:name w:val="纯文本 字符1"/>
    <w:qFormat/>
    <w:uiPriority w:val="0"/>
    <w:rPr>
      <w:rFonts w:ascii="宋体" w:hAnsi="Courier New"/>
    </w:rPr>
  </w:style>
  <w:style w:type="character" w:customStyle="1" w:styleId="71">
    <w:name w:val="标题 8 Char"/>
    <w:qFormat/>
    <w:uiPriority w:val="0"/>
    <w:rPr>
      <w:rFonts w:ascii="Arial" w:hAnsi="Arial" w:eastAsia="黑体"/>
      <w:kern w:val="2"/>
      <w:sz w:val="24"/>
      <w:szCs w:val="24"/>
    </w:rPr>
  </w:style>
  <w:style w:type="character" w:customStyle="1" w:styleId="72">
    <w:name w:val="纯文本 Char"/>
    <w:qFormat/>
    <w:uiPriority w:val="0"/>
    <w:rPr>
      <w:rFonts w:ascii="宋体" w:hAnsi="Courier New" w:eastAsia="宋体" w:cs="Courier New"/>
      <w:szCs w:val="21"/>
    </w:rPr>
  </w:style>
  <w:style w:type="character" w:customStyle="1" w:styleId="73">
    <w:name w:val="批注文字 字符1"/>
    <w:qFormat/>
    <w:uiPriority w:val="0"/>
    <w:rPr>
      <w:rFonts w:ascii="Times New Roman" w:hAnsi="Times New Roman"/>
      <w:kern w:val="2"/>
      <w:sz w:val="21"/>
      <w:szCs w:val="24"/>
    </w:rPr>
  </w:style>
  <w:style w:type="character" w:customStyle="1" w:styleId="74">
    <w:name w:val="正文文本 (26) + 间距 0 pt"/>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75">
    <w:name w:val="标题 1 字符1"/>
    <w:qFormat/>
    <w:uiPriority w:val="0"/>
    <w:rPr>
      <w:b/>
      <w:bCs/>
      <w:kern w:val="44"/>
      <w:sz w:val="44"/>
      <w:szCs w:val="44"/>
    </w:rPr>
  </w:style>
  <w:style w:type="character" w:customStyle="1" w:styleId="76">
    <w:name w:val="批注文字 字符"/>
    <w:qFormat/>
    <w:uiPriority w:val="0"/>
    <w:rPr>
      <w:rFonts w:ascii="Times New Roman" w:hAnsi="Times New Roman"/>
      <w:kern w:val="2"/>
      <w:sz w:val="21"/>
      <w:szCs w:val="24"/>
    </w:rPr>
  </w:style>
  <w:style w:type="character" w:customStyle="1" w:styleId="77">
    <w:name w:val="textcontents"/>
    <w:qFormat/>
    <w:uiPriority w:val="0"/>
  </w:style>
  <w:style w:type="character" w:customStyle="1" w:styleId="78">
    <w:name w:val="正文文本 字符1"/>
    <w:qFormat/>
    <w:uiPriority w:val="99"/>
    <w:rPr>
      <w:kern w:val="2"/>
      <w:sz w:val="21"/>
      <w:szCs w:val="24"/>
    </w:rPr>
  </w:style>
  <w:style w:type="character" w:customStyle="1" w:styleId="79">
    <w:name w:val="批注文字 Char"/>
    <w:qFormat/>
    <w:uiPriority w:val="0"/>
    <w:rPr>
      <w:rFonts w:ascii="Times New Roman" w:hAnsi="Times New Roman"/>
      <w:kern w:val="2"/>
      <w:sz w:val="21"/>
      <w:szCs w:val="24"/>
    </w:rPr>
  </w:style>
  <w:style w:type="character" w:customStyle="1" w:styleId="80">
    <w:name w:val="_Style 78"/>
    <w:unhideWhenUsed/>
    <w:qFormat/>
    <w:uiPriority w:val="99"/>
    <w:rPr>
      <w:color w:val="605E5C"/>
      <w:shd w:val="clear" w:color="auto" w:fill="E1DFDD"/>
    </w:rPr>
  </w:style>
  <w:style w:type="character" w:customStyle="1" w:styleId="81">
    <w:name w:val="标题 5 字符"/>
    <w:qFormat/>
    <w:uiPriority w:val="9"/>
    <w:rPr>
      <w:b/>
      <w:bCs/>
      <w:kern w:val="2"/>
      <w:sz w:val="28"/>
      <w:szCs w:val="28"/>
    </w:rPr>
  </w:style>
  <w:style w:type="character" w:customStyle="1" w:styleId="82">
    <w:name w:val="正文文本缩进 字符"/>
    <w:qFormat/>
    <w:uiPriority w:val="99"/>
    <w:rPr>
      <w:rFonts w:ascii="仿宋_GB2312" w:eastAsia="仿宋_GB2312"/>
      <w:sz w:val="32"/>
    </w:rPr>
  </w:style>
  <w:style w:type="paragraph" w:customStyle="1" w:styleId="83">
    <w:name w:val="正文缩进1"/>
    <w:basedOn w:val="1"/>
    <w:next w:val="13"/>
    <w:qFormat/>
    <w:uiPriority w:val="99"/>
    <w:pPr>
      <w:autoSpaceDE w:val="0"/>
      <w:autoSpaceDN w:val="0"/>
      <w:adjustRightInd w:val="0"/>
      <w:snapToGrid w:val="0"/>
      <w:spacing w:after="120" w:line="360" w:lineRule="auto"/>
      <w:ind w:left="420" w:leftChars="200" w:firstLine="480" w:firstLineChars="200"/>
    </w:pPr>
    <w:rPr>
      <w:sz w:val="24"/>
      <w:szCs w:val="21"/>
    </w:rPr>
  </w:style>
  <w:style w:type="paragraph" w:customStyle="1" w:styleId="84">
    <w:name w:val="_Style 95"/>
    <w:basedOn w:val="1"/>
    <w:unhideWhenUsed/>
    <w:qFormat/>
    <w:uiPriority w:val="99"/>
  </w:style>
  <w:style w:type="paragraph" w:styleId="85">
    <w:name w:val="List Paragraph"/>
    <w:basedOn w:val="1"/>
    <w:qFormat/>
    <w:uiPriority w:val="34"/>
    <w:pPr>
      <w:ind w:firstLine="420" w:firstLineChars="200"/>
    </w:pPr>
  </w:style>
  <w:style w:type="paragraph" w:customStyle="1" w:styleId="86">
    <w:name w:val="默认段落字体 Para Char Char Char Char Char Char Char Char Char1 Char Char Char Char"/>
    <w:basedOn w:val="1"/>
    <w:qFormat/>
    <w:uiPriority w:val="99"/>
    <w:rPr>
      <w:rFonts w:ascii="Tahoma" w:hAnsi="Tahoma"/>
      <w:sz w:val="24"/>
      <w:szCs w:val="20"/>
    </w:rPr>
  </w:style>
  <w:style w:type="paragraph" w:customStyle="1" w:styleId="87">
    <w:name w:val="Table Text"/>
    <w:basedOn w:val="1"/>
    <w:semiHidden/>
    <w:qFormat/>
    <w:uiPriority w:val="0"/>
    <w:pPr>
      <w:widowControl/>
      <w:kinsoku w:val="0"/>
      <w:autoSpaceDE w:val="0"/>
      <w:autoSpaceDN w:val="0"/>
      <w:adjustRightInd w:val="0"/>
      <w:snapToGrid w:val="0"/>
      <w:spacing w:line="240" w:lineRule="auto"/>
      <w:jc w:val="left"/>
      <w:textAlignment w:val="baseline"/>
    </w:pPr>
    <w:rPr>
      <w:rFonts w:ascii="宋体" w:hAnsi="宋体" w:eastAsia="宋体" w:cs="宋体"/>
      <w:snapToGrid w:val="0"/>
      <w:color w:val="000000"/>
      <w:kern w:val="0"/>
      <w:sz w:val="20"/>
      <w:szCs w:val="20"/>
      <w:lang w:val="en-US" w:eastAsia="en-US" w:bidi="ar-SA"/>
    </w:rPr>
  </w:style>
  <w:style w:type="paragraph" w:customStyle="1" w:styleId="88">
    <w:name w:val="_Style 94"/>
    <w:basedOn w:val="1"/>
    <w:unhideWhenUsed/>
    <w:qFormat/>
    <w:uiPriority w:val="99"/>
  </w:style>
  <w:style w:type="paragraph" w:customStyle="1" w:styleId="89">
    <w:name w:val="_Style 87"/>
    <w:basedOn w:val="2"/>
    <w:next w:val="1"/>
    <w:qFormat/>
    <w:uiPriority w:val="39"/>
    <w:pPr>
      <w:widowControl/>
      <w:spacing w:before="240" w:after="0" w:line="259" w:lineRule="auto"/>
      <w:jc w:val="left"/>
      <w:outlineLvl w:val="9"/>
    </w:pPr>
    <w:rPr>
      <w:rFonts w:ascii="等线 Light" w:hAnsi="等线 Light" w:eastAsia="等线 Light" w:cs="Times New Roman"/>
      <w:b w:val="0"/>
      <w:bCs w:val="0"/>
      <w:color w:val="2F5496"/>
      <w:kern w:val="0"/>
      <w:sz w:val="32"/>
      <w:szCs w:val="32"/>
      <w:lang w:val="en-US" w:eastAsia="zh-CN"/>
    </w:rPr>
  </w:style>
  <w:style w:type="paragraph" w:customStyle="1" w:styleId="90">
    <w:name w:val="Table Paragraph"/>
    <w:basedOn w:val="1"/>
    <w:qFormat/>
    <w:uiPriority w:val="1"/>
    <w:pPr>
      <w:jc w:val="left"/>
    </w:pPr>
    <w:rPr>
      <w:rFonts w:ascii="Calibri" w:hAnsi="Calibri"/>
      <w:kern w:val="0"/>
      <w:sz w:val="22"/>
      <w:szCs w:val="22"/>
      <w:lang w:eastAsia="en-US"/>
    </w:rPr>
  </w:style>
  <w:style w:type="paragraph" w:customStyle="1" w:styleId="91">
    <w:name w:val="表内文字"/>
    <w:basedOn w:val="1"/>
    <w:qFormat/>
    <w:uiPriority w:val="99"/>
    <w:pPr>
      <w:snapToGrid w:val="0"/>
      <w:spacing w:before="50" w:after="50"/>
      <w:jc w:val="center"/>
    </w:pPr>
    <w:rPr>
      <w:rFonts w:ascii="仿宋_GB2312" w:hAnsi="宋体" w:eastAsia="仿宋_GB2312"/>
      <w:b/>
      <w:color w:val="000000"/>
      <w:sz w:val="32"/>
      <w:szCs w:val="32"/>
    </w:rPr>
  </w:style>
  <w:style w:type="paragraph" w:customStyle="1" w:styleId="92">
    <w:name w:val="msonormal"/>
    <w:basedOn w:val="1"/>
    <w:qFormat/>
    <w:uiPriority w:val="99"/>
    <w:rPr>
      <w:rFonts w:ascii="Calibri" w:hAnsi="Calibri"/>
      <w:kern w:val="0"/>
      <w:sz w:val="24"/>
    </w:rPr>
  </w:style>
  <w:style w:type="paragraph" w:customStyle="1" w:styleId="93">
    <w:name w:val="Char Char Char Char"/>
    <w:basedOn w:val="1"/>
    <w:qFormat/>
    <w:uiPriority w:val="99"/>
    <w:pPr>
      <w:widowControl/>
      <w:spacing w:after="160" w:line="240" w:lineRule="exact"/>
      <w:jc w:val="left"/>
    </w:pPr>
  </w:style>
  <w:style w:type="paragraph" w:customStyle="1" w:styleId="94">
    <w:name w:val="样式5"/>
    <w:basedOn w:val="1"/>
    <w:qFormat/>
    <w:uiPriority w:val="99"/>
    <w:pPr>
      <w:adjustRightInd w:val="0"/>
      <w:spacing w:line="440" w:lineRule="exact"/>
      <w:ind w:left="2" w:firstLine="480" w:firstLineChars="200"/>
    </w:pPr>
    <w:rPr>
      <w:rFonts w:ascii="仿宋_GB2312" w:hAnsi="仿宋" w:eastAsia="仿宋_GB2312"/>
      <w:sz w:val="24"/>
    </w:rPr>
  </w:style>
  <w:style w:type="table" w:customStyle="1" w:styleId="95">
    <w:name w:val="Table Normal"/>
    <w:unhideWhenUsed/>
    <w:qFormat/>
    <w:uiPriority w:val="0"/>
    <w:tblPr>
      <w:tblLayout w:type="fixed"/>
      <w:tblCellMar>
        <w:top w:w="0" w:type="dxa"/>
        <w:left w:w="0" w:type="dxa"/>
        <w:bottom w:w="0" w:type="dxa"/>
        <w:right w:w="0" w:type="dxa"/>
      </w:tblCellMar>
    </w:tblPr>
  </w:style>
  <w:style w:type="paragraph" w:customStyle="1" w:styleId="96">
    <w:name w:val="BodyText"/>
    <w:next w:val="97"/>
    <w:qFormat/>
    <w:uiPriority w:val="0"/>
    <w:pPr>
      <w:ind w:left="102"/>
      <w:jc w:val="both"/>
      <w:textAlignment w:val="baseline"/>
    </w:pPr>
    <w:rPr>
      <w:rFonts w:ascii="宋体" w:hAnsi="宋体" w:eastAsia="宋体" w:cs="Times New Roman"/>
      <w:kern w:val="2"/>
      <w:sz w:val="29"/>
      <w:szCs w:val="24"/>
      <w:lang w:val="en-US" w:eastAsia="zh-CN" w:bidi="ar-SA"/>
    </w:rPr>
  </w:style>
  <w:style w:type="paragraph" w:customStyle="1" w:styleId="97">
    <w:name w:val="181"/>
    <w:next w:val="1"/>
    <w:qFormat/>
    <w:uiPriority w:val="0"/>
    <w:pPr>
      <w:spacing w:before="360" w:after="360"/>
      <w:ind w:left="950" w:right="950"/>
      <w:jc w:val="center"/>
      <w:textAlignment w:val="baseline"/>
    </w:pPr>
    <w:rPr>
      <w:rFonts w:ascii="Times New Roman" w:hAnsi="Times New Roman" w:eastAsia="宋体" w:cs="Times New Roman"/>
      <w:i/>
      <w:kern w:val="2"/>
      <w:sz w:val="21"/>
      <w:szCs w:val="24"/>
      <w:lang w:val="en-US" w:eastAsia="zh-CN" w:bidi="ar-SA"/>
    </w:rPr>
  </w:style>
  <w:style w:type="paragraph" w:customStyle="1" w:styleId="98">
    <w:name w:val="Body text|1"/>
    <w:basedOn w:val="1"/>
    <w:qFormat/>
    <w:uiPriority w:val="0"/>
    <w:pPr>
      <w:widowControl w:val="0"/>
      <w:shd w:val="clear" w:color="auto" w:fill="auto"/>
      <w:spacing w:line="389" w:lineRule="auto"/>
      <w:ind w:firstLine="400"/>
    </w:pPr>
    <w:rPr>
      <w:rFonts w:ascii="宋体" w:hAnsi="宋体" w:eastAsia="宋体" w:cs="宋体"/>
      <w:sz w:val="30"/>
      <w:szCs w:val="30"/>
      <w:u w:val="none"/>
      <w:shd w:val="clear" w:color="auto" w:fill="auto"/>
      <w:lang w:val="zh-TW" w:eastAsia="zh-TW" w:bidi="zh-TW"/>
    </w:rPr>
  </w:style>
  <w:style w:type="paragraph" w:customStyle="1" w:styleId="99">
    <w:name w:val="Heading #2|1"/>
    <w:basedOn w:val="1"/>
    <w:qFormat/>
    <w:uiPriority w:val="0"/>
    <w:pPr>
      <w:widowControl w:val="0"/>
      <w:shd w:val="clear" w:color="auto" w:fill="auto"/>
      <w:spacing w:after="660" w:line="626" w:lineRule="exact"/>
      <w:jc w:val="center"/>
      <w:outlineLvl w:val="1"/>
    </w:pPr>
    <w:rPr>
      <w:rFonts w:ascii="宋体" w:hAnsi="宋体" w:eastAsia="宋体" w:cs="宋体"/>
      <w:sz w:val="44"/>
      <w:szCs w:val="44"/>
      <w:u w:val="none"/>
      <w:shd w:val="clear" w:color="auto" w:fill="auto"/>
      <w:lang w:val="zh-TW" w:eastAsia="zh-TW" w:bidi="zh-TW"/>
    </w:rPr>
  </w:style>
  <w:style w:type="paragraph" w:customStyle="1" w:styleId="100">
    <w:name w:val="Other|1"/>
    <w:basedOn w:val="1"/>
    <w:qFormat/>
    <w:uiPriority w:val="0"/>
    <w:pPr>
      <w:widowControl w:val="0"/>
      <w:shd w:val="clear" w:color="auto" w:fill="auto"/>
      <w:spacing w:line="389" w:lineRule="auto"/>
      <w:ind w:firstLine="400"/>
    </w:pPr>
    <w:rPr>
      <w:rFonts w:ascii="宋体" w:hAnsi="宋体" w:eastAsia="宋体" w:cs="宋体"/>
      <w:sz w:val="30"/>
      <w:szCs w:val="30"/>
      <w:u w:val="none"/>
      <w:shd w:val="clear" w:color="auto" w:fill="auto"/>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广西云龙招标有限公司</Company>
  <Pages>106</Pages>
  <Words>13449</Words>
  <Characters>14797</Characters>
  <Lines>2320</Lines>
  <Paragraphs>2254</Paragraphs>
  <TotalTime>26</TotalTime>
  <ScaleCrop>false</ScaleCrop>
  <LinksUpToDate>false</LinksUpToDate>
  <CharactersWithSpaces>15094</CharactersWithSpaces>
  <Application>WPS Office_11.1.0.9021_F1E327BC-269C-435d-A152-05C5408002CA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2023-06-22T20:57:00Z</dcterms:created>
  <dc:creator>番茄花园</dc:creator>
  <cp:lastModifiedBy>吸香糖王力宏</cp:lastModifiedBy>
  <cp:lastPrinted>2024-02-05T01:58:00Z</cp:lastPrinted>
  <dcterms:modified xsi:type="dcterms:W3CDTF">2025-06-30T07:16:14Z</dcterms:modified>
  <dc:title>公开招标采购文件范本</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y fmtid="{D5CDD505-2E9C-101B-9397-08002B2CF9AE}" pid="3" name="ICV">
    <vt:lpwstr>04D049AE90C74BFF91FCB1D98965D84C_13</vt:lpwstr>
  </property>
  <property fmtid="{D5CDD505-2E9C-101B-9397-08002B2CF9AE}" pid="4" name="CRO">
    <vt:lpwstr>wqlLaW5nc29mdCBQREYgdG8gV1BTIDkw</vt:lpwstr>
  </property>
  <property fmtid="{D5CDD505-2E9C-101B-9397-08002B2CF9AE}" pid="5" name="Created">
    <vt:filetime>2024-01-26T11:27:07Z</vt:filetime>
  </property>
  <property fmtid="{D5CDD505-2E9C-101B-9397-08002B2CF9AE}" pid="6" name="KSOTemplateDocerSaveRecord">
    <vt:lpwstr>eyJoZGlkIjoiNTQ1MmZiMzIwOTA1M2Y5ZmYyODIyNGI2ZTJlMTNkY2MiLCJ1c2VySWQiOiIxNjc3NjUwMDMyIn0=</vt:lpwstr>
  </property>
</Properties>
</file>