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DE327">
      <w:pPr>
        <w:adjustRightInd w:val="0"/>
        <w:spacing w:before="33" w:beforeLines="10" w:line="400" w:lineRule="exact"/>
        <w:rPr>
          <w:rFonts w:hint="eastAsia" w:ascii="宋体" w:hAnsi="宋体" w:eastAsia="宋体" w:cs="宋体"/>
          <w:b/>
          <w:bCs/>
          <w:color w:val="auto"/>
          <w:spacing w:val="80"/>
          <w:sz w:val="30"/>
          <w:highlight w:val="none"/>
        </w:rPr>
      </w:pPr>
      <w:bookmarkStart w:id="0" w:name="_Hlk119487871"/>
    </w:p>
    <w:p w14:paraId="1AD0360C">
      <w:pPr>
        <w:adjustRightInd w:val="0"/>
        <w:spacing w:before="33" w:beforeLines="10" w:line="400" w:lineRule="exact"/>
        <w:rPr>
          <w:rFonts w:hint="eastAsia" w:ascii="宋体" w:hAnsi="宋体" w:eastAsia="宋体" w:cs="宋体"/>
          <w:b/>
          <w:bCs/>
          <w:color w:val="auto"/>
          <w:spacing w:val="80"/>
          <w:sz w:val="30"/>
          <w:highlight w:val="none"/>
        </w:rPr>
      </w:pPr>
    </w:p>
    <w:p w14:paraId="40B62CE5">
      <w:pPr>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619885" cy="1068705"/>
            <wp:effectExtent l="0" t="0" r="18415" b="17145"/>
            <wp:docPr id="1" name="图片 1" descr="中经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经LOGO1"/>
                    <pic:cNvPicPr>
                      <a:picLocks noChangeAspect="1"/>
                    </pic:cNvPicPr>
                  </pic:nvPicPr>
                  <pic:blipFill>
                    <a:blip r:embed="rId12"/>
                    <a:stretch>
                      <a:fillRect/>
                    </a:stretch>
                  </pic:blipFill>
                  <pic:spPr>
                    <a:xfrm>
                      <a:off x="0" y="0"/>
                      <a:ext cx="1619885" cy="1068705"/>
                    </a:xfrm>
                    <a:prstGeom prst="rect">
                      <a:avLst/>
                    </a:prstGeom>
                    <a:noFill/>
                    <a:ln>
                      <a:noFill/>
                    </a:ln>
                  </pic:spPr>
                </pic:pic>
              </a:graphicData>
            </a:graphic>
          </wp:inline>
        </w:drawing>
      </w:r>
    </w:p>
    <w:p w14:paraId="27E5326C">
      <w:pPr>
        <w:rPr>
          <w:rFonts w:hint="eastAsia" w:ascii="宋体" w:hAnsi="宋体" w:eastAsia="宋体" w:cs="宋体"/>
          <w:color w:val="auto"/>
          <w:highlight w:val="none"/>
        </w:rPr>
      </w:pPr>
    </w:p>
    <w:p w14:paraId="1ECC1BEC">
      <w:pPr>
        <w:rPr>
          <w:rFonts w:hint="eastAsia" w:ascii="宋体" w:hAnsi="宋体" w:eastAsia="宋体" w:cs="宋体"/>
          <w:color w:val="auto"/>
          <w:highlight w:val="none"/>
        </w:rPr>
      </w:pPr>
    </w:p>
    <w:p w14:paraId="1757F98A">
      <w:pPr>
        <w:rPr>
          <w:rFonts w:hint="eastAsia" w:ascii="宋体" w:hAnsi="宋体" w:eastAsia="宋体" w:cs="宋体"/>
          <w:color w:val="auto"/>
          <w:highlight w:val="none"/>
        </w:rPr>
      </w:pPr>
    </w:p>
    <w:p w14:paraId="250CDD94">
      <w:pPr>
        <w:rPr>
          <w:rFonts w:hint="eastAsia" w:ascii="宋体" w:hAnsi="宋体" w:eastAsia="宋体" w:cs="宋体"/>
          <w:color w:val="auto"/>
          <w:highlight w:val="none"/>
        </w:rPr>
      </w:pPr>
    </w:p>
    <w:p w14:paraId="799D4450">
      <w:pPr>
        <w:pStyle w:val="9"/>
        <w:jc w:val="center"/>
        <w:rPr>
          <w:rFonts w:hint="eastAsia" w:ascii="宋体" w:hAnsi="宋体" w:eastAsia="宋体" w:cs="宋体"/>
          <w:b/>
          <w:color w:val="auto"/>
          <w:sz w:val="36"/>
          <w:szCs w:val="36"/>
          <w:highlight w:val="none"/>
        </w:rPr>
      </w:pPr>
      <w:r>
        <w:rPr>
          <w:rFonts w:hint="eastAsia" w:ascii="宋体" w:hAnsi="宋体" w:eastAsia="宋体" w:cs="宋体"/>
          <w:color w:val="auto"/>
          <w:sz w:val="72"/>
          <w:szCs w:val="72"/>
          <w:highlight w:val="none"/>
        </w:rPr>
        <w:t>竞争性磋商文件</w:t>
      </w:r>
    </w:p>
    <w:p w14:paraId="2152B131">
      <w:pPr>
        <w:ind w:right="1195" w:rightChars="569"/>
        <w:rPr>
          <w:rFonts w:hint="eastAsia" w:ascii="宋体" w:hAnsi="宋体" w:eastAsia="宋体" w:cs="宋体"/>
          <w:b/>
          <w:color w:val="auto"/>
          <w:sz w:val="36"/>
          <w:szCs w:val="36"/>
          <w:highlight w:val="none"/>
        </w:rPr>
      </w:pPr>
    </w:p>
    <w:p w14:paraId="7C646FA7">
      <w:pPr>
        <w:ind w:left="3253" w:right="1195" w:rightChars="569" w:hanging="3253" w:hangingChars="900"/>
        <w:rPr>
          <w:rFonts w:hint="eastAsia" w:ascii="宋体" w:hAnsi="宋体" w:eastAsia="宋体" w:cs="宋体"/>
          <w:b/>
          <w:color w:val="auto"/>
          <w:sz w:val="36"/>
          <w:szCs w:val="36"/>
          <w:highlight w:val="none"/>
        </w:rPr>
      </w:pPr>
    </w:p>
    <w:p w14:paraId="341C451E">
      <w:pPr>
        <w:ind w:right="1195" w:rightChars="569"/>
        <w:jc w:val="center"/>
        <w:rPr>
          <w:rFonts w:hint="eastAsia" w:ascii="宋体" w:hAnsi="宋体" w:eastAsia="宋体" w:cs="宋体"/>
          <w:b/>
          <w:bCs/>
          <w:color w:val="auto"/>
          <w:sz w:val="36"/>
          <w:szCs w:val="36"/>
          <w:highlight w:val="none"/>
          <w:u w:val="none"/>
        </w:rPr>
      </w:pPr>
      <w:r>
        <w:rPr>
          <w:rFonts w:hint="eastAsia" w:ascii="宋体" w:hAnsi="宋体" w:eastAsia="宋体" w:cs="宋体"/>
          <w:b/>
          <w:color w:val="auto"/>
          <w:sz w:val="36"/>
          <w:szCs w:val="36"/>
          <w:highlight w:val="none"/>
        </w:rPr>
        <w:t xml:space="preserve">      项目名称：</w:t>
      </w:r>
      <w:bookmarkStart w:id="1" w:name="OLE_LINK4"/>
      <w:bookmarkStart w:id="2" w:name="OLE_LINK2"/>
      <w:r>
        <w:rPr>
          <w:rFonts w:hint="eastAsia" w:ascii="宋体" w:hAnsi="宋体" w:eastAsia="宋体" w:cs="宋体"/>
          <w:b/>
          <w:bCs/>
          <w:color w:val="auto"/>
          <w:sz w:val="32"/>
          <w:szCs w:val="32"/>
          <w:highlight w:val="none"/>
          <w:u w:val="none"/>
          <w:lang w:eastAsia="zh-CN"/>
        </w:rPr>
        <w:t>医学教育培训系统（重）</w:t>
      </w:r>
    </w:p>
    <w:bookmarkEnd w:id="1"/>
    <w:bookmarkEnd w:id="2"/>
    <w:p w14:paraId="3B9455A8">
      <w:pPr>
        <w:rPr>
          <w:rFonts w:hint="eastAsia" w:ascii="宋体" w:hAnsi="宋体" w:eastAsia="宋体" w:cs="宋体"/>
          <w:b/>
          <w:color w:val="auto"/>
          <w:sz w:val="36"/>
          <w:szCs w:val="36"/>
          <w:highlight w:val="none"/>
        </w:rPr>
      </w:pPr>
    </w:p>
    <w:p w14:paraId="4CBF6E9D">
      <w:pPr>
        <w:ind w:firstLine="2530" w:firstLineChars="70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lang w:eastAsia="zh-CN"/>
        </w:rPr>
        <w:t>WZZC2025-C3-990171-ZJGJ</w:t>
      </w:r>
    </w:p>
    <w:p w14:paraId="52B84092">
      <w:pPr>
        <w:ind w:firstLine="2530" w:firstLineChars="700"/>
        <w:rPr>
          <w:rFonts w:hint="eastAsia" w:hAnsi="宋体" w:cs="宋体"/>
          <w:b/>
          <w:color w:val="auto"/>
          <w:sz w:val="36"/>
          <w:szCs w:val="36"/>
          <w:highlight w:val="none"/>
        </w:rPr>
      </w:pPr>
    </w:p>
    <w:p w14:paraId="0191FDF4">
      <w:pPr>
        <w:ind w:firstLine="1265" w:firstLineChars="350"/>
        <w:rPr>
          <w:rFonts w:hint="eastAsia" w:ascii="宋体" w:hAnsi="宋体" w:eastAsia="宋体" w:cs="宋体"/>
          <w:b/>
          <w:color w:val="auto"/>
          <w:sz w:val="36"/>
          <w:szCs w:val="36"/>
          <w:highlight w:val="none"/>
        </w:rPr>
      </w:pPr>
    </w:p>
    <w:p w14:paraId="58C8361B">
      <w:pPr>
        <w:ind w:firstLine="2331" w:firstLineChars="64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13D09A0E">
      <w:pPr>
        <w:ind w:firstLine="2331" w:firstLineChars="64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采购人：</w:t>
      </w:r>
      <w:bookmarkStart w:id="3" w:name="OLE_LINK1"/>
      <w:r>
        <w:rPr>
          <w:rFonts w:hint="eastAsia" w:ascii="宋体" w:hAnsi="宋体" w:eastAsia="宋体" w:cs="宋体"/>
          <w:b/>
          <w:color w:val="auto"/>
          <w:sz w:val="36"/>
          <w:szCs w:val="36"/>
          <w:highlight w:val="none"/>
        </w:rPr>
        <w:t>梧州市红十字会医院</w:t>
      </w:r>
    </w:p>
    <w:p w14:paraId="44B2CDC6">
      <w:pPr>
        <w:ind w:firstLine="2331" w:firstLineChars="645"/>
        <w:rPr>
          <w:rFonts w:hint="eastAsia" w:ascii="宋体" w:hAnsi="宋体" w:eastAsia="宋体" w:cs="宋体"/>
          <w:b/>
          <w:color w:val="auto"/>
          <w:sz w:val="36"/>
          <w:szCs w:val="36"/>
          <w:highlight w:val="none"/>
        </w:rPr>
      </w:pPr>
    </w:p>
    <w:bookmarkEnd w:id="3"/>
    <w:p w14:paraId="1A8CF1BC">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采购代理机构：中经国际招标集团有限公司</w:t>
      </w:r>
    </w:p>
    <w:p w14:paraId="2C2273BE">
      <w:pPr>
        <w:pStyle w:val="11"/>
        <w:jc w:val="center"/>
        <w:rPr>
          <w:rFonts w:hint="eastAsia" w:hAnsi="宋体" w:cs="宋体"/>
          <w:b/>
          <w:color w:val="auto"/>
          <w:sz w:val="36"/>
          <w:szCs w:val="36"/>
          <w:highlight w:val="none"/>
        </w:rPr>
      </w:pPr>
      <w:r>
        <w:rPr>
          <w:rFonts w:hint="eastAsia" w:hAnsi="宋体" w:cs="宋体"/>
          <w:b/>
          <w:color w:val="auto"/>
          <w:sz w:val="36"/>
          <w:szCs w:val="36"/>
          <w:highlight w:val="none"/>
        </w:rPr>
        <w:t>202</w:t>
      </w:r>
      <w:r>
        <w:rPr>
          <w:rFonts w:hint="eastAsia" w:hAnsi="宋体" w:cs="宋体"/>
          <w:b/>
          <w:color w:val="auto"/>
          <w:sz w:val="36"/>
          <w:szCs w:val="36"/>
          <w:highlight w:val="none"/>
          <w:lang w:val="en-US" w:eastAsia="zh-CN"/>
        </w:rPr>
        <w:t>5</w:t>
      </w:r>
      <w:r>
        <w:rPr>
          <w:rFonts w:hint="eastAsia" w:hAnsi="宋体" w:cs="宋体"/>
          <w:b/>
          <w:color w:val="auto"/>
          <w:sz w:val="36"/>
          <w:szCs w:val="36"/>
          <w:highlight w:val="none"/>
        </w:rPr>
        <w:t>年</w:t>
      </w:r>
      <w:r>
        <w:rPr>
          <w:rFonts w:hint="eastAsia" w:hAnsi="宋体" w:cs="宋体"/>
          <w:b/>
          <w:color w:val="auto"/>
          <w:sz w:val="36"/>
          <w:szCs w:val="36"/>
          <w:highlight w:val="none"/>
          <w:lang w:val="en-US" w:eastAsia="zh-CN"/>
        </w:rPr>
        <w:t>7</w:t>
      </w:r>
      <w:r>
        <w:rPr>
          <w:rFonts w:hint="eastAsia" w:hAnsi="宋体" w:cs="宋体"/>
          <w:b/>
          <w:color w:val="auto"/>
          <w:sz w:val="36"/>
          <w:szCs w:val="36"/>
          <w:highlight w:val="none"/>
        </w:rPr>
        <w:t>月</w:t>
      </w:r>
    </w:p>
    <w:p w14:paraId="40BF0D93">
      <w:pPr>
        <w:pStyle w:val="11"/>
        <w:rPr>
          <w:rFonts w:hint="eastAsia" w:hAnsi="宋体" w:cs="宋体"/>
          <w:color w:val="auto"/>
          <w:highlight w:val="none"/>
        </w:rPr>
        <w:sectPr>
          <w:headerReference r:id="rId3" w:type="default"/>
          <w:footerReference r:id="rId5" w:type="default"/>
          <w:headerReference r:id="rId4" w:type="even"/>
          <w:footerReference r:id="rId6" w:type="even"/>
          <w:pgSz w:w="11906" w:h="16838"/>
          <w:pgMar w:top="1440" w:right="1080" w:bottom="1440" w:left="1080" w:header="720" w:footer="720" w:gutter="0"/>
          <w:pgNumType w:start="0"/>
          <w:cols w:space="720" w:num="1"/>
          <w:titlePg/>
          <w:docGrid w:type="lines" w:linePitch="331" w:charSpace="0"/>
        </w:sectPr>
      </w:pPr>
    </w:p>
    <w:p w14:paraId="7C789A2A">
      <w:pPr>
        <w:pStyle w:val="11"/>
        <w:rPr>
          <w:rFonts w:hint="eastAsia" w:hAnsi="宋体" w:cs="宋体"/>
          <w:color w:val="auto"/>
          <w:highlight w:val="none"/>
        </w:rPr>
      </w:pPr>
    </w:p>
    <w:p w14:paraId="39BF2E53">
      <w:pPr>
        <w:pStyle w:val="11"/>
        <w:jc w:val="center"/>
        <w:rPr>
          <w:rFonts w:hint="eastAsia" w:hAnsi="宋体" w:cs="宋体"/>
          <w:b/>
          <w:color w:val="auto"/>
          <w:sz w:val="48"/>
          <w:szCs w:val="48"/>
          <w:highlight w:val="none"/>
        </w:rPr>
      </w:pPr>
      <w:r>
        <w:rPr>
          <w:rFonts w:hint="eastAsia" w:hAnsi="宋体" w:cs="宋体"/>
          <w:b/>
          <w:color w:val="auto"/>
          <w:sz w:val="48"/>
          <w:szCs w:val="48"/>
          <w:highlight w:val="none"/>
        </w:rPr>
        <w:t>目     录</w:t>
      </w:r>
    </w:p>
    <w:p w14:paraId="766103BC">
      <w:pPr>
        <w:pStyle w:val="17"/>
        <w:rPr>
          <w:rFonts w:hint="eastAsia" w:ascii="宋体" w:hAnsi="宋体" w:eastAsia="宋体" w:cs="宋体"/>
          <w:bCs w:val="0"/>
          <w:caps w:val="0"/>
          <w:color w:val="auto"/>
          <w:sz w:val="96"/>
          <w:szCs w:val="96"/>
          <w:highlight w:val="none"/>
        </w:rPr>
      </w:pPr>
    </w:p>
    <w:p w14:paraId="02D93E7C">
      <w:pPr>
        <w:pStyle w:val="17"/>
        <w:tabs>
          <w:tab w:val="right" w:leader="dot" w:pos="9070"/>
        </w:tabs>
        <w:rPr>
          <w:rFonts w:hint="eastAsia" w:ascii="宋体" w:hAnsi="宋体" w:eastAsia="宋体" w:cs="宋体"/>
          <w:color w:val="auto"/>
          <w:sz w:val="28"/>
          <w:szCs w:val="28"/>
          <w:highlight w:val="none"/>
        </w:rPr>
      </w:pPr>
      <w:bookmarkStart w:id="4" w:name="_Toc139966433"/>
      <w:bookmarkStart w:id="5" w:name="_Toc139967217"/>
      <w:bookmarkStart w:id="6" w:name="_Toc213206171"/>
      <w:bookmarkStart w:id="7" w:name="_Toc139966426"/>
      <w:bookmarkStart w:id="8" w:name="_Toc139967210"/>
      <w:r>
        <w:rPr>
          <w:rFonts w:hint="eastAsia" w:ascii="宋体" w:hAnsi="宋体" w:eastAsia="宋体" w:cs="宋体"/>
          <w:b w:val="0"/>
          <w:bCs w:val="0"/>
          <w:caps w:val="0"/>
          <w:color w:val="auto"/>
          <w:sz w:val="72"/>
          <w:szCs w:val="72"/>
          <w:highlight w:val="none"/>
        </w:rPr>
        <w:fldChar w:fldCharType="begin"/>
      </w:r>
      <w:r>
        <w:rPr>
          <w:rFonts w:hint="eastAsia" w:ascii="宋体" w:hAnsi="宋体" w:eastAsia="宋体" w:cs="宋体"/>
          <w:b w:val="0"/>
          <w:bCs w:val="0"/>
          <w:caps w:val="0"/>
          <w:color w:val="auto"/>
          <w:sz w:val="72"/>
          <w:szCs w:val="72"/>
          <w:highlight w:val="none"/>
        </w:rPr>
        <w:instrText xml:space="preserve"> TOC \o "1-3" \h \z \u </w:instrText>
      </w:r>
      <w:r>
        <w:rPr>
          <w:rFonts w:hint="eastAsia" w:ascii="宋体" w:hAnsi="宋体" w:eastAsia="宋体" w:cs="宋体"/>
          <w:b w:val="0"/>
          <w:bCs w:val="0"/>
          <w:caps w:val="0"/>
          <w:color w:val="auto"/>
          <w:sz w:val="72"/>
          <w:szCs w:val="72"/>
          <w:highlight w:val="none"/>
        </w:rPr>
        <w:fldChar w:fldCharType="separate"/>
      </w:r>
      <w:r>
        <w:rPr>
          <w:color w:val="auto"/>
          <w:highlight w:val="none"/>
        </w:rPr>
        <w:fldChar w:fldCharType="begin"/>
      </w:r>
      <w:r>
        <w:rPr>
          <w:color w:val="auto"/>
          <w:highlight w:val="none"/>
        </w:rPr>
        <w:instrText xml:space="preserve"> HYPERLINK \l "_Toc9320" </w:instrText>
      </w:r>
      <w:r>
        <w:rPr>
          <w:color w:val="auto"/>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eastAsia="en-US"/>
        </w:rPr>
        <w:t>竞争性磋商</w:t>
      </w:r>
      <w:r>
        <w:rPr>
          <w:rFonts w:hint="eastAsia" w:ascii="宋体" w:hAnsi="宋体" w:eastAsia="宋体" w:cs="宋体"/>
          <w:color w:val="auto"/>
          <w:sz w:val="28"/>
          <w:szCs w:val="28"/>
          <w:highlight w:val="none"/>
        </w:rPr>
        <w:t>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_Toc9320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3EBFD6">
      <w:pPr>
        <w:pStyle w:val="17"/>
        <w:tabs>
          <w:tab w:val="right" w:leader="dot" w:pos="9070"/>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"_Toc9231" </w:instrText>
      </w:r>
      <w:r>
        <w:rPr>
          <w:color w:val="auto"/>
          <w:highlight w:val="none"/>
        </w:rPr>
        <w:fldChar w:fldCharType="separate"/>
      </w:r>
      <w:r>
        <w:rPr>
          <w:rFonts w:hint="eastAsia" w:ascii="宋体" w:hAnsi="宋体" w:eastAsia="宋体" w:cs="宋体"/>
          <w:color w:val="auto"/>
          <w:spacing w:val="6"/>
          <w:kern w:val="48"/>
          <w:sz w:val="28"/>
          <w:szCs w:val="52"/>
          <w:highlight w:val="none"/>
        </w:rPr>
        <w:t>第二章  服务需求一览表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_Toc9231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5255B3">
      <w:pPr>
        <w:pStyle w:val="17"/>
        <w:tabs>
          <w:tab w:val="right" w:leader="dot" w:pos="9070"/>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"_Toc482" </w:instrText>
      </w:r>
      <w:r>
        <w:rPr>
          <w:color w:val="auto"/>
          <w:highlight w:val="none"/>
        </w:rPr>
        <w:fldChar w:fldCharType="separate"/>
      </w:r>
      <w:r>
        <w:rPr>
          <w:rFonts w:hint="eastAsia" w:ascii="宋体" w:hAnsi="宋体" w:eastAsia="宋体" w:cs="宋体"/>
          <w:color w:val="auto"/>
          <w:spacing w:val="6"/>
          <w:kern w:val="48"/>
          <w:sz w:val="28"/>
          <w:szCs w:val="52"/>
          <w:highlight w:val="none"/>
        </w:rPr>
        <w:t>第三章  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p>
    <w:p w14:paraId="66AEA684">
      <w:pPr>
        <w:pStyle w:val="17"/>
        <w:tabs>
          <w:tab w:val="right" w:leader="dot" w:pos="9070"/>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"_Toc12481" </w:instrText>
      </w:r>
      <w:r>
        <w:rPr>
          <w:color w:val="auto"/>
          <w:highlight w:val="none"/>
        </w:rPr>
        <w:fldChar w:fldCharType="separate"/>
      </w:r>
      <w:r>
        <w:rPr>
          <w:rFonts w:hint="eastAsia" w:ascii="宋体" w:hAnsi="宋体" w:eastAsia="宋体" w:cs="宋体"/>
          <w:color w:val="auto"/>
          <w:sz w:val="28"/>
          <w:szCs w:val="28"/>
          <w:highlight w:val="none"/>
        </w:rPr>
        <w:t>第四章  服务商须知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p>
    <w:p w14:paraId="553704C5">
      <w:pPr>
        <w:pStyle w:val="17"/>
        <w:tabs>
          <w:tab w:val="right" w:leader="dot" w:pos="9070"/>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"_Toc29507" </w:instrText>
      </w:r>
      <w:r>
        <w:rPr>
          <w:color w:val="auto"/>
          <w:highlight w:val="none"/>
        </w:rPr>
        <w:fldChar w:fldCharType="separate"/>
      </w:r>
      <w:r>
        <w:rPr>
          <w:rFonts w:hint="eastAsia" w:ascii="宋体" w:hAnsi="宋体" w:eastAsia="宋体" w:cs="宋体"/>
          <w:color w:val="auto"/>
          <w:sz w:val="28"/>
          <w:szCs w:val="28"/>
          <w:highlight w:val="none"/>
        </w:rPr>
        <w:t>第五章  磋商响应文件格式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_Toc29507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ABEEC35">
      <w:pPr>
        <w:pStyle w:val="17"/>
        <w:tabs>
          <w:tab w:val="right" w:leader="dot" w:pos="9070"/>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"_Toc7042" </w:instrText>
      </w:r>
      <w:r>
        <w:rPr>
          <w:color w:val="auto"/>
          <w:highlight w:val="none"/>
        </w:rPr>
        <w:fldChar w:fldCharType="separate"/>
      </w:r>
      <w:r>
        <w:rPr>
          <w:rFonts w:hint="eastAsia" w:ascii="宋体" w:hAnsi="宋体" w:eastAsia="宋体" w:cs="宋体"/>
          <w:color w:val="auto"/>
          <w:sz w:val="28"/>
          <w:szCs w:val="52"/>
          <w:highlight w:val="none"/>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97883A5">
      <w:pPr>
        <w:pStyle w:val="17"/>
        <w:tabs>
          <w:tab w:val="right" w:leader="dot" w:pos="9070"/>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"_Toc16588" </w:instrText>
      </w:r>
      <w:r>
        <w:rPr>
          <w:color w:val="auto"/>
          <w:highlight w:val="none"/>
        </w:rPr>
        <w:fldChar w:fldCharType="separate"/>
      </w:r>
      <w:r>
        <w:rPr>
          <w:rFonts w:hint="eastAsia" w:ascii="宋体" w:hAnsi="宋体" w:eastAsia="宋体" w:cs="宋体"/>
          <w:color w:val="auto"/>
          <w:sz w:val="28"/>
          <w:szCs w:val="28"/>
          <w:highlight w:val="none"/>
        </w:rPr>
        <w:t>第七章  质疑材料格式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_Toc16588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F5F3B57">
      <w:pPr>
        <w:pStyle w:val="11"/>
        <w:jc w:val="center"/>
        <w:outlineLvl w:val="0"/>
        <w:rPr>
          <w:rFonts w:hint="eastAsia" w:hAnsi="宋体" w:cs="宋体"/>
          <w:b/>
          <w:bCs/>
          <w:caps/>
          <w:color w:val="auto"/>
          <w:sz w:val="30"/>
          <w:szCs w:val="30"/>
          <w:highlight w:val="none"/>
        </w:rPr>
      </w:pPr>
      <w:r>
        <w:rPr>
          <w:rFonts w:hint="eastAsia" w:hAnsi="宋体" w:cs="宋体"/>
          <w:bCs/>
          <w:caps/>
          <w:color w:val="auto"/>
          <w:sz w:val="32"/>
          <w:szCs w:val="72"/>
          <w:highlight w:val="none"/>
        </w:rPr>
        <w:fldChar w:fldCharType="end"/>
      </w:r>
      <w:bookmarkStart w:id="9" w:name="_Toc213325920"/>
      <w:r>
        <w:rPr>
          <w:rFonts w:hint="eastAsia" w:hAnsi="宋体" w:cs="宋体"/>
          <w:b/>
          <w:bCs/>
          <w:caps/>
          <w:color w:val="auto"/>
          <w:sz w:val="30"/>
          <w:szCs w:val="30"/>
          <w:highlight w:val="none"/>
        </w:rPr>
        <w:t xml:space="preserve"> </w:t>
      </w:r>
      <w:bookmarkStart w:id="10" w:name="_Toc9320"/>
    </w:p>
    <w:p w14:paraId="73744FBF">
      <w:pPr>
        <w:pStyle w:val="11"/>
        <w:jc w:val="center"/>
        <w:outlineLvl w:val="0"/>
        <w:rPr>
          <w:rFonts w:hint="eastAsia" w:hAnsi="宋体" w:cs="宋体"/>
          <w:b/>
          <w:color w:val="auto"/>
          <w:sz w:val="36"/>
          <w:highlight w:val="none"/>
        </w:rPr>
      </w:pPr>
    </w:p>
    <w:p w14:paraId="502435BE">
      <w:pPr>
        <w:pStyle w:val="11"/>
        <w:jc w:val="center"/>
        <w:outlineLvl w:val="0"/>
        <w:rPr>
          <w:rFonts w:hint="eastAsia" w:hAnsi="宋体" w:cs="宋体"/>
          <w:b/>
          <w:color w:val="auto"/>
          <w:sz w:val="36"/>
          <w:highlight w:val="none"/>
        </w:rPr>
      </w:pPr>
    </w:p>
    <w:p w14:paraId="182E8E78">
      <w:pPr>
        <w:pStyle w:val="11"/>
        <w:jc w:val="center"/>
        <w:outlineLvl w:val="0"/>
        <w:rPr>
          <w:rFonts w:hint="eastAsia" w:hAnsi="宋体" w:cs="宋体"/>
          <w:b/>
          <w:color w:val="auto"/>
          <w:sz w:val="36"/>
          <w:highlight w:val="none"/>
        </w:rPr>
      </w:pPr>
    </w:p>
    <w:p w14:paraId="4D1C6045">
      <w:pPr>
        <w:pStyle w:val="11"/>
        <w:jc w:val="center"/>
        <w:outlineLvl w:val="0"/>
        <w:rPr>
          <w:rFonts w:hint="eastAsia" w:hAnsi="宋体" w:cs="宋体"/>
          <w:b/>
          <w:color w:val="auto"/>
          <w:sz w:val="36"/>
          <w:highlight w:val="none"/>
        </w:rPr>
      </w:pPr>
    </w:p>
    <w:p w14:paraId="54A60644">
      <w:pPr>
        <w:pStyle w:val="11"/>
        <w:jc w:val="center"/>
        <w:outlineLvl w:val="0"/>
        <w:rPr>
          <w:rFonts w:hint="eastAsia" w:hAnsi="宋体" w:cs="宋体"/>
          <w:b/>
          <w:color w:val="auto"/>
          <w:sz w:val="36"/>
          <w:highlight w:val="none"/>
        </w:rPr>
      </w:pPr>
    </w:p>
    <w:p w14:paraId="004B3852">
      <w:pPr>
        <w:pStyle w:val="11"/>
        <w:jc w:val="center"/>
        <w:outlineLvl w:val="0"/>
        <w:rPr>
          <w:rFonts w:hint="eastAsia" w:hAnsi="宋体" w:cs="宋体"/>
          <w:b/>
          <w:color w:val="auto"/>
          <w:sz w:val="36"/>
          <w:highlight w:val="none"/>
        </w:rPr>
      </w:pPr>
    </w:p>
    <w:p w14:paraId="60BC5E8E">
      <w:pPr>
        <w:pStyle w:val="11"/>
        <w:jc w:val="center"/>
        <w:outlineLvl w:val="0"/>
        <w:rPr>
          <w:rFonts w:hint="eastAsia" w:hAnsi="宋体" w:cs="宋体"/>
          <w:b/>
          <w:color w:val="auto"/>
          <w:sz w:val="36"/>
          <w:highlight w:val="none"/>
        </w:rPr>
      </w:pPr>
    </w:p>
    <w:p w14:paraId="35845357">
      <w:pPr>
        <w:pStyle w:val="11"/>
        <w:jc w:val="center"/>
        <w:outlineLvl w:val="0"/>
        <w:rPr>
          <w:rFonts w:hint="eastAsia" w:hAnsi="宋体" w:cs="宋体"/>
          <w:b/>
          <w:color w:val="auto"/>
          <w:sz w:val="36"/>
          <w:highlight w:val="none"/>
        </w:rPr>
      </w:pPr>
    </w:p>
    <w:p w14:paraId="307E0C18">
      <w:pPr>
        <w:pStyle w:val="11"/>
        <w:jc w:val="center"/>
        <w:outlineLvl w:val="0"/>
        <w:rPr>
          <w:rFonts w:hint="eastAsia" w:hAnsi="宋体" w:cs="宋体"/>
          <w:b/>
          <w:color w:val="auto"/>
          <w:sz w:val="36"/>
          <w:highlight w:val="none"/>
        </w:rPr>
      </w:pPr>
    </w:p>
    <w:p w14:paraId="6EA2C63D">
      <w:pPr>
        <w:pStyle w:val="11"/>
        <w:jc w:val="center"/>
        <w:outlineLvl w:val="0"/>
        <w:rPr>
          <w:rFonts w:hint="eastAsia" w:hAnsi="宋体" w:cs="宋体"/>
          <w:b/>
          <w:color w:val="auto"/>
          <w:sz w:val="36"/>
          <w:highlight w:val="none"/>
        </w:rPr>
      </w:pPr>
    </w:p>
    <w:p w14:paraId="759C03F9">
      <w:pPr>
        <w:pStyle w:val="11"/>
        <w:jc w:val="center"/>
        <w:outlineLvl w:val="0"/>
        <w:rPr>
          <w:rFonts w:hint="eastAsia" w:hAnsi="宋体" w:cs="宋体"/>
          <w:b/>
          <w:color w:val="auto"/>
          <w:sz w:val="36"/>
          <w:highlight w:val="none"/>
        </w:rPr>
      </w:pPr>
    </w:p>
    <w:p w14:paraId="7D51645C">
      <w:pPr>
        <w:pStyle w:val="11"/>
        <w:jc w:val="center"/>
        <w:outlineLvl w:val="0"/>
        <w:rPr>
          <w:rFonts w:hint="eastAsia" w:hAnsi="宋体" w:cs="宋体"/>
          <w:b/>
          <w:color w:val="auto"/>
          <w:sz w:val="36"/>
          <w:highlight w:val="none"/>
        </w:rPr>
      </w:pPr>
    </w:p>
    <w:p w14:paraId="368415D5">
      <w:pPr>
        <w:pStyle w:val="11"/>
        <w:jc w:val="center"/>
        <w:outlineLvl w:val="0"/>
        <w:rPr>
          <w:rFonts w:hint="eastAsia" w:hAnsi="宋体" w:cs="宋体"/>
          <w:b/>
          <w:color w:val="auto"/>
          <w:sz w:val="36"/>
          <w:highlight w:val="none"/>
        </w:rPr>
      </w:pPr>
    </w:p>
    <w:p w14:paraId="04466253">
      <w:pPr>
        <w:pStyle w:val="11"/>
        <w:jc w:val="center"/>
        <w:outlineLvl w:val="0"/>
        <w:rPr>
          <w:rFonts w:hint="eastAsia" w:hAnsi="宋体" w:cs="宋体"/>
          <w:b/>
          <w:color w:val="auto"/>
          <w:sz w:val="36"/>
          <w:highlight w:val="none"/>
        </w:rPr>
      </w:pPr>
    </w:p>
    <w:p w14:paraId="1B36CABE">
      <w:pPr>
        <w:pStyle w:val="11"/>
        <w:jc w:val="center"/>
        <w:outlineLvl w:val="0"/>
        <w:rPr>
          <w:rFonts w:hint="eastAsia" w:hAnsi="宋体" w:cs="宋体"/>
          <w:b/>
          <w:color w:val="auto"/>
          <w:sz w:val="36"/>
          <w:highlight w:val="none"/>
        </w:rPr>
      </w:pPr>
    </w:p>
    <w:p w14:paraId="200CA488">
      <w:pPr>
        <w:pStyle w:val="11"/>
        <w:jc w:val="center"/>
        <w:outlineLvl w:val="0"/>
        <w:rPr>
          <w:rFonts w:hint="eastAsia" w:hAnsi="宋体" w:cs="宋体"/>
          <w:b/>
          <w:color w:val="auto"/>
          <w:sz w:val="36"/>
          <w:highlight w:val="none"/>
        </w:rPr>
      </w:pPr>
    </w:p>
    <w:p w14:paraId="2010B027">
      <w:pPr>
        <w:pStyle w:val="11"/>
        <w:jc w:val="center"/>
        <w:outlineLvl w:val="0"/>
        <w:rPr>
          <w:rFonts w:hint="eastAsia" w:hAnsi="宋体" w:cs="宋体"/>
          <w:b/>
          <w:color w:val="auto"/>
          <w:sz w:val="36"/>
          <w:highlight w:val="none"/>
        </w:rPr>
      </w:pPr>
    </w:p>
    <w:p w14:paraId="3B428B3B">
      <w:pPr>
        <w:pStyle w:val="11"/>
        <w:jc w:val="center"/>
        <w:outlineLvl w:val="0"/>
        <w:rPr>
          <w:rFonts w:hint="eastAsia" w:hAnsi="宋体" w:cs="宋体"/>
          <w:b/>
          <w:color w:val="auto"/>
          <w:sz w:val="36"/>
          <w:highlight w:val="none"/>
        </w:rPr>
      </w:pPr>
    </w:p>
    <w:p w14:paraId="02E41FB8">
      <w:pPr>
        <w:pStyle w:val="11"/>
        <w:jc w:val="center"/>
        <w:outlineLvl w:val="0"/>
        <w:rPr>
          <w:rFonts w:hint="eastAsia" w:hAnsi="宋体" w:cs="宋体"/>
          <w:b/>
          <w:color w:val="auto"/>
          <w:sz w:val="36"/>
          <w:highlight w:val="none"/>
        </w:rPr>
      </w:pPr>
    </w:p>
    <w:p w14:paraId="04A17BB0">
      <w:pPr>
        <w:pStyle w:val="11"/>
        <w:jc w:val="center"/>
        <w:outlineLvl w:val="0"/>
        <w:rPr>
          <w:rFonts w:hint="eastAsia" w:hAnsi="宋体" w:cs="宋体"/>
          <w:b/>
          <w:color w:val="auto"/>
          <w:sz w:val="36"/>
          <w:highlight w:val="none"/>
        </w:rPr>
        <w:sectPr>
          <w:footerReference r:id="rId7" w:type="default"/>
          <w:pgSz w:w="11900" w:h="16840"/>
          <w:pgMar w:top="1440" w:right="1080" w:bottom="1440" w:left="1080" w:header="624" w:footer="724" w:gutter="0"/>
          <w:cols w:space="720" w:num="1"/>
        </w:sectPr>
      </w:pPr>
    </w:p>
    <w:p w14:paraId="4212B800">
      <w:pPr>
        <w:pStyle w:val="11"/>
        <w:jc w:val="center"/>
        <w:outlineLvl w:val="0"/>
        <w:rPr>
          <w:rFonts w:hint="eastAsia" w:hAnsi="宋体" w:cs="宋体"/>
          <w:b/>
          <w:color w:val="auto"/>
          <w:sz w:val="32"/>
          <w:szCs w:val="32"/>
          <w:highlight w:val="none"/>
        </w:rPr>
      </w:pPr>
      <w:r>
        <w:rPr>
          <w:rFonts w:hint="eastAsia" w:hAnsi="宋体" w:cs="宋体"/>
          <w:b/>
          <w:color w:val="auto"/>
          <w:sz w:val="36"/>
          <w:highlight w:val="none"/>
        </w:rPr>
        <w:t xml:space="preserve">第一章  </w:t>
      </w:r>
      <w:bookmarkEnd w:id="4"/>
      <w:bookmarkEnd w:id="5"/>
      <w:bookmarkEnd w:id="6"/>
      <w:bookmarkEnd w:id="9"/>
      <w:bookmarkEnd w:id="10"/>
      <w:bookmarkStart w:id="11" w:name="OLE_LINK20"/>
      <w:bookmarkStart w:id="12" w:name="_Toc213325921"/>
      <w:bookmarkStart w:id="13" w:name="_Toc139966431"/>
      <w:bookmarkStart w:id="14" w:name="_Toc213206172"/>
      <w:bookmarkStart w:id="15" w:name="_Toc139967215"/>
      <w:r>
        <w:rPr>
          <w:rFonts w:hint="eastAsia" w:hAnsi="宋体" w:cs="宋体"/>
          <w:b/>
          <w:color w:val="auto"/>
          <w:sz w:val="32"/>
          <w:szCs w:val="32"/>
          <w:highlight w:val="none"/>
        </w:rPr>
        <w:t>竞争性磋商公告</w:t>
      </w:r>
    </w:p>
    <w:p w14:paraId="6329B726">
      <w:pPr>
        <w:pStyle w:val="10"/>
        <w:pBdr>
          <w:top w:val="single" w:color="auto" w:sz="4" w:space="0"/>
          <w:left w:val="single" w:color="auto" w:sz="4" w:space="0"/>
          <w:bottom w:val="single" w:color="auto" w:sz="4" w:space="0"/>
          <w:right w:val="single" w:color="auto" w:sz="4" w:space="0"/>
        </w:pBdr>
        <w:tabs>
          <w:tab w:val="left" w:pos="3420"/>
        </w:tabs>
        <w:spacing w:line="400" w:lineRule="exact"/>
        <w:ind w:firstLine="506" w:firstLineChars="20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项目概况</w:t>
      </w:r>
    </w:p>
    <w:p w14:paraId="52641195">
      <w:pPr>
        <w:pStyle w:val="10"/>
        <w:pBdr>
          <w:top w:val="single" w:color="auto" w:sz="4" w:space="0"/>
          <w:left w:val="single" w:color="auto" w:sz="4" w:space="0"/>
          <w:bottom w:val="single" w:color="auto" w:sz="4" w:space="0"/>
          <w:right w:val="single" w:color="auto" w:sz="4" w:space="0"/>
        </w:pBdr>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hAnsi="宋体" w:cs="宋体"/>
          <w:color w:val="auto"/>
          <w:spacing w:val="6"/>
          <w:kern w:val="48"/>
          <w:sz w:val="24"/>
          <w:szCs w:val="24"/>
          <w:highlight w:val="none"/>
          <w:lang w:eastAsia="zh-CN"/>
        </w:rPr>
        <w:t>医学教育培训系统（重）</w:t>
      </w:r>
      <w:r>
        <w:rPr>
          <w:rFonts w:hint="eastAsia" w:ascii="宋体" w:hAnsi="宋体" w:eastAsia="宋体" w:cs="宋体"/>
          <w:color w:val="auto"/>
          <w:spacing w:val="6"/>
          <w:kern w:val="48"/>
          <w:sz w:val="24"/>
          <w:szCs w:val="24"/>
          <w:highlight w:val="none"/>
        </w:rPr>
        <w:t>的潜在服务商应在“广西政府采购云平台”（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kern w:val="48"/>
          <w:sz w:val="24"/>
          <w:szCs w:val="24"/>
          <w:highlight w:val="none"/>
        </w:rPr>
        <w:t>https://www.gcy.zfcg.gxzf.gov.cn</w:t>
      </w:r>
      <w:r>
        <w:rPr>
          <w:rFonts w:hint="eastAsia" w:ascii="宋体" w:hAnsi="宋体" w:eastAsia="宋体" w:cs="宋体"/>
          <w:color w:val="auto"/>
          <w:spacing w:val="6"/>
          <w:kern w:val="48"/>
          <w:sz w:val="24"/>
          <w:szCs w:val="24"/>
          <w:highlight w:val="none"/>
        </w:rPr>
        <w:fldChar w:fldCharType="end"/>
      </w:r>
      <w:r>
        <w:rPr>
          <w:rFonts w:hint="eastAsia" w:ascii="宋体" w:hAnsi="宋体" w:eastAsia="宋体" w:cs="宋体"/>
          <w:color w:val="auto"/>
          <w:spacing w:val="6"/>
          <w:kern w:val="48"/>
          <w:sz w:val="24"/>
          <w:szCs w:val="24"/>
          <w:highlight w:val="none"/>
        </w:rPr>
        <w:t>）获取采购文件，并于202</w:t>
      </w:r>
      <w:r>
        <w:rPr>
          <w:rFonts w:hint="eastAsia" w:ascii="宋体" w:hAnsi="宋体" w:eastAsia="宋体" w:cs="宋体"/>
          <w:color w:val="auto"/>
          <w:spacing w:val="6"/>
          <w:kern w:val="48"/>
          <w:sz w:val="24"/>
          <w:szCs w:val="24"/>
          <w:highlight w:val="none"/>
          <w:lang w:val="en-US" w:eastAsia="zh-CN"/>
        </w:rPr>
        <w:t>5</w:t>
      </w:r>
      <w:r>
        <w:rPr>
          <w:rFonts w:hint="eastAsia" w:ascii="宋体" w:hAnsi="宋体" w:eastAsia="宋体" w:cs="宋体"/>
          <w:color w:val="auto"/>
          <w:spacing w:val="6"/>
          <w:kern w:val="48"/>
          <w:sz w:val="24"/>
          <w:szCs w:val="24"/>
          <w:highlight w:val="none"/>
        </w:rPr>
        <w:t>年</w:t>
      </w:r>
      <w:r>
        <w:rPr>
          <w:rFonts w:hint="eastAsia" w:hAnsi="宋体" w:cs="宋体"/>
          <w:color w:val="auto"/>
          <w:spacing w:val="6"/>
          <w:kern w:val="48"/>
          <w:sz w:val="24"/>
          <w:szCs w:val="24"/>
          <w:highlight w:val="none"/>
          <w:lang w:val="en-US" w:eastAsia="zh-CN"/>
        </w:rPr>
        <w:t>7</w:t>
      </w:r>
      <w:r>
        <w:rPr>
          <w:rFonts w:hint="eastAsia" w:ascii="宋体" w:hAnsi="宋体" w:eastAsia="宋体" w:cs="宋体"/>
          <w:color w:val="auto"/>
          <w:spacing w:val="6"/>
          <w:kern w:val="48"/>
          <w:sz w:val="24"/>
          <w:szCs w:val="24"/>
          <w:highlight w:val="none"/>
        </w:rPr>
        <w:t xml:space="preserve"> 月 </w:t>
      </w:r>
      <w:r>
        <w:rPr>
          <w:rFonts w:hint="eastAsia" w:hAnsi="宋体" w:cs="宋体"/>
          <w:color w:val="auto"/>
          <w:spacing w:val="6"/>
          <w:kern w:val="48"/>
          <w:sz w:val="24"/>
          <w:szCs w:val="24"/>
          <w:highlight w:val="none"/>
          <w:lang w:val="en-US" w:eastAsia="zh-CN"/>
        </w:rPr>
        <w:t>29</w:t>
      </w:r>
      <w:r>
        <w:rPr>
          <w:rFonts w:hint="eastAsia" w:ascii="宋体" w:hAnsi="宋体" w:eastAsia="宋体" w:cs="宋体"/>
          <w:color w:val="auto"/>
          <w:spacing w:val="6"/>
          <w:kern w:val="48"/>
          <w:sz w:val="24"/>
          <w:szCs w:val="24"/>
          <w:highlight w:val="none"/>
        </w:rPr>
        <w:t xml:space="preserve"> 日9点30分（北京时间）前提交响应文件。</w:t>
      </w:r>
    </w:p>
    <w:p w14:paraId="640366BB">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一、项目基本情况</w:t>
      </w:r>
    </w:p>
    <w:p w14:paraId="7188F975">
      <w:pPr>
        <w:pStyle w:val="11"/>
        <w:ind w:firstLine="504" w:firstLineChars="200"/>
        <w:rPr>
          <w:rFonts w:hint="eastAsia" w:ascii="宋体" w:hAnsi="宋体" w:eastAsia="宋体" w:cs="宋体"/>
          <w:color w:val="auto"/>
          <w:spacing w:val="6"/>
          <w:kern w:val="48"/>
          <w:sz w:val="24"/>
          <w:szCs w:val="24"/>
          <w:highlight w:val="none"/>
          <w:lang w:eastAsia="zh-CN"/>
        </w:rPr>
      </w:pPr>
      <w:r>
        <w:rPr>
          <w:rFonts w:hint="eastAsia" w:ascii="宋体" w:hAnsi="宋体" w:eastAsia="宋体" w:cs="宋体"/>
          <w:color w:val="auto"/>
          <w:spacing w:val="6"/>
          <w:kern w:val="48"/>
          <w:sz w:val="24"/>
          <w:szCs w:val="24"/>
          <w:highlight w:val="none"/>
        </w:rPr>
        <w:t>项目编号：</w:t>
      </w:r>
      <w:bookmarkStart w:id="54" w:name="_GoBack"/>
      <w:bookmarkEnd w:id="54"/>
      <w:r>
        <w:rPr>
          <w:rFonts w:hint="eastAsia" w:hAnsi="宋体" w:cs="宋体"/>
          <w:color w:val="auto"/>
          <w:spacing w:val="6"/>
          <w:kern w:val="48"/>
          <w:sz w:val="24"/>
          <w:szCs w:val="24"/>
          <w:highlight w:val="none"/>
          <w:lang w:eastAsia="zh-CN"/>
        </w:rPr>
        <w:t>WZZC2025-C3-990171-ZJGJ</w:t>
      </w:r>
    </w:p>
    <w:p w14:paraId="2ED7026E">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lang w:eastAsia="zh-CN"/>
        </w:rPr>
      </w:pPr>
      <w:r>
        <w:rPr>
          <w:rFonts w:hint="eastAsia" w:ascii="宋体" w:hAnsi="宋体" w:eastAsia="宋体" w:cs="宋体"/>
          <w:color w:val="auto"/>
          <w:spacing w:val="6"/>
          <w:kern w:val="48"/>
          <w:sz w:val="24"/>
          <w:szCs w:val="24"/>
          <w:highlight w:val="none"/>
        </w:rPr>
        <w:t>项目名称：</w:t>
      </w:r>
      <w:r>
        <w:rPr>
          <w:rFonts w:hint="eastAsia" w:hAnsi="宋体" w:cs="宋体"/>
          <w:color w:val="auto"/>
          <w:spacing w:val="6"/>
          <w:kern w:val="48"/>
          <w:sz w:val="24"/>
          <w:szCs w:val="24"/>
          <w:highlight w:val="none"/>
          <w:lang w:eastAsia="zh-CN"/>
        </w:rPr>
        <w:t>医学教育培训系统（重）</w:t>
      </w:r>
    </w:p>
    <w:p w14:paraId="0984F26F">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 xml:space="preserve">采购方式：竞争性磋商 </w:t>
      </w:r>
    </w:p>
    <w:p w14:paraId="4C552FD7">
      <w:pPr>
        <w:pStyle w:val="10"/>
        <w:tabs>
          <w:tab w:val="left" w:pos="3420"/>
        </w:tabs>
        <w:spacing w:line="400" w:lineRule="exact"/>
        <w:ind w:firstLine="504" w:firstLineChars="200"/>
        <w:rPr>
          <w:rFonts w:hint="eastAsia" w:ascii="宋体" w:hAnsi="宋体" w:eastAsia="宋体" w:cs="宋体"/>
          <w:snapToGrid w:val="0"/>
          <w:color w:val="auto"/>
          <w:spacing w:val="-11"/>
          <w:kern w:val="0"/>
          <w:sz w:val="24"/>
          <w:szCs w:val="24"/>
          <w:highlight w:val="none"/>
        </w:rPr>
      </w:pPr>
      <w:r>
        <w:rPr>
          <w:rFonts w:hint="eastAsia" w:ascii="宋体" w:hAnsi="宋体" w:eastAsia="宋体" w:cs="宋体"/>
          <w:color w:val="auto"/>
          <w:spacing w:val="6"/>
          <w:kern w:val="48"/>
          <w:sz w:val="24"/>
          <w:szCs w:val="24"/>
          <w:highlight w:val="none"/>
        </w:rPr>
        <w:t>预算金额：</w:t>
      </w:r>
      <w:r>
        <w:rPr>
          <w:rFonts w:hint="eastAsia" w:ascii="宋体" w:hAnsi="宋体" w:eastAsia="宋体" w:cs="宋体"/>
          <w:color w:val="auto"/>
          <w:spacing w:val="6"/>
          <w:kern w:val="48"/>
          <w:sz w:val="24"/>
          <w:szCs w:val="24"/>
          <w:highlight w:val="none"/>
          <w:lang w:eastAsia="zh-CN"/>
        </w:rPr>
        <w:t>110万元</w:t>
      </w:r>
    </w:p>
    <w:p w14:paraId="7B1928B0">
      <w:pPr>
        <w:pStyle w:val="10"/>
        <w:tabs>
          <w:tab w:val="left" w:pos="3420"/>
        </w:tabs>
        <w:spacing w:line="400" w:lineRule="exact"/>
        <w:ind w:firstLine="504" w:firstLineChars="200"/>
        <w:rPr>
          <w:rFonts w:hint="eastAsia" w:ascii="宋体" w:hAnsi="宋体" w:eastAsia="宋体" w:cs="宋体"/>
          <w:snapToGrid w:val="0"/>
          <w:color w:val="auto"/>
          <w:spacing w:val="-11"/>
          <w:kern w:val="0"/>
          <w:sz w:val="24"/>
          <w:szCs w:val="24"/>
          <w:highlight w:val="none"/>
        </w:rPr>
      </w:pPr>
      <w:r>
        <w:rPr>
          <w:rFonts w:hint="eastAsia" w:ascii="宋体" w:hAnsi="宋体" w:eastAsia="宋体" w:cs="宋体"/>
          <w:color w:val="auto"/>
          <w:spacing w:val="6"/>
          <w:kern w:val="48"/>
          <w:sz w:val="24"/>
          <w:szCs w:val="24"/>
          <w:highlight w:val="none"/>
        </w:rPr>
        <w:t>最高限价：</w:t>
      </w:r>
      <w:r>
        <w:rPr>
          <w:rFonts w:hint="eastAsia" w:ascii="宋体" w:hAnsi="宋体" w:eastAsia="宋体" w:cs="宋体"/>
          <w:color w:val="auto"/>
          <w:spacing w:val="6"/>
          <w:kern w:val="48"/>
          <w:sz w:val="24"/>
          <w:szCs w:val="24"/>
          <w:highlight w:val="none"/>
          <w:lang w:eastAsia="zh-CN"/>
        </w:rPr>
        <w:t>110万元</w:t>
      </w:r>
    </w:p>
    <w:p w14:paraId="0F3AE31F">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采购需求：</w:t>
      </w:r>
    </w:p>
    <w:p w14:paraId="6127E76A">
      <w:pPr>
        <w:pStyle w:val="10"/>
        <w:numPr>
          <w:ilvl w:val="0"/>
          <w:numId w:val="1"/>
        </w:numPr>
        <w:tabs>
          <w:tab w:val="left" w:pos="3420"/>
        </w:tabs>
        <w:spacing w:line="400" w:lineRule="exact"/>
        <w:ind w:firstLine="504" w:firstLineChars="200"/>
        <w:jc w:val="left"/>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标的名称：</w:t>
      </w:r>
      <w:r>
        <w:rPr>
          <w:rFonts w:hint="eastAsia" w:hAnsi="宋体" w:cs="宋体"/>
          <w:color w:val="auto"/>
          <w:spacing w:val="6"/>
          <w:kern w:val="48"/>
          <w:sz w:val="24"/>
          <w:szCs w:val="24"/>
          <w:highlight w:val="none"/>
          <w:lang w:eastAsia="zh-CN"/>
        </w:rPr>
        <w:t>医学教育培训系统（重）</w:t>
      </w:r>
    </w:p>
    <w:p w14:paraId="52E5AE77">
      <w:pPr>
        <w:pStyle w:val="10"/>
        <w:numPr>
          <w:ilvl w:val="0"/>
          <w:numId w:val="1"/>
        </w:numPr>
        <w:tabs>
          <w:tab w:val="left" w:pos="3420"/>
        </w:tabs>
        <w:spacing w:line="400" w:lineRule="exact"/>
        <w:ind w:firstLine="504" w:firstLineChars="200"/>
        <w:jc w:val="left"/>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数量：不限</w:t>
      </w:r>
    </w:p>
    <w:p w14:paraId="5062E6B8">
      <w:pPr>
        <w:pStyle w:val="10"/>
        <w:tabs>
          <w:tab w:val="left" w:pos="3420"/>
        </w:tabs>
        <w:spacing w:line="400" w:lineRule="exact"/>
        <w:ind w:firstLine="504" w:firstLineChars="200"/>
        <w:jc w:val="left"/>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(2) 简要规格描述或项目基本概况介绍、用途：</w:t>
      </w:r>
      <w:r>
        <w:rPr>
          <w:rFonts w:hint="eastAsia" w:hAnsi="宋体" w:cs="宋体"/>
          <w:color w:val="auto"/>
          <w:spacing w:val="6"/>
          <w:kern w:val="48"/>
          <w:sz w:val="24"/>
          <w:szCs w:val="24"/>
          <w:highlight w:val="none"/>
          <w:lang w:val="en-US" w:eastAsia="zh-CN"/>
        </w:rPr>
        <w:t>采购</w:t>
      </w:r>
      <w:r>
        <w:rPr>
          <w:rFonts w:hint="eastAsia" w:hAnsi="宋体" w:cs="宋体"/>
          <w:color w:val="auto"/>
          <w:spacing w:val="6"/>
          <w:kern w:val="48"/>
          <w:sz w:val="24"/>
          <w:szCs w:val="24"/>
          <w:highlight w:val="none"/>
          <w:lang w:eastAsia="zh-CN"/>
        </w:rPr>
        <w:t>医学教育培训系统</w:t>
      </w:r>
      <w:r>
        <w:rPr>
          <w:rFonts w:hint="eastAsia" w:hAnsi="宋体" w:cs="宋体"/>
          <w:color w:val="auto"/>
          <w:spacing w:val="6"/>
          <w:kern w:val="48"/>
          <w:sz w:val="24"/>
          <w:szCs w:val="24"/>
          <w:highlight w:val="none"/>
          <w:lang w:val="en-US" w:eastAsia="zh-CN"/>
        </w:rPr>
        <w:t>1套</w:t>
      </w:r>
      <w:r>
        <w:rPr>
          <w:rFonts w:hint="eastAsia" w:ascii="宋体" w:hAnsi="宋体" w:eastAsia="宋体" w:cs="宋体"/>
          <w:color w:val="auto"/>
          <w:spacing w:val="6"/>
          <w:kern w:val="48"/>
          <w:sz w:val="24"/>
          <w:szCs w:val="24"/>
          <w:highlight w:val="none"/>
        </w:rPr>
        <w:t>，</w:t>
      </w:r>
      <w:r>
        <w:rPr>
          <w:rFonts w:hint="eastAsia" w:ascii="宋体" w:hAnsi="宋体" w:eastAsia="宋体" w:cs="宋体"/>
          <w:color w:val="auto"/>
          <w:sz w:val="24"/>
          <w:szCs w:val="24"/>
          <w:highlight w:val="none"/>
        </w:rPr>
        <w:t>具体详见竞争性磋商文件采购需求章节。</w:t>
      </w:r>
    </w:p>
    <w:p w14:paraId="7D39F25D">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服务期限：合同签订之日起90日内完成系统开发并交付上线运行、通过验收。</w:t>
      </w:r>
      <w:r>
        <w:rPr>
          <w:rFonts w:hint="eastAsia" w:ascii="宋体" w:hAnsi="宋体" w:eastAsia="宋体" w:cs="宋体"/>
          <w:color w:val="auto"/>
          <w:spacing w:val="6"/>
          <w:kern w:val="48"/>
          <w:sz w:val="24"/>
          <w:szCs w:val="24"/>
          <w:highlight w:val="none"/>
          <w:lang w:eastAsia="zh-CN"/>
        </w:rPr>
        <w:t>验收后</w:t>
      </w:r>
      <w:r>
        <w:rPr>
          <w:rFonts w:hint="eastAsia" w:ascii="宋体" w:hAnsi="宋体" w:eastAsia="宋体" w:cs="宋体"/>
          <w:color w:val="auto"/>
          <w:spacing w:val="6"/>
          <w:kern w:val="48"/>
          <w:sz w:val="24"/>
          <w:szCs w:val="24"/>
          <w:highlight w:val="none"/>
          <w:lang w:val="en-US" w:eastAsia="zh-CN"/>
        </w:rPr>
        <w:t>2年为免费维护期</w:t>
      </w:r>
      <w:r>
        <w:rPr>
          <w:rFonts w:hint="eastAsia" w:ascii="宋体" w:hAnsi="宋体" w:eastAsia="宋体" w:cs="宋体"/>
          <w:color w:val="auto"/>
          <w:sz w:val="24"/>
          <w:szCs w:val="24"/>
          <w:highlight w:val="none"/>
        </w:rPr>
        <w:t>。</w:t>
      </w:r>
    </w:p>
    <w:p w14:paraId="3313CB9A">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本项目（否）接受联合体投标。</w:t>
      </w:r>
    </w:p>
    <w:p w14:paraId="1976A97D">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二、申请人的资格要求：</w:t>
      </w:r>
    </w:p>
    <w:p w14:paraId="7850F261">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1.满足《中华人民共和国政府采购法》第二十二条规定。</w:t>
      </w:r>
    </w:p>
    <w:p w14:paraId="546F6880">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2.落实政府采购政策需满足的资格要求：</w:t>
      </w:r>
      <w:r>
        <w:rPr>
          <w:rFonts w:hint="eastAsia" w:ascii="宋体" w:hAnsi="宋体" w:eastAsia="宋体" w:cs="宋体"/>
          <w:b/>
          <w:color w:val="auto"/>
          <w:spacing w:val="6"/>
          <w:kern w:val="48"/>
          <w:sz w:val="24"/>
          <w:szCs w:val="24"/>
          <w:highlight w:val="none"/>
        </w:rPr>
        <w:t>服务商为中小企业/小微企业。</w:t>
      </w:r>
    </w:p>
    <w:p w14:paraId="5108DAAE">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3.本项目的特定资格要求：无</w:t>
      </w:r>
    </w:p>
    <w:p w14:paraId="5BBA196E">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三、获取采购文件</w:t>
      </w:r>
    </w:p>
    <w:p w14:paraId="0D6E7119">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时间：202</w:t>
      </w:r>
      <w:r>
        <w:rPr>
          <w:rFonts w:hint="eastAsia" w:ascii="宋体" w:hAnsi="宋体" w:eastAsia="宋体" w:cs="宋体"/>
          <w:color w:val="auto"/>
          <w:spacing w:val="6"/>
          <w:kern w:val="48"/>
          <w:sz w:val="24"/>
          <w:szCs w:val="24"/>
          <w:highlight w:val="none"/>
          <w:lang w:val="en-US" w:eastAsia="zh-CN"/>
        </w:rPr>
        <w:t>5</w:t>
      </w:r>
      <w:r>
        <w:rPr>
          <w:rFonts w:hint="eastAsia" w:ascii="宋体" w:hAnsi="宋体" w:eastAsia="宋体" w:cs="宋体"/>
          <w:color w:val="auto"/>
          <w:spacing w:val="6"/>
          <w:kern w:val="48"/>
          <w:sz w:val="24"/>
          <w:szCs w:val="24"/>
          <w:highlight w:val="none"/>
        </w:rPr>
        <w:t xml:space="preserve">年 </w:t>
      </w:r>
      <w:r>
        <w:rPr>
          <w:rFonts w:hint="eastAsia" w:hAnsi="宋体" w:cs="宋体"/>
          <w:color w:val="auto"/>
          <w:spacing w:val="6"/>
          <w:kern w:val="48"/>
          <w:sz w:val="24"/>
          <w:szCs w:val="24"/>
          <w:highlight w:val="none"/>
          <w:lang w:val="en-US" w:eastAsia="zh-CN"/>
        </w:rPr>
        <w:t>7</w:t>
      </w:r>
      <w:r>
        <w:rPr>
          <w:rFonts w:hint="eastAsia" w:ascii="宋体" w:hAnsi="宋体" w:eastAsia="宋体" w:cs="宋体"/>
          <w:color w:val="auto"/>
          <w:spacing w:val="6"/>
          <w:kern w:val="48"/>
          <w:sz w:val="24"/>
          <w:szCs w:val="24"/>
          <w:highlight w:val="none"/>
        </w:rPr>
        <w:t xml:space="preserve"> 月 </w:t>
      </w:r>
      <w:r>
        <w:rPr>
          <w:rFonts w:hint="eastAsia" w:hAnsi="宋体" w:cs="宋体"/>
          <w:color w:val="auto"/>
          <w:spacing w:val="6"/>
          <w:kern w:val="48"/>
          <w:sz w:val="24"/>
          <w:szCs w:val="24"/>
          <w:highlight w:val="none"/>
          <w:lang w:val="en-US" w:eastAsia="zh-CN"/>
        </w:rPr>
        <w:t>16</w:t>
      </w:r>
      <w:r>
        <w:rPr>
          <w:rFonts w:hint="eastAsia" w:ascii="宋体" w:hAnsi="宋体" w:eastAsia="宋体" w:cs="宋体"/>
          <w:color w:val="auto"/>
          <w:spacing w:val="6"/>
          <w:kern w:val="48"/>
          <w:sz w:val="24"/>
          <w:szCs w:val="24"/>
          <w:highlight w:val="none"/>
        </w:rPr>
        <w:t xml:space="preserve"> 日至202</w:t>
      </w:r>
      <w:r>
        <w:rPr>
          <w:rFonts w:hint="eastAsia" w:ascii="宋体" w:hAnsi="宋体" w:eastAsia="宋体" w:cs="宋体"/>
          <w:color w:val="auto"/>
          <w:spacing w:val="6"/>
          <w:kern w:val="48"/>
          <w:sz w:val="24"/>
          <w:szCs w:val="24"/>
          <w:highlight w:val="none"/>
          <w:lang w:val="en-US" w:eastAsia="zh-CN"/>
        </w:rPr>
        <w:t>5</w:t>
      </w:r>
      <w:r>
        <w:rPr>
          <w:rFonts w:hint="eastAsia" w:ascii="宋体" w:hAnsi="宋体" w:eastAsia="宋体" w:cs="宋体"/>
          <w:color w:val="auto"/>
          <w:spacing w:val="6"/>
          <w:kern w:val="48"/>
          <w:sz w:val="24"/>
          <w:szCs w:val="24"/>
          <w:highlight w:val="none"/>
        </w:rPr>
        <w:t xml:space="preserve">年 </w:t>
      </w:r>
      <w:r>
        <w:rPr>
          <w:rFonts w:hint="eastAsia" w:hAnsi="宋体" w:cs="宋体"/>
          <w:color w:val="auto"/>
          <w:spacing w:val="6"/>
          <w:kern w:val="48"/>
          <w:sz w:val="24"/>
          <w:szCs w:val="24"/>
          <w:highlight w:val="none"/>
          <w:lang w:val="en-US" w:eastAsia="zh-CN"/>
        </w:rPr>
        <w:t>7</w:t>
      </w:r>
      <w:r>
        <w:rPr>
          <w:rFonts w:hint="eastAsia" w:ascii="宋体" w:hAnsi="宋体" w:eastAsia="宋体" w:cs="宋体"/>
          <w:color w:val="auto"/>
          <w:spacing w:val="6"/>
          <w:kern w:val="48"/>
          <w:sz w:val="24"/>
          <w:szCs w:val="24"/>
          <w:highlight w:val="none"/>
        </w:rPr>
        <w:t xml:space="preserve">月 </w:t>
      </w:r>
      <w:r>
        <w:rPr>
          <w:rFonts w:hint="eastAsia" w:hAnsi="宋体" w:cs="宋体"/>
          <w:color w:val="auto"/>
          <w:spacing w:val="6"/>
          <w:kern w:val="48"/>
          <w:sz w:val="24"/>
          <w:szCs w:val="24"/>
          <w:highlight w:val="none"/>
          <w:lang w:val="en-US" w:eastAsia="zh-CN"/>
        </w:rPr>
        <w:t>23</w:t>
      </w:r>
      <w:r>
        <w:rPr>
          <w:rFonts w:hint="eastAsia" w:ascii="宋体" w:hAnsi="宋体" w:eastAsia="宋体" w:cs="宋体"/>
          <w:color w:val="auto"/>
          <w:spacing w:val="6"/>
          <w:kern w:val="48"/>
          <w:sz w:val="24"/>
          <w:szCs w:val="24"/>
          <w:highlight w:val="none"/>
        </w:rPr>
        <w:t xml:space="preserve"> 日每天上午00：00至12：00，下午12：00至23：59（北京时间，法定节假日除外）</w:t>
      </w:r>
    </w:p>
    <w:p w14:paraId="60F58148">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地点：“广西政府采购云平台”（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6"/>
          <w:kern w:val="48"/>
          <w:sz w:val="24"/>
          <w:szCs w:val="24"/>
          <w:highlight w:val="none"/>
        </w:rPr>
        <w:t>https://www.gcy.zfcg.gxzf.gov.cn</w:t>
      </w:r>
      <w:r>
        <w:rPr>
          <w:rFonts w:hint="eastAsia" w:ascii="宋体" w:hAnsi="宋体" w:eastAsia="宋体" w:cs="宋体"/>
          <w:color w:val="auto"/>
          <w:spacing w:val="6"/>
          <w:kern w:val="48"/>
          <w:sz w:val="24"/>
          <w:szCs w:val="24"/>
          <w:highlight w:val="none"/>
        </w:rPr>
        <w:fldChar w:fldCharType="end"/>
      </w:r>
      <w:r>
        <w:rPr>
          <w:rFonts w:hint="eastAsia" w:ascii="宋体" w:hAnsi="宋体" w:eastAsia="宋体" w:cs="宋体"/>
          <w:color w:val="auto"/>
          <w:spacing w:val="6"/>
          <w:kern w:val="48"/>
          <w:sz w:val="24"/>
          <w:szCs w:val="24"/>
          <w:highlight w:val="none"/>
        </w:rPr>
        <w:t>）</w:t>
      </w:r>
    </w:p>
    <w:p w14:paraId="456D7FA6">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lang w:eastAsia="zh-CN"/>
        </w:rPr>
      </w:pPr>
      <w:r>
        <w:rPr>
          <w:rFonts w:hint="eastAsia" w:ascii="宋体" w:hAnsi="宋体" w:eastAsia="宋体" w:cs="宋体"/>
          <w:color w:val="auto"/>
          <w:spacing w:val="6"/>
          <w:kern w:val="48"/>
          <w:sz w:val="24"/>
          <w:szCs w:val="24"/>
          <w:highlight w:val="none"/>
        </w:rPr>
        <w:t>方式：潜在服务商通过“广西政府采购云平台”完成账号注册后，须在获取磋商文件时限内登录“广西政府采购云平台”的“项目采购——获取采购文件”模块自行申请获取并下载竞争性磋商文件</w:t>
      </w:r>
      <w:r>
        <w:rPr>
          <w:rFonts w:hint="eastAsia" w:hAnsi="宋体" w:cs="宋体"/>
          <w:color w:val="auto"/>
          <w:spacing w:val="6"/>
          <w:kern w:val="48"/>
          <w:sz w:val="24"/>
          <w:szCs w:val="24"/>
          <w:highlight w:val="none"/>
          <w:lang w:eastAsia="zh-CN"/>
        </w:rPr>
        <w:t>。</w:t>
      </w:r>
    </w:p>
    <w:p w14:paraId="14C6CAA4">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售价 (人民币)</w:t>
      </w:r>
      <w:r>
        <w:rPr>
          <w:rFonts w:hint="eastAsia" w:hAnsi="宋体" w:cs="宋体"/>
          <w:color w:val="auto"/>
          <w:spacing w:val="6"/>
          <w:kern w:val="48"/>
          <w:sz w:val="24"/>
          <w:szCs w:val="24"/>
          <w:highlight w:val="none"/>
          <w:lang w:eastAsia="zh-CN"/>
        </w:rPr>
        <w:t>：</w:t>
      </w:r>
      <w:r>
        <w:rPr>
          <w:rFonts w:hint="eastAsia" w:ascii="宋体" w:hAnsi="宋体" w:eastAsia="宋体" w:cs="宋体"/>
          <w:color w:val="auto"/>
          <w:spacing w:val="6"/>
          <w:kern w:val="48"/>
          <w:sz w:val="24"/>
          <w:szCs w:val="24"/>
          <w:highlight w:val="none"/>
        </w:rPr>
        <w:t xml:space="preserve"> 0.00 元。</w:t>
      </w:r>
    </w:p>
    <w:p w14:paraId="2958A60F">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四、响应文件提交</w:t>
      </w:r>
    </w:p>
    <w:p w14:paraId="48E754EE">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截止时间：</w:t>
      </w:r>
      <w:bookmarkStart w:id="16" w:name="_Hlk119484958"/>
      <w:r>
        <w:rPr>
          <w:rFonts w:hint="eastAsia" w:ascii="宋体" w:hAnsi="宋体" w:eastAsia="宋体" w:cs="宋体"/>
          <w:color w:val="auto"/>
          <w:spacing w:val="6"/>
          <w:kern w:val="48"/>
          <w:sz w:val="24"/>
          <w:szCs w:val="24"/>
          <w:highlight w:val="none"/>
        </w:rPr>
        <w:t>202</w:t>
      </w:r>
      <w:r>
        <w:rPr>
          <w:rFonts w:hint="eastAsia" w:ascii="宋体" w:hAnsi="宋体" w:eastAsia="宋体" w:cs="宋体"/>
          <w:color w:val="auto"/>
          <w:spacing w:val="6"/>
          <w:kern w:val="48"/>
          <w:sz w:val="24"/>
          <w:szCs w:val="24"/>
          <w:highlight w:val="none"/>
          <w:lang w:val="en-US" w:eastAsia="zh-CN"/>
        </w:rPr>
        <w:t>5</w:t>
      </w:r>
      <w:r>
        <w:rPr>
          <w:rFonts w:hint="eastAsia" w:ascii="宋体" w:hAnsi="宋体" w:eastAsia="宋体" w:cs="宋体"/>
          <w:color w:val="auto"/>
          <w:spacing w:val="6"/>
          <w:kern w:val="48"/>
          <w:sz w:val="24"/>
          <w:szCs w:val="24"/>
          <w:highlight w:val="none"/>
        </w:rPr>
        <w:t>年</w:t>
      </w:r>
      <w:r>
        <w:rPr>
          <w:rFonts w:hint="eastAsia" w:hAnsi="宋体" w:cs="宋体"/>
          <w:color w:val="auto"/>
          <w:spacing w:val="6"/>
          <w:kern w:val="48"/>
          <w:sz w:val="24"/>
          <w:szCs w:val="24"/>
          <w:highlight w:val="none"/>
          <w:lang w:val="en-US" w:eastAsia="zh-CN"/>
        </w:rPr>
        <w:t>7</w:t>
      </w:r>
      <w:r>
        <w:rPr>
          <w:rFonts w:hint="eastAsia" w:ascii="宋体" w:hAnsi="宋体" w:eastAsia="宋体" w:cs="宋体"/>
          <w:color w:val="auto"/>
          <w:spacing w:val="6"/>
          <w:kern w:val="48"/>
          <w:sz w:val="24"/>
          <w:szCs w:val="24"/>
          <w:highlight w:val="none"/>
        </w:rPr>
        <w:t xml:space="preserve">月 </w:t>
      </w:r>
      <w:r>
        <w:rPr>
          <w:rFonts w:hint="eastAsia" w:hAnsi="宋体" w:cs="宋体"/>
          <w:color w:val="auto"/>
          <w:spacing w:val="6"/>
          <w:kern w:val="48"/>
          <w:sz w:val="24"/>
          <w:szCs w:val="24"/>
          <w:highlight w:val="none"/>
          <w:lang w:val="en-US" w:eastAsia="zh-CN"/>
        </w:rPr>
        <w:t>29</w:t>
      </w:r>
      <w:r>
        <w:rPr>
          <w:rFonts w:hint="eastAsia" w:ascii="宋体" w:hAnsi="宋体" w:eastAsia="宋体" w:cs="宋体"/>
          <w:color w:val="auto"/>
          <w:spacing w:val="6"/>
          <w:kern w:val="48"/>
          <w:sz w:val="24"/>
          <w:szCs w:val="24"/>
          <w:highlight w:val="none"/>
        </w:rPr>
        <w:t xml:space="preserve"> 日</w:t>
      </w:r>
      <w:bookmarkEnd w:id="16"/>
      <w:r>
        <w:rPr>
          <w:rFonts w:hint="eastAsia" w:ascii="宋体" w:hAnsi="宋体" w:eastAsia="宋体" w:cs="宋体"/>
          <w:color w:val="auto"/>
          <w:spacing w:val="6"/>
          <w:kern w:val="48"/>
          <w:sz w:val="24"/>
          <w:szCs w:val="24"/>
          <w:highlight w:val="none"/>
        </w:rPr>
        <w:t>9点30分（北京时间）</w:t>
      </w:r>
    </w:p>
    <w:p w14:paraId="6DB2133D">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地点：通过广西政府采购云平台实行在线响应。（本项目不要求磋商服务商到达开标现场，但服务商应派法定代表人、负责人或委托代理人准时在线出席电子开评标会议，随时关注开评标进度，如在开评标过程中有电子询标，应在规定的时间内对电子询标函进行澄清回复。）</w:t>
      </w:r>
    </w:p>
    <w:p w14:paraId="6398F0C3">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五、开启</w:t>
      </w:r>
    </w:p>
    <w:p w14:paraId="7D594E5D">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时间：202</w:t>
      </w:r>
      <w:r>
        <w:rPr>
          <w:rFonts w:hint="eastAsia" w:ascii="宋体" w:hAnsi="宋体" w:eastAsia="宋体" w:cs="宋体"/>
          <w:color w:val="auto"/>
          <w:spacing w:val="6"/>
          <w:kern w:val="48"/>
          <w:sz w:val="24"/>
          <w:szCs w:val="24"/>
          <w:highlight w:val="none"/>
          <w:lang w:val="en-US" w:eastAsia="zh-CN"/>
        </w:rPr>
        <w:t>5</w:t>
      </w:r>
      <w:r>
        <w:rPr>
          <w:rFonts w:hint="eastAsia" w:ascii="宋体" w:hAnsi="宋体" w:eastAsia="宋体" w:cs="宋体"/>
          <w:color w:val="auto"/>
          <w:spacing w:val="6"/>
          <w:kern w:val="48"/>
          <w:sz w:val="24"/>
          <w:szCs w:val="24"/>
          <w:highlight w:val="none"/>
        </w:rPr>
        <w:t>年</w:t>
      </w:r>
      <w:r>
        <w:rPr>
          <w:rFonts w:hint="eastAsia" w:hAnsi="宋体" w:cs="宋体"/>
          <w:color w:val="auto"/>
          <w:spacing w:val="6"/>
          <w:kern w:val="48"/>
          <w:sz w:val="24"/>
          <w:szCs w:val="24"/>
          <w:highlight w:val="none"/>
          <w:lang w:val="en-US" w:eastAsia="zh-CN"/>
        </w:rPr>
        <w:t>7</w:t>
      </w:r>
      <w:r>
        <w:rPr>
          <w:rFonts w:hint="eastAsia" w:ascii="宋体" w:hAnsi="宋体" w:eastAsia="宋体" w:cs="宋体"/>
          <w:color w:val="auto"/>
          <w:spacing w:val="6"/>
          <w:kern w:val="48"/>
          <w:sz w:val="24"/>
          <w:szCs w:val="24"/>
          <w:highlight w:val="none"/>
        </w:rPr>
        <w:t>月</w:t>
      </w:r>
      <w:r>
        <w:rPr>
          <w:rFonts w:hint="eastAsia" w:hAnsi="宋体" w:cs="宋体"/>
          <w:color w:val="auto"/>
          <w:spacing w:val="6"/>
          <w:kern w:val="48"/>
          <w:sz w:val="24"/>
          <w:szCs w:val="24"/>
          <w:highlight w:val="none"/>
          <w:lang w:val="en-US" w:eastAsia="zh-CN"/>
        </w:rPr>
        <w:t>29</w:t>
      </w:r>
      <w:r>
        <w:rPr>
          <w:rFonts w:hint="eastAsia" w:ascii="宋体" w:hAnsi="宋体" w:eastAsia="宋体" w:cs="宋体"/>
          <w:color w:val="auto"/>
          <w:spacing w:val="6"/>
          <w:kern w:val="48"/>
          <w:sz w:val="24"/>
          <w:szCs w:val="24"/>
          <w:highlight w:val="none"/>
        </w:rPr>
        <w:t>日9点30分截标后（北京时间）</w:t>
      </w:r>
    </w:p>
    <w:p w14:paraId="66204AB5">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地点：通过广西政府采购云平台实行在线解密开启响应文件。</w:t>
      </w:r>
    </w:p>
    <w:p w14:paraId="7FDEE495">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六、公告期限</w:t>
      </w:r>
    </w:p>
    <w:p w14:paraId="24F41860">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自本公告发布之日起 5 个工作日。</w:t>
      </w:r>
    </w:p>
    <w:p w14:paraId="4357D23F">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七、其他补充事宜</w:t>
      </w:r>
    </w:p>
    <w:p w14:paraId="1B299DA5">
      <w:pPr>
        <w:pStyle w:val="10"/>
        <w:tabs>
          <w:tab w:val="left" w:pos="3420"/>
        </w:tabs>
        <w:spacing w:line="400" w:lineRule="exact"/>
        <w:ind w:firstLine="612" w:firstLineChars="243"/>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1.磋商保证金：本项目不收取磋商保证金。</w:t>
      </w:r>
    </w:p>
    <w:p w14:paraId="269185DB">
      <w:pPr>
        <w:pStyle w:val="10"/>
        <w:tabs>
          <w:tab w:val="left" w:pos="3420"/>
        </w:tabs>
        <w:spacing w:line="400" w:lineRule="exact"/>
        <w:ind w:left="420" w:leftChars="200" w:firstLine="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2.网上查询地址</w:t>
      </w:r>
      <w:r>
        <w:rPr>
          <w:rFonts w:hint="eastAsia" w:ascii="宋体" w:hAnsi="宋体" w:eastAsia="宋体" w:cs="宋体"/>
          <w:color w:val="auto"/>
          <w:spacing w:val="6"/>
          <w:kern w:val="48"/>
          <w:sz w:val="24"/>
          <w:szCs w:val="24"/>
          <w:highlight w:val="none"/>
        </w:rPr>
        <w:br w:type="textWrapping"/>
      </w:r>
      <w:r>
        <w:rPr>
          <w:rFonts w:hint="eastAsia" w:hAnsi="宋体" w:cs="宋体"/>
          <w:color w:val="auto"/>
          <w:spacing w:val="6"/>
          <w:kern w:val="48"/>
          <w:sz w:val="24"/>
          <w:szCs w:val="24"/>
          <w:highlight w:val="none"/>
          <w:lang w:val="en-US" w:eastAsia="zh-CN"/>
        </w:rPr>
        <w:t>中国政府采购网、</w:t>
      </w:r>
      <w:r>
        <w:rPr>
          <w:rFonts w:hint="eastAsia" w:ascii="宋体" w:hAnsi="宋体" w:eastAsia="宋体" w:cs="宋体"/>
          <w:color w:val="auto"/>
          <w:spacing w:val="6"/>
          <w:kern w:val="48"/>
          <w:sz w:val="24"/>
          <w:szCs w:val="24"/>
          <w:highlight w:val="none"/>
        </w:rPr>
        <w:t>广西壮族自治区政府采购网、梧州市政府采购网</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3.本项目需要落实的政府采购政策</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（1）政府采购促进中小企业发展。</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（2）政府采购支持采用本国产品的政策。</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（3）强制采购节能产品；优先采购节能产品、环境标志产品。</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（4）政府采购促进残疾人就业政策。</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（5）政府采购支持监狱企业发展。</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4.供应商</w:t>
      </w:r>
      <w:r>
        <w:rPr>
          <w:rFonts w:hint="eastAsia" w:hAnsi="宋体" w:cs="宋体"/>
          <w:color w:val="auto"/>
          <w:spacing w:val="6"/>
          <w:kern w:val="48"/>
          <w:sz w:val="24"/>
          <w:szCs w:val="24"/>
          <w:highlight w:val="none"/>
          <w:lang w:val="en-US" w:eastAsia="zh-CN"/>
        </w:rPr>
        <w:t>磋商</w:t>
      </w:r>
      <w:r>
        <w:rPr>
          <w:rFonts w:hint="eastAsia" w:ascii="宋体" w:hAnsi="宋体" w:eastAsia="宋体" w:cs="宋体"/>
          <w:color w:val="auto"/>
          <w:spacing w:val="6"/>
          <w:kern w:val="48"/>
          <w:sz w:val="24"/>
          <w:szCs w:val="24"/>
          <w:highlight w:val="none"/>
        </w:rPr>
        <w:t>注意事项</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（1）本项目为全流程电子化采购项目，通过广西政府采购云平台（https://www.gcy.zfcg.gxzf.gov.cn/）实行在线电子</w:t>
      </w:r>
      <w:r>
        <w:rPr>
          <w:rFonts w:hint="eastAsia" w:hAnsi="宋体" w:cs="宋体"/>
          <w:color w:val="auto"/>
          <w:spacing w:val="6"/>
          <w:kern w:val="48"/>
          <w:sz w:val="24"/>
          <w:szCs w:val="24"/>
          <w:highlight w:val="none"/>
          <w:lang w:val="en-US" w:eastAsia="zh-CN"/>
        </w:rPr>
        <w:t>磋商</w:t>
      </w:r>
      <w:r>
        <w:rPr>
          <w:rFonts w:hint="eastAsia" w:ascii="宋体" w:hAnsi="宋体" w:eastAsia="宋体" w:cs="宋体"/>
          <w:color w:val="auto"/>
          <w:spacing w:val="6"/>
          <w:kern w:val="48"/>
          <w:sz w:val="24"/>
          <w:szCs w:val="24"/>
          <w:highlight w:val="none"/>
        </w:rPr>
        <w:t>，供应商应按照本项目竞争性</w:t>
      </w:r>
      <w:r>
        <w:rPr>
          <w:rFonts w:hint="eastAsia" w:hAnsi="宋体" w:cs="宋体"/>
          <w:color w:val="auto"/>
          <w:spacing w:val="6"/>
          <w:kern w:val="48"/>
          <w:sz w:val="24"/>
          <w:szCs w:val="24"/>
          <w:highlight w:val="none"/>
          <w:lang w:val="en-US" w:eastAsia="zh-CN"/>
        </w:rPr>
        <w:t>磋商</w:t>
      </w:r>
      <w:r>
        <w:rPr>
          <w:rFonts w:hint="eastAsia" w:ascii="宋体" w:hAnsi="宋体" w:eastAsia="宋体" w:cs="宋体"/>
          <w:color w:val="auto"/>
          <w:spacing w:val="6"/>
          <w:kern w:val="48"/>
          <w:sz w:val="24"/>
          <w:szCs w:val="24"/>
          <w:highlight w:val="none"/>
        </w:rPr>
        <w:t>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w:t>
      </w:r>
      <w:r>
        <w:rPr>
          <w:rFonts w:hint="eastAsia" w:hAnsi="宋体" w:cs="宋体"/>
          <w:color w:val="auto"/>
          <w:spacing w:val="6"/>
          <w:kern w:val="48"/>
          <w:sz w:val="24"/>
          <w:szCs w:val="24"/>
          <w:highlight w:val="none"/>
          <w:lang w:val="en-US" w:eastAsia="zh-CN"/>
        </w:rPr>
        <w:t>磋商</w:t>
      </w:r>
      <w:r>
        <w:rPr>
          <w:rFonts w:hint="eastAsia" w:ascii="宋体" w:hAnsi="宋体" w:eastAsia="宋体" w:cs="宋体"/>
          <w:color w:val="auto"/>
          <w:spacing w:val="6"/>
          <w:kern w:val="48"/>
          <w:sz w:val="24"/>
          <w:szCs w:val="24"/>
          <w:highlight w:val="none"/>
        </w:rPr>
        <w:t>具体操作流程。</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注：1）为确保网上操作合法、有效和安全，请供应商确保在电子</w:t>
      </w:r>
      <w:r>
        <w:rPr>
          <w:rFonts w:hint="eastAsia" w:hAnsi="宋体" w:cs="宋体"/>
          <w:color w:val="auto"/>
          <w:spacing w:val="6"/>
          <w:kern w:val="48"/>
          <w:sz w:val="24"/>
          <w:szCs w:val="24"/>
          <w:highlight w:val="none"/>
          <w:lang w:val="en-US" w:eastAsia="zh-CN"/>
        </w:rPr>
        <w:t>磋商</w:t>
      </w:r>
      <w:r>
        <w:rPr>
          <w:rFonts w:hint="eastAsia" w:ascii="宋体" w:hAnsi="宋体" w:eastAsia="宋体" w:cs="宋体"/>
          <w:color w:val="auto"/>
          <w:spacing w:val="6"/>
          <w:kern w:val="48"/>
          <w:sz w:val="24"/>
          <w:szCs w:val="24"/>
          <w:highlight w:val="none"/>
        </w:rPr>
        <w:t>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spacing w:val="6"/>
          <w:kern w:val="48"/>
          <w:sz w:val="24"/>
          <w:szCs w:val="24"/>
          <w:highlight w:val="none"/>
        </w:rPr>
        <w:br w:type="textWrapping"/>
      </w:r>
      <w:r>
        <w:rPr>
          <w:rFonts w:hint="eastAsia" w:ascii="宋体" w:hAnsi="宋体" w:eastAsia="宋体" w:cs="宋体"/>
          <w:color w:val="auto"/>
          <w:spacing w:val="6"/>
          <w:kern w:val="48"/>
          <w:sz w:val="24"/>
          <w:szCs w:val="24"/>
          <w:highlight w:val="none"/>
        </w:rPr>
        <w:t>（4）供应商需要在具备有摄像头及语音功能且互联网网络状况良好的电脑登录广西政府采购云平台远程开标大厅参与本次</w:t>
      </w:r>
      <w:r>
        <w:rPr>
          <w:rFonts w:hint="eastAsia" w:hAnsi="宋体" w:cs="宋体"/>
          <w:color w:val="auto"/>
          <w:spacing w:val="6"/>
          <w:kern w:val="48"/>
          <w:sz w:val="24"/>
          <w:szCs w:val="24"/>
          <w:highlight w:val="none"/>
          <w:lang w:val="en-US" w:eastAsia="zh-CN"/>
        </w:rPr>
        <w:t>磋商</w:t>
      </w:r>
      <w:r>
        <w:rPr>
          <w:rFonts w:hint="eastAsia" w:ascii="宋体" w:hAnsi="宋体" w:eastAsia="宋体" w:cs="宋体"/>
          <w:color w:val="auto"/>
          <w:spacing w:val="6"/>
          <w:kern w:val="48"/>
          <w:sz w:val="24"/>
          <w:szCs w:val="24"/>
          <w:highlight w:val="none"/>
        </w:rPr>
        <w:t>，否则后果自负。  </w:t>
      </w:r>
    </w:p>
    <w:p w14:paraId="37C8DDE7">
      <w:pPr>
        <w:pStyle w:val="10"/>
        <w:tabs>
          <w:tab w:val="left" w:pos="3420"/>
        </w:tabs>
        <w:spacing w:line="400" w:lineRule="exact"/>
        <w:ind w:firstLine="0"/>
        <w:rPr>
          <w:rFonts w:hint="eastAsia" w:ascii="宋体" w:hAnsi="宋体" w:eastAsia="宋体" w:cs="宋体"/>
          <w:b/>
          <w:bCs/>
          <w:color w:val="auto"/>
          <w:spacing w:val="6"/>
          <w:kern w:val="48"/>
          <w:sz w:val="24"/>
          <w:szCs w:val="24"/>
          <w:highlight w:val="none"/>
        </w:rPr>
      </w:pPr>
      <w:r>
        <w:rPr>
          <w:rFonts w:hint="eastAsia" w:ascii="宋体" w:hAnsi="宋体" w:eastAsia="宋体" w:cs="宋体"/>
          <w:b/>
          <w:bCs/>
          <w:color w:val="auto"/>
          <w:spacing w:val="6"/>
          <w:kern w:val="48"/>
          <w:sz w:val="24"/>
          <w:szCs w:val="24"/>
          <w:highlight w:val="none"/>
        </w:rPr>
        <w:t>八、凡对本次采购提出询问，请按以下方式联系。</w:t>
      </w:r>
    </w:p>
    <w:p w14:paraId="2FF5BB5D">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1.采购人信息</w:t>
      </w:r>
    </w:p>
    <w:p w14:paraId="0121AD77">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名称：梧州市红十字会医院</w:t>
      </w:r>
    </w:p>
    <w:p w14:paraId="04085712">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地址：梧州市万秀区新兴一路3-1号</w:t>
      </w:r>
    </w:p>
    <w:p w14:paraId="4F0100CA">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联系方式：潘先生，联系电话：</w:t>
      </w:r>
      <w:r>
        <w:rPr>
          <w:rFonts w:hint="eastAsia" w:hAnsi="宋体" w:cs="宋体"/>
          <w:color w:val="auto"/>
          <w:spacing w:val="6"/>
          <w:kern w:val="48"/>
          <w:sz w:val="24"/>
          <w:szCs w:val="24"/>
          <w:highlight w:val="none"/>
          <w:lang w:eastAsia="zh-CN"/>
        </w:rPr>
        <w:t>0774-3821961</w:t>
      </w:r>
      <w:r>
        <w:rPr>
          <w:rFonts w:hint="eastAsia" w:ascii="宋体" w:hAnsi="宋体" w:eastAsia="宋体" w:cs="宋体"/>
          <w:color w:val="auto"/>
          <w:spacing w:val="6"/>
          <w:kern w:val="48"/>
          <w:sz w:val="24"/>
          <w:szCs w:val="24"/>
          <w:highlight w:val="none"/>
        </w:rPr>
        <w:t xml:space="preserve">　　　　　　　　　　　 </w:t>
      </w:r>
    </w:p>
    <w:p w14:paraId="74883402">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2.采购代理机构信息</w:t>
      </w:r>
    </w:p>
    <w:p w14:paraId="28401D86">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名 称：中经国际招标集团有限公司</w:t>
      </w:r>
    </w:p>
    <w:p w14:paraId="3EB96DA1">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地　址：梧州市长洲区新兴二路125号8楼　</w:t>
      </w:r>
    </w:p>
    <w:p w14:paraId="6AAF8C0F">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联系方式：黄小姐，联系电话：0774-3819193</w:t>
      </w:r>
    </w:p>
    <w:p w14:paraId="6B9CFBBB">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3.项目联系方式</w:t>
      </w:r>
    </w:p>
    <w:p w14:paraId="00721E70">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项目联系人：黄小姐</w:t>
      </w:r>
    </w:p>
    <w:p w14:paraId="35065893">
      <w:pPr>
        <w:pStyle w:val="10"/>
        <w:tabs>
          <w:tab w:val="left" w:pos="3420"/>
        </w:tabs>
        <w:spacing w:line="400" w:lineRule="exact"/>
        <w:ind w:firstLine="504" w:firstLineChars="200"/>
        <w:rPr>
          <w:rFonts w:hint="eastAsia" w:ascii="宋体" w:hAnsi="宋体" w:eastAsia="宋体" w:cs="宋体"/>
          <w:color w:val="auto"/>
          <w:spacing w:val="6"/>
          <w:kern w:val="48"/>
          <w:sz w:val="24"/>
          <w:szCs w:val="24"/>
          <w:highlight w:val="none"/>
        </w:rPr>
      </w:pPr>
      <w:r>
        <w:rPr>
          <w:rFonts w:hint="eastAsia" w:ascii="宋体" w:hAnsi="宋体" w:eastAsia="宋体" w:cs="宋体"/>
          <w:color w:val="auto"/>
          <w:spacing w:val="6"/>
          <w:kern w:val="48"/>
          <w:sz w:val="24"/>
          <w:szCs w:val="24"/>
          <w:highlight w:val="none"/>
        </w:rPr>
        <w:t>电　话：0774-3819193</w:t>
      </w:r>
    </w:p>
    <w:p w14:paraId="4F80C77C">
      <w:pPr>
        <w:pStyle w:val="10"/>
        <w:tabs>
          <w:tab w:val="left" w:pos="3420"/>
        </w:tabs>
        <w:spacing w:line="336" w:lineRule="exact"/>
        <w:ind w:firstLine="504" w:firstLineChars="200"/>
        <w:jc w:val="right"/>
        <w:rPr>
          <w:rFonts w:hint="eastAsia" w:hAnsi="宋体" w:cs="宋体"/>
          <w:color w:val="auto"/>
          <w:spacing w:val="6"/>
          <w:kern w:val="48"/>
          <w:sz w:val="24"/>
          <w:szCs w:val="24"/>
          <w:highlight w:val="none"/>
        </w:rPr>
      </w:pPr>
    </w:p>
    <w:p w14:paraId="1A71BB5A">
      <w:pPr>
        <w:pStyle w:val="10"/>
        <w:tabs>
          <w:tab w:val="left" w:pos="3420"/>
        </w:tabs>
        <w:spacing w:line="336" w:lineRule="exact"/>
        <w:ind w:firstLine="504" w:firstLineChars="200"/>
        <w:jc w:val="right"/>
        <w:rPr>
          <w:rFonts w:hint="eastAsia" w:hAnsi="宋体" w:cs="宋体"/>
          <w:color w:val="auto"/>
          <w:spacing w:val="6"/>
          <w:kern w:val="48"/>
          <w:sz w:val="24"/>
          <w:szCs w:val="24"/>
          <w:highlight w:val="none"/>
        </w:rPr>
      </w:pPr>
    </w:p>
    <w:p w14:paraId="182D18A8">
      <w:pPr>
        <w:pStyle w:val="10"/>
        <w:tabs>
          <w:tab w:val="left" w:pos="3420"/>
        </w:tabs>
        <w:spacing w:line="336" w:lineRule="exact"/>
        <w:ind w:firstLine="444" w:firstLineChars="200"/>
        <w:jc w:val="right"/>
        <w:rPr>
          <w:rFonts w:hint="eastAsia" w:hAnsi="宋体" w:cs="宋体"/>
          <w:color w:val="auto"/>
          <w:spacing w:val="6"/>
          <w:kern w:val="48"/>
          <w:sz w:val="21"/>
          <w:highlight w:val="none"/>
        </w:rPr>
      </w:pPr>
    </w:p>
    <w:p w14:paraId="59705194">
      <w:pPr>
        <w:pStyle w:val="11"/>
        <w:jc w:val="center"/>
        <w:outlineLvl w:val="0"/>
        <w:rPr>
          <w:rFonts w:hint="eastAsia" w:ascii="宋体" w:hAnsi="宋体" w:eastAsia="宋体" w:cs="宋体"/>
          <w:snapToGrid w:val="0"/>
          <w:color w:val="auto"/>
          <w:spacing w:val="6"/>
          <w:kern w:val="0"/>
          <w:sz w:val="32"/>
          <w:szCs w:val="32"/>
          <w:highlight w:val="none"/>
        </w:rPr>
      </w:pPr>
      <w:r>
        <w:rPr>
          <w:rFonts w:hint="eastAsia" w:hAnsi="宋体" w:cs="宋体"/>
          <w:color w:val="auto"/>
          <w:spacing w:val="6"/>
          <w:kern w:val="48"/>
          <w:szCs w:val="21"/>
          <w:highlight w:val="none"/>
        </w:rPr>
        <w:br w:type="page"/>
      </w:r>
      <w:bookmarkEnd w:id="11"/>
      <w:bookmarkStart w:id="17" w:name="_Toc9231"/>
      <w:r>
        <w:rPr>
          <w:rFonts w:hint="eastAsia" w:hAnsi="宋体" w:cs="宋体"/>
          <w:b/>
          <w:color w:val="auto"/>
          <w:spacing w:val="6"/>
          <w:kern w:val="48"/>
          <w:sz w:val="36"/>
          <w:szCs w:val="36"/>
          <w:highlight w:val="none"/>
        </w:rPr>
        <w:t xml:space="preserve">第二章  </w:t>
      </w:r>
      <w:bookmarkEnd w:id="12"/>
      <w:bookmarkEnd w:id="13"/>
      <w:bookmarkEnd w:id="14"/>
      <w:bookmarkEnd w:id="15"/>
      <w:r>
        <w:rPr>
          <w:rFonts w:hint="eastAsia" w:hAnsi="宋体" w:cs="宋体"/>
          <w:b/>
          <w:color w:val="auto"/>
          <w:spacing w:val="6"/>
          <w:kern w:val="48"/>
          <w:sz w:val="36"/>
          <w:szCs w:val="36"/>
          <w:highlight w:val="none"/>
        </w:rPr>
        <w:t>服务需求一览表</w:t>
      </w:r>
      <w:bookmarkEnd w:id="17"/>
      <w:bookmarkStart w:id="18" w:name="_Toc213206173"/>
      <w:bookmarkStart w:id="19" w:name="_Toc139967216"/>
      <w:bookmarkStart w:id="20" w:name="_Toc139966432"/>
      <w:bookmarkStart w:id="21" w:name="_Toc213325922"/>
    </w:p>
    <w:tbl>
      <w:tblPr>
        <w:tblStyle w:val="25"/>
        <w:tblpPr w:leftFromText="180" w:rightFromText="180" w:vertAnchor="text" w:horzAnchor="margin" w:tblpY="104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9"/>
        <w:gridCol w:w="6605"/>
      </w:tblGrid>
      <w:tr w14:paraId="5B16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82" w:type="pct"/>
            <w:noWrap w:val="0"/>
            <w:vAlign w:val="top"/>
          </w:tcPr>
          <w:p w14:paraId="44543305">
            <w:pPr>
              <w:jc w:val="center"/>
              <w:rPr>
                <w:rFonts w:ascii="Calibri" w:hAnsi="Calibri" w:eastAsia="宋体" w:cs="Times New Roman"/>
                <w:color w:val="auto"/>
                <w:kern w:val="2"/>
                <w:sz w:val="28"/>
                <w:szCs w:val="28"/>
                <w:highlight w:val="none"/>
              </w:rPr>
            </w:pPr>
            <w:r>
              <w:rPr>
                <w:rFonts w:ascii="Calibri" w:hAnsi="Calibri" w:eastAsia="宋体" w:cs="Times New Roman"/>
                <w:color w:val="auto"/>
                <w:kern w:val="2"/>
                <w:sz w:val="28"/>
                <w:szCs w:val="28"/>
                <w:highlight w:val="none"/>
              </w:rPr>
              <w:t>功能需求</w:t>
            </w:r>
          </w:p>
        </w:tc>
        <w:tc>
          <w:tcPr>
            <w:tcW w:w="3317" w:type="pct"/>
            <w:noWrap w:val="0"/>
            <w:vAlign w:val="top"/>
          </w:tcPr>
          <w:p w14:paraId="58E7345A">
            <w:pPr>
              <w:jc w:val="center"/>
              <w:rPr>
                <w:rFonts w:ascii="Calibri" w:hAnsi="Calibri" w:eastAsia="宋体" w:cs="Times New Roman"/>
                <w:color w:val="auto"/>
                <w:kern w:val="2"/>
                <w:sz w:val="28"/>
                <w:szCs w:val="28"/>
                <w:highlight w:val="none"/>
              </w:rPr>
            </w:pPr>
            <w:r>
              <w:rPr>
                <w:rFonts w:ascii="Calibri" w:hAnsi="Calibri" w:eastAsia="宋体" w:cs="Times New Roman"/>
                <w:color w:val="auto"/>
                <w:kern w:val="2"/>
                <w:sz w:val="28"/>
                <w:szCs w:val="28"/>
                <w:highlight w:val="none"/>
              </w:rPr>
              <w:t>具体参数</w:t>
            </w:r>
          </w:p>
        </w:tc>
      </w:tr>
      <w:tr w14:paraId="0820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2651CEB7">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住培管理需求</w:t>
            </w:r>
          </w:p>
        </w:tc>
        <w:tc>
          <w:tcPr>
            <w:tcW w:w="3317" w:type="pct"/>
            <w:noWrap w:val="0"/>
            <w:vAlign w:val="top"/>
          </w:tcPr>
          <w:p w14:paraId="4124C04B">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组织管理：实现院区、专业、科室、医疗组等各级组织管理，实现添加、修改、删除、导出等功能维护。</w:t>
            </w:r>
          </w:p>
          <w:p w14:paraId="602EA4CD">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可对院区进行管理维护：系统内可以设置多个院区作为上班打卡地点，设置院区名称、地址、经纬度、院长。</w:t>
            </w:r>
          </w:p>
          <w:p w14:paraId="49316873">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可对专业基地进行管理维护：院区内各专业可以与名义专业关联，用来判断学员使用的轮转大纲。</w:t>
            </w:r>
          </w:p>
          <w:p w14:paraId="5F12DCB9">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可对科室进行管理维护：管理各专业下科室的基础属性，包括科室名称、科室类型（临床、医技）、所属专业、是否为预算部门、科室负责人、科室住院总、科室主任、科室考勤打卡地址等信息。</w:t>
            </w:r>
          </w:p>
          <w:p w14:paraId="62E04208">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可对医疗组进行管理维护：科室与医疗组是多对多的关系，医疗组下有多个班次。</w:t>
            </w:r>
          </w:p>
          <w:p w14:paraId="641A1915">
            <w:pPr>
              <w:ind w:left="402"/>
              <w:rPr>
                <w:rFonts w:hint="eastAsia" w:ascii="宋体" w:hAnsi="宋体" w:eastAsia="宋体" w:cs="宋体"/>
                <w:color w:val="auto"/>
                <w:kern w:val="2"/>
                <w:sz w:val="24"/>
                <w:szCs w:val="24"/>
                <w:highlight w:val="none"/>
              </w:rPr>
            </w:pPr>
          </w:p>
          <w:p w14:paraId="07110832">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学员信息：可对住培学员档案进行管理，管理各类学员信息，实现学员信息导入、导出、搜索、分析与统计，展示学员成长轨迹，出勤统计分析，实现学员历史库的管理，对在培、结业情况进行管理。</w:t>
            </w:r>
          </w:p>
          <w:p w14:paraId="15AE2923">
            <w:pPr>
              <w:ind w:left="400"/>
              <w:rPr>
                <w:rFonts w:hint="eastAsia" w:ascii="宋体" w:hAnsi="宋体" w:eastAsia="宋体" w:cs="宋体"/>
                <w:color w:val="auto"/>
                <w:kern w:val="2"/>
                <w:sz w:val="24"/>
                <w:szCs w:val="24"/>
                <w:highlight w:val="none"/>
              </w:rPr>
            </w:pPr>
          </w:p>
          <w:p w14:paraId="4849083D">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师资信息：对师资的信息进行管理，包含基地，科室，证书，入职时间，学历等等。用于管理师资的基础信息和带教信息统计。管理员可以在后台设置带教与学员的结对情况。新增、编辑、删除教师信息，重置教师登录系统密码，按姓名或者工号、所属基地、所属科室查询教师信息，导入、导出教师清单。并可以设置师资的职称，不同职称的师资主持活动、带教、参与培训等任务可设置不同的津贴费用。</w:t>
            </w:r>
          </w:p>
          <w:p w14:paraId="35D4305E">
            <w:pPr>
              <w:ind w:left="400"/>
              <w:rPr>
                <w:rFonts w:hint="eastAsia" w:ascii="宋体" w:hAnsi="宋体" w:eastAsia="宋体" w:cs="宋体"/>
                <w:color w:val="auto"/>
                <w:kern w:val="2"/>
                <w:sz w:val="24"/>
                <w:szCs w:val="24"/>
                <w:highlight w:val="none"/>
              </w:rPr>
            </w:pPr>
          </w:p>
          <w:p w14:paraId="1E07922A">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轮转大纲和轮转要求管理</w:t>
            </w:r>
          </w:p>
          <w:p w14:paraId="69768B00">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可以按教学大纲要求生成轮转表，轮转表可以统一导出，学员可以在微信小程序查看轮转信息。</w:t>
            </w:r>
          </w:p>
          <w:p w14:paraId="0695B83E">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能够按培训细则的要求进行各专业的轮转计划的自动安排，并进行相关管理。</w:t>
            </w:r>
          </w:p>
          <w:p w14:paraId="074C7278">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按国家培训细则各专业要求的标准病种名称、操作名称、手术名称及其相关数量要求、时间要求建立培训要求数据库。</w:t>
            </w:r>
          </w:p>
          <w:p w14:paraId="460DCA4D">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将国家培训细则各专业要求的标准病种名称、操作名称、手术名称与医院的实际病种名称、操作名称、手术名称进行对应，并按科室的不同轮转次数进行数量分层设置要求。与医院HIS对接，读取国家培训细则各专业要求的病种名称、操作名称、手术名称的训练的相关信息，并自动按国家培训细则要求进行比对。</w:t>
            </w:r>
          </w:p>
          <w:p w14:paraId="0DE7B03E">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分专业、科室设置教学活动最低要求。</w:t>
            </w:r>
          </w:p>
          <w:p w14:paraId="5A30F6E9">
            <w:pPr>
              <w:ind w:left="402"/>
              <w:rPr>
                <w:rFonts w:hint="eastAsia" w:ascii="宋体" w:hAnsi="宋体" w:eastAsia="宋体" w:cs="宋体"/>
                <w:color w:val="auto"/>
                <w:kern w:val="2"/>
                <w:sz w:val="24"/>
                <w:szCs w:val="24"/>
                <w:highlight w:val="none"/>
              </w:rPr>
            </w:pPr>
          </w:p>
          <w:p w14:paraId="23B44100">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轮转计划：可对住培学员的轮转计划进行管理</w:t>
            </w:r>
          </w:p>
          <w:p w14:paraId="3C23F1E8">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导入和导出轮转排班表，导出起始时间未轮转学员，清空所选轮转。</w:t>
            </w:r>
          </w:p>
          <w:p w14:paraId="7EA050C1">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在网页和微信小程序中都能够对轮转科室的带教老师进行分配。</w:t>
            </w:r>
          </w:p>
          <w:p w14:paraId="0FCB171D">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对轮转计划有异动情况的学员可以进行轮转延期或请假等操作标识。</w:t>
            </w:r>
          </w:p>
          <w:p w14:paraId="3EC42569">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可以查看到带教统计信息：每月的带教分配情况</w:t>
            </w:r>
          </w:p>
          <w:p w14:paraId="18A01AD8">
            <w:pPr>
              <w:ind w:left="402"/>
              <w:rPr>
                <w:rFonts w:hint="eastAsia" w:ascii="宋体" w:hAnsi="宋体" w:eastAsia="宋体" w:cs="宋体"/>
                <w:color w:val="auto"/>
                <w:kern w:val="2"/>
                <w:sz w:val="24"/>
                <w:szCs w:val="24"/>
                <w:highlight w:val="none"/>
              </w:rPr>
            </w:pPr>
          </w:p>
          <w:p w14:paraId="60D195DF">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活动管理：对教学活动进行管理</w:t>
            </w:r>
          </w:p>
          <w:p w14:paraId="4BC45E2A">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教学活动计划管理：按照年份与专业可以设置教学活动，结合设置的教学活动费用可以生成预算情况。</w:t>
            </w:r>
          </w:p>
          <w:p w14:paraId="4DC50F35">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对活动的时间、地点、主讲人可以进行精确的管理，月内修改信息需要进行审核；对应的活动类型可以自动关联评价表，活动异动有记录，对活动所需上传文件与签到情况可以进行自动审核。</w:t>
            </w:r>
          </w:p>
          <w:p w14:paraId="0C6FF30B">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在微信小程序中，非主讲人可以报名参与活动，主讲人可出示签到、签退码在活动开始前和结束时用于参与活动的人员签到和签退，活动参与人员完成签退后可对活动进行评价。</w:t>
            </w:r>
          </w:p>
          <w:p w14:paraId="0BF27BF0">
            <w:pPr>
              <w:ind w:left="400"/>
              <w:rPr>
                <w:rFonts w:hint="eastAsia" w:ascii="宋体" w:hAnsi="宋体" w:eastAsia="宋体" w:cs="宋体"/>
                <w:color w:val="auto"/>
                <w:kern w:val="2"/>
                <w:sz w:val="24"/>
                <w:szCs w:val="24"/>
                <w:highlight w:val="none"/>
              </w:rPr>
            </w:pPr>
          </w:p>
          <w:p w14:paraId="4D2F63D6">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项目管理：用于查看和报名项目。</w:t>
            </w:r>
          </w:p>
          <w:p w14:paraId="78EE513D">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项目可以用于创建常用的事务性工作，如临时性事物服务，设置或导入场次的日期，可报名人数，起止时间等。</w:t>
            </w:r>
          </w:p>
          <w:p w14:paraId="2E5BDCC2">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项目可以是单次的也可以是多次，参与学习对象可以指定或者圈定内自由预约。</w:t>
            </w:r>
          </w:p>
          <w:p w14:paraId="4CA976E7">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项目管理模块可按项目名称、项目状态查询现有项目，新增项目，导入场次，设置签到签退二维码，参加人员，查看评价，导出项目列表，删除项目，导出场次人员，审核项目等功能。</w:t>
            </w:r>
          </w:p>
          <w:p w14:paraId="624747FB">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在微信小程序中，用于查看和报名项目，主讲人可出示签到、签退码，用于活动开始前和结束时使用，让报名参与人员扫码签到、签退，活动参与人员完成签退后可对活动进行评价。</w:t>
            </w:r>
          </w:p>
          <w:p w14:paraId="1532F8F4">
            <w:pPr>
              <w:ind w:left="400"/>
              <w:rPr>
                <w:rFonts w:hint="eastAsia" w:ascii="宋体" w:hAnsi="宋体" w:eastAsia="宋体" w:cs="宋体"/>
                <w:color w:val="auto"/>
                <w:kern w:val="2"/>
                <w:sz w:val="24"/>
                <w:szCs w:val="24"/>
                <w:highlight w:val="none"/>
              </w:rPr>
            </w:pPr>
          </w:p>
          <w:p w14:paraId="4C1D8E94">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督导管理：组织和执行督导</w:t>
            </w:r>
          </w:p>
          <w:p w14:paraId="3C76DEE7">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包含年度督导计划管理，按照每季度完成一次所有专业基地的督导任务生成督导任务</w:t>
            </w:r>
          </w:p>
          <w:p w14:paraId="613ABF0A">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督导任务可设置添加督导组长、督导组员、督导评分表、附件。并为督导评分表内各评估项设置督导组员进行评估。完成督导任务后可查看督导结果。</w:t>
            </w:r>
          </w:p>
          <w:p w14:paraId="6AB9C09F">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小程序中可以分类查看全部督导、督导我的、我督导的督导任务，督导组长可通过小程序出示签到、签退码，督导组员可通过扫码组长的签到、签退码，进行签到、签退操作。被督导专业基地人员及督导组成员可以查看到督导任务附件，督导组员，评分表，评分表根据不同的评分项分类显示评分项，评分项内容包含评估方式、评估标准、扣分原因、分值、得分、评估人等信息。评分项只能由被指定的督导人进行评分，其他人员只能查看；督导组员查看当前督导任务的签到情况；附件查看该督导的附件，可上传图片和视频格式的文件，并可以下载，查看附件文件，后台可以上传其他类型附件。</w:t>
            </w:r>
          </w:p>
          <w:p w14:paraId="3DD0FC5C">
            <w:pPr>
              <w:ind w:left="400"/>
              <w:rPr>
                <w:rFonts w:hint="eastAsia" w:ascii="宋体" w:hAnsi="宋体" w:eastAsia="宋体" w:cs="宋体"/>
                <w:color w:val="auto"/>
                <w:kern w:val="2"/>
                <w:sz w:val="24"/>
                <w:szCs w:val="24"/>
                <w:highlight w:val="none"/>
              </w:rPr>
            </w:pPr>
          </w:p>
          <w:p w14:paraId="4969F215">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360管理：进行360评估。</w:t>
            </w:r>
          </w:p>
          <w:p w14:paraId="7E871C2A">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能根据不同角色，创建360评估关系，评估关系包含单向评估和双向互评。</w:t>
            </w:r>
          </w:p>
          <w:p w14:paraId="5BEF252D">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创建评估表是可设置改评估表的评估关系，创建评估任务，可自动按照评估关系查询专业基地内的角色的用户，生成所有用户评估表。包含住培学员对护理人员，住培学员对培训基地，住培学员对轮转科室，住培学员对科室带教老师，住培学员对全程导师，科室带教老师对住培学员，全程导师对住培学员，护理人员对住培学员的评估关系自动生成，不需要逐个将评价师资与学员选择配对以形成结对关系，体现了整个系统的互联互通，基于学员到科室报到时教学秘书给其分配的临床带教关系，直接按要求生成各种规定的评估关系及其评估表。</w:t>
            </w:r>
          </w:p>
          <w:p w14:paraId="57106EA7">
            <w:pPr>
              <w:ind w:left="402"/>
              <w:rPr>
                <w:rFonts w:hint="eastAsia" w:ascii="宋体" w:hAnsi="宋体" w:eastAsia="宋体" w:cs="宋体"/>
                <w:color w:val="auto"/>
                <w:kern w:val="2"/>
                <w:sz w:val="24"/>
                <w:szCs w:val="24"/>
                <w:highlight w:val="none"/>
              </w:rPr>
            </w:pPr>
          </w:p>
          <w:p w14:paraId="7ED80B87">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形成性评价：</w:t>
            </w:r>
          </w:p>
          <w:p w14:paraId="45D7109C">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在分配带教时，生成学员与老师之间的形成性评价。</w:t>
            </w:r>
          </w:p>
          <w:p w14:paraId="1404B96A">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创建评估表是可设置改评估表的评估关系，创建评估任务，可自动按照评估关系查询专业基地内的角色的用户，生成所有用户评估表完成科室带教老师对住培学员的形成性评价，基于学员到科室报到时教学秘书给其分配的临床带教关系，直接按要求生成各种规定的评估关系及其评估表。</w:t>
            </w:r>
          </w:p>
          <w:p w14:paraId="14589DF2">
            <w:pPr>
              <w:ind w:left="400"/>
              <w:rPr>
                <w:rFonts w:hint="eastAsia" w:ascii="宋体" w:hAnsi="宋体" w:eastAsia="宋体" w:cs="宋体"/>
                <w:color w:val="auto"/>
                <w:kern w:val="2"/>
                <w:sz w:val="24"/>
                <w:szCs w:val="24"/>
                <w:highlight w:val="none"/>
              </w:rPr>
            </w:pPr>
          </w:p>
          <w:p w14:paraId="6E7A1D65">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线上视频培训：提供一个以多媒体为载体的集中教学、训练、考核为一体的重要教育手段。</w:t>
            </w:r>
          </w:p>
          <w:p w14:paraId="0CC55D31">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主要分视频学习、试卷作答、线下训练、提交线上录像作业、视频考核等五个环节，这五个环节可以任意取舍，组成一个闭环教学活动。</w:t>
            </w:r>
          </w:p>
          <w:p w14:paraId="325E0265">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试卷试题来源于系统的试题库，可以查看考试成绩。</w:t>
            </w:r>
          </w:p>
          <w:p w14:paraId="340E71A0">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线下训练可以记录训练时长，作业可以被非现场打分。</w:t>
            </w:r>
          </w:p>
          <w:p w14:paraId="362F5FE6">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学生可以看到自己专业的培训方案，报名后可查看方案各阶段对应的项目，项目内设置多个流程，各项目需要完成上一流程才能进行下一流程。</w:t>
            </w:r>
          </w:p>
          <w:p w14:paraId="7A900354">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流程类型有提交练习视频、提交考试视频、看视频预习、试卷作答考试、线下培训。提交练习视频和提交考试视频均为上传视频文件，上传后由多位老师进行打分评价，通过评价后完成流程，未通过则重新上传视频，提交后可查看打分详情，也能查看到历史打分记录。看视频预习，是通过学习项目的教学视频，达到指定的观看时长后完成流程。试卷作答考试，通过考试系统生成试卷，完成试卷作答后，完成流程。线下培训，需指定一场培训活动，学员参加培训完成签到签退后，完成流程。</w:t>
            </w:r>
          </w:p>
          <w:p w14:paraId="364DC3C0">
            <w:pPr>
              <w:ind w:left="400"/>
              <w:rPr>
                <w:rFonts w:hint="eastAsia" w:ascii="宋体" w:hAnsi="宋体" w:eastAsia="宋体" w:cs="宋体"/>
                <w:color w:val="auto"/>
                <w:kern w:val="2"/>
                <w:sz w:val="24"/>
                <w:szCs w:val="24"/>
                <w:highlight w:val="none"/>
              </w:rPr>
            </w:pPr>
          </w:p>
          <w:p w14:paraId="0E165458">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经费管理：实现对住培经费的预算规划和发放管理。</w:t>
            </w:r>
          </w:p>
          <w:p w14:paraId="65EFF21A">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根据业务与财务融合的原则，全面实行预算管理，全年按项目分层级分配预算到各个执行主体，由各主体分别使用，各个项目可以根据活动与职能执行情况，快速生成发放清单，节省人工。</w:t>
            </w:r>
          </w:p>
          <w:p w14:paraId="7A024E63">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现以财务的使用情况来督促是事务的执行进展。包括一、二级经费类型维护；经费项目管理，设计经费项目可设置能该项申报预算专业、审批人等、参与该经费项目的角色以及角色的劳务计算方式；年度的预算总额设置、剩余经费查看；各专业基地可根据经费项目申报，经费管理发放管理人员审核通过后，专业基地增加相应项目的预算额度，用于创建举办相关活动时使用，以及预算执行情况查看等。</w:t>
            </w:r>
          </w:p>
          <w:p w14:paraId="3FD12378">
            <w:pPr>
              <w:ind w:left="400"/>
              <w:rPr>
                <w:rFonts w:hint="eastAsia" w:ascii="宋体" w:hAnsi="宋体" w:eastAsia="宋体" w:cs="宋体"/>
                <w:color w:val="auto"/>
                <w:kern w:val="2"/>
                <w:sz w:val="24"/>
                <w:szCs w:val="24"/>
                <w:highlight w:val="none"/>
              </w:rPr>
            </w:pPr>
          </w:p>
          <w:p w14:paraId="297EA435">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排班打卡：按照排班班次的时间打卡。</w:t>
            </w:r>
          </w:p>
          <w:p w14:paraId="5866A8C1">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科室管理员可以自行导入或在线排班，数据可以统一导出。</w:t>
            </w:r>
          </w:p>
          <w:p w14:paraId="736352FA">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老师学生小程序可查看排班情况。支持定位考勤打卡，与排班相配对。考勤情况通过表格形式呈现。</w:t>
            </w:r>
          </w:p>
          <w:p w14:paraId="57C6D74D">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打卡：通过后台设置科室打卡地点及生成排班表后，学员通过小程序可进行定位，判断打卡，判断冬夏时令，可设置多个打卡地点，会计算出距离打卡地最近位置进行打卡，超出后台设定的打卡距离则无法打卡，展示打卡状态、班次时间、打卡键、位置、打卡地距离等信息。</w:t>
            </w:r>
          </w:p>
          <w:p w14:paraId="431657EE">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查看排班用于展示排班记录便于查看考勤信息，可查看打卡记录用于查看打卡记录和整月的打卡次数（正常、缺卡、迟到、早退，请假），每一次打卡都会添加一条打卡记录数据（打卡时间、地点、状态、班次等）。</w:t>
            </w:r>
          </w:p>
          <w:p w14:paraId="103BEB13">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申请可申请病假、事假、年假等请假类型（请假类型、开始时间、结束时间、时长、理由等），换班申请用于两个人的班次互换申请；每次申请都会产生申请记录，可查看申请的审批状态（审批中、通过、失败）、时间、换班人等信息。</w:t>
            </w:r>
          </w:p>
          <w:p w14:paraId="7E92E5E1">
            <w:pPr>
              <w:ind w:left="400"/>
              <w:rPr>
                <w:rFonts w:hint="eastAsia" w:ascii="宋体" w:hAnsi="宋体" w:eastAsia="宋体" w:cs="宋体"/>
                <w:color w:val="auto"/>
                <w:kern w:val="2"/>
                <w:sz w:val="24"/>
                <w:szCs w:val="24"/>
                <w:highlight w:val="none"/>
              </w:rPr>
            </w:pPr>
          </w:p>
          <w:p w14:paraId="286074A6">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请假：学员但对于排班的日期，可以进行请假。个人申请，支持流程化审批管理，最后进入排班，个人请假天数汇总。</w:t>
            </w:r>
          </w:p>
          <w:p w14:paraId="5DC9E645">
            <w:pPr>
              <w:ind w:left="400"/>
              <w:rPr>
                <w:rFonts w:hint="eastAsia" w:ascii="宋体" w:hAnsi="宋体" w:eastAsia="宋体" w:cs="宋体"/>
                <w:color w:val="auto"/>
                <w:kern w:val="2"/>
                <w:sz w:val="24"/>
                <w:szCs w:val="24"/>
                <w:highlight w:val="none"/>
              </w:rPr>
            </w:pPr>
          </w:p>
          <w:p w14:paraId="6D99253A">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实现对系统的配置数据管理：系统各类初始设置包括每月确认考勤设置、绩效设置、执业医证书审批设置、经费发放审批设置、小程序设置，系统角色权限管理等功能模块。</w:t>
            </w:r>
          </w:p>
          <w:p w14:paraId="4D55F38B">
            <w:pPr>
              <w:rPr>
                <w:rFonts w:hint="eastAsia" w:ascii="宋体" w:hAnsi="宋体" w:eastAsia="宋体" w:cs="宋体"/>
                <w:color w:val="auto"/>
                <w:kern w:val="2"/>
                <w:sz w:val="24"/>
                <w:szCs w:val="24"/>
                <w:highlight w:val="none"/>
              </w:rPr>
            </w:pPr>
          </w:p>
          <w:p w14:paraId="03187B98">
            <w:pPr>
              <w:numPr>
                <w:ilvl w:val="2"/>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小程序其余功能</w:t>
            </w:r>
          </w:p>
          <w:p w14:paraId="7BBEB0AF">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价：用户可对参与的活动、360评估、项目进行评价。学员可对主讲人评价打分，主讲人可对参与人员进行评价打分，评价分为待评价、已评价、对我的评价等（展示活动类型、名称、开始时间、截止时间、评价人、被评价人等信息），活动结束后可对活动评分和提交一件等。</w:t>
            </w:r>
          </w:p>
          <w:p w14:paraId="6A940A0F">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我的结对：可全程导师可查看到被分配给自己的学员，并可以同意或拒绝结对。结对后可查看的结对学员信息（展示学员姓名、工号、专业基地等）。</w:t>
            </w:r>
          </w:p>
          <w:p w14:paraId="1987A8E9">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的面谈：学员可以提交面谈记录，包含时间、地点、内容以及图片，如果当月没有提交面谈记录可以填写提交面谈记录。全程导师需要审核结对，通过后学生可提交面谈记录。学员提交面谈记录后可撤回和修改记录，全程导师可对提交的面谈记录进行审核。</w:t>
            </w:r>
          </w:p>
          <w:p w14:paraId="7F5B9DC5">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修改密码：修改当前用户账户的登录密码。</w:t>
            </w:r>
          </w:p>
          <w:p w14:paraId="65A4A475">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个人信息：查看个人信息。</w:t>
            </w:r>
          </w:p>
          <w:p w14:paraId="29D696C3">
            <w:pPr>
              <w:numPr>
                <w:ilvl w:val="3"/>
                <w:numId w:val="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证书上传：上传本人获得的证书进行审核。</w:t>
            </w:r>
          </w:p>
          <w:p w14:paraId="1A3930EE">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登录、登出：通过账号密码进行登录和登出当前账号。</w:t>
            </w:r>
          </w:p>
          <w:p w14:paraId="65696F4B">
            <w:pPr>
              <w:rPr>
                <w:rFonts w:hint="eastAsia" w:ascii="宋体" w:hAnsi="宋体" w:eastAsia="宋体" w:cs="宋体"/>
                <w:color w:val="auto"/>
                <w:kern w:val="2"/>
                <w:sz w:val="24"/>
                <w:szCs w:val="24"/>
                <w:highlight w:val="none"/>
              </w:rPr>
            </w:pPr>
          </w:p>
        </w:tc>
      </w:tr>
      <w:tr w14:paraId="3779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680D9317">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学员绩效需求</w:t>
            </w:r>
          </w:p>
        </w:tc>
        <w:tc>
          <w:tcPr>
            <w:tcW w:w="3317" w:type="pct"/>
            <w:noWrap w:val="0"/>
            <w:vAlign w:val="top"/>
          </w:tcPr>
          <w:p w14:paraId="5871B18E">
            <w:pPr>
              <w:numPr>
                <w:ilvl w:val="2"/>
                <w:numId w:val="3"/>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管理对象不同分别各自建立业绩考核体系，进行相关管理操作。学员的考核按月进行，考核依据是工作能力，轮转要求达标情况，参加教学培训情况，出科考试成绩、评价情况、以及科室认定表现，从系统的各个方面按规则自动读取数据，按设定规则合成数据，实现全自动生成。</w:t>
            </w:r>
          </w:p>
          <w:p w14:paraId="45545ABE">
            <w:pPr>
              <w:numPr>
                <w:ilvl w:val="2"/>
                <w:numId w:val="3"/>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学员的绩效类型管理：学生审核选项管理（执业医师注册证、执业医师资格证），并可以设置各种绩效奖惩类型和上限分数。</w:t>
            </w:r>
          </w:p>
          <w:p w14:paraId="36711873">
            <w:pPr>
              <w:numPr>
                <w:ilvl w:val="2"/>
                <w:numId w:val="3"/>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可对学员的绩效进行管理维护：学员要求按工作能力、工作表现、参加教学活动、考试考核质量、360评价进行等价考核，直接在系统读取各类指标的数值，并按二次分配的原则进行绩效分配考核。</w:t>
            </w:r>
          </w:p>
          <w:p w14:paraId="508914D0">
            <w:pPr>
              <w:rPr>
                <w:rFonts w:hint="eastAsia" w:ascii="宋体" w:hAnsi="宋体" w:eastAsia="宋体" w:cs="宋体"/>
                <w:color w:val="auto"/>
                <w:kern w:val="2"/>
                <w:sz w:val="24"/>
                <w:szCs w:val="24"/>
                <w:highlight w:val="none"/>
              </w:rPr>
            </w:pPr>
          </w:p>
        </w:tc>
      </w:tr>
      <w:tr w14:paraId="6BB6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51449F6E">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师资绩效需求</w:t>
            </w:r>
          </w:p>
        </w:tc>
        <w:tc>
          <w:tcPr>
            <w:tcW w:w="3317" w:type="pct"/>
            <w:noWrap w:val="0"/>
            <w:vAlign w:val="top"/>
          </w:tcPr>
          <w:p w14:paraId="4B1484EB">
            <w:pPr>
              <w:numPr>
                <w:ilvl w:val="2"/>
                <w:numId w:val="4"/>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管理对象不同分别各自建立业绩考核体系，进行相关管理操作。学员的考核按月进行，考核依据是工作能力，轮转要求达标情况，参加教学培训情况，出科考试成绩、评价情况、以及科室认定表现，从系统的各个方面按规则自动读取数据，按设定规则合成数据，实现全自动生成。师资绩效根据师资角色完成的任务情况进行计算，如带教老师的互评，督导组员参与督导次数等。</w:t>
            </w:r>
          </w:p>
          <w:p w14:paraId="42A28F03">
            <w:pPr>
              <w:numPr>
                <w:ilvl w:val="2"/>
                <w:numId w:val="4"/>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可对师资的绩效进行管理维护：师资按工作量考核与工作业绩考核两条线路，按师资的培训、工作质量、工作量、工作角色进行等效换算后，自动纳入业绩考核。</w:t>
            </w:r>
          </w:p>
          <w:p w14:paraId="0D49AD01">
            <w:pPr>
              <w:rPr>
                <w:rFonts w:hint="eastAsia" w:ascii="宋体" w:hAnsi="宋体" w:eastAsia="宋体" w:cs="宋体"/>
                <w:color w:val="auto"/>
                <w:kern w:val="2"/>
                <w:sz w:val="24"/>
                <w:szCs w:val="24"/>
                <w:highlight w:val="none"/>
              </w:rPr>
            </w:pPr>
          </w:p>
        </w:tc>
      </w:tr>
      <w:tr w14:paraId="2655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56F99E2D">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质量管理需求</w:t>
            </w:r>
          </w:p>
        </w:tc>
        <w:tc>
          <w:tcPr>
            <w:tcW w:w="3317" w:type="pct"/>
            <w:noWrap w:val="0"/>
            <w:vAlign w:val="top"/>
          </w:tcPr>
          <w:p w14:paraId="49A22C35">
            <w:pPr>
              <w:numPr>
                <w:ilvl w:val="2"/>
                <w:numId w:val="5"/>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从专业，科室，学员，师资四个角度，对于活动内容进行完成与总数的统计分析。</w:t>
            </w:r>
          </w:p>
          <w:p w14:paraId="383B1B3F">
            <w:pPr>
              <w:numPr>
                <w:ilvl w:val="2"/>
                <w:numId w:val="5"/>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可以查看活动的要求数量，创建情况与完成情况。</w:t>
            </w:r>
          </w:p>
          <w:p w14:paraId="36D1F53D">
            <w:pPr>
              <w:rPr>
                <w:rFonts w:hint="eastAsia" w:ascii="宋体" w:hAnsi="宋体" w:eastAsia="宋体" w:cs="宋体"/>
                <w:color w:val="auto"/>
                <w:kern w:val="2"/>
                <w:sz w:val="24"/>
                <w:szCs w:val="24"/>
                <w:highlight w:val="none"/>
              </w:rPr>
            </w:pPr>
          </w:p>
        </w:tc>
      </w:tr>
      <w:tr w14:paraId="151B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1B27E2A3">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严考训理论考试需求</w:t>
            </w:r>
          </w:p>
        </w:tc>
        <w:tc>
          <w:tcPr>
            <w:tcW w:w="3317" w:type="pct"/>
            <w:noWrap w:val="0"/>
            <w:vAlign w:val="top"/>
          </w:tcPr>
          <w:p w14:paraId="1990FA4A">
            <w:pPr>
              <w:numPr>
                <w:ilvl w:val="2"/>
                <w:numId w:val="6"/>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信息管理：对考生，师资，教务的信息进行管理，例如学员得到入训年月，所属专业等。</w:t>
            </w:r>
          </w:p>
          <w:p w14:paraId="3CE6E214">
            <w:pPr>
              <w:numPr>
                <w:ilvl w:val="2"/>
                <w:numId w:val="6"/>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线上理论考试：在指定的时间范围、学科专业范围组织线上考试。</w:t>
            </w:r>
          </w:p>
          <w:p w14:paraId="574F84A4">
            <w:pPr>
              <w:numPr>
                <w:ilvl w:val="2"/>
                <w:numId w:val="6"/>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成绩分析：可以对多场考试的学员成绩进行分析，通过计算标准分对学员进行排名。</w:t>
            </w:r>
          </w:p>
          <w:p w14:paraId="1471408D">
            <w:pPr>
              <w:numPr>
                <w:ilvl w:val="2"/>
                <w:numId w:val="6"/>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员的专项项目管理：将学员划入不同专项批次，并可以关联模拟考成绩，通过对多轮模拟考试成绩分析，将学员划分出不同的水平等级。可智能组合多种查询条件（包含“与，或”查询分组），对批次内学员基础信息和各轮模拟考原始分、标准分、排名进行查询（查询条件不少于：等于、不等于、大于、大于等于、小于、小于等于、包含、不包含、为空、不为空、以…开头、以…结尾、现有数据列表筛选）</w:t>
            </w:r>
          </w:p>
          <w:p w14:paraId="77DA10E8">
            <w:pPr>
              <w:rPr>
                <w:rFonts w:hint="eastAsia" w:ascii="宋体" w:hAnsi="宋体" w:eastAsia="宋体" w:cs="宋体"/>
                <w:color w:val="auto"/>
                <w:kern w:val="2"/>
                <w:sz w:val="24"/>
                <w:szCs w:val="24"/>
                <w:highlight w:val="none"/>
              </w:rPr>
            </w:pPr>
          </w:p>
        </w:tc>
      </w:tr>
      <w:tr w14:paraId="1C9D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41D673DC">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题库系统需求</w:t>
            </w:r>
          </w:p>
        </w:tc>
        <w:tc>
          <w:tcPr>
            <w:tcW w:w="3317" w:type="pct"/>
            <w:noWrap w:val="0"/>
            <w:vAlign w:val="top"/>
          </w:tcPr>
          <w:p w14:paraId="2912C62B">
            <w:pPr>
              <w:numPr>
                <w:ilvl w:val="2"/>
                <w:numId w:val="7"/>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理论题库的管理：用于维护不同专业、学科的题库，试题除了包含难度、题型、区分度、知识点、认知能力、大纲要求等属性，可通过本文文件快速导入试题。</w:t>
            </w:r>
          </w:p>
          <w:p w14:paraId="32674D4A">
            <w:pPr>
              <w:numPr>
                <w:ilvl w:val="2"/>
                <w:numId w:val="7"/>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题库权限的管理：应支持多级的功能模块权限和数据范围权限设置，可灵活设置不同专业，科室可以查看、维护试题和试卷的范围。包含住培、护理、药学、检验等三基试题。</w:t>
            </w:r>
          </w:p>
          <w:p w14:paraId="563239D4">
            <w:pPr>
              <w:numPr>
                <w:ilvl w:val="2"/>
                <w:numId w:val="7"/>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使用题库抽题进行试卷组卷：支持从题库中按不同题型、难度、专业分组设置抽题数量进行随机抽题组卷（如呼吸内科、A1题型、中等难度，抽取30题；呼吸内科、A3/A4型题、简单难度，抽取20题组成试卷，每次生成试卷都从题库中随机抽取符合要求的试题进行组卷）。支持手动选择题库试卷进行组卷；试卷生成速度应能达到100道单选试题的试卷能在1秒能生成。</w:t>
            </w:r>
          </w:p>
          <w:p w14:paraId="64512821">
            <w:pPr>
              <w:numPr>
                <w:ilvl w:val="2"/>
                <w:numId w:val="7"/>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按照模块内容提供相应的考试试卷方案。</w:t>
            </w:r>
          </w:p>
          <w:p w14:paraId="56B37C0D">
            <w:pPr>
              <w:numPr>
                <w:ilvl w:val="2"/>
                <w:numId w:val="7"/>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域管理：可以设置多级域，域内可以设置不同的角色，使不同的用户对于不同的专业、板块拥有不同的权限，并且限制试题或试卷方案的查看范围。</w:t>
            </w:r>
            <w:r>
              <w:rPr>
                <w:rFonts w:hint="eastAsia" w:ascii="宋体" w:hAnsi="宋体" w:eastAsia="宋体" w:cs="宋体"/>
                <w:color w:val="auto"/>
                <w:kern w:val="0"/>
                <w:sz w:val="24"/>
                <w:szCs w:val="24"/>
                <w:highlight w:val="none"/>
              </w:rPr>
              <w:t xml:space="preserve"> </w:t>
            </w:r>
          </w:p>
          <w:p w14:paraId="5193BDF4">
            <w:pPr>
              <w:rPr>
                <w:rFonts w:hint="eastAsia" w:ascii="宋体" w:hAnsi="宋体" w:eastAsia="宋体" w:cs="宋体"/>
                <w:color w:val="auto"/>
                <w:kern w:val="2"/>
                <w:sz w:val="24"/>
                <w:szCs w:val="24"/>
                <w:highlight w:val="none"/>
              </w:rPr>
            </w:pPr>
          </w:p>
        </w:tc>
      </w:tr>
      <w:tr w14:paraId="5275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0D92D340">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技能中心需求</w:t>
            </w:r>
          </w:p>
        </w:tc>
        <w:tc>
          <w:tcPr>
            <w:tcW w:w="3317" w:type="pct"/>
            <w:noWrap w:val="0"/>
            <w:vAlign w:val="top"/>
          </w:tcPr>
          <w:p w14:paraId="25544B71">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场地管理：用于技能中心管理员管理考站场地。场地包含名称、支持培训项目、所在位置（楼、层、房间）、场地有哪些硬件、设施、模型。</w:t>
            </w:r>
          </w:p>
          <w:p w14:paraId="5A8A7B8A">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班级管理：用于师资管理班级，可设置班级名称、班级人数、所属教室、班级学员。</w:t>
            </w:r>
          </w:p>
          <w:p w14:paraId="47625933">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评分项管理：技能中心管理员设置学生评师资、考生评师资、师资评考生等评分项.</w:t>
            </w:r>
          </w:p>
          <w:p w14:paraId="50DE2E19">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学员管理：用于技能中心管理员管理维护学员信息。</w:t>
            </w:r>
          </w:p>
          <w:p w14:paraId="0B1C3D0F">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师资账号：用于技能中心管理员管理维护师资账号。</w:t>
            </w:r>
          </w:p>
          <w:p w14:paraId="50A861BF">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教务管理账号：用于技能中心超管管理维护技能中心管理员账号。</w:t>
            </w:r>
          </w:p>
          <w:p w14:paraId="3FD844F9">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考试列表：用于技能中心管理员、师资查看考试列表，显示考试的名称、老师、作业信息等。</w:t>
            </w:r>
          </w:p>
          <w:p w14:paraId="437D3406">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课程申请：用于技能中心管理员审批学员和师资的课程、训练预约申请。</w:t>
            </w:r>
          </w:p>
          <w:p w14:paraId="67B1CC49">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课程管理：用于专业基地管理员管理各科室的课程，包含课程名称、课程分数、课程类型（培训、练习）、课程教材（文本、视频）。</w:t>
            </w:r>
          </w:p>
          <w:p w14:paraId="171B3B60">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课程时间设置：用于技能中心管理员设置每日可以申请上课的时间段。</w:t>
            </w:r>
          </w:p>
          <w:p w14:paraId="6DE060C4">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硬件管理：用于技能中心管理员管理硬件。硬件包含硬件名称、硬件型号、供应商、所属分类、总数量、可借出数量、借出数量和使用详情等属性。使用详情中可以查看到具体的每个硬件的当前状态和使用情况。</w:t>
            </w:r>
          </w:p>
          <w:p w14:paraId="3E908FE1">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模型管理：用于技能中心管理员管理模型。模型包含模型名称、模型型号、供应商、所属分类、总数量、可租借数量、借出数量、模型教学视频、使用详情等属性。使用详情中可以查看到具体的每个模型的当前状态和使用情况。</w:t>
            </w:r>
          </w:p>
          <w:p w14:paraId="7DE4AC7C">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设备管理：用于技能中心管理员管理设备。设备包含设备名称、设备型号、供应商、所属分类、总数量、可借出数量、借出数量和使用详情等属性。使用详情中可以查看到具体的每个设备的当前状态和使用情况。</w:t>
            </w:r>
          </w:p>
          <w:p w14:paraId="0EB59FD9">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易耗品管理：用于技能中心管理员管理易耗品。易耗品包含名称、型号、易耗品单位、所属分类、供应商、库存、题型数量、价格等属性。</w:t>
            </w:r>
          </w:p>
          <w:p w14:paraId="664053B5">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物资分类：用于技能中心管理员管理设备、硬件、模型、易耗品的分类名称。</w:t>
            </w:r>
          </w:p>
          <w:p w14:paraId="616613BC">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厂商管理：用于技能中心管理员管理物资的厂商信息。</w:t>
            </w:r>
          </w:p>
          <w:p w14:paraId="12ADEBBC">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源使用情况查询：用于技能中心管理员查看模型、设备、硬件、消耗品、场地的使用情况。①场地：用于技能中心管理员查看指定时间段内个场地的预约使用情况。②模型：模型统计，统计使用记录、外借记录、维修记录、维护记录，可根据日期和名称筛选数据，可查看具体的使用记录和维修记录。③设备统计，统计使用记录、外借记录、维修记录、维护记录，可根据日期和名称筛选数据，可查看具体的使用记录和维修记录。④设备统计，统计使用记录、外借记录、维修记录、维护记录，可根据日期和名称筛选数据，可查看具体的使用记录和维修记录。⑤统计消耗品的使用数量，可查看详细信息。</w:t>
            </w:r>
          </w:p>
          <w:p w14:paraId="58E74A6C">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师资列表：用于技能中心管理员查看所有师资的基础信息和课程排课情况。</w:t>
            </w:r>
          </w:p>
          <w:p w14:paraId="2FC38ADC">
            <w:pPr>
              <w:numPr>
                <w:ilvl w:val="2"/>
                <w:numId w:val="8"/>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系统管理：用于维护系统的基础信息；①用于维护登录系统的用户，根据分配的不同的角色展示不同的菜单；②操作日志：用于查考所有登录用户的增删改查等操作记录；③系统配置：用于维护系统一些功能权限或展示的数据等，根据备注进行修改即可；④角色管理：用于维护系统角色以及角色的菜单权限分配；⑤菜单管理：用于维护系统的所有菜单。</w:t>
            </w:r>
          </w:p>
          <w:p w14:paraId="3874BF03">
            <w:pPr>
              <w:rPr>
                <w:rFonts w:hint="eastAsia" w:ascii="宋体" w:hAnsi="宋体" w:eastAsia="宋体" w:cs="宋体"/>
                <w:color w:val="auto"/>
                <w:kern w:val="2"/>
                <w:sz w:val="24"/>
                <w:szCs w:val="24"/>
                <w:highlight w:val="none"/>
              </w:rPr>
            </w:pPr>
          </w:p>
        </w:tc>
      </w:tr>
      <w:tr w14:paraId="756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123A7FE7">
            <w:pPr>
              <w:jc w:val="center"/>
              <w:rPr>
                <w:rFonts w:ascii="Calibri" w:hAnsi="Calibri" w:eastAsia="宋体" w:cs="Times New Roman"/>
                <w:color w:val="auto"/>
                <w:kern w:val="2"/>
                <w:highlight w:val="none"/>
              </w:rPr>
            </w:pPr>
            <w:r>
              <w:rPr>
                <w:rFonts w:hint="eastAsia" w:ascii="宋体" w:hAnsi="宋体" w:eastAsia="宋体" w:cs="宋体"/>
                <w:b/>
                <w:bCs/>
                <w:color w:val="auto"/>
                <w:kern w:val="0"/>
                <w:sz w:val="24"/>
                <w:szCs w:val="24"/>
                <w:highlight w:val="none"/>
              </w:rPr>
              <w:t>学员移动端</w:t>
            </w:r>
          </w:p>
        </w:tc>
        <w:tc>
          <w:tcPr>
            <w:tcW w:w="3317" w:type="pct"/>
            <w:noWrap w:val="0"/>
            <w:vAlign w:val="top"/>
          </w:tcPr>
          <w:p w14:paraId="0905654C">
            <w:pPr>
              <w:numPr>
                <w:ilvl w:val="2"/>
                <w:numId w:val="9"/>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移动培训：进行移动培训练习，可以报名参加培训方案，观看项目视频达到指定时长后评价项目再进行试卷作答。</w:t>
            </w:r>
          </w:p>
          <w:p w14:paraId="3708AFBD">
            <w:pPr>
              <w:numPr>
                <w:ilvl w:val="2"/>
                <w:numId w:val="9"/>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我的课程：用于查看学员预约的课程，包含待审核，待上课，待上传作业，待评分，已完成分类。学员上完课后等待老师布置作业后，可上传作业，并对课程进行评价。老师评价后可以查看到老师的评价信息。</w:t>
            </w:r>
          </w:p>
          <w:p w14:paraId="779AB30C">
            <w:pPr>
              <w:numPr>
                <w:ilvl w:val="2"/>
                <w:numId w:val="9"/>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我的物料：用于查看学员的物料信息，包含待领取，待返还，已完成的模型、设备、硬件信息。</w:t>
            </w:r>
          </w:p>
          <w:p w14:paraId="4E02B3EC">
            <w:pPr>
              <w:numPr>
                <w:ilvl w:val="2"/>
                <w:numId w:val="9"/>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我的考试：用于查看学员预约的课程，包含待审核，待上课，待上传作业，待评分，已完成分类。</w:t>
            </w:r>
          </w:p>
          <w:p w14:paraId="23747793">
            <w:pPr>
              <w:numPr>
                <w:ilvl w:val="2"/>
                <w:numId w:val="9"/>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我的练习：我的练习包含题库分类、模拟试卷等以供学员练习使用。</w:t>
            </w:r>
          </w:p>
          <w:p w14:paraId="4749217C">
            <w:pPr>
              <w:numPr>
                <w:ilvl w:val="2"/>
                <w:numId w:val="9"/>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设备借用申请：设备借用申请，用户可以申请借用设备。</w:t>
            </w:r>
          </w:p>
          <w:p w14:paraId="6F38497F">
            <w:pPr>
              <w:numPr>
                <w:ilvl w:val="2"/>
                <w:numId w:val="9"/>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扫一扫：用于学员扫码签到。</w:t>
            </w:r>
          </w:p>
          <w:p w14:paraId="7748D19D">
            <w:pPr>
              <w:rPr>
                <w:rFonts w:hint="eastAsia" w:ascii="宋体" w:hAnsi="宋体" w:eastAsia="宋体" w:cs="宋体"/>
                <w:color w:val="auto"/>
                <w:kern w:val="2"/>
                <w:sz w:val="24"/>
                <w:szCs w:val="24"/>
                <w:highlight w:val="none"/>
              </w:rPr>
            </w:pPr>
          </w:p>
        </w:tc>
      </w:tr>
      <w:tr w14:paraId="4243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095C7864">
            <w:pPr>
              <w:jc w:val="center"/>
              <w:rPr>
                <w:rFonts w:ascii="Calibri" w:hAnsi="Calibri" w:eastAsia="宋体" w:cs="Times New Roman"/>
                <w:color w:val="auto"/>
                <w:kern w:val="2"/>
                <w:highlight w:val="none"/>
              </w:rPr>
            </w:pPr>
            <w:r>
              <w:rPr>
                <w:rFonts w:hint="eastAsia" w:ascii="宋体" w:hAnsi="宋体" w:eastAsia="宋体" w:cs="宋体"/>
                <w:b/>
                <w:bCs/>
                <w:color w:val="auto"/>
                <w:kern w:val="0"/>
                <w:sz w:val="24"/>
                <w:szCs w:val="24"/>
                <w:highlight w:val="none"/>
              </w:rPr>
              <w:t>技能中心移动端</w:t>
            </w:r>
          </w:p>
        </w:tc>
        <w:tc>
          <w:tcPr>
            <w:tcW w:w="3317" w:type="pct"/>
            <w:noWrap w:val="0"/>
            <w:vAlign w:val="top"/>
          </w:tcPr>
          <w:p w14:paraId="59F4DF74">
            <w:pPr>
              <w:numPr>
                <w:ilvl w:val="2"/>
                <w:numId w:val="10"/>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物料管理：技能中心管理员可查看当前待领取、待返还的物料信息。并对相关物料申请进行处理。</w:t>
            </w:r>
          </w:p>
          <w:p w14:paraId="096DFC24">
            <w:pPr>
              <w:numPr>
                <w:ilvl w:val="2"/>
                <w:numId w:val="10"/>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扫一扫：通过扫描物资二维码，可对物资进行入库、借出、维修、转移等操作。</w:t>
            </w:r>
          </w:p>
          <w:p w14:paraId="0A438626">
            <w:p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师资移动端:</w:t>
            </w:r>
          </w:p>
          <w:p w14:paraId="19190A06">
            <w:pPr>
              <w:numPr>
                <w:ilvl w:val="2"/>
                <w:numId w:val="11"/>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预约课程：师资可以进行预约培训或考核课程，并设置参加课程的班级。预约时可选择培训或考核课程、设置上可时间，并检查该时间段内是否已经存在其他预约。</w:t>
            </w:r>
          </w:p>
          <w:p w14:paraId="531FE752">
            <w:pPr>
              <w:numPr>
                <w:ilvl w:val="2"/>
                <w:numId w:val="11"/>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我的课程：师资可以查看师资申请中、待上课、布置作业、待评分、已完成的课程。课程时间结束后可布置作业，在学员上传作业后可查看学员上传的作业并进行评分。</w:t>
            </w:r>
          </w:p>
          <w:p w14:paraId="07F70A94">
            <w:pPr>
              <w:numPr>
                <w:ilvl w:val="2"/>
                <w:numId w:val="11"/>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设备借用申请：设备借用申请，用户可以申请借用设备。</w:t>
            </w:r>
          </w:p>
          <w:p w14:paraId="04513519">
            <w:pPr>
              <w:rPr>
                <w:rFonts w:hint="eastAsia" w:ascii="宋体" w:hAnsi="宋体" w:eastAsia="宋体" w:cs="宋体"/>
                <w:color w:val="auto"/>
                <w:kern w:val="2"/>
                <w:sz w:val="24"/>
                <w:szCs w:val="24"/>
                <w:highlight w:val="none"/>
              </w:rPr>
            </w:pPr>
          </w:p>
        </w:tc>
      </w:tr>
      <w:tr w14:paraId="4624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791DAEB9">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接口内容需求</w:t>
            </w:r>
          </w:p>
        </w:tc>
        <w:tc>
          <w:tcPr>
            <w:tcW w:w="3317" w:type="pct"/>
            <w:noWrap w:val="0"/>
            <w:vAlign w:val="top"/>
          </w:tcPr>
          <w:p w14:paraId="728991F4">
            <w:pPr>
              <w:numPr>
                <w:ilvl w:val="2"/>
                <w:numId w:val="1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实现消息通知功能：系统按照不同的流程设置不同的消息提醒，提供消息模板管理、消息发送设置、已发送消息查询等功能。</w:t>
            </w:r>
          </w:p>
          <w:p w14:paraId="50B3E02E">
            <w:pPr>
              <w:numPr>
                <w:ilvl w:val="2"/>
                <w:numId w:val="1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连接HIS、EMR读取学员的工作量：读取工作记录，按姓名工号、日期、住院号分类查询和导出。</w:t>
            </w:r>
          </w:p>
          <w:p w14:paraId="2DD37705">
            <w:pPr>
              <w:numPr>
                <w:ilvl w:val="2"/>
                <w:numId w:val="12"/>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如果电子病例等接口使用系统提供的接口传输数据，不额外收费，如果有定制化开发新接口，双方另行协商。</w:t>
            </w:r>
          </w:p>
          <w:p w14:paraId="33B86172">
            <w:pPr>
              <w:rPr>
                <w:rFonts w:hint="eastAsia" w:ascii="宋体" w:hAnsi="宋体" w:eastAsia="宋体" w:cs="宋体"/>
                <w:color w:val="auto"/>
                <w:kern w:val="2"/>
                <w:sz w:val="24"/>
                <w:szCs w:val="24"/>
                <w:highlight w:val="none"/>
              </w:rPr>
            </w:pPr>
          </w:p>
        </w:tc>
      </w:tr>
      <w:tr w14:paraId="3E8A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2B0FDA14">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技术要求</w:t>
            </w:r>
          </w:p>
        </w:tc>
        <w:tc>
          <w:tcPr>
            <w:tcW w:w="3317" w:type="pct"/>
            <w:noWrap w:val="0"/>
            <w:vAlign w:val="top"/>
          </w:tcPr>
          <w:p w14:paraId="22034041">
            <w:pPr>
              <w:ind w:firstLine="480" w:firstLineChars="200"/>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提供日常服务，通过提供邮件、电话、QQ、VPN远程连接等技术支持方式，以解决日常系统出现的问题咨询和故障处理。当甲方出现紧急故障情况时，立即向乙方报修，要求乙方积极配合诊断并进行处理。如判断故障无法远程排除，要求乙方立即安排高级专业技术人员在接到报修电话后到达现场处理。</w:t>
            </w:r>
          </w:p>
          <w:p w14:paraId="0A5D7710">
            <w:pPr>
              <w:rPr>
                <w:rFonts w:hint="eastAsia" w:ascii="宋体" w:hAnsi="宋体" w:eastAsia="宋体" w:cs="宋体"/>
                <w:color w:val="auto"/>
                <w:kern w:val="2"/>
                <w:sz w:val="24"/>
                <w:szCs w:val="24"/>
                <w:highlight w:val="none"/>
              </w:rPr>
            </w:pPr>
          </w:p>
        </w:tc>
      </w:tr>
      <w:tr w14:paraId="2BC5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5DC39EFD">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服务要求</w:t>
            </w:r>
          </w:p>
        </w:tc>
        <w:tc>
          <w:tcPr>
            <w:tcW w:w="3317" w:type="pct"/>
            <w:noWrap w:val="0"/>
            <w:vAlign w:val="top"/>
          </w:tcPr>
          <w:p w14:paraId="12557F7F">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要求针对本项目安排指定产品经理负责评审项目所有需求，在技术上严格把关，确保项目保质保量及时完成。</w:t>
            </w:r>
          </w:p>
          <w:p w14:paraId="7D742EBF">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提供软件修复服务，解决因程序缺陷或者错误造成的用户使用过程中的各类问题，确保甲方正常使用。</w:t>
            </w:r>
          </w:p>
          <w:p w14:paraId="34F54206">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提供用户培训服务，在项目维护期内对甲方技术人员提供必要的技术培训，对甲方提供必要的用户操作培训等现场服务</w:t>
            </w:r>
          </w:p>
          <w:p w14:paraId="5F7C9F46">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供应商及所投产品原厂须遵守采购人的保密要求，签订保密协议。不得擅自转存、获取、利用、泄露采购人所有信息和资料。</w:t>
            </w:r>
          </w:p>
          <w:p w14:paraId="5CD01B33">
            <w:pPr>
              <w:rPr>
                <w:rFonts w:hint="eastAsia" w:ascii="宋体" w:hAnsi="宋体" w:eastAsia="宋体" w:cs="宋体"/>
                <w:color w:val="auto"/>
                <w:kern w:val="2"/>
                <w:sz w:val="24"/>
                <w:szCs w:val="24"/>
                <w:highlight w:val="none"/>
              </w:rPr>
            </w:pPr>
          </w:p>
        </w:tc>
      </w:tr>
      <w:tr w14:paraId="1605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4A7DD660">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教培系统（含题库）服务</w:t>
            </w:r>
          </w:p>
        </w:tc>
        <w:tc>
          <w:tcPr>
            <w:tcW w:w="3317" w:type="pct"/>
            <w:noWrap w:val="0"/>
            <w:vAlign w:val="center"/>
          </w:tcPr>
          <w:p w14:paraId="40549366">
            <w:pPr>
              <w:ind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题库必须及时更新</w:t>
            </w:r>
          </w:p>
          <w:p w14:paraId="67C256DC">
            <w:pPr>
              <w:jc w:val="center"/>
              <w:rPr>
                <w:rFonts w:hint="eastAsia" w:ascii="宋体" w:hAnsi="宋体" w:eastAsia="宋体" w:cs="宋体"/>
                <w:color w:val="auto"/>
                <w:kern w:val="2"/>
                <w:sz w:val="24"/>
                <w:szCs w:val="24"/>
                <w:highlight w:val="none"/>
              </w:rPr>
            </w:pPr>
          </w:p>
        </w:tc>
      </w:tr>
      <w:tr w14:paraId="5A95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pct"/>
            <w:noWrap w:val="0"/>
            <w:vAlign w:val="center"/>
          </w:tcPr>
          <w:p w14:paraId="7CEE8077">
            <w:pPr>
              <w:jc w:val="center"/>
              <w:rPr>
                <w:rFonts w:ascii="Calibri" w:hAnsi="Calibri" w:eastAsia="宋体" w:cs="Times New Roman"/>
                <w:color w:val="auto"/>
                <w:kern w:val="2"/>
                <w:highlight w:val="none"/>
              </w:rPr>
            </w:pPr>
            <w:r>
              <w:rPr>
                <w:rFonts w:hint="eastAsia" w:ascii="Calibri" w:hAnsi="Calibri" w:eastAsia="宋体" w:cs="Times New Roman"/>
                <w:b/>
                <w:bCs/>
                <w:color w:val="auto"/>
                <w:kern w:val="2"/>
                <w:highlight w:val="none"/>
              </w:rPr>
              <w:t>商务要求</w:t>
            </w:r>
          </w:p>
        </w:tc>
        <w:tc>
          <w:tcPr>
            <w:tcW w:w="3317" w:type="pct"/>
            <w:noWrap w:val="0"/>
            <w:vAlign w:val="top"/>
          </w:tcPr>
          <w:p w14:paraId="7F81E7BA">
            <w:pPr>
              <w:numPr>
                <w:ilvl w:val="0"/>
                <w:numId w:val="0"/>
              </w:numP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rPr>
              <w:t>服务内容：</w:t>
            </w:r>
          </w:p>
          <w:p w14:paraId="252FE374">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人员保障日常使用，会通过远程连接提供技术支持，如判断故障无法远程排除，在需要技术人员现场维护的情况下，会安排技术人员到达现场。保障软件修复，确保甲方正常使用。安排专人进行用户培训，每半年安排技术人员对整个项目的软硬件进行一次全面巡检，进行预防性维护。</w:t>
            </w:r>
          </w:p>
          <w:p w14:paraId="52F34EF8">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提供软件使用说明书：方便用户使用软件而提供的使用说明书。</w:t>
            </w:r>
          </w:p>
          <w:p w14:paraId="5FFA74A5">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提供用户操作视频：方便用户使用软件而提供的操作演示视频。</w:t>
            </w:r>
          </w:p>
          <w:p w14:paraId="2B489DDB">
            <w:pPr>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遵守采购人的保密要求，签订保密协议。不得擅自转存、获取、利用、泄露采购人所有信息和资料。</w:t>
            </w:r>
          </w:p>
          <w:p w14:paraId="6E3895E4">
            <w:pPr>
              <w:ind w:firstLine="480" w:firstLineChars="200"/>
              <w:rPr>
                <w:rFonts w:hint="eastAsia" w:ascii="宋体" w:hAnsi="宋体" w:eastAsia="宋体" w:cs="宋体"/>
                <w:color w:val="auto"/>
                <w:kern w:val="2"/>
                <w:sz w:val="24"/>
                <w:szCs w:val="24"/>
                <w:highlight w:val="none"/>
              </w:rPr>
            </w:pPr>
          </w:p>
          <w:p w14:paraId="1EEFA8C1">
            <w:pPr>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rPr>
              <w:t>合同履约期限：合同签订之日起90日内完成系统开发并交付上线运行、通过验收。</w:t>
            </w:r>
            <w:r>
              <w:rPr>
                <w:rFonts w:hint="eastAsia" w:ascii="宋体" w:hAnsi="宋体" w:eastAsia="宋体" w:cs="宋体"/>
                <w:b/>
                <w:bCs/>
                <w:color w:val="auto"/>
                <w:kern w:val="2"/>
                <w:sz w:val="24"/>
                <w:szCs w:val="24"/>
                <w:highlight w:val="none"/>
                <w:lang w:eastAsia="zh-CN"/>
              </w:rPr>
              <w:t>验收后</w:t>
            </w:r>
            <w:r>
              <w:rPr>
                <w:rFonts w:hint="eastAsia" w:ascii="宋体" w:hAnsi="宋体" w:eastAsia="宋体" w:cs="宋体"/>
                <w:b/>
                <w:bCs/>
                <w:color w:val="auto"/>
                <w:kern w:val="2"/>
                <w:sz w:val="24"/>
                <w:szCs w:val="24"/>
                <w:highlight w:val="none"/>
                <w:lang w:val="en-US" w:eastAsia="zh-CN"/>
              </w:rPr>
              <w:t>2年为免费维护期。</w:t>
            </w:r>
          </w:p>
          <w:p w14:paraId="1CC9BDD8">
            <w:pPr>
              <w:ind w:firstLine="480" w:firstLineChars="200"/>
              <w:rPr>
                <w:rFonts w:hint="eastAsia" w:ascii="宋体" w:hAnsi="宋体" w:eastAsia="宋体" w:cs="宋体"/>
                <w:color w:val="auto"/>
                <w:kern w:val="2"/>
                <w:sz w:val="24"/>
                <w:szCs w:val="24"/>
                <w:highlight w:val="none"/>
              </w:rPr>
            </w:pPr>
          </w:p>
          <w:p w14:paraId="70382B09">
            <w:pPr>
              <w:numPr>
                <w:ilvl w:val="0"/>
                <w:numId w:val="0"/>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rPr>
              <w:t>其它要求：</w:t>
            </w:r>
          </w:p>
          <w:p w14:paraId="11978AE3">
            <w:pPr>
              <w:numPr>
                <w:ilvl w:val="0"/>
                <w:numId w:val="13"/>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免费维护期结束后，如医院有需要购买软件维护服务，维护费不超过软件系统成交价的5%。</w:t>
            </w:r>
          </w:p>
          <w:p w14:paraId="0C000C9F">
            <w:pPr>
              <w:numPr>
                <w:ilvl w:val="0"/>
                <w:numId w:val="13"/>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如系统采用云部署的方式，系统验收后2年内，建设方需无偿配合医院将系统从云上迁移到医院本地服务器上。</w:t>
            </w:r>
          </w:p>
          <w:p w14:paraId="2C4F26D5">
            <w:pPr>
              <w:numPr>
                <w:ilvl w:val="0"/>
                <w:numId w:val="13"/>
              </w:num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建设方要与医院签订系统建设及使用过程所涉及的医院管理、医疗业务、医务人员等信息的保密协议。并确保云上系统的网络安全，确保不发生网络安全不良事件。</w:t>
            </w:r>
          </w:p>
          <w:p w14:paraId="4093922A">
            <w:pPr>
              <w:numPr>
                <w:ilvl w:val="0"/>
                <w:numId w:val="0"/>
              </w:numPr>
              <w:ind w:left="315" w:leftChars="0"/>
              <w:rPr>
                <w:rFonts w:hint="eastAsia" w:ascii="宋体" w:hAnsi="宋体" w:eastAsia="宋体" w:cs="宋体"/>
                <w:color w:val="auto"/>
                <w:kern w:val="2"/>
                <w:sz w:val="24"/>
                <w:szCs w:val="24"/>
                <w:highlight w:val="none"/>
              </w:rPr>
            </w:pPr>
          </w:p>
          <w:p w14:paraId="07369F5F">
            <w:pPr>
              <w:numPr>
                <w:ilvl w:val="0"/>
                <w:numId w:val="0"/>
              </w:numP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4、本合同结算付款方式：采购人核对发票无误后支付当期合同款至成交供应商指定对公银行帐户。</w:t>
            </w:r>
          </w:p>
          <w:p w14:paraId="7D6862C4">
            <w:pPr>
              <w:numPr>
                <w:ilvl w:val="0"/>
                <w:numId w:val="0"/>
              </w:numP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第一期：系统上线运行后，向采购人开具符合税法规定的全额增值税发票并提交请款函，经采购人审核确认无误后，</w:t>
            </w:r>
            <w:r>
              <w:rPr>
                <w:rFonts w:hint="eastAsia" w:ascii="宋体" w:hAnsi="宋体" w:cs="宋体"/>
                <w:color w:val="auto"/>
                <w:kern w:val="2"/>
                <w:sz w:val="24"/>
                <w:szCs w:val="24"/>
                <w:highlight w:val="none"/>
                <w:lang w:val="en-US" w:eastAsia="zh-CN"/>
              </w:rPr>
              <w:t>10个工作日内</w:t>
            </w:r>
            <w:r>
              <w:rPr>
                <w:rFonts w:hint="eastAsia" w:ascii="宋体" w:hAnsi="宋体" w:eastAsia="宋体" w:cs="宋体"/>
                <w:color w:val="auto"/>
                <w:kern w:val="2"/>
                <w:sz w:val="24"/>
                <w:szCs w:val="24"/>
                <w:highlight w:val="none"/>
                <w:lang w:val="en-US" w:eastAsia="zh-CN"/>
              </w:rPr>
              <w:t>支付合同总额的30％；</w:t>
            </w:r>
          </w:p>
          <w:p w14:paraId="2EA68C11">
            <w:pPr>
              <w:numPr>
                <w:ilvl w:val="0"/>
                <w:numId w:val="0"/>
              </w:numP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第二期：系统验收合格后，向采购人提交请款函，经采购人审核确认无误后，</w:t>
            </w:r>
            <w:r>
              <w:rPr>
                <w:rFonts w:hint="eastAsia" w:ascii="宋体" w:hAnsi="宋体" w:cs="宋体"/>
                <w:color w:val="auto"/>
                <w:kern w:val="2"/>
                <w:sz w:val="24"/>
                <w:szCs w:val="24"/>
                <w:highlight w:val="none"/>
                <w:lang w:val="en-US" w:eastAsia="zh-CN"/>
              </w:rPr>
              <w:t>10个工作日内</w:t>
            </w:r>
            <w:r>
              <w:rPr>
                <w:rFonts w:hint="eastAsia" w:ascii="宋体" w:hAnsi="宋体" w:eastAsia="宋体" w:cs="宋体"/>
                <w:color w:val="auto"/>
                <w:kern w:val="2"/>
                <w:sz w:val="24"/>
                <w:szCs w:val="24"/>
                <w:highlight w:val="none"/>
                <w:lang w:val="en-US" w:eastAsia="zh-CN"/>
              </w:rPr>
              <w:t>支付合同总额的60％；</w:t>
            </w:r>
          </w:p>
          <w:p w14:paraId="1BC8DDCC">
            <w:pPr>
              <w:numPr>
                <w:ilvl w:val="0"/>
                <w:numId w:val="0"/>
              </w:numP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第三期：系统验收合格</w:t>
            </w:r>
            <w:r>
              <w:rPr>
                <w:rFonts w:hint="eastAsia" w:ascii="宋体" w:hAnsi="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val="en-US" w:eastAsia="zh-CN"/>
              </w:rPr>
              <w:t>年后，向采购人提交请款函，经采购人审核确认无误后</w:t>
            </w:r>
            <w:r>
              <w:rPr>
                <w:rFonts w:hint="eastAsia" w:ascii="宋体" w:hAnsi="宋体" w:cs="宋体"/>
                <w:color w:val="auto"/>
                <w:kern w:val="2"/>
                <w:sz w:val="24"/>
                <w:szCs w:val="24"/>
                <w:highlight w:val="none"/>
                <w:lang w:val="en-US" w:eastAsia="zh-CN"/>
              </w:rPr>
              <w:t>10个工作日内</w:t>
            </w:r>
            <w:r>
              <w:rPr>
                <w:rFonts w:hint="eastAsia" w:ascii="宋体" w:hAnsi="宋体" w:eastAsia="宋体" w:cs="宋体"/>
                <w:color w:val="auto"/>
                <w:kern w:val="2"/>
                <w:sz w:val="24"/>
                <w:szCs w:val="24"/>
                <w:highlight w:val="none"/>
                <w:lang w:val="en-US" w:eastAsia="zh-CN"/>
              </w:rPr>
              <w:t>支付合同总额的10％。</w:t>
            </w:r>
          </w:p>
          <w:p w14:paraId="39B19FDE">
            <w:pPr>
              <w:numPr>
                <w:ilvl w:val="0"/>
                <w:numId w:val="0"/>
              </w:numP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合同签署的成交供应商名称及发票开具单位与收款单位必须一致，在合同执行过程中，成交供应商不得以其他不正当理由要求调整发票开具单位或收款单位，否则视为成交供应商违约。</w:t>
            </w:r>
          </w:p>
          <w:p w14:paraId="127FA175">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、验收标准、规范：符合现行国家相关标准、行业标准、地方标准或者其他标准、规范。</w:t>
            </w:r>
          </w:p>
          <w:p w14:paraId="5D938B25">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、合同履行及验收要求：</w:t>
            </w:r>
          </w:p>
          <w:p w14:paraId="2685C816">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由采购人组织评审验收，验收不通过的事项，供应商须在采购人指定的时限内完成。遇特殊情况的，可由双方依据客观事实商议完成时限。</w:t>
            </w:r>
          </w:p>
          <w:p w14:paraId="1D43DDB8">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如遇供应商以提供的虚假材料谋取成交的违法行为，将报告同级财政部门和相关行政主管部门依法追究其法律责任。</w:t>
            </w:r>
          </w:p>
          <w:p w14:paraId="2599C59C">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、其他要求：</w:t>
            </w:r>
          </w:p>
          <w:p w14:paraId="4766896A">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项目实施中涉及到的相关保密数据、资料、文档等按照有关保密规定执行，有对资料保密的义务。不得以商业目的使用该资料或者开发生产其他产品；可根据需要对资料内容进行必要的修改和对数据格式进行转换，但未经许可，不得将修改、转换后的数据对外发布和提供。 </w:t>
            </w:r>
          </w:p>
          <w:p w14:paraId="14434022">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采购人在中华人民共和国境内使用供应商提供的成果时免受第三方提出的侵犯其专利权或其它知识产权的起诉。如果第三方提出侵权指控，成交供应商应承担由此而引起的一切法律责任和费用。 </w:t>
            </w:r>
          </w:p>
          <w:p w14:paraId="4177575C">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 xml:space="preserve"> 成交后，若成交供应商所供产品及售后服务不按竞争性磋商文件要求履约的，将按照《中华人民共和国政府采购法》及其实施条例等有关规定严肃处理。 </w:t>
            </w:r>
          </w:p>
        </w:tc>
      </w:tr>
    </w:tbl>
    <w:p w14:paraId="061C6BDD">
      <w:pPr>
        <w:widowControl/>
        <w:kinsoku w:val="0"/>
        <w:autoSpaceDE w:val="0"/>
        <w:autoSpaceDN w:val="0"/>
        <w:adjustRightInd w:val="0"/>
        <w:snapToGrid w:val="0"/>
        <w:spacing w:before="137" w:line="187" w:lineRule="auto"/>
        <w:jc w:val="left"/>
        <w:textAlignment w:val="baseline"/>
        <w:rPr>
          <w:rFonts w:hint="eastAsia" w:ascii="宋体" w:hAnsi="宋体" w:eastAsia="宋体" w:cs="宋体"/>
          <w:b/>
          <w:bCs/>
          <w:snapToGrid w:val="0"/>
          <w:color w:val="auto"/>
          <w:spacing w:val="6"/>
          <w:kern w:val="0"/>
          <w:sz w:val="32"/>
          <w:szCs w:val="32"/>
          <w:highlight w:val="none"/>
        </w:rPr>
      </w:pPr>
    </w:p>
    <w:p w14:paraId="49A70C33">
      <w:pPr>
        <w:widowControl/>
        <w:kinsoku w:val="0"/>
        <w:autoSpaceDE w:val="0"/>
        <w:autoSpaceDN w:val="0"/>
        <w:adjustRightInd w:val="0"/>
        <w:snapToGrid w:val="0"/>
        <w:spacing w:before="137" w:line="187" w:lineRule="auto"/>
        <w:ind w:left="3691"/>
        <w:jc w:val="left"/>
        <w:textAlignment w:val="baseline"/>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spacing w:val="6"/>
          <w:kern w:val="0"/>
          <w:sz w:val="32"/>
          <w:szCs w:val="32"/>
          <w:highlight w:val="none"/>
        </w:rPr>
        <w:t>第三</w:t>
      </w:r>
      <w:r>
        <w:rPr>
          <w:rFonts w:hint="eastAsia" w:ascii="宋体" w:hAnsi="宋体" w:eastAsia="宋体" w:cs="宋体"/>
          <w:b/>
          <w:bCs/>
          <w:snapToGrid w:val="0"/>
          <w:color w:val="auto"/>
          <w:spacing w:val="3"/>
          <w:kern w:val="0"/>
          <w:sz w:val="32"/>
          <w:szCs w:val="32"/>
          <w:highlight w:val="none"/>
        </w:rPr>
        <w:t>章   评审办法</w:t>
      </w:r>
    </w:p>
    <w:bookmarkEnd w:id="7"/>
    <w:bookmarkEnd w:id="8"/>
    <w:bookmarkEnd w:id="18"/>
    <w:bookmarkEnd w:id="19"/>
    <w:bookmarkEnd w:id="20"/>
    <w:bookmarkEnd w:id="21"/>
    <w:p w14:paraId="288BE4DC">
      <w:pPr>
        <w:widowControl/>
        <w:kinsoku w:val="0"/>
        <w:autoSpaceDE w:val="0"/>
        <w:autoSpaceDN w:val="0"/>
        <w:adjustRightInd w:val="0"/>
        <w:snapToGrid w:val="0"/>
        <w:spacing w:before="27"/>
        <w:ind w:left="426"/>
        <w:jc w:val="left"/>
        <w:textAlignment w:val="baseline"/>
        <w:rPr>
          <w:rFonts w:hint="eastAsia" w:ascii="宋体" w:hAnsi="宋体" w:eastAsia="宋体" w:cs="宋体"/>
          <w:snapToGrid w:val="0"/>
          <w:color w:val="auto"/>
          <w:spacing w:val="-1"/>
          <w:kern w:val="0"/>
          <w:sz w:val="28"/>
          <w:szCs w:val="28"/>
          <w:highlight w:val="none"/>
        </w:rPr>
      </w:pPr>
    </w:p>
    <w:p w14:paraId="19D79EB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2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一、</w:t>
      </w:r>
      <w:r>
        <w:rPr>
          <w:rFonts w:hint="eastAsia" w:ascii="宋体" w:hAnsi="宋体" w:eastAsia="宋体" w:cs="宋体"/>
          <w:snapToGrid w:val="0"/>
          <w:color w:val="auto"/>
          <w:kern w:val="0"/>
          <w:sz w:val="24"/>
          <w:szCs w:val="24"/>
          <w:highlight w:val="none"/>
        </w:rPr>
        <w:t>评审依据及方式</w:t>
      </w:r>
    </w:p>
    <w:p w14:paraId="7FF0C7AA">
      <w:pPr>
        <w:keepNext w:val="0"/>
        <w:keepLines w:val="0"/>
        <w:pageBreakBefore w:val="0"/>
        <w:widowControl/>
        <w:kinsoku w:val="0"/>
        <w:wordWrap/>
        <w:overflowPunct/>
        <w:topLinePunct w:val="0"/>
        <w:autoSpaceDE w:val="0"/>
        <w:autoSpaceDN w:val="0"/>
        <w:bidi w:val="0"/>
        <w:adjustRightInd w:val="0"/>
        <w:snapToGrid w:val="0"/>
        <w:spacing w:before="2" w:line="460" w:lineRule="exact"/>
        <w:ind w:left="2" w:right="64" w:firstLine="43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1.评审依据：磋商小组以竞争性磋商文件和响应文件</w:t>
      </w:r>
      <w:r>
        <w:rPr>
          <w:rFonts w:hint="eastAsia" w:ascii="宋体" w:hAnsi="宋体" w:eastAsia="宋体" w:cs="宋体"/>
          <w:snapToGrid w:val="0"/>
          <w:color w:val="auto"/>
          <w:spacing w:val="1"/>
          <w:kern w:val="0"/>
          <w:sz w:val="24"/>
          <w:szCs w:val="24"/>
          <w:highlight w:val="none"/>
        </w:rPr>
        <w:t>为评审依据，对服务商的报价、团队配置方</w:t>
      </w:r>
      <w:r>
        <w:rPr>
          <w:rFonts w:hint="eastAsia" w:ascii="宋体" w:hAnsi="宋体" w:eastAsia="宋体" w:cs="宋体"/>
          <w:snapToGrid w:val="0"/>
          <w:color w:val="auto"/>
          <w:spacing w:val="-1"/>
          <w:kern w:val="0"/>
          <w:sz w:val="24"/>
          <w:szCs w:val="24"/>
          <w:highlight w:val="none"/>
        </w:rPr>
        <w:t>案、项目实施方案、履</w:t>
      </w:r>
      <w:r>
        <w:rPr>
          <w:rFonts w:hint="eastAsia" w:ascii="宋体" w:hAnsi="宋体" w:eastAsia="宋体" w:cs="宋体"/>
          <w:snapToGrid w:val="0"/>
          <w:color w:val="auto"/>
          <w:kern w:val="0"/>
          <w:sz w:val="24"/>
          <w:szCs w:val="24"/>
          <w:highlight w:val="none"/>
        </w:rPr>
        <w:t>约能力等方面内容按百分制打分。</w:t>
      </w:r>
    </w:p>
    <w:p w14:paraId="5328C842">
      <w:pPr>
        <w:keepNext w:val="0"/>
        <w:keepLines w:val="0"/>
        <w:pageBreakBefore w:val="0"/>
        <w:widowControl/>
        <w:kinsoku w:val="0"/>
        <w:wordWrap/>
        <w:overflowPunct/>
        <w:topLinePunct w:val="0"/>
        <w:autoSpaceDE w:val="0"/>
        <w:autoSpaceDN w:val="0"/>
        <w:bidi w:val="0"/>
        <w:adjustRightInd w:val="0"/>
        <w:snapToGrid w:val="0"/>
        <w:spacing w:line="460" w:lineRule="exact"/>
        <w:ind w:left="42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6"/>
          <w:kern w:val="0"/>
          <w:sz w:val="24"/>
          <w:szCs w:val="24"/>
          <w:highlight w:val="none"/>
        </w:rPr>
        <w:t>2</w:t>
      </w:r>
      <w:r>
        <w:rPr>
          <w:rFonts w:hint="eastAsia" w:ascii="宋体" w:hAnsi="宋体" w:eastAsia="宋体" w:cs="宋体"/>
          <w:snapToGrid w:val="0"/>
          <w:color w:val="auto"/>
          <w:spacing w:val="-5"/>
          <w:kern w:val="0"/>
          <w:sz w:val="24"/>
          <w:szCs w:val="24"/>
          <w:highlight w:val="none"/>
        </w:rPr>
        <w:t>.评审方式：以封闭方式进行评审。</w:t>
      </w:r>
    </w:p>
    <w:p w14:paraId="5E975D6C">
      <w:pPr>
        <w:keepNext w:val="0"/>
        <w:keepLines w:val="0"/>
        <w:pageBreakBefore w:val="0"/>
        <w:widowControl/>
        <w:kinsoku w:val="0"/>
        <w:wordWrap/>
        <w:overflowPunct/>
        <w:topLinePunct w:val="0"/>
        <w:autoSpaceDE w:val="0"/>
        <w:autoSpaceDN w:val="0"/>
        <w:bidi w:val="0"/>
        <w:adjustRightInd w:val="0"/>
        <w:snapToGrid w:val="0"/>
        <w:spacing w:before="79" w:line="460" w:lineRule="exact"/>
        <w:ind w:left="4" w:right="59" w:firstLine="42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3.根据财库〔2012〕69 号文规定，采购人和采购代理机构，磋商小组成员要严格遵守政府</w:t>
      </w:r>
      <w:r>
        <w:rPr>
          <w:rFonts w:hint="eastAsia" w:ascii="宋体" w:hAnsi="宋体" w:eastAsia="宋体" w:cs="宋体"/>
          <w:snapToGrid w:val="0"/>
          <w:color w:val="auto"/>
          <w:kern w:val="0"/>
          <w:sz w:val="24"/>
          <w:szCs w:val="24"/>
          <w:highlight w:val="none"/>
        </w:rPr>
        <w:t xml:space="preserve">采购相 </w:t>
      </w:r>
      <w:r>
        <w:rPr>
          <w:rFonts w:hint="eastAsia" w:ascii="宋体" w:hAnsi="宋体" w:eastAsia="宋体" w:cs="宋体"/>
          <w:snapToGrid w:val="0"/>
          <w:color w:val="auto"/>
          <w:spacing w:val="-1"/>
          <w:kern w:val="0"/>
          <w:sz w:val="24"/>
          <w:szCs w:val="24"/>
          <w:highlight w:val="none"/>
        </w:rPr>
        <w:t>关法律制度，依法履行各</w:t>
      </w:r>
      <w:r>
        <w:rPr>
          <w:rFonts w:hint="eastAsia" w:ascii="宋体" w:hAnsi="宋体" w:eastAsia="宋体" w:cs="宋体"/>
          <w:snapToGrid w:val="0"/>
          <w:color w:val="auto"/>
          <w:kern w:val="0"/>
          <w:sz w:val="24"/>
          <w:szCs w:val="24"/>
          <w:highlight w:val="none"/>
        </w:rPr>
        <w:t>自职责，公正、客观、审慎地组织和参与评审工作。</w:t>
      </w:r>
    </w:p>
    <w:p w14:paraId="6FE7E314">
      <w:pPr>
        <w:widowControl/>
        <w:kinsoku w:val="0"/>
        <w:autoSpaceDE w:val="0"/>
        <w:autoSpaceDN w:val="0"/>
        <w:adjustRightInd w:val="0"/>
        <w:snapToGrid w:val="0"/>
        <w:spacing w:line="203" w:lineRule="auto"/>
        <w:ind w:left="42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二、评审</w:t>
      </w:r>
      <w:r>
        <w:rPr>
          <w:rFonts w:hint="eastAsia" w:ascii="宋体" w:hAnsi="宋体" w:eastAsia="宋体" w:cs="宋体"/>
          <w:snapToGrid w:val="0"/>
          <w:color w:val="auto"/>
          <w:kern w:val="0"/>
          <w:sz w:val="24"/>
          <w:szCs w:val="24"/>
          <w:highlight w:val="none"/>
        </w:rPr>
        <w:t>办法</w:t>
      </w:r>
    </w:p>
    <w:p w14:paraId="2DFF773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磋商小组将以磋商响应文件为评审依据，对服务商的报价、技术、商务等方面内容按百分制打分。（计分方法按四舍五入取至百分位）</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496"/>
        <w:gridCol w:w="8068"/>
      </w:tblGrid>
      <w:tr w14:paraId="5280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FFFFFF"/>
            <w:noWrap w:val="0"/>
            <w:vAlign w:val="center"/>
          </w:tcPr>
          <w:p w14:paraId="3125734E">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评标项目</w:t>
            </w:r>
          </w:p>
        </w:tc>
        <w:tc>
          <w:tcPr>
            <w:tcW w:w="0" w:type="auto"/>
            <w:shd w:val="clear" w:color="auto" w:fill="FFFFFF"/>
            <w:noWrap w:val="0"/>
            <w:vAlign w:val="center"/>
          </w:tcPr>
          <w:p w14:paraId="7F854215">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评标分值</w:t>
            </w:r>
          </w:p>
        </w:tc>
        <w:tc>
          <w:tcPr>
            <w:tcW w:w="0" w:type="auto"/>
            <w:shd w:val="clear" w:color="auto" w:fill="FFFFFF"/>
            <w:noWrap w:val="0"/>
            <w:vAlign w:val="center"/>
          </w:tcPr>
          <w:p w14:paraId="3962D6F0">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评标方法描述</w:t>
            </w:r>
          </w:p>
        </w:tc>
      </w:tr>
      <w:tr w14:paraId="4111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FFFFFF"/>
            <w:noWrap w:val="0"/>
            <w:vAlign w:val="center"/>
          </w:tcPr>
          <w:p w14:paraId="1E49CD20">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w:t>
            </w:r>
          </w:p>
        </w:tc>
        <w:tc>
          <w:tcPr>
            <w:tcW w:w="0" w:type="auto"/>
            <w:shd w:val="clear" w:color="auto" w:fill="FFFFFF"/>
            <w:noWrap w:val="0"/>
            <w:vAlign w:val="center"/>
          </w:tcPr>
          <w:p w14:paraId="715AFC7A">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c>
          <w:tcPr>
            <w:tcW w:w="8068" w:type="dxa"/>
            <w:shd w:val="clear" w:color="auto" w:fill="FFFFFF"/>
            <w:noWrap w:val="0"/>
            <w:vAlign w:val="center"/>
          </w:tcPr>
          <w:p w14:paraId="7EB377D3">
            <w:pPr>
              <w:pStyle w:val="11"/>
              <w:spacing w:line="440" w:lineRule="exact"/>
              <w:ind w:left="20" w:hanging="19" w:hangingChars="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（1）本项目专门面向中小企业采购，不再对供应商价格进行扣除政策。</w:t>
            </w:r>
          </w:p>
          <w:p w14:paraId="7BF29C9E">
            <w:pPr>
              <w:pStyle w:val="11"/>
              <w:spacing w:line="440" w:lineRule="exact"/>
              <w:ind w:left="20" w:hanging="19" w:hangingChars="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（2）按照磋商文件规定，须经过修正的，以修正后的价格计算磋商基准价和磋商报价。</w:t>
            </w:r>
          </w:p>
          <w:p w14:paraId="747B57E2">
            <w:pPr>
              <w:pStyle w:val="11"/>
              <w:spacing w:line="440" w:lineRule="exact"/>
              <w:ind w:left="20" w:hanging="19" w:hangingChars="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（3）价格分采用低价优先法计算，即通过资格和符合性审查且最终报价最低的为评审基准价，评审价等于评审基准价的，其价格分为满分。其他供应商的价格分统一按照下列公式计算：</w:t>
            </w:r>
          </w:p>
          <w:p w14:paraId="2B7930D8">
            <w:pPr>
              <w:pStyle w:val="11"/>
              <w:spacing w:line="440" w:lineRule="exact"/>
              <w:ind w:left="20" w:hanging="19" w:hangingChars="7"/>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价格分=评审基准价/某供应商最终报价×1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r>
      <w:tr w14:paraId="6454F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 w:type="dxa"/>
            <w:vMerge w:val="restart"/>
            <w:shd w:val="clear" w:color="auto" w:fill="FFFFFF"/>
            <w:noWrap w:val="0"/>
            <w:vAlign w:val="center"/>
          </w:tcPr>
          <w:p w14:paraId="7CBF5F17">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技术分</w:t>
            </w:r>
          </w:p>
        </w:tc>
        <w:tc>
          <w:tcPr>
            <w:tcW w:w="496" w:type="dxa"/>
            <w:vMerge w:val="restart"/>
            <w:shd w:val="clear" w:color="auto" w:fill="FFFFFF"/>
            <w:noWrap w:val="0"/>
            <w:vAlign w:val="center"/>
          </w:tcPr>
          <w:p w14:paraId="67C146CA">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分</w:t>
            </w:r>
          </w:p>
        </w:tc>
        <w:tc>
          <w:tcPr>
            <w:tcW w:w="8068" w:type="dxa"/>
            <w:shd w:val="clear" w:color="auto" w:fill="FFFFFF"/>
            <w:noWrap w:val="0"/>
            <w:vAlign w:val="center"/>
          </w:tcPr>
          <w:p w14:paraId="34CE8258">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（1）项目整体设计（</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分）</w:t>
            </w:r>
          </w:p>
          <w:p w14:paraId="514273F4">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评委根据对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设计</w:t>
            </w:r>
            <w:r>
              <w:rPr>
                <w:rFonts w:hint="eastAsia" w:ascii="仿宋" w:hAnsi="仿宋" w:eastAsia="仿宋" w:cs="仿宋"/>
                <w:color w:val="auto"/>
                <w:sz w:val="28"/>
                <w:szCs w:val="28"/>
                <w:highlight w:val="none"/>
              </w:rPr>
              <w:t>方案从项目建设背景，用户需求分析，总体设计、架构、功能描述和总体规划的符合度方面评价。</w:t>
            </w:r>
          </w:p>
          <w:p w14:paraId="29F66DA3">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档(</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分)：方案结构一般，方案中的总体设计、实施方案等内容虽完整，但缺乏针对性、可操作性；</w:t>
            </w:r>
          </w:p>
          <w:p w14:paraId="44B0F33A">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二档(1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分)：方案结构较清晰，方案中的总体设计、实施方案等内容较合理，</w:t>
            </w:r>
            <w:r>
              <w:rPr>
                <w:rFonts w:hint="eastAsia" w:ascii="仿宋" w:hAnsi="仿宋" w:eastAsia="仿宋" w:cs="仿宋"/>
                <w:color w:val="auto"/>
                <w:sz w:val="28"/>
                <w:szCs w:val="28"/>
                <w:highlight w:val="none"/>
                <w:lang w:eastAsia="zh-CN"/>
              </w:rPr>
              <w:t>按照采购人实际需求制定</w:t>
            </w:r>
            <w:r>
              <w:rPr>
                <w:rFonts w:hint="eastAsia" w:ascii="仿宋" w:hAnsi="仿宋" w:eastAsia="仿宋" w:cs="仿宋"/>
                <w:color w:val="auto"/>
                <w:sz w:val="28"/>
                <w:szCs w:val="28"/>
                <w:highlight w:val="none"/>
              </w:rPr>
              <w:t>但可操作性一般；</w:t>
            </w:r>
          </w:p>
          <w:p w14:paraId="54AA93AD">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档(2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分)：方案结构清晰，项目技术方案内容详细阐述系统</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建设内容、建设原则、业务功能架构、技术架构、网络部署结构、业务流程</w:t>
            </w:r>
            <w:r>
              <w:rPr>
                <w:rFonts w:hint="eastAsia" w:ascii="仿宋" w:hAnsi="仿宋" w:eastAsia="仿宋" w:cs="仿宋"/>
                <w:color w:val="auto"/>
                <w:sz w:val="28"/>
                <w:szCs w:val="28"/>
                <w:highlight w:val="none"/>
                <w:lang w:eastAsia="zh-CN"/>
              </w:rPr>
              <w:t>，能清晰分析对采购项目特点及关键性技术解决方案，对各模块具体功能的整体性、实时性、科学性、可扩展性以及能提供更多附加优质功能的</w:t>
            </w:r>
            <w:r>
              <w:rPr>
                <w:rFonts w:hint="eastAsia" w:ascii="仿宋" w:hAnsi="仿宋" w:eastAsia="仿宋" w:cs="仿宋"/>
                <w:color w:val="auto"/>
                <w:sz w:val="28"/>
                <w:szCs w:val="28"/>
                <w:highlight w:val="none"/>
              </w:rPr>
              <w:t>；</w:t>
            </w:r>
          </w:p>
        </w:tc>
      </w:tr>
      <w:tr w14:paraId="1575E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 w:type="dxa"/>
            <w:vMerge w:val="continue"/>
            <w:shd w:val="clear" w:color="auto" w:fill="FFFFFF"/>
            <w:noWrap w:val="0"/>
            <w:vAlign w:val="center"/>
          </w:tcPr>
          <w:p w14:paraId="17DBCEDD">
            <w:pPr>
              <w:spacing w:line="400" w:lineRule="exact"/>
              <w:jc w:val="center"/>
              <w:rPr>
                <w:rFonts w:hint="eastAsia" w:ascii="仿宋" w:hAnsi="仿宋" w:eastAsia="仿宋" w:cs="仿宋"/>
                <w:color w:val="auto"/>
                <w:sz w:val="28"/>
                <w:szCs w:val="28"/>
                <w:highlight w:val="none"/>
              </w:rPr>
            </w:pPr>
          </w:p>
        </w:tc>
        <w:tc>
          <w:tcPr>
            <w:tcW w:w="496" w:type="dxa"/>
            <w:vMerge w:val="continue"/>
            <w:shd w:val="clear" w:color="auto" w:fill="FFFFFF"/>
            <w:noWrap w:val="0"/>
            <w:vAlign w:val="center"/>
          </w:tcPr>
          <w:p w14:paraId="7C36F38B">
            <w:pPr>
              <w:spacing w:line="400" w:lineRule="exact"/>
              <w:jc w:val="center"/>
              <w:rPr>
                <w:rFonts w:hint="eastAsia" w:ascii="仿宋" w:hAnsi="仿宋" w:eastAsia="仿宋" w:cs="仿宋"/>
                <w:color w:val="auto"/>
                <w:sz w:val="28"/>
                <w:szCs w:val="28"/>
                <w:highlight w:val="none"/>
              </w:rPr>
            </w:pPr>
          </w:p>
        </w:tc>
        <w:tc>
          <w:tcPr>
            <w:tcW w:w="8068" w:type="dxa"/>
            <w:shd w:val="clear" w:color="auto" w:fill="FFFFFF"/>
            <w:noWrap w:val="0"/>
            <w:vAlign w:val="center"/>
          </w:tcPr>
          <w:p w14:paraId="7F7BA671">
            <w:pPr>
              <w:numPr>
                <w:ilvl w:val="0"/>
                <w:numId w:val="14"/>
              </w:num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实施方案（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分）</w:t>
            </w:r>
          </w:p>
          <w:p w14:paraId="206BA6CD">
            <w:pPr>
              <w:numPr>
                <w:ilvl w:val="0"/>
                <w:numId w:val="0"/>
              </w:numPr>
              <w:spacing w:line="4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评委根据对供应商的实施方案从项目实施管理方案、进度安排方案、项目实施人员配置、质量保证措施的符合度方面评价。 </w:t>
            </w:r>
          </w:p>
          <w:p w14:paraId="4031F5CC">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一档（</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分）：方案总体较为不全面，有简要的实施计划，对项目的了解情况粗略，内容中没有明显错误，方案总体仅符合采购文件要求。</w:t>
            </w:r>
          </w:p>
          <w:p w14:paraId="5B243CE8">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二档（1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分）：方案总体内容较为完善、可行，实施计划较为详细对项目的了解情况较好，细节安排合理，方案总体符合采购文件要求。</w:t>
            </w:r>
          </w:p>
          <w:p w14:paraId="315D3E31">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三档（</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分）：方案总体内容完备、合理、科学，充分满足本项目需求，时间节点明确合理、描述详细、完整，可操作性强，实施工作计划、实施准备和成果目标表述详细，详细描述了服务项目的内容以及实现方式。描述具体详细，完全满足项目的需要，方案可行且具有先进、科学合理性，有明确的项目进度和</w:t>
            </w:r>
            <w:r>
              <w:rPr>
                <w:rFonts w:hint="eastAsia" w:ascii="仿宋" w:hAnsi="仿宋" w:eastAsia="仿宋" w:cs="仿宋"/>
                <w:color w:val="auto"/>
                <w:sz w:val="28"/>
                <w:szCs w:val="28"/>
                <w:highlight w:val="none"/>
                <w:lang w:eastAsia="zh-CN"/>
              </w:rPr>
              <w:t>质量保证</w:t>
            </w:r>
            <w:r>
              <w:rPr>
                <w:rFonts w:hint="eastAsia" w:ascii="仿宋" w:hAnsi="仿宋" w:eastAsia="仿宋" w:cs="仿宋"/>
                <w:color w:val="auto"/>
                <w:sz w:val="28"/>
                <w:szCs w:val="28"/>
                <w:highlight w:val="none"/>
              </w:rPr>
              <w:t>措施。</w:t>
            </w:r>
          </w:p>
        </w:tc>
      </w:tr>
      <w:tr w14:paraId="1D612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 w:type="dxa"/>
            <w:vMerge w:val="continue"/>
            <w:shd w:val="clear" w:color="auto" w:fill="FFFFFF"/>
            <w:noWrap w:val="0"/>
            <w:vAlign w:val="center"/>
          </w:tcPr>
          <w:p w14:paraId="15F9BEC8">
            <w:pPr>
              <w:spacing w:line="400" w:lineRule="exact"/>
              <w:jc w:val="center"/>
              <w:rPr>
                <w:rFonts w:hint="eastAsia" w:ascii="仿宋" w:hAnsi="仿宋" w:eastAsia="仿宋" w:cs="仿宋"/>
                <w:color w:val="auto"/>
                <w:sz w:val="28"/>
                <w:szCs w:val="28"/>
                <w:highlight w:val="none"/>
              </w:rPr>
            </w:pPr>
          </w:p>
        </w:tc>
        <w:tc>
          <w:tcPr>
            <w:tcW w:w="496" w:type="dxa"/>
            <w:vMerge w:val="continue"/>
            <w:shd w:val="clear" w:color="auto" w:fill="FFFFFF"/>
            <w:noWrap w:val="0"/>
            <w:vAlign w:val="center"/>
          </w:tcPr>
          <w:p w14:paraId="7CE769FF">
            <w:pPr>
              <w:spacing w:line="400" w:lineRule="exact"/>
              <w:jc w:val="center"/>
              <w:rPr>
                <w:rFonts w:hint="eastAsia" w:ascii="仿宋" w:hAnsi="仿宋" w:eastAsia="仿宋" w:cs="仿宋"/>
                <w:color w:val="auto"/>
                <w:sz w:val="28"/>
                <w:szCs w:val="28"/>
                <w:highlight w:val="none"/>
              </w:rPr>
            </w:pPr>
          </w:p>
        </w:tc>
        <w:tc>
          <w:tcPr>
            <w:tcW w:w="8068" w:type="dxa"/>
            <w:shd w:val="clear" w:color="auto" w:fill="FFFFFF"/>
            <w:noWrap w:val="0"/>
            <w:vAlign w:val="center"/>
          </w:tcPr>
          <w:p w14:paraId="29AF0338">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）培训计划方案（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分）</w:t>
            </w:r>
          </w:p>
          <w:p w14:paraId="52D8C47F">
            <w:pPr>
              <w:spacing w:line="400" w:lineRule="exact"/>
              <w:ind w:firstLine="420" w:firstLineChars="15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针对本次</w:t>
            </w:r>
            <w:r>
              <w:rPr>
                <w:rFonts w:hint="eastAsia" w:ascii="仿宋" w:hAnsi="仿宋" w:eastAsia="仿宋" w:cs="仿宋"/>
                <w:color w:val="auto"/>
                <w:sz w:val="28"/>
                <w:szCs w:val="28"/>
                <w:highlight w:val="none"/>
                <w:lang w:eastAsia="zh-CN"/>
              </w:rPr>
              <w:t>软件</w:t>
            </w:r>
            <w:r>
              <w:rPr>
                <w:rFonts w:hint="eastAsia" w:ascii="仿宋" w:hAnsi="仿宋" w:eastAsia="仿宋" w:cs="仿宋"/>
                <w:color w:val="auto"/>
                <w:sz w:val="28"/>
                <w:szCs w:val="28"/>
                <w:highlight w:val="none"/>
              </w:rPr>
              <w:t>系统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提出合理丰富的项目培训方案</w:t>
            </w:r>
            <w:r>
              <w:rPr>
                <w:rFonts w:hint="eastAsia" w:ascii="仿宋" w:hAnsi="仿宋" w:eastAsia="仿宋" w:cs="仿宋"/>
                <w:color w:val="auto"/>
                <w:sz w:val="28"/>
                <w:szCs w:val="28"/>
                <w:highlight w:val="none"/>
                <w:lang w:eastAsia="zh-CN"/>
              </w:rPr>
              <w:t>，包含课程内容、考核机制以及资源支持等。</w:t>
            </w:r>
          </w:p>
          <w:p w14:paraId="1D5F33E7">
            <w:pPr>
              <w:spacing w:line="400" w:lineRule="exact"/>
              <w:ind w:firstLine="420" w:firstLineChars="15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一挡（</w:t>
            </w:r>
            <w:r>
              <w:rPr>
                <w:rFonts w:hint="eastAsia" w:ascii="仿宋" w:hAnsi="仿宋" w:eastAsia="仿宋" w:cs="仿宋"/>
                <w:color w:val="auto"/>
                <w:sz w:val="28"/>
                <w:szCs w:val="28"/>
                <w:highlight w:val="none"/>
                <w:lang w:val="en-US" w:eastAsia="zh-CN"/>
              </w:rPr>
              <w:t>4分）培训计划方案简单，内容笼统，缺乏细节和可操作性，仅能勉强满足项目培训的基本要求，对项目成功实施的支撑作用有限。</w:t>
            </w:r>
          </w:p>
          <w:p w14:paraId="048634FD">
            <w:pPr>
              <w:spacing w:line="400" w:lineRule="exact"/>
              <w:ind w:firstLine="420" w:firstLineChars="15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二挡（8分）培训计划方案结构完整、内容合理。满足基本培训需求，课程内容覆盖了系统主要功能模块和基础操作，设计了基本的考核方式，承诺提供基本的培训资料（如PPT讲义、简单的操作手册）。</w:t>
            </w:r>
          </w:p>
          <w:p w14:paraId="3752AECC">
            <w:pPr>
              <w:spacing w:line="400" w:lineRule="exact"/>
              <w:ind w:firstLine="420" w:firstLineChars="15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三档（12分）培训计划方案全面、深入、可操作性强，显著提升用户能力。课程内容成体系、详实、针对性强。考核方式科学、严谨、闭环。支持资源丰富、实用、易获取。</w:t>
            </w:r>
          </w:p>
        </w:tc>
      </w:tr>
      <w:tr w14:paraId="10E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6" w:type="dxa"/>
            <w:vMerge w:val="continue"/>
            <w:shd w:val="clear" w:color="auto" w:fill="FFFFFF"/>
            <w:noWrap w:val="0"/>
            <w:vAlign w:val="center"/>
          </w:tcPr>
          <w:p w14:paraId="489FE63E">
            <w:pPr>
              <w:spacing w:line="400" w:lineRule="exact"/>
              <w:jc w:val="center"/>
              <w:rPr>
                <w:rFonts w:hint="eastAsia" w:ascii="仿宋" w:hAnsi="仿宋" w:eastAsia="仿宋" w:cs="仿宋"/>
                <w:color w:val="auto"/>
                <w:sz w:val="28"/>
                <w:szCs w:val="28"/>
                <w:highlight w:val="none"/>
              </w:rPr>
            </w:pPr>
          </w:p>
        </w:tc>
        <w:tc>
          <w:tcPr>
            <w:tcW w:w="496" w:type="dxa"/>
            <w:vMerge w:val="continue"/>
            <w:shd w:val="clear" w:color="auto" w:fill="FFFFFF"/>
            <w:noWrap w:val="0"/>
            <w:vAlign w:val="center"/>
          </w:tcPr>
          <w:p w14:paraId="795DA0CC">
            <w:pPr>
              <w:spacing w:line="400" w:lineRule="exact"/>
              <w:jc w:val="center"/>
              <w:rPr>
                <w:rFonts w:hint="eastAsia" w:ascii="仿宋" w:hAnsi="仿宋" w:eastAsia="仿宋" w:cs="仿宋"/>
                <w:color w:val="auto"/>
                <w:sz w:val="28"/>
                <w:szCs w:val="28"/>
                <w:highlight w:val="none"/>
              </w:rPr>
            </w:pPr>
          </w:p>
        </w:tc>
        <w:tc>
          <w:tcPr>
            <w:tcW w:w="8068" w:type="dxa"/>
            <w:shd w:val="clear" w:color="auto" w:fill="FFFFFF"/>
            <w:noWrap w:val="0"/>
            <w:vAlign w:val="center"/>
          </w:tcPr>
          <w:p w14:paraId="472D27BC">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）售后服务方案（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分）</w:t>
            </w:r>
          </w:p>
          <w:p w14:paraId="2CA1A808">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评委根据对服务商从①提供完整的售后服务系统体系；②维保期限</w:t>
            </w:r>
            <w:r>
              <w:rPr>
                <w:rFonts w:hint="eastAsia" w:ascii="仿宋" w:hAnsi="仿宋" w:eastAsia="仿宋" w:cs="仿宋"/>
                <w:color w:val="auto"/>
                <w:sz w:val="28"/>
                <w:szCs w:val="28"/>
                <w:highlight w:val="none"/>
                <w:lang w:val="en-US" w:eastAsia="zh-CN"/>
              </w:rPr>
              <w:t>内的</w:t>
            </w:r>
            <w:r>
              <w:rPr>
                <w:rFonts w:hint="eastAsia" w:ascii="仿宋" w:hAnsi="仿宋" w:eastAsia="仿宋" w:cs="仿宋"/>
                <w:color w:val="auto"/>
                <w:sz w:val="28"/>
                <w:szCs w:val="28"/>
                <w:highlight w:val="none"/>
              </w:rPr>
              <w:t>服务质量保证措施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③故障保修及维修响应机制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④预住院系统持续升级维护</w:t>
            </w:r>
            <w:r>
              <w:rPr>
                <w:rFonts w:hint="eastAsia" w:ascii="仿宋" w:hAnsi="仿宋" w:eastAsia="仿宋" w:cs="仿宋"/>
                <w:color w:val="auto"/>
                <w:sz w:val="28"/>
                <w:szCs w:val="28"/>
                <w:highlight w:val="none"/>
                <w:lang w:val="en-US" w:eastAsia="zh-CN"/>
              </w:rPr>
              <w:t>方案等方面</w:t>
            </w:r>
            <w:r>
              <w:rPr>
                <w:rFonts w:hint="eastAsia" w:ascii="仿宋" w:hAnsi="仿宋" w:eastAsia="仿宋" w:cs="仿宋"/>
                <w:color w:val="auto"/>
                <w:sz w:val="28"/>
                <w:szCs w:val="28"/>
                <w:highlight w:val="none"/>
              </w:rPr>
              <w:t>对服务商提供的售后服务方案进行综合评价打分。</w:t>
            </w:r>
          </w:p>
          <w:p w14:paraId="30147C3E">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一档（</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分）：方案描述包括售后服务支持、服务流程等方面内容，方案总体描述、可操作性、完整性基本能够满足项目要求，能提供应急保障方案，且方案基本可行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能提供</w:t>
            </w:r>
            <w:r>
              <w:rPr>
                <w:rFonts w:hint="eastAsia" w:ascii="仿宋" w:hAnsi="仿宋" w:eastAsia="仿宋" w:cs="仿宋"/>
                <w:color w:val="auto"/>
                <w:sz w:val="28"/>
                <w:szCs w:val="28"/>
                <w:highlight w:val="none"/>
                <w:lang w:eastAsia="zh-CN"/>
              </w:rPr>
              <w:t>至少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种故障申告途径及绿色通道；</w:t>
            </w:r>
          </w:p>
          <w:p w14:paraId="111A32F0">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二档（</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分）：满足一档的基础上，方案描述包括</w:t>
            </w:r>
            <w:r>
              <w:rPr>
                <w:rFonts w:hint="eastAsia" w:ascii="仿宋" w:hAnsi="仿宋" w:eastAsia="仿宋" w:cs="仿宋"/>
                <w:color w:val="auto"/>
                <w:sz w:val="28"/>
                <w:szCs w:val="28"/>
                <w:highlight w:val="none"/>
                <w:lang w:val="en-US" w:eastAsia="zh-CN"/>
              </w:rPr>
              <w:t>常见故障的排除、紧急情况的处理</w:t>
            </w:r>
            <w:r>
              <w:rPr>
                <w:rFonts w:hint="eastAsia" w:ascii="仿宋" w:hAnsi="仿宋" w:eastAsia="仿宋" w:cs="仿宋"/>
                <w:color w:val="auto"/>
                <w:sz w:val="28"/>
                <w:szCs w:val="28"/>
                <w:highlight w:val="none"/>
              </w:rPr>
              <w:t>等内容，表述较详细，可操作性、完整性较强，能提供</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种</w:t>
            </w:r>
            <w:r>
              <w:rPr>
                <w:rFonts w:hint="eastAsia" w:ascii="仿宋" w:hAnsi="仿宋" w:eastAsia="仿宋" w:cs="仿宋"/>
                <w:color w:val="auto"/>
                <w:sz w:val="28"/>
                <w:szCs w:val="28"/>
                <w:highlight w:val="none"/>
                <w:lang w:eastAsia="zh-CN"/>
              </w:rPr>
              <w:t>以上</w:t>
            </w:r>
            <w:r>
              <w:rPr>
                <w:rFonts w:hint="eastAsia" w:ascii="仿宋" w:hAnsi="仿宋" w:eastAsia="仿宋" w:cs="仿宋"/>
                <w:color w:val="auto"/>
                <w:sz w:val="28"/>
                <w:szCs w:val="28"/>
                <w:highlight w:val="none"/>
              </w:rPr>
              <w:t>故障申告途径及绿色通道；</w:t>
            </w:r>
          </w:p>
          <w:p w14:paraId="440F35A6">
            <w:pPr>
              <w:spacing w:line="4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三档（</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分）满足二档的基础上，方案包括完善的售后响应机制、服务保障措施和人员安排</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售后服务期承诺和售后服务响应时效等内容，表述清晰详细，方案可操作性、完整性强，提供</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种</w:t>
            </w:r>
            <w:r>
              <w:rPr>
                <w:rFonts w:hint="eastAsia" w:ascii="仿宋" w:hAnsi="仿宋" w:eastAsia="仿宋" w:cs="仿宋"/>
                <w:color w:val="auto"/>
                <w:sz w:val="28"/>
                <w:szCs w:val="28"/>
                <w:highlight w:val="none"/>
                <w:lang w:eastAsia="zh-CN"/>
              </w:rPr>
              <w:t>以上</w:t>
            </w:r>
            <w:r>
              <w:rPr>
                <w:rFonts w:hint="eastAsia" w:ascii="仿宋" w:hAnsi="仿宋" w:eastAsia="仿宋" w:cs="仿宋"/>
                <w:color w:val="auto"/>
                <w:sz w:val="28"/>
                <w:szCs w:val="28"/>
                <w:highlight w:val="none"/>
              </w:rPr>
              <w:t>故障申告途径及绿色通道。</w:t>
            </w:r>
          </w:p>
        </w:tc>
      </w:tr>
      <w:tr w14:paraId="63489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496" w:type="dxa"/>
            <w:vMerge w:val="restart"/>
            <w:shd w:val="clear" w:color="auto" w:fill="FFFFFF"/>
            <w:noWrap w:val="0"/>
            <w:vAlign w:val="center"/>
          </w:tcPr>
          <w:p w14:paraId="002E7440">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商务分</w:t>
            </w:r>
          </w:p>
        </w:tc>
        <w:tc>
          <w:tcPr>
            <w:tcW w:w="496" w:type="dxa"/>
            <w:vMerge w:val="restart"/>
            <w:shd w:val="clear" w:color="auto" w:fill="FFFFFF"/>
            <w:noWrap w:val="0"/>
            <w:vAlign w:val="center"/>
          </w:tcPr>
          <w:p w14:paraId="0FD67A28">
            <w:pPr>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分</w:t>
            </w:r>
          </w:p>
        </w:tc>
        <w:tc>
          <w:tcPr>
            <w:tcW w:w="8068" w:type="dxa"/>
            <w:shd w:val="clear" w:color="auto" w:fill="FFFFFF"/>
            <w:noWrap w:val="0"/>
            <w:vAlign w:val="center"/>
          </w:tcPr>
          <w:p w14:paraId="2F865626">
            <w:pPr>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供应商具有以下有效的认证证书，每个得1分，满分3分：</w:t>
            </w:r>
          </w:p>
          <w:p w14:paraId="214E3C89">
            <w:pPr>
              <w:spacing w:line="400" w:lineRule="exact"/>
              <w:ind w:firstLine="420" w:firstLineChars="150"/>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①</w:t>
            </w:r>
            <w:r>
              <w:rPr>
                <w:rFonts w:hint="eastAsia" w:ascii="仿宋" w:hAnsi="仿宋" w:eastAsia="仿宋" w:cs="仿宋"/>
                <w:color w:val="auto"/>
                <w:sz w:val="28"/>
                <w:szCs w:val="28"/>
                <w:highlight w:val="none"/>
                <w:lang w:val="en-US" w:eastAsia="zh-CN"/>
              </w:rPr>
              <w:t>质量管理体系认证证书（ISO9001）；</w:t>
            </w:r>
          </w:p>
          <w:p w14:paraId="1664F53A">
            <w:pPr>
              <w:spacing w:line="400" w:lineRule="exact"/>
              <w:ind w:firstLine="420" w:firstLineChars="15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②信息技术服务管理体系认证证书</w:t>
            </w:r>
            <w:r>
              <w:rPr>
                <w:rFonts w:hint="eastAsia" w:ascii="仿宋" w:hAnsi="仿宋" w:eastAsia="仿宋" w:cs="仿宋"/>
                <w:color w:val="auto"/>
                <w:sz w:val="28"/>
                <w:szCs w:val="28"/>
                <w:highlight w:val="none"/>
                <w:lang w:val="en-US" w:eastAsia="zh-CN"/>
              </w:rPr>
              <w:t>（ISO20000）；</w:t>
            </w:r>
          </w:p>
          <w:p w14:paraId="6403BCB4">
            <w:pPr>
              <w:spacing w:line="400" w:lineRule="exact"/>
              <w:ind w:firstLine="420" w:firstLineChars="150"/>
              <w:rPr>
                <w:rFonts w:hint="eastAsia"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③信息安全管理体系认证证书</w:t>
            </w:r>
            <w:r>
              <w:rPr>
                <w:rFonts w:hint="eastAsia" w:ascii="仿宋" w:hAnsi="仿宋" w:eastAsia="仿宋" w:cs="仿宋"/>
                <w:color w:val="auto"/>
                <w:sz w:val="28"/>
                <w:szCs w:val="28"/>
                <w:highlight w:val="none"/>
                <w:lang w:val="en-US" w:eastAsia="zh-CN"/>
              </w:rPr>
              <w:t>（ISO27001）。</w:t>
            </w:r>
          </w:p>
          <w:p w14:paraId="1D72B3B8">
            <w:pPr>
              <w:spacing w:line="400" w:lineRule="exact"/>
              <w:ind w:firstLine="420" w:firstLineChars="15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注:需提供证书电子文件并加盖供应商CA电子签章，证书中企业名称与供应商或制造商单位名称、盖章单位名称须一致，须证件在有效期内的，否则不予计分。</w:t>
            </w:r>
          </w:p>
        </w:tc>
      </w:tr>
      <w:tr w14:paraId="135E0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496" w:type="dxa"/>
            <w:vMerge w:val="continue"/>
            <w:shd w:val="clear" w:color="auto" w:fill="FFFFFF"/>
            <w:noWrap w:val="0"/>
            <w:vAlign w:val="center"/>
          </w:tcPr>
          <w:p w14:paraId="7CB9AFF4">
            <w:pPr>
              <w:spacing w:line="400" w:lineRule="exact"/>
              <w:jc w:val="center"/>
              <w:rPr>
                <w:rFonts w:hint="eastAsia" w:ascii="仿宋" w:hAnsi="仿宋" w:eastAsia="仿宋" w:cs="仿宋"/>
                <w:color w:val="auto"/>
                <w:sz w:val="28"/>
                <w:szCs w:val="28"/>
                <w:highlight w:val="none"/>
              </w:rPr>
            </w:pPr>
          </w:p>
        </w:tc>
        <w:tc>
          <w:tcPr>
            <w:tcW w:w="496" w:type="dxa"/>
            <w:vMerge w:val="continue"/>
            <w:shd w:val="clear" w:color="auto" w:fill="FFFFFF"/>
            <w:noWrap w:val="0"/>
            <w:vAlign w:val="center"/>
          </w:tcPr>
          <w:p w14:paraId="37C13A1F">
            <w:pPr>
              <w:spacing w:line="400" w:lineRule="exact"/>
              <w:jc w:val="center"/>
              <w:rPr>
                <w:rFonts w:hint="eastAsia" w:ascii="仿宋" w:hAnsi="仿宋" w:eastAsia="仿宋" w:cs="仿宋"/>
                <w:color w:val="auto"/>
                <w:sz w:val="28"/>
                <w:szCs w:val="28"/>
                <w:highlight w:val="none"/>
              </w:rPr>
            </w:pPr>
          </w:p>
        </w:tc>
        <w:tc>
          <w:tcPr>
            <w:tcW w:w="8068" w:type="dxa"/>
            <w:shd w:val="clear" w:color="auto" w:fill="FFFFFF"/>
            <w:noWrap w:val="0"/>
            <w:vAlign w:val="center"/>
          </w:tcPr>
          <w:p w14:paraId="711831A2">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人员</w:t>
            </w:r>
            <w:r>
              <w:rPr>
                <w:rFonts w:hint="eastAsia" w:ascii="仿宋" w:hAnsi="仿宋" w:eastAsia="仿宋" w:cs="仿宋"/>
                <w:color w:val="auto"/>
                <w:sz w:val="28"/>
                <w:szCs w:val="28"/>
                <w:highlight w:val="none"/>
              </w:rPr>
              <w:t>实力分（</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p w14:paraId="534B1DF9">
            <w:pPr>
              <w:spacing w:line="400" w:lineRule="exact"/>
              <w:ind w:firstLine="420" w:firstLineChars="15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rPr>
              <w:t>①项目经理1人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3分</w:t>
            </w:r>
            <w:r>
              <w:rPr>
                <w:rFonts w:hint="eastAsia" w:ascii="仿宋" w:hAnsi="仿宋" w:eastAsia="仿宋" w:cs="仿宋"/>
                <w:color w:val="auto"/>
                <w:sz w:val="28"/>
                <w:szCs w:val="28"/>
                <w:highlight w:val="none"/>
                <w:lang w:eastAsia="zh-CN"/>
              </w:rPr>
              <w:t>）：项目经理具备中华人民共和国人力资源和社会保障部以及工业和信息化部颁发的计算机技术与软件专业技术资格证书：高级资格得</w:t>
            </w:r>
            <w:r>
              <w:rPr>
                <w:rFonts w:hint="eastAsia" w:ascii="仿宋" w:hAnsi="仿宋" w:eastAsia="仿宋" w:cs="仿宋"/>
                <w:color w:val="auto"/>
                <w:sz w:val="28"/>
                <w:szCs w:val="28"/>
                <w:highlight w:val="none"/>
                <w:lang w:val="en-US" w:eastAsia="zh-CN"/>
              </w:rPr>
              <w:t>3分，中级资格得1分。</w:t>
            </w:r>
          </w:p>
          <w:p w14:paraId="71431A23">
            <w:pPr>
              <w:spacing w:line="400" w:lineRule="exact"/>
              <w:ind w:firstLine="420" w:firstLineChars="150"/>
              <w:rPr>
                <w:rFonts w:hint="eastAsia" w:ascii="仿宋" w:hAnsi="仿宋" w:eastAsia="仿宋" w:cs="仿宋"/>
                <w:color w:val="auto"/>
                <w:sz w:val="28"/>
                <w:szCs w:val="28"/>
                <w:highlight w:val="none"/>
                <w:lang w:eastAsia="zh-CN"/>
              </w:rPr>
            </w:pPr>
            <w:r>
              <w:rPr>
                <w:rFonts w:hint="default" w:ascii="仿宋" w:hAnsi="仿宋" w:eastAsia="仿宋" w:cs="仿宋"/>
                <w:color w:val="auto"/>
                <w:sz w:val="28"/>
                <w:szCs w:val="28"/>
                <w:highlight w:val="none"/>
                <w:lang w:eastAsia="zh-CN"/>
              </w:rPr>
              <w:t>②项目成员</w:t>
            </w:r>
            <w:r>
              <w:rPr>
                <w:rFonts w:hint="eastAsia" w:ascii="仿宋" w:hAnsi="仿宋" w:eastAsia="仿宋" w:cs="仿宋"/>
                <w:color w:val="auto"/>
                <w:sz w:val="28"/>
                <w:szCs w:val="28"/>
                <w:highlight w:val="none"/>
                <w:lang w:eastAsia="zh-CN"/>
              </w:rPr>
              <w:t>：供应商拟投入本项目的技术人员</w:t>
            </w:r>
            <w:r>
              <w:rPr>
                <w:rFonts w:hint="eastAsia" w:ascii="仿宋" w:hAnsi="仿宋" w:eastAsia="仿宋" w:cs="仿宋"/>
                <w:color w:val="auto"/>
                <w:sz w:val="28"/>
                <w:szCs w:val="28"/>
                <w:highlight w:val="none"/>
                <w:lang w:val="en-US" w:eastAsia="zh-CN"/>
              </w:rPr>
              <w:t>中，具备中华人民共和国人力资源和社会保障部以及工业和信息化部颁发的计算机技术与软件专业技术资格证书</w:t>
            </w:r>
            <w:r>
              <w:rPr>
                <w:rFonts w:hint="eastAsia" w:ascii="仿宋" w:hAnsi="仿宋" w:eastAsia="仿宋" w:cs="仿宋"/>
                <w:color w:val="auto"/>
                <w:sz w:val="28"/>
                <w:szCs w:val="28"/>
                <w:highlight w:val="none"/>
                <w:lang w:eastAsia="zh-CN"/>
              </w:rPr>
              <w:t>，每提供1个中级以上资质证书得1分，满分</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分;同一人具备不同资质不能累计得分。</w:t>
            </w:r>
          </w:p>
        </w:tc>
      </w:tr>
      <w:tr w14:paraId="7A27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496" w:type="dxa"/>
            <w:vMerge w:val="continue"/>
            <w:shd w:val="clear" w:color="auto" w:fill="FFFFFF"/>
            <w:noWrap w:val="0"/>
            <w:vAlign w:val="center"/>
          </w:tcPr>
          <w:p w14:paraId="28E7D385">
            <w:pPr>
              <w:spacing w:line="400" w:lineRule="exact"/>
              <w:jc w:val="center"/>
              <w:rPr>
                <w:rFonts w:hint="eastAsia" w:ascii="仿宋" w:hAnsi="仿宋" w:eastAsia="仿宋" w:cs="仿宋"/>
                <w:color w:val="auto"/>
                <w:sz w:val="28"/>
                <w:szCs w:val="28"/>
                <w:highlight w:val="none"/>
              </w:rPr>
            </w:pPr>
          </w:p>
        </w:tc>
        <w:tc>
          <w:tcPr>
            <w:tcW w:w="496" w:type="dxa"/>
            <w:vMerge w:val="continue"/>
            <w:shd w:val="clear" w:color="auto" w:fill="FFFFFF"/>
            <w:noWrap w:val="0"/>
            <w:vAlign w:val="center"/>
          </w:tcPr>
          <w:p w14:paraId="07CE9629">
            <w:pPr>
              <w:spacing w:line="400" w:lineRule="exact"/>
              <w:jc w:val="center"/>
              <w:rPr>
                <w:rFonts w:hint="eastAsia" w:ascii="仿宋" w:hAnsi="仿宋" w:eastAsia="仿宋" w:cs="仿宋"/>
                <w:color w:val="auto"/>
                <w:sz w:val="28"/>
                <w:szCs w:val="28"/>
                <w:highlight w:val="none"/>
              </w:rPr>
            </w:pPr>
          </w:p>
        </w:tc>
        <w:tc>
          <w:tcPr>
            <w:tcW w:w="8068" w:type="dxa"/>
            <w:shd w:val="clear" w:color="auto" w:fill="FFFFFF"/>
            <w:noWrap w:val="0"/>
            <w:vAlign w:val="center"/>
          </w:tcPr>
          <w:p w14:paraId="4C48A6BB">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（3）项目业绩（</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w:t>
            </w:r>
          </w:p>
          <w:p w14:paraId="002F0730">
            <w:pPr>
              <w:spacing w:line="4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提供近三年</w:t>
            </w:r>
            <w:r>
              <w:rPr>
                <w:rFonts w:hint="eastAsia" w:ascii="仿宋" w:hAnsi="仿宋" w:eastAsia="仿宋" w:cs="仿宋"/>
                <w:color w:val="auto"/>
                <w:sz w:val="28"/>
                <w:szCs w:val="28"/>
                <w:highlight w:val="none"/>
              </w:rPr>
              <w:t>同类项目业绩的，每个业绩得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分，满分</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分。（提供合同电子件，否则不予计分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同一业主不同合同只能算1个业绩）</w:t>
            </w:r>
          </w:p>
        </w:tc>
      </w:tr>
    </w:tbl>
    <w:p w14:paraId="187B9E2D">
      <w:pPr>
        <w:spacing w:line="360" w:lineRule="auto"/>
        <w:rPr>
          <w:rFonts w:hint="eastAsia" w:ascii="宋体" w:hAnsi="宋体" w:eastAsia="宋体" w:cs="宋体"/>
          <w:color w:val="auto"/>
          <w:sz w:val="24"/>
          <w:szCs w:val="24"/>
          <w:highlight w:val="none"/>
        </w:rPr>
      </w:pPr>
    </w:p>
    <w:p w14:paraId="04BC6EDA">
      <w:pPr>
        <w:spacing w:line="360" w:lineRule="auto"/>
        <w:rPr>
          <w:rFonts w:hint="eastAsia" w:ascii="宋体" w:hAnsi="宋体" w:eastAsia="宋体" w:cs="宋体"/>
          <w:color w:val="auto"/>
          <w:sz w:val="24"/>
          <w:szCs w:val="24"/>
          <w:highlight w:val="none"/>
        </w:rPr>
      </w:pPr>
    </w:p>
    <w:p w14:paraId="0DFEB32F">
      <w:pPr>
        <w:spacing w:line="360" w:lineRule="auto"/>
        <w:rPr>
          <w:rFonts w:hint="eastAsia" w:ascii="宋体" w:hAnsi="宋体" w:eastAsia="宋体" w:cs="宋体"/>
          <w:color w:val="auto"/>
          <w:sz w:val="24"/>
          <w:szCs w:val="24"/>
          <w:highlight w:val="none"/>
        </w:rPr>
      </w:pPr>
    </w:p>
    <w:p w14:paraId="70E53C43">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4、综合得分 ＝1+2+3</w:t>
      </w:r>
    </w:p>
    <w:p w14:paraId="2545D92B">
      <w:pPr>
        <w:spacing w:line="360" w:lineRule="auto"/>
        <w:ind w:firstLine="480" w:firstLineChars="200"/>
        <w:rPr>
          <w:rFonts w:hint="eastAsia" w:ascii="宋体" w:hAnsi="宋体" w:eastAsia="宋体" w:cs="宋体"/>
          <w:bCs/>
          <w:color w:val="auto"/>
          <w:sz w:val="24"/>
          <w:szCs w:val="24"/>
          <w:highlight w:val="none"/>
        </w:rPr>
      </w:pPr>
    </w:p>
    <w:p w14:paraId="03A8FFC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根据综合评分情况，按照评审得分由高到低顺序推荐3名以上成交候选服务商，并编写评审报告。评审得分相同的，按照最后报价由低到高的顺序推荐。评审得分且最后报价相同的，按照技术指标优劣顺序推荐（</w:t>
      </w:r>
      <w:r>
        <w:rPr>
          <w:rFonts w:hint="eastAsia" w:ascii="宋体" w:hAnsi="宋体" w:eastAsia="宋体" w:cs="宋体"/>
          <w:color w:val="auto"/>
          <w:sz w:val="24"/>
          <w:szCs w:val="24"/>
          <w:highlight w:val="none"/>
        </w:rPr>
        <w:t>按综合评分中技术分得分高低依次确定</w:t>
      </w:r>
      <w:r>
        <w:rPr>
          <w:rFonts w:hint="eastAsia" w:ascii="宋体" w:hAnsi="宋体" w:eastAsia="宋体" w:cs="宋体"/>
          <w:bCs/>
          <w:color w:val="auto"/>
          <w:sz w:val="24"/>
          <w:szCs w:val="24"/>
          <w:highlight w:val="none"/>
        </w:rPr>
        <w:t>）。</w:t>
      </w:r>
    </w:p>
    <w:p w14:paraId="0569D8EE">
      <w:pPr>
        <w:rPr>
          <w:rFonts w:hint="eastAsia" w:ascii="宋体" w:hAnsi="宋体" w:eastAsia="宋体" w:cs="宋体"/>
          <w:color w:val="auto"/>
          <w:sz w:val="28"/>
          <w:szCs w:val="28"/>
          <w:highlight w:val="none"/>
        </w:rPr>
      </w:pPr>
    </w:p>
    <w:p w14:paraId="48B3CF31">
      <w:pPr>
        <w:rPr>
          <w:rFonts w:hint="eastAsia" w:ascii="宋体" w:hAnsi="宋体" w:eastAsia="宋体" w:cs="宋体"/>
          <w:color w:val="auto"/>
          <w:sz w:val="28"/>
          <w:szCs w:val="28"/>
          <w:highlight w:val="none"/>
        </w:rPr>
      </w:pPr>
    </w:p>
    <w:p w14:paraId="35207580">
      <w:pPr>
        <w:pStyle w:val="9"/>
        <w:rPr>
          <w:rFonts w:hint="eastAsia" w:ascii="宋体" w:hAnsi="宋体" w:eastAsia="宋体" w:cs="宋体"/>
          <w:color w:val="auto"/>
          <w:highlight w:val="none"/>
        </w:rPr>
      </w:pPr>
    </w:p>
    <w:p w14:paraId="39487C2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CFB70A">
      <w:pPr>
        <w:rPr>
          <w:rFonts w:hint="eastAsia" w:ascii="宋体" w:hAnsi="宋体" w:eastAsia="宋体" w:cs="宋体"/>
          <w:color w:val="auto"/>
          <w:highlight w:val="none"/>
        </w:rPr>
      </w:pPr>
    </w:p>
    <w:p w14:paraId="37ADD06D">
      <w:pPr>
        <w:widowControl/>
        <w:kinsoku w:val="0"/>
        <w:autoSpaceDE w:val="0"/>
        <w:autoSpaceDN w:val="0"/>
        <w:adjustRightInd w:val="0"/>
        <w:snapToGrid w:val="0"/>
        <w:spacing w:before="137" w:line="240" w:lineRule="exact"/>
        <w:ind w:left="3430"/>
        <w:jc w:val="left"/>
        <w:textAlignment w:val="baseline"/>
        <w:rPr>
          <w:rFonts w:hint="eastAsia" w:ascii="宋体" w:hAnsi="宋体" w:eastAsia="宋体" w:cs="宋体"/>
          <w:b/>
          <w:bCs/>
          <w:snapToGrid w:val="0"/>
          <w:color w:val="auto"/>
          <w:spacing w:val="4"/>
          <w:kern w:val="0"/>
          <w:sz w:val="32"/>
          <w:szCs w:val="32"/>
          <w:highlight w:val="none"/>
        </w:rPr>
      </w:pPr>
      <w:r>
        <w:rPr>
          <w:rFonts w:hint="eastAsia" w:ascii="宋体" w:hAnsi="宋体" w:eastAsia="宋体" w:cs="宋体"/>
          <w:b/>
          <w:bCs/>
          <w:snapToGrid w:val="0"/>
          <w:color w:val="auto"/>
          <w:spacing w:val="4"/>
          <w:kern w:val="0"/>
          <w:sz w:val="32"/>
          <w:szCs w:val="32"/>
          <w:highlight w:val="none"/>
        </w:rPr>
        <w:t>第四章 服务商须知</w:t>
      </w:r>
    </w:p>
    <w:p w14:paraId="2221BE9D">
      <w:pPr>
        <w:widowControl/>
        <w:kinsoku w:val="0"/>
        <w:autoSpaceDE w:val="0"/>
        <w:autoSpaceDN w:val="0"/>
        <w:adjustRightInd w:val="0"/>
        <w:snapToGrid w:val="0"/>
        <w:spacing w:before="137" w:line="240" w:lineRule="exact"/>
        <w:jc w:val="center"/>
        <w:textAlignment w:val="baseline"/>
        <w:rPr>
          <w:rFonts w:hint="eastAsia" w:ascii="宋体" w:hAnsi="宋体" w:eastAsia="宋体" w:cs="宋体"/>
          <w:b/>
          <w:bCs/>
          <w:snapToGrid w:val="0"/>
          <w:color w:val="auto"/>
          <w:spacing w:val="4"/>
          <w:kern w:val="0"/>
          <w:sz w:val="32"/>
          <w:szCs w:val="32"/>
          <w:highlight w:val="none"/>
        </w:rPr>
      </w:pPr>
      <w:r>
        <w:rPr>
          <w:rFonts w:hint="eastAsia" w:ascii="宋体" w:hAnsi="宋体" w:eastAsia="宋体" w:cs="宋体"/>
          <w:b/>
          <w:bCs/>
          <w:snapToGrid w:val="0"/>
          <w:color w:val="auto"/>
          <w:spacing w:val="4"/>
          <w:kern w:val="0"/>
          <w:sz w:val="32"/>
          <w:szCs w:val="32"/>
          <w:highlight w:val="none"/>
        </w:rPr>
        <w:t>供 应 商 须 知 前 附 表</w:t>
      </w:r>
    </w:p>
    <w:tbl>
      <w:tblPr>
        <w:tblStyle w:val="24"/>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42"/>
        <w:gridCol w:w="731"/>
        <w:gridCol w:w="85"/>
        <w:gridCol w:w="1174"/>
        <w:gridCol w:w="150"/>
        <w:gridCol w:w="6587"/>
        <w:gridCol w:w="117"/>
      </w:tblGrid>
      <w:tr w14:paraId="57F57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noWrap/>
          </w:tcPr>
          <w:p w14:paraId="039A5EC9">
            <w:pPr>
              <w:keepNext w:val="0"/>
              <w:keepLines w:val="0"/>
              <w:pageBreakBefore w:val="0"/>
              <w:widowControl w:val="0"/>
              <w:kinsoku w:val="0"/>
              <w:wordWrap/>
              <w:overflowPunct/>
              <w:topLinePunct w:val="0"/>
              <w:autoSpaceDE w:val="0"/>
              <w:autoSpaceDN w:val="0"/>
              <w:bidi w:val="0"/>
              <w:adjustRightInd w:val="0"/>
              <w:snapToGrid w:val="0"/>
              <w:spacing w:before="294" w:line="186" w:lineRule="auto"/>
              <w:ind w:left="19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序</w:t>
            </w:r>
            <w:r>
              <w:rPr>
                <w:rFonts w:hint="eastAsia" w:ascii="宋体" w:hAnsi="宋体" w:eastAsia="宋体" w:cs="宋体"/>
                <w:snapToGrid w:val="0"/>
                <w:color w:val="auto"/>
                <w:spacing w:val="-1"/>
                <w:kern w:val="0"/>
                <w:sz w:val="24"/>
                <w:szCs w:val="24"/>
                <w:highlight w:val="none"/>
              </w:rPr>
              <w:t>号</w:t>
            </w:r>
          </w:p>
        </w:tc>
        <w:tc>
          <w:tcPr>
            <w:tcW w:w="773" w:type="dxa"/>
            <w:gridSpan w:val="2"/>
            <w:noWrap/>
          </w:tcPr>
          <w:p w14:paraId="5432FF03">
            <w:pPr>
              <w:keepNext w:val="0"/>
              <w:keepLines w:val="0"/>
              <w:pageBreakBefore w:val="0"/>
              <w:widowControl w:val="0"/>
              <w:kinsoku w:val="0"/>
              <w:wordWrap/>
              <w:overflowPunct/>
              <w:topLinePunct w:val="0"/>
              <w:autoSpaceDE w:val="0"/>
              <w:autoSpaceDN w:val="0"/>
              <w:bidi w:val="0"/>
              <w:adjustRightInd w:val="0"/>
              <w:snapToGrid w:val="0"/>
              <w:spacing w:before="110"/>
              <w:ind w:left="202"/>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条款</w:t>
            </w:r>
          </w:p>
          <w:p w14:paraId="436E068F">
            <w:pPr>
              <w:keepNext w:val="0"/>
              <w:keepLines w:val="0"/>
              <w:pageBreakBefore w:val="0"/>
              <w:widowControl w:val="0"/>
              <w:kinsoku w:val="0"/>
              <w:wordWrap/>
              <w:overflowPunct/>
              <w:topLinePunct w:val="0"/>
              <w:autoSpaceDE w:val="0"/>
              <w:autoSpaceDN w:val="0"/>
              <w:bidi w:val="0"/>
              <w:adjustRightInd w:val="0"/>
              <w:snapToGrid w:val="0"/>
              <w:spacing w:before="1" w:line="171" w:lineRule="auto"/>
              <w:ind w:left="30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号</w:t>
            </w:r>
          </w:p>
        </w:tc>
        <w:tc>
          <w:tcPr>
            <w:tcW w:w="1259" w:type="dxa"/>
            <w:gridSpan w:val="2"/>
            <w:noWrap/>
          </w:tcPr>
          <w:p w14:paraId="6EFE6813">
            <w:pPr>
              <w:keepNext w:val="0"/>
              <w:keepLines w:val="0"/>
              <w:pageBreakBefore w:val="0"/>
              <w:widowControl w:val="0"/>
              <w:kinsoku w:val="0"/>
              <w:wordWrap/>
              <w:overflowPunct/>
              <w:topLinePunct w:val="0"/>
              <w:autoSpaceDE w:val="0"/>
              <w:autoSpaceDN w:val="0"/>
              <w:bidi w:val="0"/>
              <w:adjustRightInd w:val="0"/>
              <w:snapToGrid w:val="0"/>
              <w:spacing w:before="293" w:line="187" w:lineRule="auto"/>
              <w:ind w:left="24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条款名称</w:t>
            </w:r>
          </w:p>
        </w:tc>
        <w:tc>
          <w:tcPr>
            <w:tcW w:w="6854" w:type="dxa"/>
            <w:gridSpan w:val="3"/>
            <w:noWrap/>
          </w:tcPr>
          <w:p w14:paraId="30EB8FB9">
            <w:pPr>
              <w:keepNext w:val="0"/>
              <w:keepLines w:val="0"/>
              <w:pageBreakBefore w:val="0"/>
              <w:widowControl w:val="0"/>
              <w:kinsoku w:val="0"/>
              <w:wordWrap/>
              <w:overflowPunct/>
              <w:topLinePunct w:val="0"/>
              <w:autoSpaceDE w:val="0"/>
              <w:autoSpaceDN w:val="0"/>
              <w:bidi w:val="0"/>
              <w:adjustRightInd w:val="0"/>
              <w:snapToGrid w:val="0"/>
              <w:spacing w:before="293" w:line="187" w:lineRule="auto"/>
              <w:ind w:firstLine="2530" w:firstLineChars="11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5"/>
                <w:kern w:val="0"/>
                <w:sz w:val="24"/>
                <w:szCs w:val="24"/>
                <w:highlight w:val="none"/>
              </w:rPr>
              <w:t>内容、要求</w:t>
            </w:r>
          </w:p>
        </w:tc>
      </w:tr>
      <w:tr w14:paraId="0C154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vMerge w:val="restart"/>
            <w:noWrap/>
            <w:vAlign w:val="center"/>
          </w:tcPr>
          <w:p w14:paraId="7F1EE34E">
            <w:pPr>
              <w:keepNext w:val="0"/>
              <w:keepLines w:val="0"/>
              <w:pageBreakBefore w:val="0"/>
              <w:widowControl w:val="0"/>
              <w:kinsoku w:val="0"/>
              <w:wordWrap/>
              <w:overflowPunct/>
              <w:topLinePunct w:val="0"/>
              <w:autoSpaceDE w:val="0"/>
              <w:autoSpaceDN w:val="0"/>
              <w:bidi w:val="0"/>
              <w:adjustRightInd w:val="0"/>
              <w:snapToGrid w:val="0"/>
              <w:spacing w:before="322" w:line="163" w:lineRule="auto"/>
              <w:ind w:left="36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773" w:type="dxa"/>
            <w:gridSpan w:val="2"/>
            <w:noWrap/>
          </w:tcPr>
          <w:p w14:paraId="5F0333FA">
            <w:pPr>
              <w:keepNext w:val="0"/>
              <w:keepLines w:val="0"/>
              <w:pageBreakBefore w:val="0"/>
              <w:widowControl w:val="0"/>
              <w:kinsoku w:val="0"/>
              <w:wordWrap/>
              <w:overflowPunct/>
              <w:topLinePunct w:val="0"/>
              <w:autoSpaceDE w:val="0"/>
              <w:autoSpaceDN w:val="0"/>
              <w:bidi w:val="0"/>
              <w:adjustRightInd w:val="0"/>
              <w:snapToGrid w:val="0"/>
              <w:spacing w:before="321" w:line="162" w:lineRule="auto"/>
              <w:ind w:left="264"/>
              <w:jc w:val="left"/>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1.1</w:t>
            </w:r>
          </w:p>
        </w:tc>
        <w:tc>
          <w:tcPr>
            <w:tcW w:w="1259" w:type="dxa"/>
            <w:gridSpan w:val="2"/>
            <w:noWrap/>
            <w:vAlign w:val="center"/>
          </w:tcPr>
          <w:p w14:paraId="18EDD56A">
            <w:pPr>
              <w:keepNext w:val="0"/>
              <w:keepLines w:val="0"/>
              <w:pageBreakBefore w:val="0"/>
              <w:widowControl w:val="0"/>
              <w:kinsoku w:val="0"/>
              <w:wordWrap/>
              <w:overflowPunct/>
              <w:topLinePunct w:val="0"/>
              <w:autoSpaceDE w:val="0"/>
              <w:autoSpaceDN w:val="0"/>
              <w:bidi w:val="0"/>
              <w:adjustRightInd w:val="0"/>
              <w:snapToGrid w:val="0"/>
              <w:spacing w:before="105" w:line="206" w:lineRule="auto"/>
              <w:ind w:left="246" w:right="133" w:hanging="105"/>
              <w:jc w:val="center"/>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rPr>
              <w:t>采购人</w:t>
            </w:r>
          </w:p>
        </w:tc>
        <w:tc>
          <w:tcPr>
            <w:tcW w:w="6854" w:type="dxa"/>
            <w:gridSpan w:val="3"/>
            <w:noWrap/>
          </w:tcPr>
          <w:p w14:paraId="772103F1">
            <w:pPr>
              <w:pStyle w:val="10"/>
              <w:keepNext w:val="0"/>
              <w:keepLines w:val="0"/>
              <w:pageBreakBefore w:val="0"/>
              <w:widowControl w:val="0"/>
              <w:tabs>
                <w:tab w:val="left" w:pos="3420"/>
              </w:tabs>
              <w:wordWrap/>
              <w:overflowPunct/>
              <w:topLinePunct w:val="0"/>
              <w:bidi w:val="0"/>
              <w:spacing w:line="400" w:lineRule="exact"/>
              <w:ind w:firstLine="0"/>
              <w:rPr>
                <w:rFonts w:hint="eastAsia" w:ascii="宋体" w:hAnsi="宋体" w:eastAsia="宋体" w:cs="宋体"/>
                <w:snapToGrid w:val="0"/>
                <w:color w:val="auto"/>
                <w:spacing w:val="-3"/>
                <w:kern w:val="0"/>
                <w:sz w:val="24"/>
                <w:szCs w:val="24"/>
                <w:highlight w:val="none"/>
              </w:rPr>
            </w:pPr>
          </w:p>
          <w:p w14:paraId="48A13CD8">
            <w:pPr>
              <w:pStyle w:val="10"/>
              <w:keepNext w:val="0"/>
              <w:keepLines w:val="0"/>
              <w:pageBreakBefore w:val="0"/>
              <w:widowControl w:val="0"/>
              <w:tabs>
                <w:tab w:val="left" w:pos="3420"/>
              </w:tabs>
              <w:wordWrap/>
              <w:overflowPunct/>
              <w:topLinePunct w:val="0"/>
              <w:bidi w:val="0"/>
              <w:spacing w:line="400" w:lineRule="exact"/>
              <w:ind w:firstLine="0"/>
              <w:rPr>
                <w:rFonts w:hint="eastAsia" w:ascii="宋体" w:hAnsi="宋体" w:eastAsia="宋体" w:cs="宋体"/>
                <w:snapToGrid w:val="0"/>
                <w:color w:val="auto"/>
                <w:spacing w:val="-3"/>
                <w:kern w:val="0"/>
                <w:sz w:val="24"/>
                <w:szCs w:val="24"/>
                <w:highlight w:val="none"/>
              </w:rPr>
            </w:pPr>
            <w:r>
              <w:rPr>
                <w:rFonts w:hint="eastAsia" w:ascii="宋体" w:hAnsi="宋体" w:eastAsia="宋体" w:cs="宋体"/>
                <w:snapToGrid w:val="0"/>
                <w:color w:val="auto"/>
                <w:spacing w:val="-3"/>
                <w:kern w:val="0"/>
                <w:sz w:val="24"/>
                <w:szCs w:val="24"/>
                <w:highlight w:val="none"/>
              </w:rPr>
              <w:t>名称：梧州市红十字会医院</w:t>
            </w:r>
          </w:p>
          <w:p w14:paraId="6CA813E4">
            <w:pPr>
              <w:keepNext w:val="0"/>
              <w:keepLines w:val="0"/>
              <w:pageBreakBefore w:val="0"/>
              <w:widowControl w:val="0"/>
              <w:kinsoku w:val="0"/>
              <w:wordWrap/>
              <w:overflowPunct/>
              <w:topLinePunct w:val="0"/>
              <w:autoSpaceDE w:val="0"/>
              <w:autoSpaceDN w:val="0"/>
              <w:bidi w:val="0"/>
              <w:adjustRightInd w:val="0"/>
              <w:snapToGrid w:val="0"/>
              <w:spacing w:before="82" w:line="171" w:lineRule="auto"/>
              <w:textAlignment w:val="baseline"/>
              <w:rPr>
                <w:rFonts w:hint="eastAsia" w:ascii="宋体" w:hAnsi="宋体" w:eastAsia="宋体" w:cs="宋体"/>
                <w:snapToGrid w:val="0"/>
                <w:color w:val="auto"/>
                <w:spacing w:val="-3"/>
                <w:kern w:val="0"/>
                <w:sz w:val="24"/>
                <w:szCs w:val="24"/>
                <w:highlight w:val="none"/>
              </w:rPr>
            </w:pPr>
            <w:r>
              <w:rPr>
                <w:rFonts w:hint="eastAsia" w:ascii="宋体" w:hAnsi="宋体" w:eastAsia="宋体" w:cs="宋体"/>
                <w:snapToGrid w:val="0"/>
                <w:color w:val="auto"/>
                <w:spacing w:val="-3"/>
                <w:kern w:val="0"/>
                <w:sz w:val="24"/>
                <w:szCs w:val="24"/>
                <w:highlight w:val="none"/>
              </w:rPr>
              <w:t>地址：梧州市万秀区新兴一路3-1号</w:t>
            </w:r>
          </w:p>
          <w:p w14:paraId="0710017A">
            <w:pPr>
              <w:keepNext w:val="0"/>
              <w:keepLines w:val="0"/>
              <w:pageBreakBefore w:val="0"/>
              <w:widowControl w:val="0"/>
              <w:kinsoku w:val="0"/>
              <w:wordWrap/>
              <w:overflowPunct/>
              <w:topLinePunct w:val="0"/>
              <w:autoSpaceDE w:val="0"/>
              <w:autoSpaceDN w:val="0"/>
              <w:bidi w:val="0"/>
              <w:adjustRightInd w:val="0"/>
              <w:snapToGrid w:val="0"/>
              <w:spacing w:before="82" w:line="171" w:lineRule="auto"/>
              <w:textAlignment w:val="baseline"/>
              <w:rPr>
                <w:rFonts w:hint="eastAsia" w:ascii="宋体" w:hAnsi="宋体" w:eastAsia="宋体" w:cs="宋体"/>
                <w:snapToGrid w:val="0"/>
                <w:color w:val="auto"/>
                <w:spacing w:val="-3"/>
                <w:kern w:val="0"/>
                <w:sz w:val="24"/>
                <w:szCs w:val="24"/>
                <w:highlight w:val="none"/>
              </w:rPr>
            </w:pPr>
            <w:r>
              <w:rPr>
                <w:rFonts w:hint="eastAsia" w:ascii="宋体" w:hAnsi="宋体" w:eastAsia="宋体" w:cs="宋体"/>
                <w:snapToGrid w:val="0"/>
                <w:color w:val="auto"/>
                <w:spacing w:val="-3"/>
                <w:kern w:val="0"/>
                <w:sz w:val="24"/>
                <w:szCs w:val="24"/>
                <w:highlight w:val="none"/>
              </w:rPr>
              <w:t>联系方式：潘先生 ，联系电话：</w:t>
            </w:r>
            <w:r>
              <w:rPr>
                <w:rFonts w:hint="eastAsia" w:ascii="宋体" w:hAnsi="宋体" w:eastAsia="宋体" w:cs="宋体"/>
                <w:snapToGrid w:val="0"/>
                <w:color w:val="auto"/>
                <w:spacing w:val="-3"/>
                <w:kern w:val="0"/>
                <w:sz w:val="24"/>
                <w:szCs w:val="24"/>
                <w:highlight w:val="none"/>
                <w:lang w:eastAsia="zh-CN"/>
              </w:rPr>
              <w:t>0774-3821961</w:t>
            </w:r>
            <w:r>
              <w:rPr>
                <w:rFonts w:hint="eastAsia" w:ascii="宋体" w:hAnsi="宋体" w:eastAsia="宋体" w:cs="宋体"/>
                <w:snapToGrid w:val="0"/>
                <w:color w:val="auto"/>
                <w:spacing w:val="-3"/>
                <w:kern w:val="0"/>
                <w:sz w:val="24"/>
                <w:szCs w:val="24"/>
                <w:highlight w:val="none"/>
              </w:rPr>
              <w:t>　</w:t>
            </w:r>
          </w:p>
        </w:tc>
      </w:tr>
      <w:tr w14:paraId="7C010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vMerge w:val="continue"/>
            <w:noWrap/>
          </w:tcPr>
          <w:p w14:paraId="27F6F310">
            <w:pPr>
              <w:keepNext w:val="0"/>
              <w:keepLines w:val="0"/>
              <w:pageBreakBefore w:val="0"/>
              <w:widowControl w:val="0"/>
              <w:kinsoku w:val="0"/>
              <w:wordWrap/>
              <w:overflowPunct/>
              <w:topLinePunct w:val="0"/>
              <w:autoSpaceDE w:val="0"/>
              <w:autoSpaceDN w:val="0"/>
              <w:bidi w:val="0"/>
              <w:adjustRightInd w:val="0"/>
              <w:snapToGrid w:val="0"/>
              <w:spacing w:before="322" w:line="163" w:lineRule="auto"/>
              <w:ind w:left="364"/>
              <w:jc w:val="left"/>
              <w:textAlignment w:val="baseline"/>
              <w:rPr>
                <w:rFonts w:hint="eastAsia" w:ascii="宋体" w:hAnsi="宋体" w:eastAsia="宋体" w:cs="宋体"/>
                <w:snapToGrid w:val="0"/>
                <w:color w:val="auto"/>
                <w:kern w:val="0"/>
                <w:sz w:val="24"/>
                <w:szCs w:val="24"/>
                <w:highlight w:val="none"/>
              </w:rPr>
            </w:pPr>
          </w:p>
        </w:tc>
        <w:tc>
          <w:tcPr>
            <w:tcW w:w="773" w:type="dxa"/>
            <w:gridSpan w:val="2"/>
            <w:noWrap/>
          </w:tcPr>
          <w:p w14:paraId="47D76CBA">
            <w:pPr>
              <w:keepNext w:val="0"/>
              <w:keepLines w:val="0"/>
              <w:pageBreakBefore w:val="0"/>
              <w:widowControl w:val="0"/>
              <w:kinsoku w:val="0"/>
              <w:wordWrap/>
              <w:overflowPunct/>
              <w:topLinePunct w:val="0"/>
              <w:autoSpaceDE w:val="0"/>
              <w:autoSpaceDN w:val="0"/>
              <w:bidi w:val="0"/>
              <w:adjustRightInd w:val="0"/>
              <w:snapToGrid w:val="0"/>
              <w:spacing w:before="321" w:line="162" w:lineRule="auto"/>
              <w:ind w:left="264"/>
              <w:jc w:val="left"/>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1.2</w:t>
            </w:r>
          </w:p>
        </w:tc>
        <w:tc>
          <w:tcPr>
            <w:tcW w:w="1259" w:type="dxa"/>
            <w:gridSpan w:val="2"/>
            <w:noWrap/>
            <w:vAlign w:val="center"/>
          </w:tcPr>
          <w:p w14:paraId="2E72F317">
            <w:pPr>
              <w:keepNext w:val="0"/>
              <w:keepLines w:val="0"/>
              <w:pageBreakBefore w:val="0"/>
              <w:widowControl w:val="0"/>
              <w:kinsoku w:val="0"/>
              <w:wordWrap/>
              <w:overflowPunct/>
              <w:topLinePunct w:val="0"/>
              <w:autoSpaceDE w:val="0"/>
              <w:autoSpaceDN w:val="0"/>
              <w:bidi w:val="0"/>
              <w:adjustRightInd w:val="0"/>
              <w:snapToGrid w:val="0"/>
              <w:spacing w:before="105" w:line="206" w:lineRule="auto"/>
              <w:ind w:left="246" w:right="133" w:hanging="105"/>
              <w:jc w:val="center"/>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rPr>
              <w:t>采购代理机构</w:t>
            </w:r>
          </w:p>
        </w:tc>
        <w:tc>
          <w:tcPr>
            <w:tcW w:w="6854" w:type="dxa"/>
            <w:gridSpan w:val="3"/>
            <w:noWrap/>
          </w:tcPr>
          <w:p w14:paraId="0AE472D4">
            <w:pPr>
              <w:pStyle w:val="10"/>
              <w:keepNext w:val="0"/>
              <w:keepLines w:val="0"/>
              <w:pageBreakBefore w:val="0"/>
              <w:widowControl w:val="0"/>
              <w:tabs>
                <w:tab w:val="left" w:pos="3420"/>
              </w:tabs>
              <w:wordWrap/>
              <w:overflowPunct/>
              <w:topLinePunct w:val="0"/>
              <w:bidi w:val="0"/>
              <w:spacing w:line="400" w:lineRule="exact"/>
              <w:ind w:firstLine="0"/>
              <w:rPr>
                <w:rFonts w:hint="eastAsia" w:ascii="宋体" w:hAnsi="宋体" w:eastAsia="宋体" w:cs="宋体"/>
                <w:snapToGrid w:val="0"/>
                <w:color w:val="auto"/>
                <w:spacing w:val="-3"/>
                <w:kern w:val="0"/>
                <w:sz w:val="24"/>
                <w:szCs w:val="24"/>
                <w:highlight w:val="none"/>
              </w:rPr>
            </w:pPr>
          </w:p>
          <w:p w14:paraId="7915EEB4">
            <w:pPr>
              <w:pStyle w:val="10"/>
              <w:keepNext w:val="0"/>
              <w:keepLines w:val="0"/>
              <w:pageBreakBefore w:val="0"/>
              <w:widowControl w:val="0"/>
              <w:tabs>
                <w:tab w:val="left" w:pos="3420"/>
              </w:tabs>
              <w:wordWrap/>
              <w:overflowPunct/>
              <w:topLinePunct w:val="0"/>
              <w:bidi w:val="0"/>
              <w:spacing w:line="400" w:lineRule="exact"/>
              <w:ind w:firstLine="0"/>
              <w:rPr>
                <w:rFonts w:hint="eastAsia" w:ascii="宋体" w:hAnsi="宋体" w:eastAsia="宋体" w:cs="宋体"/>
                <w:snapToGrid w:val="0"/>
                <w:color w:val="auto"/>
                <w:spacing w:val="-3"/>
                <w:kern w:val="0"/>
                <w:sz w:val="24"/>
                <w:szCs w:val="24"/>
                <w:highlight w:val="none"/>
              </w:rPr>
            </w:pPr>
            <w:r>
              <w:rPr>
                <w:rFonts w:hint="eastAsia" w:ascii="宋体" w:hAnsi="宋体" w:eastAsia="宋体" w:cs="宋体"/>
                <w:snapToGrid w:val="0"/>
                <w:color w:val="auto"/>
                <w:spacing w:val="-3"/>
                <w:kern w:val="0"/>
                <w:sz w:val="24"/>
                <w:szCs w:val="24"/>
                <w:highlight w:val="none"/>
              </w:rPr>
              <w:t>名 称：中经国际招标集团有限公司</w:t>
            </w:r>
          </w:p>
          <w:p w14:paraId="5973585D">
            <w:pPr>
              <w:pStyle w:val="10"/>
              <w:keepNext w:val="0"/>
              <w:keepLines w:val="0"/>
              <w:pageBreakBefore w:val="0"/>
              <w:widowControl w:val="0"/>
              <w:tabs>
                <w:tab w:val="left" w:pos="3420"/>
              </w:tabs>
              <w:wordWrap/>
              <w:overflowPunct/>
              <w:topLinePunct w:val="0"/>
              <w:bidi w:val="0"/>
              <w:spacing w:line="400" w:lineRule="exact"/>
              <w:ind w:firstLine="0"/>
              <w:rPr>
                <w:rFonts w:hint="eastAsia" w:ascii="宋体" w:hAnsi="宋体" w:eastAsia="宋体" w:cs="宋体"/>
                <w:snapToGrid w:val="0"/>
                <w:color w:val="auto"/>
                <w:spacing w:val="-3"/>
                <w:kern w:val="0"/>
                <w:sz w:val="24"/>
                <w:szCs w:val="24"/>
                <w:highlight w:val="none"/>
              </w:rPr>
            </w:pPr>
            <w:r>
              <w:rPr>
                <w:rFonts w:hint="eastAsia" w:ascii="宋体" w:hAnsi="宋体" w:eastAsia="宋体" w:cs="宋体"/>
                <w:snapToGrid w:val="0"/>
                <w:color w:val="auto"/>
                <w:spacing w:val="-3"/>
                <w:kern w:val="0"/>
                <w:sz w:val="24"/>
                <w:szCs w:val="24"/>
                <w:highlight w:val="none"/>
              </w:rPr>
              <w:t>地　址：梧州市长洲区新兴二路125号8楼　</w:t>
            </w:r>
          </w:p>
          <w:p w14:paraId="3911D40F">
            <w:pPr>
              <w:pStyle w:val="10"/>
              <w:keepNext w:val="0"/>
              <w:keepLines w:val="0"/>
              <w:pageBreakBefore w:val="0"/>
              <w:widowControl w:val="0"/>
              <w:tabs>
                <w:tab w:val="left" w:pos="3420"/>
              </w:tabs>
              <w:wordWrap/>
              <w:overflowPunct/>
              <w:topLinePunct w:val="0"/>
              <w:bidi w:val="0"/>
              <w:spacing w:line="400" w:lineRule="exact"/>
              <w:ind w:firstLine="0"/>
              <w:rPr>
                <w:rFonts w:hint="eastAsia" w:ascii="宋体" w:hAnsi="宋体" w:eastAsia="宋体" w:cs="宋体"/>
                <w:snapToGrid w:val="0"/>
                <w:color w:val="auto"/>
                <w:spacing w:val="-3"/>
                <w:kern w:val="0"/>
                <w:sz w:val="24"/>
                <w:szCs w:val="24"/>
                <w:highlight w:val="none"/>
              </w:rPr>
            </w:pPr>
            <w:r>
              <w:rPr>
                <w:rFonts w:hint="eastAsia" w:ascii="宋体" w:hAnsi="宋体" w:eastAsia="宋体" w:cs="宋体"/>
                <w:snapToGrid w:val="0"/>
                <w:color w:val="auto"/>
                <w:spacing w:val="-3"/>
                <w:kern w:val="0"/>
                <w:sz w:val="24"/>
                <w:szCs w:val="24"/>
                <w:highlight w:val="none"/>
              </w:rPr>
              <w:t>联系方式：黄小姐，联系电话：0774-3819193</w:t>
            </w:r>
          </w:p>
        </w:tc>
      </w:tr>
      <w:tr w14:paraId="1AD67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vMerge w:val="continue"/>
            <w:noWrap/>
          </w:tcPr>
          <w:p w14:paraId="4EC2749A">
            <w:pPr>
              <w:keepNext w:val="0"/>
              <w:keepLines w:val="0"/>
              <w:pageBreakBefore w:val="0"/>
              <w:widowControl w:val="0"/>
              <w:kinsoku w:val="0"/>
              <w:wordWrap/>
              <w:overflowPunct/>
              <w:topLinePunct w:val="0"/>
              <w:autoSpaceDE w:val="0"/>
              <w:autoSpaceDN w:val="0"/>
              <w:bidi w:val="0"/>
              <w:adjustRightInd w:val="0"/>
              <w:snapToGrid w:val="0"/>
              <w:spacing w:before="322" w:line="163" w:lineRule="auto"/>
              <w:ind w:left="364"/>
              <w:jc w:val="left"/>
              <w:textAlignment w:val="baseline"/>
              <w:rPr>
                <w:rFonts w:hint="eastAsia" w:ascii="宋体" w:hAnsi="宋体" w:eastAsia="宋体" w:cs="宋体"/>
                <w:snapToGrid w:val="0"/>
                <w:color w:val="auto"/>
                <w:kern w:val="0"/>
                <w:sz w:val="24"/>
                <w:szCs w:val="24"/>
                <w:highlight w:val="none"/>
              </w:rPr>
            </w:pPr>
          </w:p>
        </w:tc>
        <w:tc>
          <w:tcPr>
            <w:tcW w:w="773" w:type="dxa"/>
            <w:gridSpan w:val="2"/>
            <w:noWrap/>
          </w:tcPr>
          <w:p w14:paraId="150015AF">
            <w:pPr>
              <w:keepNext w:val="0"/>
              <w:keepLines w:val="0"/>
              <w:pageBreakBefore w:val="0"/>
              <w:widowControl w:val="0"/>
              <w:kinsoku w:val="0"/>
              <w:wordWrap/>
              <w:overflowPunct/>
              <w:topLinePunct w:val="0"/>
              <w:autoSpaceDE w:val="0"/>
              <w:autoSpaceDN w:val="0"/>
              <w:bidi w:val="0"/>
              <w:adjustRightInd w:val="0"/>
              <w:snapToGrid w:val="0"/>
              <w:spacing w:before="321" w:line="162" w:lineRule="auto"/>
              <w:ind w:left="26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1.3-1.4</w:t>
            </w:r>
          </w:p>
        </w:tc>
        <w:tc>
          <w:tcPr>
            <w:tcW w:w="1259" w:type="dxa"/>
            <w:gridSpan w:val="2"/>
            <w:noWrap/>
          </w:tcPr>
          <w:p w14:paraId="3F4C96F7">
            <w:pPr>
              <w:keepNext w:val="0"/>
              <w:keepLines w:val="0"/>
              <w:pageBreakBefore w:val="0"/>
              <w:widowControl w:val="0"/>
              <w:kinsoku w:val="0"/>
              <w:wordWrap/>
              <w:overflowPunct/>
              <w:topLinePunct w:val="0"/>
              <w:autoSpaceDE w:val="0"/>
              <w:autoSpaceDN w:val="0"/>
              <w:bidi w:val="0"/>
              <w:adjustRightInd w:val="0"/>
              <w:snapToGrid w:val="0"/>
              <w:spacing w:before="105" w:line="206" w:lineRule="auto"/>
              <w:ind w:left="246" w:right="133" w:hanging="10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项</w:t>
            </w:r>
            <w:r>
              <w:rPr>
                <w:rFonts w:hint="eastAsia" w:ascii="宋体" w:hAnsi="宋体" w:eastAsia="宋体" w:cs="宋体"/>
                <w:snapToGrid w:val="0"/>
                <w:color w:val="auto"/>
                <w:spacing w:val="-1"/>
                <w:kern w:val="0"/>
                <w:sz w:val="24"/>
                <w:szCs w:val="24"/>
                <w:highlight w:val="none"/>
              </w:rPr>
              <w:t>目名称及</w:t>
            </w:r>
            <w:r>
              <w:rPr>
                <w:rFonts w:hint="eastAsia" w:ascii="宋体" w:hAnsi="宋体" w:eastAsia="宋体" w:cs="宋体"/>
                <w:snapToGrid w:val="0"/>
                <w:color w:val="auto"/>
                <w:spacing w:val="-2"/>
                <w:kern w:val="0"/>
                <w:sz w:val="24"/>
                <w:szCs w:val="24"/>
                <w:highlight w:val="none"/>
              </w:rPr>
              <w:t>项目</w:t>
            </w:r>
            <w:r>
              <w:rPr>
                <w:rFonts w:hint="eastAsia" w:ascii="宋体" w:hAnsi="宋体" w:eastAsia="宋体" w:cs="宋体"/>
                <w:snapToGrid w:val="0"/>
                <w:color w:val="auto"/>
                <w:spacing w:val="-1"/>
                <w:kern w:val="0"/>
                <w:sz w:val="24"/>
                <w:szCs w:val="24"/>
                <w:highlight w:val="none"/>
              </w:rPr>
              <w:t>编号</w:t>
            </w:r>
          </w:p>
        </w:tc>
        <w:tc>
          <w:tcPr>
            <w:tcW w:w="6854" w:type="dxa"/>
            <w:gridSpan w:val="3"/>
            <w:noWrap/>
          </w:tcPr>
          <w:p w14:paraId="78486B00">
            <w:pPr>
              <w:keepNext w:val="0"/>
              <w:keepLines w:val="0"/>
              <w:pageBreakBefore w:val="0"/>
              <w:widowControl w:val="0"/>
              <w:kinsoku w:val="0"/>
              <w:wordWrap/>
              <w:overflowPunct/>
              <w:topLinePunct w:val="0"/>
              <w:autoSpaceDE w:val="0"/>
              <w:autoSpaceDN w:val="0"/>
              <w:bidi w:val="0"/>
              <w:adjustRightInd w:val="0"/>
              <w:snapToGrid w:val="0"/>
              <w:spacing w:before="107" w:line="185" w:lineRule="auto"/>
              <w:ind w:left="113"/>
              <w:jc w:val="left"/>
              <w:textAlignment w:val="baseline"/>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spacing w:val="-3"/>
                <w:kern w:val="0"/>
                <w:sz w:val="24"/>
                <w:szCs w:val="24"/>
                <w:highlight w:val="none"/>
              </w:rPr>
              <w:t>项目名称：</w:t>
            </w:r>
            <w:r>
              <w:rPr>
                <w:rFonts w:hint="eastAsia" w:ascii="宋体" w:hAnsi="宋体" w:eastAsia="宋体" w:cs="宋体"/>
                <w:snapToGrid w:val="0"/>
                <w:color w:val="auto"/>
                <w:spacing w:val="-3"/>
                <w:kern w:val="0"/>
                <w:sz w:val="24"/>
                <w:szCs w:val="24"/>
                <w:highlight w:val="none"/>
                <w:lang w:eastAsia="zh-CN"/>
              </w:rPr>
              <w:t>医学教育培训系统（重）</w:t>
            </w:r>
          </w:p>
          <w:p w14:paraId="437D46FE">
            <w:pPr>
              <w:keepNext w:val="0"/>
              <w:keepLines w:val="0"/>
              <w:pageBreakBefore w:val="0"/>
              <w:widowControl w:val="0"/>
              <w:kinsoku w:val="0"/>
              <w:wordWrap/>
              <w:overflowPunct/>
              <w:topLinePunct w:val="0"/>
              <w:autoSpaceDE w:val="0"/>
              <w:autoSpaceDN w:val="0"/>
              <w:bidi w:val="0"/>
              <w:adjustRightInd w:val="0"/>
              <w:snapToGrid w:val="0"/>
              <w:spacing w:before="82" w:line="171" w:lineRule="auto"/>
              <w:ind w:left="113"/>
              <w:jc w:val="left"/>
              <w:textAlignment w:val="baseline"/>
              <w:rPr>
                <w:rFonts w:hint="eastAsia" w:ascii="宋体" w:hAnsi="宋体" w:eastAsia="宋体" w:cs="宋体"/>
                <w:snapToGrid w:val="0"/>
                <w:color w:val="auto"/>
                <w:spacing w:val="-16"/>
                <w:kern w:val="0"/>
                <w:sz w:val="24"/>
                <w:szCs w:val="24"/>
                <w:highlight w:val="none"/>
                <w:lang w:eastAsia="zh-CN"/>
              </w:rPr>
            </w:pPr>
            <w:r>
              <w:rPr>
                <w:rFonts w:hint="eastAsia" w:ascii="宋体" w:hAnsi="宋体" w:eastAsia="宋体" w:cs="宋体"/>
                <w:snapToGrid w:val="0"/>
                <w:color w:val="auto"/>
                <w:spacing w:val="-17"/>
                <w:kern w:val="0"/>
                <w:sz w:val="24"/>
                <w:szCs w:val="24"/>
                <w:highlight w:val="none"/>
              </w:rPr>
              <w:t>项</w:t>
            </w:r>
            <w:r>
              <w:rPr>
                <w:rFonts w:hint="eastAsia" w:ascii="宋体" w:hAnsi="宋体" w:eastAsia="宋体" w:cs="宋体"/>
                <w:snapToGrid w:val="0"/>
                <w:color w:val="auto"/>
                <w:spacing w:val="-16"/>
                <w:kern w:val="0"/>
                <w:sz w:val="24"/>
                <w:szCs w:val="24"/>
                <w:highlight w:val="none"/>
              </w:rPr>
              <w:t>目编号：</w:t>
            </w:r>
            <w:r>
              <w:rPr>
                <w:rFonts w:hint="eastAsia" w:ascii="宋体" w:hAnsi="宋体" w:eastAsia="宋体" w:cs="宋体"/>
                <w:snapToGrid w:val="0"/>
                <w:color w:val="auto"/>
                <w:spacing w:val="-16"/>
                <w:kern w:val="0"/>
                <w:sz w:val="24"/>
                <w:szCs w:val="24"/>
                <w:highlight w:val="none"/>
                <w:lang w:eastAsia="zh-CN"/>
              </w:rPr>
              <w:t>WZZC2025-C3-990171-ZJGJ</w:t>
            </w:r>
          </w:p>
          <w:p w14:paraId="0D3DE713">
            <w:pPr>
              <w:keepNext w:val="0"/>
              <w:keepLines w:val="0"/>
              <w:pageBreakBefore w:val="0"/>
              <w:widowControl w:val="0"/>
              <w:kinsoku w:val="0"/>
              <w:wordWrap/>
              <w:overflowPunct/>
              <w:topLinePunct w:val="0"/>
              <w:autoSpaceDE w:val="0"/>
              <w:autoSpaceDN w:val="0"/>
              <w:bidi w:val="0"/>
              <w:adjustRightInd w:val="0"/>
              <w:snapToGrid w:val="0"/>
              <w:spacing w:before="82" w:line="171" w:lineRule="auto"/>
              <w:ind w:left="113"/>
              <w:jc w:val="left"/>
              <w:textAlignment w:val="baseline"/>
              <w:rPr>
                <w:rFonts w:hint="eastAsia" w:ascii="宋体" w:hAnsi="宋体" w:eastAsia="宋体" w:cs="宋体"/>
                <w:snapToGrid w:val="0"/>
                <w:color w:val="auto"/>
                <w:kern w:val="0"/>
                <w:sz w:val="24"/>
                <w:szCs w:val="24"/>
                <w:highlight w:val="none"/>
              </w:rPr>
            </w:pPr>
          </w:p>
        </w:tc>
      </w:tr>
      <w:tr w14:paraId="3F555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vMerge w:val="continue"/>
            <w:noWrap/>
          </w:tcPr>
          <w:p w14:paraId="2FDF9F39">
            <w:pPr>
              <w:keepNext w:val="0"/>
              <w:keepLines w:val="0"/>
              <w:pageBreakBefore w:val="0"/>
              <w:widowControl w:val="0"/>
              <w:kinsoku w:val="0"/>
              <w:wordWrap/>
              <w:overflowPunct/>
              <w:topLinePunct w:val="0"/>
              <w:autoSpaceDE w:val="0"/>
              <w:autoSpaceDN w:val="0"/>
              <w:bidi w:val="0"/>
              <w:adjustRightInd w:val="0"/>
              <w:snapToGrid w:val="0"/>
              <w:spacing w:before="322" w:line="163" w:lineRule="auto"/>
              <w:ind w:left="364"/>
              <w:jc w:val="left"/>
              <w:textAlignment w:val="baseline"/>
              <w:rPr>
                <w:rFonts w:hint="eastAsia" w:ascii="宋体" w:hAnsi="宋体" w:eastAsia="宋体" w:cs="宋体"/>
                <w:snapToGrid w:val="0"/>
                <w:color w:val="auto"/>
                <w:kern w:val="0"/>
                <w:sz w:val="24"/>
                <w:szCs w:val="24"/>
                <w:highlight w:val="none"/>
              </w:rPr>
            </w:pPr>
          </w:p>
        </w:tc>
        <w:tc>
          <w:tcPr>
            <w:tcW w:w="773" w:type="dxa"/>
            <w:gridSpan w:val="2"/>
            <w:noWrap/>
          </w:tcPr>
          <w:p w14:paraId="30EC1CE8">
            <w:pPr>
              <w:keepNext w:val="0"/>
              <w:keepLines w:val="0"/>
              <w:pageBreakBefore w:val="0"/>
              <w:widowControl w:val="0"/>
              <w:kinsoku w:val="0"/>
              <w:wordWrap/>
              <w:overflowPunct/>
              <w:topLinePunct w:val="0"/>
              <w:autoSpaceDE w:val="0"/>
              <w:autoSpaceDN w:val="0"/>
              <w:bidi w:val="0"/>
              <w:adjustRightInd w:val="0"/>
              <w:snapToGrid w:val="0"/>
              <w:spacing w:before="321" w:line="162" w:lineRule="auto"/>
              <w:ind w:left="264"/>
              <w:jc w:val="left"/>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1.5-1.6</w:t>
            </w:r>
          </w:p>
        </w:tc>
        <w:tc>
          <w:tcPr>
            <w:tcW w:w="1259" w:type="dxa"/>
            <w:gridSpan w:val="2"/>
            <w:noWrap/>
            <w:vAlign w:val="center"/>
          </w:tcPr>
          <w:p w14:paraId="6D1DC9E5">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181" w:lineRule="auto"/>
              <w:jc w:val="center"/>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kern w:val="0"/>
                <w:sz w:val="24"/>
                <w:szCs w:val="24"/>
                <w:highlight w:val="none"/>
              </w:rPr>
              <w:t>采购预算及资金来源</w:t>
            </w:r>
          </w:p>
        </w:tc>
        <w:tc>
          <w:tcPr>
            <w:tcW w:w="6854" w:type="dxa"/>
            <w:gridSpan w:val="3"/>
            <w:noWrap/>
          </w:tcPr>
          <w:p w14:paraId="2AD73953">
            <w:pPr>
              <w:keepNext w:val="0"/>
              <w:keepLines w:val="0"/>
              <w:pageBreakBefore w:val="0"/>
              <w:widowControl w:val="0"/>
              <w:kinsoku w:val="0"/>
              <w:wordWrap/>
              <w:overflowPunct/>
              <w:topLinePunct w:val="0"/>
              <w:autoSpaceDE w:val="0"/>
              <w:autoSpaceDN w:val="0"/>
              <w:bidi w:val="0"/>
              <w:adjustRightInd w:val="0"/>
              <w:snapToGrid w:val="0"/>
              <w:spacing w:before="82" w:line="171" w:lineRule="auto"/>
              <w:ind w:left="113"/>
              <w:jc w:val="left"/>
              <w:textAlignment w:val="baseline"/>
              <w:rPr>
                <w:rFonts w:hint="eastAsia" w:ascii="宋体" w:hAnsi="宋体" w:eastAsia="宋体" w:cs="宋体"/>
                <w:snapToGrid w:val="0"/>
                <w:color w:val="auto"/>
                <w:spacing w:val="-3"/>
                <w:kern w:val="0"/>
                <w:sz w:val="24"/>
                <w:szCs w:val="24"/>
                <w:highlight w:val="none"/>
              </w:rPr>
            </w:pPr>
            <w:r>
              <w:rPr>
                <w:rFonts w:hint="eastAsia" w:ascii="宋体" w:hAnsi="宋体" w:eastAsia="宋体" w:cs="宋体"/>
                <w:snapToGrid w:val="0"/>
                <w:color w:val="auto"/>
                <w:kern w:val="0"/>
                <w:sz w:val="24"/>
                <w:szCs w:val="24"/>
                <w:highlight w:val="none"/>
              </w:rPr>
              <w:t>采购预算金额：</w:t>
            </w:r>
            <w:r>
              <w:rPr>
                <w:rFonts w:hint="eastAsia" w:ascii="宋体" w:hAnsi="宋体" w:eastAsia="宋体" w:cs="宋体"/>
                <w:snapToGrid w:val="0"/>
                <w:color w:val="auto"/>
                <w:kern w:val="0"/>
                <w:sz w:val="24"/>
                <w:szCs w:val="24"/>
                <w:highlight w:val="none"/>
                <w:lang w:eastAsia="zh-CN"/>
              </w:rPr>
              <w:t>110万元</w:t>
            </w:r>
          </w:p>
          <w:p w14:paraId="1DBEE49E">
            <w:pPr>
              <w:keepNext w:val="0"/>
              <w:keepLines w:val="0"/>
              <w:pageBreakBefore w:val="0"/>
              <w:widowControl w:val="0"/>
              <w:kinsoku w:val="0"/>
              <w:wordWrap/>
              <w:overflowPunct/>
              <w:topLinePunct w:val="0"/>
              <w:autoSpaceDE w:val="0"/>
              <w:autoSpaceDN w:val="0"/>
              <w:bidi w:val="0"/>
              <w:adjustRightInd w:val="0"/>
              <w:snapToGrid w:val="0"/>
              <w:spacing w:before="82" w:line="171" w:lineRule="auto"/>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资金来源：</w:t>
            </w:r>
            <w:r>
              <w:rPr>
                <w:rFonts w:hint="eastAsia" w:ascii="宋体" w:hAnsi="宋体" w:eastAsia="宋体" w:cs="宋体"/>
                <w:snapToGrid w:val="0"/>
                <w:color w:val="auto"/>
                <w:kern w:val="0"/>
                <w:sz w:val="24"/>
                <w:szCs w:val="24"/>
                <w:highlight w:val="none"/>
                <w:lang w:val="en-US" w:eastAsia="zh-CN"/>
              </w:rPr>
              <w:t>财政</w:t>
            </w:r>
            <w:r>
              <w:rPr>
                <w:rFonts w:hint="eastAsia" w:ascii="宋体" w:hAnsi="宋体" w:eastAsia="宋体" w:cs="宋体"/>
                <w:snapToGrid w:val="0"/>
                <w:color w:val="auto"/>
                <w:kern w:val="0"/>
                <w:sz w:val="24"/>
                <w:szCs w:val="24"/>
                <w:highlight w:val="none"/>
              </w:rPr>
              <w:t>资金</w:t>
            </w:r>
          </w:p>
        </w:tc>
      </w:tr>
      <w:tr w14:paraId="7186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vMerge w:val="continue"/>
            <w:noWrap/>
          </w:tcPr>
          <w:p w14:paraId="47BCAECA">
            <w:pPr>
              <w:keepNext w:val="0"/>
              <w:keepLines w:val="0"/>
              <w:pageBreakBefore w:val="0"/>
              <w:widowControl w:val="0"/>
              <w:kinsoku w:val="0"/>
              <w:wordWrap/>
              <w:overflowPunct/>
              <w:topLinePunct w:val="0"/>
              <w:autoSpaceDE w:val="0"/>
              <w:autoSpaceDN w:val="0"/>
              <w:bidi w:val="0"/>
              <w:adjustRightInd w:val="0"/>
              <w:snapToGrid w:val="0"/>
              <w:spacing w:before="322" w:line="163" w:lineRule="auto"/>
              <w:ind w:left="364"/>
              <w:jc w:val="left"/>
              <w:textAlignment w:val="baseline"/>
              <w:rPr>
                <w:rFonts w:hint="eastAsia" w:ascii="宋体" w:hAnsi="宋体" w:eastAsia="宋体" w:cs="宋体"/>
                <w:snapToGrid w:val="0"/>
                <w:color w:val="auto"/>
                <w:kern w:val="0"/>
                <w:sz w:val="24"/>
                <w:szCs w:val="24"/>
                <w:highlight w:val="none"/>
              </w:rPr>
            </w:pPr>
          </w:p>
        </w:tc>
        <w:tc>
          <w:tcPr>
            <w:tcW w:w="773" w:type="dxa"/>
            <w:gridSpan w:val="2"/>
            <w:noWrap/>
          </w:tcPr>
          <w:p w14:paraId="2C8A5F30">
            <w:pPr>
              <w:keepNext w:val="0"/>
              <w:keepLines w:val="0"/>
              <w:pageBreakBefore w:val="0"/>
              <w:widowControl w:val="0"/>
              <w:kinsoku w:val="0"/>
              <w:wordWrap/>
              <w:overflowPunct/>
              <w:topLinePunct w:val="0"/>
              <w:autoSpaceDE w:val="0"/>
              <w:autoSpaceDN w:val="0"/>
              <w:bidi w:val="0"/>
              <w:adjustRightInd w:val="0"/>
              <w:snapToGrid w:val="0"/>
              <w:spacing w:before="321" w:line="162" w:lineRule="auto"/>
              <w:ind w:left="264"/>
              <w:jc w:val="left"/>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1.7</w:t>
            </w:r>
          </w:p>
        </w:tc>
        <w:tc>
          <w:tcPr>
            <w:tcW w:w="1259" w:type="dxa"/>
            <w:gridSpan w:val="2"/>
            <w:noWrap/>
            <w:vAlign w:val="center"/>
          </w:tcPr>
          <w:p w14:paraId="53728C2D">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181" w:lineRule="auto"/>
              <w:jc w:val="center"/>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kern w:val="0"/>
                <w:sz w:val="24"/>
                <w:szCs w:val="24"/>
                <w:highlight w:val="none"/>
              </w:rPr>
              <w:t>获取采购文件得方式</w:t>
            </w:r>
          </w:p>
        </w:tc>
        <w:tc>
          <w:tcPr>
            <w:tcW w:w="6854" w:type="dxa"/>
            <w:gridSpan w:val="3"/>
            <w:noWrap/>
          </w:tcPr>
          <w:p w14:paraId="6C788F15">
            <w:pPr>
              <w:keepNext w:val="0"/>
              <w:keepLines w:val="0"/>
              <w:pageBreakBefore w:val="0"/>
              <w:widowControl w:val="0"/>
              <w:kinsoku w:val="0"/>
              <w:wordWrap/>
              <w:overflowPunct/>
              <w:topLinePunct w:val="0"/>
              <w:autoSpaceDE w:val="0"/>
              <w:autoSpaceDN w:val="0"/>
              <w:bidi w:val="0"/>
              <w:adjustRightInd w:val="0"/>
              <w:snapToGrid w:val="0"/>
              <w:spacing w:before="82" w:line="171" w:lineRule="auto"/>
              <w:ind w:left="11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获取采购文件：</w:t>
            </w:r>
          </w:p>
          <w:p w14:paraId="681618AE">
            <w:pPr>
              <w:keepNext w:val="0"/>
              <w:keepLines w:val="0"/>
              <w:pageBreakBefore w:val="0"/>
              <w:widowControl w:val="0"/>
              <w:kinsoku w:val="0"/>
              <w:wordWrap/>
              <w:overflowPunct/>
              <w:topLinePunct w:val="0"/>
              <w:autoSpaceDE w:val="0"/>
              <w:autoSpaceDN w:val="0"/>
              <w:bidi w:val="0"/>
              <w:adjustRightInd w:val="0"/>
              <w:snapToGrid w:val="0"/>
              <w:spacing w:before="82" w:line="171" w:lineRule="auto"/>
              <w:ind w:left="11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时间：202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lang w:val="en-US" w:eastAsia="zh-CN"/>
              </w:rPr>
              <w:t>16</w:t>
            </w:r>
            <w:r>
              <w:rPr>
                <w:rFonts w:hint="eastAsia" w:ascii="宋体" w:hAnsi="宋体" w:eastAsia="宋体" w:cs="宋体"/>
                <w:snapToGrid w:val="0"/>
                <w:color w:val="auto"/>
                <w:kern w:val="0"/>
                <w:sz w:val="24"/>
                <w:szCs w:val="24"/>
                <w:highlight w:val="none"/>
              </w:rPr>
              <w:t xml:space="preserve"> 日至202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lang w:val="en-US" w:eastAsia="zh-CN"/>
              </w:rPr>
              <w:t>23</w:t>
            </w:r>
            <w:r>
              <w:rPr>
                <w:rFonts w:hint="eastAsia" w:ascii="宋体" w:hAnsi="宋体" w:eastAsia="宋体" w:cs="宋体"/>
                <w:snapToGrid w:val="0"/>
                <w:color w:val="auto"/>
                <w:kern w:val="0"/>
                <w:sz w:val="24"/>
                <w:szCs w:val="24"/>
                <w:highlight w:val="none"/>
              </w:rPr>
              <w:t xml:space="preserve"> 日</w:t>
            </w:r>
          </w:p>
          <w:p w14:paraId="32BDB563">
            <w:pPr>
              <w:keepNext w:val="0"/>
              <w:keepLines w:val="0"/>
              <w:pageBreakBefore w:val="0"/>
              <w:widowControl w:val="0"/>
              <w:kinsoku w:val="0"/>
              <w:wordWrap/>
              <w:overflowPunct/>
              <w:topLinePunct w:val="0"/>
              <w:autoSpaceDE w:val="0"/>
              <w:autoSpaceDN w:val="0"/>
              <w:bidi w:val="0"/>
              <w:adjustRightInd w:val="0"/>
              <w:snapToGrid w:val="0"/>
              <w:spacing w:before="82" w:line="171" w:lineRule="auto"/>
              <w:ind w:left="11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地点：“广西政府采购云平台”（https://www.gcy.zfcg.gxzf.gov.cn）</w:t>
            </w:r>
          </w:p>
          <w:p w14:paraId="32E45934">
            <w:pPr>
              <w:keepNext w:val="0"/>
              <w:keepLines w:val="0"/>
              <w:pageBreakBefore w:val="0"/>
              <w:widowControl w:val="0"/>
              <w:kinsoku w:val="0"/>
              <w:wordWrap/>
              <w:overflowPunct/>
              <w:topLinePunct w:val="0"/>
              <w:autoSpaceDE w:val="0"/>
              <w:autoSpaceDN w:val="0"/>
              <w:bidi w:val="0"/>
              <w:adjustRightInd w:val="0"/>
              <w:snapToGrid w:val="0"/>
              <w:spacing w:before="82" w:line="240" w:lineRule="auto"/>
              <w:ind w:left="11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方式：潜在服务商通过“广西政府采购云平台”完成账号注册后，须在获取磋商文件时限内登录“广西政府采购云平台”的“项目采购——获取采购文件”模块自行申请获取并下载竞争性磋商文件</w:t>
            </w:r>
          </w:p>
          <w:p w14:paraId="7D3EE93E">
            <w:pPr>
              <w:keepNext w:val="0"/>
              <w:keepLines w:val="0"/>
              <w:pageBreakBefore w:val="0"/>
              <w:widowControl w:val="0"/>
              <w:kinsoku w:val="0"/>
              <w:wordWrap/>
              <w:overflowPunct/>
              <w:topLinePunct w:val="0"/>
              <w:autoSpaceDE w:val="0"/>
              <w:autoSpaceDN w:val="0"/>
              <w:bidi w:val="0"/>
              <w:adjustRightInd w:val="0"/>
              <w:snapToGrid w:val="0"/>
              <w:spacing w:before="82" w:line="171" w:lineRule="auto"/>
              <w:ind w:left="113"/>
              <w:jc w:val="left"/>
              <w:textAlignment w:val="baseline"/>
              <w:rPr>
                <w:rFonts w:hint="eastAsia" w:ascii="宋体" w:hAnsi="宋体" w:eastAsia="宋体" w:cs="宋体"/>
                <w:snapToGrid w:val="0"/>
                <w:color w:val="auto"/>
                <w:spacing w:val="-17"/>
                <w:kern w:val="0"/>
                <w:sz w:val="24"/>
                <w:szCs w:val="24"/>
                <w:highlight w:val="none"/>
              </w:rPr>
            </w:pPr>
            <w:r>
              <w:rPr>
                <w:rFonts w:hint="eastAsia" w:ascii="宋体" w:hAnsi="宋体" w:eastAsia="宋体" w:cs="宋体"/>
                <w:snapToGrid w:val="0"/>
                <w:color w:val="auto"/>
                <w:kern w:val="0"/>
                <w:sz w:val="24"/>
                <w:szCs w:val="24"/>
                <w:highlight w:val="none"/>
              </w:rPr>
              <w:t>售价 (人民币)：0.00 元。</w:t>
            </w:r>
          </w:p>
        </w:tc>
      </w:tr>
      <w:tr w14:paraId="44E06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noWrap/>
          </w:tcPr>
          <w:p w14:paraId="5FA7AFE7">
            <w:pPr>
              <w:keepNext w:val="0"/>
              <w:keepLines w:val="0"/>
              <w:pageBreakBefore w:val="0"/>
              <w:widowControl w:val="0"/>
              <w:kinsoku w:val="0"/>
              <w:wordWrap/>
              <w:overflowPunct/>
              <w:topLinePunct w:val="0"/>
              <w:autoSpaceDE w:val="0"/>
              <w:autoSpaceDN w:val="0"/>
              <w:bidi w:val="0"/>
              <w:adjustRightInd w:val="0"/>
              <w:snapToGrid w:val="0"/>
              <w:spacing w:line="408" w:lineRule="auto"/>
              <w:jc w:val="left"/>
              <w:textAlignment w:val="baseline"/>
              <w:rPr>
                <w:rFonts w:hint="eastAsia" w:ascii="宋体" w:hAnsi="宋体" w:eastAsia="宋体" w:cs="宋体"/>
                <w:snapToGrid w:val="0"/>
                <w:color w:val="auto"/>
                <w:kern w:val="0"/>
                <w:sz w:val="24"/>
                <w:szCs w:val="24"/>
                <w:highlight w:val="none"/>
              </w:rPr>
            </w:pPr>
          </w:p>
          <w:p w14:paraId="3F140776">
            <w:pPr>
              <w:keepNext w:val="0"/>
              <w:keepLines w:val="0"/>
              <w:pageBreakBefore w:val="0"/>
              <w:widowControl w:val="0"/>
              <w:kinsoku w:val="0"/>
              <w:wordWrap/>
              <w:overflowPunct/>
              <w:topLinePunct w:val="0"/>
              <w:autoSpaceDE w:val="0"/>
              <w:autoSpaceDN w:val="0"/>
              <w:bidi w:val="0"/>
              <w:adjustRightInd w:val="0"/>
              <w:snapToGrid w:val="0"/>
              <w:spacing w:before="90" w:line="163" w:lineRule="auto"/>
              <w:ind w:left="35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773" w:type="dxa"/>
            <w:gridSpan w:val="2"/>
            <w:noWrap/>
          </w:tcPr>
          <w:p w14:paraId="7E6F0BD6">
            <w:pPr>
              <w:keepNext w:val="0"/>
              <w:keepLines w:val="0"/>
              <w:pageBreakBefore w:val="0"/>
              <w:widowControl w:val="0"/>
              <w:kinsoku w:val="0"/>
              <w:wordWrap/>
              <w:overflowPunct/>
              <w:topLinePunct w:val="0"/>
              <w:autoSpaceDE w:val="0"/>
              <w:autoSpaceDN w:val="0"/>
              <w:bidi w:val="0"/>
              <w:adjustRightInd w:val="0"/>
              <w:snapToGrid w:val="0"/>
              <w:spacing w:line="408" w:lineRule="auto"/>
              <w:jc w:val="left"/>
              <w:textAlignment w:val="baseline"/>
              <w:rPr>
                <w:rFonts w:hint="eastAsia" w:ascii="宋体" w:hAnsi="宋体" w:eastAsia="宋体" w:cs="宋体"/>
                <w:snapToGrid w:val="0"/>
                <w:color w:val="auto"/>
                <w:kern w:val="0"/>
                <w:sz w:val="24"/>
                <w:szCs w:val="24"/>
                <w:highlight w:val="none"/>
              </w:rPr>
            </w:pPr>
          </w:p>
          <w:p w14:paraId="05260602">
            <w:pPr>
              <w:keepNext w:val="0"/>
              <w:keepLines w:val="0"/>
              <w:pageBreakBefore w:val="0"/>
              <w:widowControl w:val="0"/>
              <w:kinsoku w:val="0"/>
              <w:wordWrap/>
              <w:overflowPunct/>
              <w:topLinePunct w:val="0"/>
              <w:autoSpaceDE w:val="0"/>
              <w:autoSpaceDN w:val="0"/>
              <w:bidi w:val="0"/>
              <w:adjustRightInd w:val="0"/>
              <w:snapToGrid w:val="0"/>
              <w:spacing w:before="90" w:line="161" w:lineRule="auto"/>
              <w:ind w:left="358"/>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259" w:type="dxa"/>
            <w:gridSpan w:val="2"/>
            <w:noWrap/>
          </w:tcPr>
          <w:p w14:paraId="1EC1388B">
            <w:pPr>
              <w:keepNext w:val="0"/>
              <w:keepLines w:val="0"/>
              <w:pageBreakBefore w:val="0"/>
              <w:widowControl w:val="0"/>
              <w:kinsoku w:val="0"/>
              <w:wordWrap/>
              <w:overflowPunct/>
              <w:topLinePunct w:val="0"/>
              <w:autoSpaceDE w:val="0"/>
              <w:autoSpaceDN w:val="0"/>
              <w:bidi w:val="0"/>
              <w:adjustRightInd w:val="0"/>
              <w:snapToGrid w:val="0"/>
              <w:spacing w:line="375" w:lineRule="auto"/>
              <w:jc w:val="left"/>
              <w:textAlignment w:val="baseline"/>
              <w:rPr>
                <w:rFonts w:hint="eastAsia" w:ascii="宋体" w:hAnsi="宋体" w:eastAsia="宋体" w:cs="宋体"/>
                <w:snapToGrid w:val="0"/>
                <w:color w:val="auto"/>
                <w:kern w:val="0"/>
                <w:sz w:val="24"/>
                <w:szCs w:val="24"/>
                <w:highlight w:val="none"/>
              </w:rPr>
            </w:pPr>
          </w:p>
          <w:p w14:paraId="75A300B6">
            <w:pPr>
              <w:keepNext w:val="0"/>
              <w:keepLines w:val="0"/>
              <w:pageBreakBefore w:val="0"/>
              <w:widowControl w:val="0"/>
              <w:kinsoku w:val="0"/>
              <w:wordWrap/>
              <w:overflowPunct/>
              <w:topLinePunct w:val="0"/>
              <w:autoSpaceDE w:val="0"/>
              <w:autoSpaceDN w:val="0"/>
              <w:bidi w:val="0"/>
              <w:adjustRightInd w:val="0"/>
              <w:snapToGrid w:val="0"/>
              <w:spacing w:before="90" w:line="186" w:lineRule="auto"/>
              <w:ind w:left="138"/>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服务商</w:t>
            </w:r>
            <w:r>
              <w:rPr>
                <w:rFonts w:hint="eastAsia" w:ascii="宋体" w:hAnsi="宋体" w:eastAsia="宋体" w:cs="宋体"/>
                <w:snapToGrid w:val="0"/>
                <w:color w:val="auto"/>
                <w:kern w:val="0"/>
                <w:sz w:val="24"/>
                <w:szCs w:val="24"/>
                <w:highlight w:val="none"/>
              </w:rPr>
              <w:t>资格</w:t>
            </w:r>
          </w:p>
        </w:tc>
        <w:tc>
          <w:tcPr>
            <w:tcW w:w="6854" w:type="dxa"/>
            <w:gridSpan w:val="3"/>
            <w:noWrap/>
          </w:tcPr>
          <w:p w14:paraId="095F4C9E">
            <w:pPr>
              <w:keepNext w:val="0"/>
              <w:keepLines w:val="0"/>
              <w:pageBreakBefore w:val="0"/>
              <w:widowControl w:val="0"/>
              <w:kinsoku w:val="0"/>
              <w:wordWrap/>
              <w:overflowPunct/>
              <w:topLinePunct w:val="0"/>
              <w:autoSpaceDE w:val="0"/>
              <w:autoSpaceDN w:val="0"/>
              <w:bidi w:val="0"/>
              <w:adjustRightInd w:val="0"/>
              <w:snapToGrid w:val="0"/>
              <w:spacing w:before="108" w:line="186" w:lineRule="auto"/>
              <w:ind w:left="11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 xml:space="preserve">1、 </w:t>
            </w:r>
            <w:r>
              <w:rPr>
                <w:rFonts w:hint="eastAsia" w:ascii="宋体" w:hAnsi="宋体" w:eastAsia="宋体" w:cs="宋体"/>
                <w:snapToGrid w:val="0"/>
                <w:color w:val="auto"/>
                <w:kern w:val="0"/>
                <w:sz w:val="24"/>
                <w:szCs w:val="24"/>
                <w:highlight w:val="none"/>
              </w:rPr>
              <w:t>满足《中华人民共和国政府采购法》第二十二条规定。</w:t>
            </w:r>
          </w:p>
          <w:p w14:paraId="280AFEAD">
            <w:pPr>
              <w:keepNext w:val="0"/>
              <w:keepLines w:val="0"/>
              <w:pageBreakBefore w:val="0"/>
              <w:widowControl w:val="0"/>
              <w:kinsoku w:val="0"/>
              <w:wordWrap/>
              <w:overflowPunct/>
              <w:topLinePunct w:val="0"/>
              <w:autoSpaceDE w:val="0"/>
              <w:autoSpaceDN w:val="0"/>
              <w:bidi w:val="0"/>
              <w:adjustRightInd w:val="0"/>
              <w:snapToGrid w:val="0"/>
              <w:spacing w:before="80" w:line="186" w:lineRule="auto"/>
              <w:ind w:left="11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5"/>
                <w:kern w:val="0"/>
                <w:sz w:val="24"/>
                <w:szCs w:val="24"/>
                <w:highlight w:val="none"/>
              </w:rPr>
              <w:t>2 、落实政府采购政策需满足的资格要求：</w:t>
            </w:r>
            <w:r>
              <w:rPr>
                <w:rFonts w:hint="eastAsia" w:ascii="宋体" w:hAnsi="宋体" w:eastAsia="宋体" w:cs="宋体"/>
                <w:snapToGrid w:val="0"/>
                <w:color w:val="auto"/>
                <w:kern w:val="0"/>
                <w:sz w:val="24"/>
                <w:szCs w:val="24"/>
                <w:highlight w:val="none"/>
              </w:rPr>
              <w:t>服务商为中小企业/小微企业。</w:t>
            </w:r>
          </w:p>
          <w:p w14:paraId="48D8EBF1">
            <w:pPr>
              <w:keepNext w:val="0"/>
              <w:keepLines w:val="0"/>
              <w:pageBreakBefore w:val="0"/>
              <w:widowControl w:val="0"/>
              <w:kinsoku w:val="0"/>
              <w:wordWrap/>
              <w:overflowPunct/>
              <w:topLinePunct w:val="0"/>
              <w:autoSpaceDE w:val="0"/>
              <w:autoSpaceDN w:val="0"/>
              <w:bidi w:val="0"/>
              <w:adjustRightInd w:val="0"/>
              <w:snapToGrid w:val="0"/>
              <w:spacing w:before="80" w:line="171" w:lineRule="auto"/>
              <w:ind w:left="11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3、本项目的特定资格要求：无。</w:t>
            </w:r>
          </w:p>
        </w:tc>
      </w:tr>
      <w:tr w14:paraId="5FAAA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noWrap/>
          </w:tcPr>
          <w:p w14:paraId="6FBAB0D7">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681F126D">
            <w:pPr>
              <w:keepNext w:val="0"/>
              <w:keepLines w:val="0"/>
              <w:pageBreakBefore w:val="0"/>
              <w:widowControl w:val="0"/>
              <w:kinsoku w:val="0"/>
              <w:wordWrap/>
              <w:overflowPunct/>
              <w:topLinePunct w:val="0"/>
              <w:autoSpaceDE w:val="0"/>
              <w:autoSpaceDN w:val="0"/>
              <w:bidi w:val="0"/>
              <w:adjustRightInd w:val="0"/>
              <w:snapToGrid w:val="0"/>
              <w:spacing w:before="90" w:line="161" w:lineRule="auto"/>
              <w:ind w:left="35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773" w:type="dxa"/>
            <w:gridSpan w:val="2"/>
            <w:noWrap/>
            <w:vAlign w:val="center"/>
          </w:tcPr>
          <w:p w14:paraId="0B12D636">
            <w:pPr>
              <w:keepNext w:val="0"/>
              <w:keepLines w:val="0"/>
              <w:pageBreakBefore w:val="0"/>
              <w:widowControl w:val="0"/>
              <w:kinsoku w:val="0"/>
              <w:wordWrap/>
              <w:overflowPunct/>
              <w:topLinePunct w:val="0"/>
              <w:autoSpaceDE w:val="0"/>
              <w:autoSpaceDN w:val="0"/>
              <w:bidi w:val="0"/>
              <w:adjustRightInd w:val="0"/>
              <w:snapToGrid w:val="0"/>
              <w:spacing w:before="90" w:line="163" w:lineRule="auto"/>
              <w:ind w:left="353"/>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259" w:type="dxa"/>
            <w:gridSpan w:val="2"/>
            <w:noWrap/>
          </w:tcPr>
          <w:p w14:paraId="6CB09DB2">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质疑书提交地点和质疑受理电话</w:t>
            </w:r>
          </w:p>
        </w:tc>
        <w:tc>
          <w:tcPr>
            <w:tcW w:w="6854" w:type="dxa"/>
            <w:gridSpan w:val="3"/>
            <w:noWrap/>
          </w:tcPr>
          <w:p w14:paraId="4E9EABD3">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采购代理机构：中经国际招标集团有限公司</w:t>
            </w:r>
          </w:p>
          <w:p w14:paraId="3832A8BA">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　址：梧州市长洲区新兴二路125号8楼　</w:t>
            </w:r>
          </w:p>
          <w:p w14:paraId="0A7FB0B4">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jc w:val="left"/>
              <w:textAlignment w:val="baseline"/>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kern w:val="0"/>
                <w:sz w:val="24"/>
                <w:szCs w:val="24"/>
                <w:highlight w:val="none"/>
              </w:rPr>
              <w:t>联系方式：黄小姐，联系电话：0774-3819193</w:t>
            </w:r>
          </w:p>
        </w:tc>
      </w:tr>
      <w:tr w14:paraId="0961E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54" w:type="dxa"/>
            <w:noWrap/>
            <w:vAlign w:val="center"/>
          </w:tcPr>
          <w:p w14:paraId="30EEAFB3">
            <w:pPr>
              <w:keepNext w:val="0"/>
              <w:keepLines w:val="0"/>
              <w:pageBreakBefore w:val="0"/>
              <w:widowControl w:val="0"/>
              <w:kinsoku w:val="0"/>
              <w:wordWrap/>
              <w:overflowPunct/>
              <w:topLinePunct w:val="0"/>
              <w:autoSpaceDE w:val="0"/>
              <w:autoSpaceDN w:val="0"/>
              <w:bidi w:val="0"/>
              <w:adjustRightInd w:val="0"/>
              <w:snapToGrid w:val="0"/>
              <w:spacing w:before="90" w:line="161" w:lineRule="auto"/>
              <w:ind w:left="353"/>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773" w:type="dxa"/>
            <w:gridSpan w:val="2"/>
            <w:noWrap/>
          </w:tcPr>
          <w:p w14:paraId="4FD72D6F">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0CF6D923">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74F4D713">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6FEBD90E">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45F2D051">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0F2E925D">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08B1B296">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241CCBD5">
            <w:pPr>
              <w:keepNext w:val="0"/>
              <w:keepLines w:val="0"/>
              <w:pageBreakBefore w:val="0"/>
              <w:widowControl w:val="0"/>
              <w:kinsoku w:val="0"/>
              <w:wordWrap/>
              <w:overflowPunct/>
              <w:topLinePunct w:val="0"/>
              <w:autoSpaceDE w:val="0"/>
              <w:autoSpaceDN w:val="0"/>
              <w:bidi w:val="0"/>
              <w:adjustRightInd w:val="0"/>
              <w:snapToGrid w:val="0"/>
              <w:spacing w:line="254" w:lineRule="auto"/>
              <w:jc w:val="left"/>
              <w:textAlignment w:val="baseline"/>
              <w:rPr>
                <w:rFonts w:hint="eastAsia" w:ascii="宋体" w:hAnsi="宋体" w:eastAsia="宋体" w:cs="宋体"/>
                <w:snapToGrid w:val="0"/>
                <w:color w:val="auto"/>
                <w:kern w:val="0"/>
                <w:sz w:val="24"/>
                <w:szCs w:val="24"/>
                <w:highlight w:val="none"/>
              </w:rPr>
            </w:pPr>
          </w:p>
          <w:p w14:paraId="7FC46BB6">
            <w:pPr>
              <w:keepNext w:val="0"/>
              <w:keepLines w:val="0"/>
              <w:pageBreakBefore w:val="0"/>
              <w:widowControl w:val="0"/>
              <w:kinsoku w:val="0"/>
              <w:wordWrap/>
              <w:overflowPunct/>
              <w:topLinePunct w:val="0"/>
              <w:autoSpaceDE w:val="0"/>
              <w:autoSpaceDN w:val="0"/>
              <w:bidi w:val="0"/>
              <w:adjustRightInd w:val="0"/>
              <w:snapToGrid w:val="0"/>
              <w:spacing w:before="90" w:line="163" w:lineRule="auto"/>
              <w:jc w:val="left"/>
              <w:textAlignment w:val="baseline"/>
              <w:rPr>
                <w:rFonts w:hint="eastAsia" w:ascii="宋体" w:hAnsi="宋体" w:eastAsia="宋体" w:cs="宋体"/>
                <w:snapToGrid w:val="0"/>
                <w:color w:val="auto"/>
                <w:kern w:val="0"/>
                <w:sz w:val="24"/>
                <w:szCs w:val="24"/>
                <w:highlight w:val="none"/>
              </w:rPr>
            </w:pPr>
          </w:p>
          <w:p w14:paraId="2D65344E">
            <w:pPr>
              <w:keepNext w:val="0"/>
              <w:keepLines w:val="0"/>
              <w:pageBreakBefore w:val="0"/>
              <w:widowControl w:val="0"/>
              <w:kinsoku w:val="0"/>
              <w:wordWrap/>
              <w:overflowPunct/>
              <w:topLinePunct w:val="0"/>
              <w:autoSpaceDE w:val="0"/>
              <w:autoSpaceDN w:val="0"/>
              <w:bidi w:val="0"/>
              <w:adjustRightInd w:val="0"/>
              <w:snapToGrid w:val="0"/>
              <w:spacing w:before="90" w:line="163" w:lineRule="auto"/>
              <w:ind w:firstLine="240" w:firstLineChars="1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259" w:type="dxa"/>
            <w:gridSpan w:val="2"/>
            <w:noWrap/>
          </w:tcPr>
          <w:p w14:paraId="1E9472AC">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3FFFFE43">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5ACA18A5">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162056A6">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71A8D693">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753CAF0C">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3414640F">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0D4F614E">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3954963F">
            <w:pPr>
              <w:keepNext w:val="0"/>
              <w:keepLines w:val="0"/>
              <w:pageBreakBefore w:val="0"/>
              <w:widowControl w:val="0"/>
              <w:kinsoku w:val="0"/>
              <w:wordWrap/>
              <w:overflowPunct/>
              <w:topLinePunct w:val="0"/>
              <w:autoSpaceDE w:val="0"/>
              <w:autoSpaceDN w:val="0"/>
              <w:bidi w:val="0"/>
              <w:adjustRightInd w:val="0"/>
              <w:snapToGrid w:val="0"/>
              <w:spacing w:before="90" w:line="186" w:lineRule="auto"/>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参与电子</w:t>
            </w:r>
            <w:r>
              <w:rPr>
                <w:rFonts w:hint="eastAsia" w:ascii="宋体" w:hAnsi="宋体" w:eastAsia="宋体" w:cs="宋体"/>
                <w:snapToGrid w:val="0"/>
                <w:color w:val="auto"/>
                <w:kern w:val="0"/>
                <w:sz w:val="24"/>
                <w:szCs w:val="24"/>
                <w:highlight w:val="none"/>
              </w:rPr>
              <w:t>竞</w:t>
            </w:r>
          </w:p>
          <w:p w14:paraId="7D14CF77">
            <w:pPr>
              <w:keepNext w:val="0"/>
              <w:keepLines w:val="0"/>
              <w:pageBreakBefore w:val="0"/>
              <w:widowControl w:val="0"/>
              <w:kinsoku w:val="0"/>
              <w:wordWrap/>
              <w:overflowPunct/>
              <w:topLinePunct w:val="0"/>
              <w:autoSpaceDE w:val="0"/>
              <w:autoSpaceDN w:val="0"/>
              <w:bidi w:val="0"/>
              <w:adjustRightInd w:val="0"/>
              <w:snapToGrid w:val="0"/>
              <w:spacing w:before="80" w:line="187" w:lineRule="auto"/>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标的准</w:t>
            </w:r>
            <w:r>
              <w:rPr>
                <w:rFonts w:hint="eastAsia" w:ascii="宋体" w:hAnsi="宋体" w:eastAsia="宋体" w:cs="宋体"/>
                <w:snapToGrid w:val="0"/>
                <w:color w:val="auto"/>
                <w:kern w:val="0"/>
                <w:sz w:val="24"/>
                <w:szCs w:val="24"/>
                <w:highlight w:val="none"/>
              </w:rPr>
              <w:t>备工</w:t>
            </w:r>
          </w:p>
          <w:p w14:paraId="22680D9B">
            <w:pPr>
              <w:keepNext w:val="0"/>
              <w:keepLines w:val="0"/>
              <w:pageBreakBefore w:val="0"/>
              <w:widowControl w:val="0"/>
              <w:kinsoku w:val="0"/>
              <w:wordWrap/>
              <w:overflowPunct/>
              <w:topLinePunct w:val="0"/>
              <w:autoSpaceDE w:val="0"/>
              <w:autoSpaceDN w:val="0"/>
              <w:bidi w:val="0"/>
              <w:adjustRightInd w:val="0"/>
              <w:snapToGrid w:val="0"/>
              <w:spacing w:before="78" w:line="188" w:lineRule="auto"/>
              <w:ind w:left="55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作</w:t>
            </w:r>
          </w:p>
        </w:tc>
        <w:tc>
          <w:tcPr>
            <w:tcW w:w="6854" w:type="dxa"/>
            <w:gridSpan w:val="3"/>
            <w:noWrap/>
          </w:tcPr>
          <w:p w14:paraId="0CDEB313">
            <w:pPr>
              <w:keepNext w:val="0"/>
              <w:keepLines w:val="0"/>
              <w:pageBreakBefore w:val="0"/>
              <w:widowControl w:val="0"/>
              <w:kinsoku w:val="0"/>
              <w:wordWrap/>
              <w:overflowPunct/>
              <w:topLinePunct w:val="0"/>
              <w:autoSpaceDE w:val="0"/>
              <w:autoSpaceDN w:val="0"/>
              <w:bidi w:val="0"/>
              <w:adjustRightInd w:val="0"/>
              <w:snapToGrid w:val="0"/>
              <w:spacing w:before="149" w:line="261" w:lineRule="auto"/>
              <w:ind w:left="108" w:right="10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1 、本项目实</w:t>
            </w:r>
            <w:r>
              <w:rPr>
                <w:rFonts w:hint="eastAsia" w:ascii="宋体" w:hAnsi="宋体" w:eastAsia="宋体" w:cs="宋体"/>
                <w:snapToGrid w:val="0"/>
                <w:color w:val="auto"/>
                <w:spacing w:val="-3"/>
                <w:kern w:val="0"/>
                <w:sz w:val="24"/>
                <w:szCs w:val="24"/>
                <w:highlight w:val="none"/>
              </w:rPr>
              <w:t>行</w:t>
            </w:r>
            <w:r>
              <w:rPr>
                <w:rFonts w:hint="eastAsia" w:ascii="宋体" w:hAnsi="宋体" w:eastAsia="宋体" w:cs="宋体"/>
                <w:snapToGrid w:val="0"/>
                <w:color w:val="auto"/>
                <w:spacing w:val="-2"/>
                <w:kern w:val="0"/>
                <w:sz w:val="24"/>
                <w:szCs w:val="24"/>
                <w:highlight w:val="none"/>
              </w:rPr>
              <w:t>全流程电子化采购，服务商通过“</w:t>
            </w:r>
            <w:r>
              <w:rPr>
                <w:rFonts w:hint="eastAsia" w:ascii="宋体" w:hAnsi="宋体" w:eastAsia="宋体" w:cs="宋体"/>
                <w:snapToGrid w:val="0"/>
                <w:color w:val="auto"/>
                <w:kern w:val="0"/>
                <w:sz w:val="24"/>
                <w:szCs w:val="24"/>
                <w:highlight w:val="none"/>
              </w:rPr>
              <w:t>广西政府采购云平台</w:t>
            </w:r>
            <w:r>
              <w:rPr>
                <w:rFonts w:hint="eastAsia" w:ascii="宋体" w:hAnsi="宋体" w:eastAsia="宋体" w:cs="宋体"/>
                <w:snapToGrid w:val="0"/>
                <w:color w:val="auto"/>
                <w:spacing w:val="-2"/>
                <w:kern w:val="0"/>
                <w:sz w:val="24"/>
                <w:szCs w:val="24"/>
                <w:highlight w:val="none"/>
              </w:rPr>
              <w:t>”参与电</w:t>
            </w:r>
            <w:r>
              <w:rPr>
                <w:rFonts w:hint="eastAsia" w:ascii="宋体" w:hAnsi="宋体" w:eastAsia="宋体" w:cs="宋体"/>
                <w:snapToGrid w:val="0"/>
                <w:color w:val="auto"/>
                <w:spacing w:val="1"/>
                <w:kern w:val="0"/>
                <w:sz w:val="24"/>
                <w:szCs w:val="24"/>
                <w:highlight w:val="none"/>
              </w:rPr>
              <w:t>子</w:t>
            </w:r>
            <w:r>
              <w:rPr>
                <w:rFonts w:hint="eastAsia" w:ascii="宋体" w:hAnsi="宋体" w:eastAsia="宋体" w:cs="宋体"/>
                <w:snapToGrid w:val="0"/>
                <w:color w:val="auto"/>
                <w:spacing w:val="1"/>
                <w:kern w:val="0"/>
                <w:sz w:val="24"/>
                <w:szCs w:val="24"/>
                <w:highlight w:val="none"/>
                <w:lang w:val="en-US" w:eastAsia="zh-CN"/>
              </w:rPr>
              <w:t>磋商</w:t>
            </w:r>
            <w:r>
              <w:rPr>
                <w:rFonts w:hint="eastAsia" w:ascii="宋体" w:hAnsi="宋体" w:eastAsia="宋体" w:cs="宋体"/>
                <w:snapToGrid w:val="0"/>
                <w:color w:val="auto"/>
                <w:spacing w:val="1"/>
                <w:kern w:val="0"/>
                <w:sz w:val="24"/>
                <w:szCs w:val="24"/>
                <w:highlight w:val="none"/>
              </w:rPr>
              <w:t>，并</w:t>
            </w:r>
            <w:r>
              <w:rPr>
                <w:rFonts w:hint="eastAsia" w:ascii="宋体" w:hAnsi="宋体" w:eastAsia="宋体" w:cs="宋体"/>
                <w:snapToGrid w:val="0"/>
                <w:color w:val="auto"/>
                <w:kern w:val="0"/>
                <w:sz w:val="24"/>
                <w:szCs w:val="24"/>
                <w:highlight w:val="none"/>
              </w:rPr>
              <w:t>应做好以下相关准备工作 ：①在“广西政府采购云平台”注册成为</w:t>
            </w:r>
            <w:r>
              <w:rPr>
                <w:rFonts w:hint="eastAsia" w:ascii="宋体" w:hAnsi="宋体" w:eastAsia="宋体" w:cs="宋体"/>
                <w:snapToGrid w:val="0"/>
                <w:color w:val="auto"/>
                <w:spacing w:val="2"/>
                <w:kern w:val="0"/>
                <w:sz w:val="24"/>
                <w:szCs w:val="24"/>
                <w:highlight w:val="none"/>
              </w:rPr>
              <w:t>正式服务商 (操作方法详见广西壮族</w:t>
            </w:r>
            <w:r>
              <w:rPr>
                <w:rFonts w:hint="eastAsia" w:ascii="宋体" w:hAnsi="宋体" w:eastAsia="宋体" w:cs="宋体"/>
                <w:snapToGrid w:val="0"/>
                <w:color w:val="auto"/>
                <w:spacing w:val="1"/>
                <w:kern w:val="0"/>
                <w:sz w:val="24"/>
                <w:szCs w:val="24"/>
                <w:highlight w:val="none"/>
              </w:rPr>
              <w:t>自治区政府采购网— 办事服务—</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2"/>
                <w:kern w:val="0"/>
                <w:sz w:val="24"/>
                <w:szCs w:val="24"/>
                <w:highlight w:val="none"/>
              </w:rPr>
              <w:t>办事指南)  ；②完成</w:t>
            </w:r>
            <w:r>
              <w:rPr>
                <w:rFonts w:hint="eastAsia" w:ascii="宋体" w:hAnsi="宋体" w:eastAsia="宋体" w:cs="宋体"/>
                <w:snapToGrid w:val="0"/>
                <w:color w:val="auto"/>
                <w:spacing w:val="-1"/>
                <w:kern w:val="0"/>
                <w:sz w:val="24"/>
                <w:szCs w:val="24"/>
                <w:highlight w:val="none"/>
              </w:rPr>
              <w:t xml:space="preserve"> CA 证书申领和绑定 (费用由服务商自行承担，办</w:t>
            </w:r>
            <w:r>
              <w:rPr>
                <w:rFonts w:hint="eastAsia" w:ascii="宋体" w:hAnsi="宋体" w:eastAsia="宋体" w:cs="宋体"/>
                <w:snapToGrid w:val="0"/>
                <w:color w:val="auto"/>
                <w:spacing w:val="-3"/>
                <w:kern w:val="0"/>
                <w:sz w:val="24"/>
                <w:szCs w:val="24"/>
                <w:highlight w:val="none"/>
              </w:rPr>
              <w:t>理流程详见广西壮族自治区政府采购网— 办事服务— 下载专区，</w:t>
            </w:r>
            <w:r>
              <w:rPr>
                <w:rFonts w:hint="eastAsia" w:ascii="宋体" w:hAnsi="宋体" w:eastAsia="宋体" w:cs="宋体"/>
                <w:snapToGrid w:val="0"/>
                <w:color w:val="auto"/>
                <w:spacing w:val="-1"/>
                <w:kern w:val="0"/>
                <w:sz w:val="24"/>
                <w:szCs w:val="24"/>
                <w:highlight w:val="none"/>
              </w:rPr>
              <w:t>完</w:t>
            </w:r>
            <w:r>
              <w:rPr>
                <w:rFonts w:hint="eastAsia" w:ascii="宋体" w:hAnsi="宋体" w:eastAsia="宋体" w:cs="宋体"/>
                <w:snapToGrid w:val="0"/>
                <w:color w:val="auto"/>
                <w:kern w:val="0"/>
                <w:sz w:val="24"/>
                <w:szCs w:val="24"/>
                <w:highlight w:val="none"/>
              </w:rPr>
              <w:t xml:space="preserve">成 </w:t>
            </w:r>
            <w:r>
              <w:rPr>
                <w:rFonts w:hint="eastAsia" w:ascii="宋体" w:hAnsi="宋体" w:eastAsia="宋体" w:cs="宋体"/>
                <w:snapToGrid w:val="0"/>
                <w:color w:val="auto"/>
                <w:spacing w:val="-1"/>
                <w:kern w:val="0"/>
                <w:sz w:val="24"/>
                <w:szCs w:val="24"/>
                <w:highlight w:val="none"/>
              </w:rPr>
              <w:t>CA</w:t>
            </w:r>
            <w:r>
              <w:rPr>
                <w:rFonts w:hint="eastAsia" w:ascii="宋体" w:hAnsi="宋体" w:eastAsia="宋体" w:cs="宋体"/>
                <w:snapToGrid w:val="0"/>
                <w:color w:val="auto"/>
                <w:spacing w:val="-2"/>
                <w:kern w:val="0"/>
                <w:sz w:val="24"/>
                <w:szCs w:val="24"/>
                <w:highlight w:val="none"/>
              </w:rPr>
              <w:t xml:space="preserve"> 证书办理预计一周左右，建议服务商尽快办理)；</w:t>
            </w:r>
            <w:r>
              <w:rPr>
                <w:rFonts w:hint="eastAsia" w:ascii="宋体" w:hAnsi="宋体" w:eastAsia="宋体" w:cs="宋体"/>
                <w:snapToGrid w:val="0"/>
                <w:color w:val="auto"/>
                <w:spacing w:val="-1"/>
                <w:kern w:val="0"/>
                <w:sz w:val="24"/>
                <w:szCs w:val="24"/>
                <w:highlight w:val="none"/>
              </w:rPr>
              <w:t xml:space="preserve">  ③下载“广西壮</w:t>
            </w:r>
            <w:r>
              <w:rPr>
                <w:rFonts w:hint="eastAsia" w:ascii="宋体" w:hAnsi="宋体" w:eastAsia="宋体" w:cs="宋体"/>
                <w:snapToGrid w:val="0"/>
                <w:color w:val="auto"/>
                <w:spacing w:val="10"/>
                <w:kern w:val="0"/>
                <w:sz w:val="24"/>
                <w:szCs w:val="24"/>
                <w:highlight w:val="none"/>
              </w:rPr>
              <w:t>族自</w:t>
            </w:r>
            <w:r>
              <w:rPr>
                <w:rFonts w:hint="eastAsia" w:ascii="宋体" w:hAnsi="宋体" w:eastAsia="宋体" w:cs="宋体"/>
                <w:snapToGrid w:val="0"/>
                <w:color w:val="auto"/>
                <w:spacing w:val="8"/>
                <w:kern w:val="0"/>
                <w:sz w:val="24"/>
                <w:szCs w:val="24"/>
                <w:highlight w:val="none"/>
              </w:rPr>
              <w:t>治</w:t>
            </w:r>
            <w:r>
              <w:rPr>
                <w:rFonts w:hint="eastAsia" w:ascii="宋体" w:hAnsi="宋体" w:eastAsia="宋体" w:cs="宋体"/>
                <w:snapToGrid w:val="0"/>
                <w:color w:val="auto"/>
                <w:spacing w:val="5"/>
                <w:kern w:val="0"/>
                <w:sz w:val="24"/>
                <w:szCs w:val="24"/>
                <w:highlight w:val="none"/>
              </w:rPr>
              <w:t>区全流程电子招投标项目管理系统--服务商客户端” (操作方</w:t>
            </w:r>
            <w:r>
              <w:rPr>
                <w:rFonts w:hint="eastAsia" w:ascii="宋体" w:hAnsi="宋体" w:eastAsia="宋体" w:cs="宋体"/>
                <w:snapToGrid w:val="0"/>
                <w:color w:val="auto"/>
                <w:spacing w:val="-10"/>
                <w:kern w:val="0"/>
                <w:sz w:val="24"/>
                <w:szCs w:val="24"/>
                <w:highlight w:val="none"/>
              </w:rPr>
              <w:t>法详见广</w:t>
            </w:r>
            <w:r>
              <w:rPr>
                <w:rFonts w:hint="eastAsia" w:ascii="宋体" w:hAnsi="宋体" w:eastAsia="宋体" w:cs="宋体"/>
                <w:snapToGrid w:val="0"/>
                <w:color w:val="auto"/>
                <w:spacing w:val="-6"/>
                <w:kern w:val="0"/>
                <w:sz w:val="24"/>
                <w:szCs w:val="24"/>
                <w:highlight w:val="none"/>
              </w:rPr>
              <w:t>西</w:t>
            </w:r>
            <w:r>
              <w:rPr>
                <w:rFonts w:hint="eastAsia" w:ascii="宋体" w:hAnsi="宋体" w:eastAsia="宋体" w:cs="宋体"/>
                <w:snapToGrid w:val="0"/>
                <w:color w:val="auto"/>
                <w:spacing w:val="-5"/>
                <w:kern w:val="0"/>
                <w:sz w:val="24"/>
                <w:szCs w:val="24"/>
                <w:highlight w:val="none"/>
              </w:rPr>
              <w:t>壮族自治区政府采购网—办事服务—下载专区，以下称“政</w:t>
            </w:r>
            <w:r>
              <w:rPr>
                <w:rFonts w:hint="eastAsia" w:ascii="宋体" w:hAnsi="宋体" w:eastAsia="宋体" w:cs="宋体"/>
                <w:snapToGrid w:val="0"/>
                <w:color w:val="auto"/>
                <w:spacing w:val="4"/>
                <w:kern w:val="0"/>
                <w:sz w:val="24"/>
                <w:szCs w:val="24"/>
                <w:highlight w:val="none"/>
              </w:rPr>
              <w:t>采云电子投标客户端</w:t>
            </w:r>
            <w:r>
              <w:rPr>
                <w:rFonts w:hint="eastAsia" w:ascii="宋体" w:hAnsi="宋体" w:eastAsia="宋体" w:cs="宋体"/>
                <w:snapToGrid w:val="0"/>
                <w:color w:val="auto"/>
                <w:spacing w:val="2"/>
                <w:kern w:val="0"/>
                <w:sz w:val="24"/>
                <w:szCs w:val="24"/>
                <w:highlight w:val="none"/>
              </w:rPr>
              <w:t>”)并安装成功，服务商应当在响应文件提交截</w:t>
            </w:r>
            <w:r>
              <w:rPr>
                <w:rFonts w:hint="eastAsia" w:ascii="宋体" w:hAnsi="宋体" w:eastAsia="宋体" w:cs="宋体"/>
                <w:snapToGrid w:val="0"/>
                <w:color w:val="auto"/>
                <w:spacing w:val="4"/>
                <w:kern w:val="0"/>
                <w:sz w:val="24"/>
                <w:szCs w:val="24"/>
                <w:highlight w:val="none"/>
              </w:rPr>
              <w:t>止时间</w:t>
            </w:r>
            <w:r>
              <w:rPr>
                <w:rFonts w:hint="eastAsia" w:ascii="宋体" w:hAnsi="宋体" w:eastAsia="宋体" w:cs="宋体"/>
                <w:snapToGrid w:val="0"/>
                <w:color w:val="auto"/>
                <w:spacing w:val="2"/>
                <w:kern w:val="0"/>
                <w:sz w:val="24"/>
                <w:szCs w:val="24"/>
                <w:highlight w:val="none"/>
              </w:rPr>
              <w:t>前在“</w:t>
            </w:r>
            <w:r>
              <w:rPr>
                <w:rFonts w:hint="eastAsia" w:ascii="宋体" w:hAnsi="宋体" w:eastAsia="宋体" w:cs="宋体"/>
                <w:snapToGrid w:val="0"/>
                <w:color w:val="auto"/>
                <w:kern w:val="0"/>
                <w:sz w:val="24"/>
                <w:szCs w:val="24"/>
                <w:highlight w:val="none"/>
              </w:rPr>
              <w:t>广西政府采购云平台</w:t>
            </w:r>
            <w:r>
              <w:rPr>
                <w:rFonts w:hint="eastAsia" w:ascii="宋体" w:hAnsi="宋体" w:eastAsia="宋体" w:cs="宋体"/>
                <w:snapToGrid w:val="0"/>
                <w:color w:val="auto"/>
                <w:spacing w:val="2"/>
                <w:kern w:val="0"/>
                <w:sz w:val="24"/>
                <w:szCs w:val="24"/>
                <w:highlight w:val="none"/>
              </w:rPr>
              <w:t>”完成的身份认证，确保能够对相关数据电</w:t>
            </w:r>
            <w:r>
              <w:rPr>
                <w:rFonts w:hint="eastAsia" w:ascii="宋体" w:hAnsi="宋体" w:eastAsia="宋体" w:cs="宋体"/>
                <w:snapToGrid w:val="0"/>
                <w:color w:val="auto"/>
                <w:spacing w:val="1"/>
                <w:kern w:val="0"/>
                <w:sz w:val="24"/>
                <w:szCs w:val="24"/>
                <w:highlight w:val="none"/>
              </w:rPr>
              <w:t>文进行加</w:t>
            </w:r>
            <w:r>
              <w:rPr>
                <w:rFonts w:hint="eastAsia" w:ascii="宋体" w:hAnsi="宋体" w:eastAsia="宋体" w:cs="宋体"/>
                <w:snapToGrid w:val="0"/>
                <w:color w:val="auto"/>
                <w:kern w:val="0"/>
                <w:sz w:val="24"/>
                <w:szCs w:val="24"/>
                <w:highlight w:val="none"/>
              </w:rPr>
              <w:t>密和使用电子签章 ；④自备计算机和网络设备并确保能接入</w:t>
            </w:r>
            <w:r>
              <w:rPr>
                <w:rFonts w:hint="eastAsia" w:ascii="宋体" w:hAnsi="宋体" w:eastAsia="宋体" w:cs="宋体"/>
                <w:snapToGrid w:val="0"/>
                <w:color w:val="auto"/>
                <w:spacing w:val="4"/>
                <w:kern w:val="0"/>
                <w:sz w:val="24"/>
                <w:szCs w:val="24"/>
                <w:highlight w:val="none"/>
              </w:rPr>
              <w:t>互联网 (费用由服务商</w:t>
            </w:r>
            <w:r>
              <w:rPr>
                <w:rFonts w:hint="eastAsia" w:ascii="宋体" w:hAnsi="宋体" w:eastAsia="宋体" w:cs="宋体"/>
                <w:snapToGrid w:val="0"/>
                <w:color w:val="auto"/>
                <w:spacing w:val="2"/>
                <w:kern w:val="0"/>
                <w:sz w:val="24"/>
                <w:szCs w:val="24"/>
                <w:highlight w:val="none"/>
              </w:rPr>
              <w:t>自行承担 ，设备确保可进行视频通话和读取政</w:t>
            </w:r>
            <w:r>
              <w:rPr>
                <w:rFonts w:hint="eastAsia" w:ascii="宋体" w:hAnsi="宋体" w:eastAsia="宋体" w:cs="宋体"/>
                <w:snapToGrid w:val="0"/>
                <w:color w:val="auto"/>
                <w:spacing w:val="-6"/>
                <w:kern w:val="0"/>
                <w:sz w:val="24"/>
                <w:szCs w:val="24"/>
                <w:highlight w:val="none"/>
              </w:rPr>
              <w:t xml:space="preserve">采云 </w:t>
            </w:r>
            <w:r>
              <w:rPr>
                <w:rFonts w:hint="eastAsia" w:ascii="宋体" w:hAnsi="宋体" w:eastAsia="宋体" w:cs="宋体"/>
                <w:snapToGrid w:val="0"/>
                <w:color w:val="auto"/>
                <w:spacing w:val="-3"/>
                <w:kern w:val="0"/>
                <w:sz w:val="24"/>
                <w:szCs w:val="24"/>
                <w:highlight w:val="none"/>
              </w:rPr>
              <w:t>CA</w:t>
            </w:r>
            <w:r>
              <w:rPr>
                <w:rFonts w:hint="eastAsia" w:ascii="宋体" w:hAnsi="宋体" w:eastAsia="宋体" w:cs="宋体"/>
                <w:snapToGrid w:val="0"/>
                <w:color w:val="auto"/>
                <w:spacing w:val="-6"/>
                <w:kern w:val="0"/>
                <w:sz w:val="24"/>
                <w:szCs w:val="24"/>
                <w:highlight w:val="none"/>
              </w:rPr>
              <w:t xml:space="preserve"> 证</w:t>
            </w:r>
            <w:r>
              <w:rPr>
                <w:rFonts w:hint="eastAsia" w:ascii="宋体" w:hAnsi="宋体" w:eastAsia="宋体" w:cs="宋体"/>
                <w:snapToGrid w:val="0"/>
                <w:color w:val="auto"/>
                <w:spacing w:val="-3"/>
                <w:kern w:val="0"/>
                <w:sz w:val="24"/>
                <w:szCs w:val="24"/>
                <w:highlight w:val="none"/>
              </w:rPr>
              <w:t>书)  。因服务商未做好相关准备工作等自身原因导致无法参</w:t>
            </w:r>
            <w:r>
              <w:rPr>
                <w:rFonts w:hint="eastAsia" w:ascii="宋体" w:hAnsi="宋体" w:eastAsia="宋体" w:cs="宋体"/>
                <w:snapToGrid w:val="0"/>
                <w:color w:val="auto"/>
                <w:spacing w:val="-10"/>
                <w:kern w:val="0"/>
                <w:sz w:val="24"/>
                <w:szCs w:val="24"/>
                <w:highlight w:val="none"/>
              </w:rPr>
              <w:t>加本</w:t>
            </w:r>
            <w:r>
              <w:rPr>
                <w:rFonts w:hint="eastAsia" w:ascii="宋体" w:hAnsi="宋体" w:eastAsia="宋体" w:cs="宋体"/>
                <w:snapToGrid w:val="0"/>
                <w:color w:val="auto"/>
                <w:spacing w:val="-7"/>
                <w:kern w:val="0"/>
                <w:sz w:val="24"/>
                <w:szCs w:val="24"/>
                <w:highlight w:val="none"/>
              </w:rPr>
              <w:t>项</w:t>
            </w:r>
            <w:r>
              <w:rPr>
                <w:rFonts w:hint="eastAsia" w:ascii="宋体" w:hAnsi="宋体" w:eastAsia="宋体" w:cs="宋体"/>
                <w:snapToGrid w:val="0"/>
                <w:color w:val="auto"/>
                <w:spacing w:val="-5"/>
                <w:kern w:val="0"/>
                <w:sz w:val="24"/>
                <w:szCs w:val="24"/>
                <w:highlight w:val="none"/>
              </w:rPr>
              <w:t>目电子</w:t>
            </w:r>
            <w:r>
              <w:rPr>
                <w:rFonts w:hint="eastAsia" w:ascii="宋体" w:hAnsi="宋体" w:eastAsia="宋体" w:cs="宋体"/>
                <w:snapToGrid w:val="0"/>
                <w:color w:val="auto"/>
                <w:spacing w:val="-5"/>
                <w:kern w:val="0"/>
                <w:sz w:val="24"/>
                <w:szCs w:val="24"/>
                <w:highlight w:val="none"/>
                <w:lang w:val="en-US" w:eastAsia="zh-CN"/>
              </w:rPr>
              <w:t>磋商</w:t>
            </w:r>
            <w:r>
              <w:rPr>
                <w:rFonts w:hint="eastAsia" w:ascii="宋体" w:hAnsi="宋体" w:eastAsia="宋体" w:cs="宋体"/>
                <w:snapToGrid w:val="0"/>
                <w:color w:val="auto"/>
                <w:spacing w:val="-5"/>
                <w:kern w:val="0"/>
                <w:sz w:val="24"/>
                <w:szCs w:val="24"/>
                <w:highlight w:val="none"/>
              </w:rPr>
              <w:t>或</w:t>
            </w:r>
            <w:r>
              <w:rPr>
                <w:rFonts w:hint="eastAsia" w:ascii="宋体" w:hAnsi="宋体" w:eastAsia="宋体" w:cs="宋体"/>
                <w:snapToGrid w:val="0"/>
                <w:color w:val="auto"/>
                <w:spacing w:val="-5"/>
                <w:kern w:val="0"/>
                <w:sz w:val="24"/>
                <w:szCs w:val="24"/>
                <w:highlight w:val="none"/>
                <w:lang w:val="en-US" w:eastAsia="zh-CN"/>
              </w:rPr>
              <w:t>磋商</w:t>
            </w:r>
            <w:r>
              <w:rPr>
                <w:rFonts w:hint="eastAsia" w:ascii="宋体" w:hAnsi="宋体" w:eastAsia="宋体" w:cs="宋体"/>
                <w:snapToGrid w:val="0"/>
                <w:color w:val="auto"/>
                <w:spacing w:val="-5"/>
                <w:kern w:val="0"/>
                <w:sz w:val="24"/>
                <w:szCs w:val="24"/>
                <w:highlight w:val="none"/>
              </w:rPr>
              <w:t>失败的 ，造成的一切后果 ，由服务商自行承</w:t>
            </w:r>
            <w:r>
              <w:rPr>
                <w:rFonts w:hint="eastAsia" w:ascii="宋体" w:hAnsi="宋体" w:eastAsia="宋体" w:cs="宋体"/>
                <w:snapToGrid w:val="0"/>
                <w:color w:val="auto"/>
                <w:spacing w:val="-4"/>
                <w:kern w:val="0"/>
                <w:sz w:val="24"/>
                <w:szCs w:val="24"/>
                <w:highlight w:val="none"/>
              </w:rPr>
              <w:t>担</w:t>
            </w:r>
            <w:r>
              <w:rPr>
                <w:rFonts w:hint="eastAsia" w:ascii="宋体" w:hAnsi="宋体" w:eastAsia="宋体" w:cs="宋体"/>
                <w:snapToGrid w:val="0"/>
                <w:color w:val="auto"/>
                <w:spacing w:val="-2"/>
                <w:kern w:val="0"/>
                <w:sz w:val="24"/>
                <w:szCs w:val="24"/>
                <w:highlight w:val="none"/>
              </w:rPr>
              <w:t>。</w:t>
            </w:r>
          </w:p>
          <w:p w14:paraId="5688A97B">
            <w:pPr>
              <w:keepNext w:val="0"/>
              <w:keepLines w:val="0"/>
              <w:pageBreakBefore w:val="0"/>
              <w:widowControl w:val="0"/>
              <w:kinsoku w:val="0"/>
              <w:wordWrap/>
              <w:overflowPunct/>
              <w:topLinePunct w:val="0"/>
              <w:autoSpaceDE w:val="0"/>
              <w:autoSpaceDN w:val="0"/>
              <w:bidi w:val="0"/>
              <w:adjustRightInd w:val="0"/>
              <w:snapToGrid w:val="0"/>
              <w:spacing w:before="114" w:line="240" w:lineRule="auto"/>
              <w:ind w:left="109"/>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2、电子</w:t>
            </w:r>
            <w:r>
              <w:rPr>
                <w:rFonts w:hint="eastAsia" w:ascii="宋体" w:hAnsi="宋体" w:eastAsia="宋体" w:cs="宋体"/>
                <w:snapToGrid w:val="0"/>
                <w:color w:val="auto"/>
                <w:spacing w:val="-4"/>
                <w:kern w:val="0"/>
                <w:sz w:val="24"/>
                <w:szCs w:val="24"/>
                <w:highlight w:val="none"/>
                <w:lang w:val="en-US" w:eastAsia="zh-CN"/>
              </w:rPr>
              <w:t>磋商</w:t>
            </w:r>
            <w:r>
              <w:rPr>
                <w:rFonts w:hint="eastAsia" w:ascii="宋体" w:hAnsi="宋体" w:eastAsia="宋体" w:cs="宋体"/>
                <w:snapToGrid w:val="0"/>
                <w:color w:val="auto"/>
                <w:spacing w:val="-2"/>
                <w:kern w:val="0"/>
                <w:sz w:val="24"/>
                <w:szCs w:val="24"/>
                <w:highlight w:val="none"/>
              </w:rPr>
              <w:t>具体操作流程参考《政府采购项目电子交易管理操作指南</w:t>
            </w:r>
            <w:r>
              <w:rPr>
                <w:rFonts w:hint="eastAsia" w:ascii="宋体" w:hAnsi="宋体" w:eastAsia="宋体" w:cs="宋体"/>
                <w:snapToGrid w:val="0"/>
                <w:color w:val="auto"/>
                <w:spacing w:val="3"/>
                <w:kern w:val="0"/>
                <w:sz w:val="24"/>
                <w:szCs w:val="24"/>
                <w:highlight w:val="none"/>
              </w:rPr>
              <w:t>-服务商》(详见梧州市政府采购网—采购资讯—重要通知)  ；如遇</w:t>
            </w:r>
            <w:r>
              <w:rPr>
                <w:rFonts w:hint="eastAsia" w:ascii="宋体" w:hAnsi="宋体" w:eastAsia="宋体" w:cs="宋体"/>
                <w:snapToGrid w:val="0"/>
                <w:color w:val="auto"/>
                <w:spacing w:val="2"/>
                <w:kern w:val="0"/>
                <w:sz w:val="24"/>
                <w:szCs w:val="24"/>
                <w:highlight w:val="none"/>
              </w:rPr>
              <w:t>平</w:t>
            </w:r>
            <w:r>
              <w:rPr>
                <w:rFonts w:hint="eastAsia" w:ascii="宋体" w:hAnsi="宋体" w:eastAsia="宋体" w:cs="宋体"/>
                <w:snapToGrid w:val="0"/>
                <w:color w:val="auto"/>
                <w:spacing w:val="-16"/>
                <w:kern w:val="0"/>
                <w:sz w:val="24"/>
                <w:szCs w:val="24"/>
                <w:highlight w:val="none"/>
              </w:rPr>
              <w:t>台</w:t>
            </w:r>
            <w:r>
              <w:rPr>
                <w:rFonts w:hint="eastAsia" w:ascii="宋体" w:hAnsi="宋体" w:eastAsia="宋体" w:cs="宋体"/>
                <w:snapToGrid w:val="0"/>
                <w:color w:val="auto"/>
                <w:spacing w:val="-14"/>
                <w:kern w:val="0"/>
                <w:sz w:val="24"/>
                <w:szCs w:val="24"/>
                <w:highlight w:val="none"/>
              </w:rPr>
              <w:t>技</w:t>
            </w:r>
            <w:r>
              <w:rPr>
                <w:rFonts w:hint="eastAsia" w:ascii="宋体" w:hAnsi="宋体" w:eastAsia="宋体" w:cs="宋体"/>
                <w:snapToGrid w:val="0"/>
                <w:color w:val="auto"/>
                <w:spacing w:val="-8"/>
                <w:kern w:val="0"/>
                <w:sz w:val="24"/>
                <w:szCs w:val="24"/>
                <w:highlight w:val="none"/>
              </w:rPr>
              <w:t>术问题详询 95763。</w:t>
            </w:r>
          </w:p>
          <w:p w14:paraId="53DABBC2">
            <w:pPr>
              <w:keepNext w:val="0"/>
              <w:keepLines w:val="0"/>
              <w:pageBreakBefore w:val="0"/>
              <w:widowControl w:val="0"/>
              <w:kinsoku w:val="0"/>
              <w:wordWrap/>
              <w:overflowPunct/>
              <w:topLinePunct w:val="0"/>
              <w:autoSpaceDE w:val="0"/>
              <w:autoSpaceDN w:val="0"/>
              <w:bidi w:val="0"/>
              <w:adjustRightInd w:val="0"/>
              <w:snapToGrid w:val="0"/>
              <w:spacing w:before="86" w:line="240" w:lineRule="auto"/>
              <w:ind w:left="111" w:right="105" w:hanging="2"/>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3、不论磋商</w:t>
            </w:r>
            <w:r>
              <w:rPr>
                <w:rFonts w:hint="eastAsia" w:ascii="宋体" w:hAnsi="宋体" w:eastAsia="宋体" w:cs="宋体"/>
                <w:snapToGrid w:val="0"/>
                <w:color w:val="auto"/>
                <w:spacing w:val="-3"/>
                <w:kern w:val="0"/>
                <w:sz w:val="24"/>
                <w:szCs w:val="24"/>
                <w:highlight w:val="none"/>
              </w:rPr>
              <w:t>结</w:t>
            </w:r>
            <w:r>
              <w:rPr>
                <w:rFonts w:hint="eastAsia" w:ascii="宋体" w:hAnsi="宋体" w:eastAsia="宋体" w:cs="宋体"/>
                <w:snapToGrid w:val="0"/>
                <w:color w:val="auto"/>
                <w:spacing w:val="-2"/>
                <w:kern w:val="0"/>
                <w:sz w:val="24"/>
                <w:szCs w:val="24"/>
                <w:highlight w:val="none"/>
              </w:rPr>
              <w:t>果如何，服务商均应自行承担所有与磋商有关的全部费</w:t>
            </w:r>
            <w:r>
              <w:rPr>
                <w:rFonts w:hint="eastAsia" w:ascii="宋体" w:hAnsi="宋体" w:eastAsia="宋体" w:cs="宋体"/>
                <w:snapToGrid w:val="0"/>
                <w:color w:val="auto"/>
                <w:spacing w:val="-5"/>
                <w:kern w:val="0"/>
                <w:sz w:val="24"/>
                <w:szCs w:val="24"/>
                <w:highlight w:val="none"/>
              </w:rPr>
              <w:t>用</w:t>
            </w:r>
            <w:r>
              <w:rPr>
                <w:rFonts w:hint="eastAsia" w:ascii="宋体" w:hAnsi="宋体" w:eastAsia="宋体" w:cs="宋体"/>
                <w:snapToGrid w:val="0"/>
                <w:color w:val="auto"/>
                <w:spacing w:val="-4"/>
                <w:kern w:val="0"/>
                <w:sz w:val="24"/>
                <w:szCs w:val="24"/>
                <w:highlight w:val="none"/>
              </w:rPr>
              <w:t>。</w:t>
            </w:r>
          </w:p>
        </w:tc>
      </w:tr>
      <w:tr w14:paraId="12E77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1118D5BF">
            <w:pPr>
              <w:keepNext w:val="0"/>
              <w:keepLines w:val="0"/>
              <w:pageBreakBefore w:val="0"/>
              <w:widowControl w:val="0"/>
              <w:kinsoku w:val="0"/>
              <w:wordWrap/>
              <w:overflowPunct/>
              <w:topLinePunct w:val="0"/>
              <w:autoSpaceDE w:val="0"/>
              <w:autoSpaceDN w:val="0"/>
              <w:bidi w:val="0"/>
              <w:adjustRightInd w:val="0"/>
              <w:snapToGrid w:val="0"/>
              <w:spacing w:line="299" w:lineRule="auto"/>
              <w:jc w:val="left"/>
              <w:textAlignment w:val="baseline"/>
              <w:rPr>
                <w:rFonts w:hint="eastAsia" w:ascii="宋体" w:hAnsi="宋体" w:eastAsia="宋体" w:cs="宋体"/>
                <w:snapToGrid w:val="0"/>
                <w:color w:val="auto"/>
                <w:kern w:val="0"/>
                <w:sz w:val="24"/>
                <w:szCs w:val="24"/>
                <w:highlight w:val="none"/>
              </w:rPr>
            </w:pPr>
            <w:bookmarkStart w:id="22" w:name="_Toc28430"/>
          </w:p>
          <w:p w14:paraId="00CCBB36">
            <w:pPr>
              <w:keepNext w:val="0"/>
              <w:keepLines w:val="0"/>
              <w:pageBreakBefore w:val="0"/>
              <w:widowControl w:val="0"/>
              <w:kinsoku w:val="0"/>
              <w:wordWrap/>
              <w:overflowPunct/>
              <w:topLinePunct w:val="0"/>
              <w:autoSpaceDE w:val="0"/>
              <w:autoSpaceDN w:val="0"/>
              <w:bidi w:val="0"/>
              <w:adjustRightInd w:val="0"/>
              <w:snapToGrid w:val="0"/>
              <w:spacing w:line="299" w:lineRule="auto"/>
              <w:jc w:val="left"/>
              <w:textAlignment w:val="baseline"/>
              <w:rPr>
                <w:rFonts w:hint="eastAsia" w:ascii="宋体" w:hAnsi="宋体" w:eastAsia="宋体" w:cs="宋体"/>
                <w:snapToGrid w:val="0"/>
                <w:color w:val="auto"/>
                <w:kern w:val="0"/>
                <w:sz w:val="24"/>
                <w:szCs w:val="24"/>
                <w:highlight w:val="none"/>
              </w:rPr>
            </w:pPr>
          </w:p>
          <w:p w14:paraId="4936AA48">
            <w:pPr>
              <w:keepNext w:val="0"/>
              <w:keepLines w:val="0"/>
              <w:pageBreakBefore w:val="0"/>
              <w:widowControl w:val="0"/>
              <w:kinsoku w:val="0"/>
              <w:wordWrap/>
              <w:overflowPunct/>
              <w:topLinePunct w:val="0"/>
              <w:autoSpaceDE w:val="0"/>
              <w:autoSpaceDN w:val="0"/>
              <w:bidi w:val="0"/>
              <w:adjustRightInd w:val="0"/>
              <w:snapToGrid w:val="0"/>
              <w:spacing w:line="300" w:lineRule="auto"/>
              <w:jc w:val="left"/>
              <w:textAlignment w:val="baseline"/>
              <w:rPr>
                <w:rFonts w:hint="eastAsia" w:ascii="宋体" w:hAnsi="宋体" w:eastAsia="宋体" w:cs="宋体"/>
                <w:snapToGrid w:val="0"/>
                <w:color w:val="auto"/>
                <w:kern w:val="0"/>
                <w:sz w:val="24"/>
                <w:szCs w:val="24"/>
                <w:highlight w:val="none"/>
              </w:rPr>
            </w:pPr>
          </w:p>
          <w:p w14:paraId="512F77AE">
            <w:pPr>
              <w:keepNext w:val="0"/>
              <w:keepLines w:val="0"/>
              <w:pageBreakBefore w:val="0"/>
              <w:widowControl w:val="0"/>
              <w:kinsoku w:val="0"/>
              <w:wordWrap/>
              <w:overflowPunct/>
              <w:topLinePunct w:val="0"/>
              <w:autoSpaceDE w:val="0"/>
              <w:autoSpaceDN w:val="0"/>
              <w:bidi w:val="0"/>
              <w:adjustRightInd w:val="0"/>
              <w:snapToGrid w:val="0"/>
              <w:spacing w:line="300" w:lineRule="auto"/>
              <w:jc w:val="left"/>
              <w:textAlignment w:val="baseline"/>
              <w:rPr>
                <w:rFonts w:hint="eastAsia" w:ascii="宋体" w:hAnsi="宋体" w:eastAsia="宋体" w:cs="宋体"/>
                <w:snapToGrid w:val="0"/>
                <w:color w:val="auto"/>
                <w:kern w:val="0"/>
                <w:sz w:val="24"/>
                <w:szCs w:val="24"/>
                <w:highlight w:val="none"/>
              </w:rPr>
            </w:pPr>
          </w:p>
          <w:p w14:paraId="250F2641">
            <w:pPr>
              <w:keepNext w:val="0"/>
              <w:keepLines w:val="0"/>
              <w:pageBreakBefore w:val="0"/>
              <w:widowControl w:val="0"/>
              <w:kinsoku w:val="0"/>
              <w:wordWrap/>
              <w:overflowPunct/>
              <w:topLinePunct w:val="0"/>
              <w:autoSpaceDE w:val="0"/>
              <w:autoSpaceDN w:val="0"/>
              <w:bidi w:val="0"/>
              <w:adjustRightInd w:val="0"/>
              <w:snapToGrid w:val="0"/>
              <w:spacing w:before="90" w:line="163" w:lineRule="auto"/>
              <w:ind w:left="34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816" w:type="dxa"/>
            <w:gridSpan w:val="2"/>
            <w:noWrap/>
          </w:tcPr>
          <w:p w14:paraId="513B4F7F">
            <w:pPr>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baseline"/>
              <w:rPr>
                <w:rFonts w:hint="eastAsia" w:ascii="宋体" w:hAnsi="宋体" w:eastAsia="宋体" w:cs="宋体"/>
                <w:snapToGrid w:val="0"/>
                <w:color w:val="auto"/>
                <w:kern w:val="0"/>
                <w:sz w:val="24"/>
                <w:szCs w:val="24"/>
                <w:highlight w:val="none"/>
              </w:rPr>
            </w:pPr>
          </w:p>
          <w:p w14:paraId="6B65AAB4">
            <w:pPr>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baseline"/>
              <w:rPr>
                <w:rFonts w:hint="eastAsia" w:ascii="宋体" w:hAnsi="宋体" w:eastAsia="宋体" w:cs="宋体"/>
                <w:snapToGrid w:val="0"/>
                <w:color w:val="auto"/>
                <w:kern w:val="0"/>
                <w:sz w:val="24"/>
                <w:szCs w:val="24"/>
                <w:highlight w:val="none"/>
              </w:rPr>
            </w:pPr>
          </w:p>
          <w:p w14:paraId="3652A6FD">
            <w:pPr>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baseline"/>
              <w:rPr>
                <w:rFonts w:hint="eastAsia" w:ascii="宋体" w:hAnsi="宋体" w:eastAsia="宋体" w:cs="宋体"/>
                <w:snapToGrid w:val="0"/>
                <w:color w:val="auto"/>
                <w:kern w:val="0"/>
                <w:sz w:val="24"/>
                <w:szCs w:val="24"/>
                <w:highlight w:val="none"/>
              </w:rPr>
            </w:pPr>
          </w:p>
          <w:p w14:paraId="1BDD0B75">
            <w:pPr>
              <w:keepNext w:val="0"/>
              <w:keepLines w:val="0"/>
              <w:pageBreakBefore w:val="0"/>
              <w:widowControl w:val="0"/>
              <w:kinsoku w:val="0"/>
              <w:wordWrap/>
              <w:overflowPunct/>
              <w:topLinePunct w:val="0"/>
              <w:autoSpaceDE w:val="0"/>
              <w:autoSpaceDN w:val="0"/>
              <w:bidi w:val="0"/>
              <w:adjustRightInd w:val="0"/>
              <w:snapToGrid w:val="0"/>
              <w:spacing w:line="243" w:lineRule="auto"/>
              <w:jc w:val="left"/>
              <w:textAlignment w:val="baseline"/>
              <w:rPr>
                <w:rFonts w:hint="eastAsia" w:ascii="宋体" w:hAnsi="宋体" w:eastAsia="宋体" w:cs="宋体"/>
                <w:snapToGrid w:val="0"/>
                <w:color w:val="auto"/>
                <w:kern w:val="0"/>
                <w:sz w:val="24"/>
                <w:szCs w:val="24"/>
                <w:highlight w:val="none"/>
              </w:rPr>
            </w:pPr>
          </w:p>
          <w:p w14:paraId="0A0D4F4A">
            <w:pPr>
              <w:keepNext w:val="0"/>
              <w:keepLines w:val="0"/>
              <w:pageBreakBefore w:val="0"/>
              <w:widowControl w:val="0"/>
              <w:kinsoku w:val="0"/>
              <w:wordWrap/>
              <w:overflowPunct/>
              <w:topLinePunct w:val="0"/>
              <w:autoSpaceDE w:val="0"/>
              <w:autoSpaceDN w:val="0"/>
              <w:bidi w:val="0"/>
              <w:adjustRightInd w:val="0"/>
              <w:snapToGrid w:val="0"/>
              <w:spacing w:line="244" w:lineRule="auto"/>
              <w:jc w:val="left"/>
              <w:textAlignment w:val="baseline"/>
              <w:rPr>
                <w:rFonts w:hint="eastAsia" w:ascii="宋体" w:hAnsi="宋体" w:eastAsia="宋体" w:cs="宋体"/>
                <w:snapToGrid w:val="0"/>
                <w:color w:val="auto"/>
                <w:kern w:val="0"/>
                <w:sz w:val="24"/>
                <w:szCs w:val="24"/>
                <w:highlight w:val="none"/>
              </w:rPr>
            </w:pPr>
          </w:p>
          <w:p w14:paraId="3BA77DCF">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31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sz w:val="24"/>
                <w:szCs w:val="24"/>
                <w:highlight w:val="none"/>
              </w:rPr>
              <w:t>1</w:t>
            </w:r>
            <w:r>
              <w:rPr>
                <w:rFonts w:hint="eastAsia" w:ascii="宋体" w:hAnsi="宋体" w:eastAsia="宋体" w:cs="宋体"/>
                <w:snapToGrid w:val="0"/>
                <w:color w:val="auto"/>
                <w:spacing w:val="-14"/>
                <w:kern w:val="0"/>
                <w:sz w:val="24"/>
                <w:szCs w:val="24"/>
                <w:highlight w:val="none"/>
              </w:rPr>
              <w:t>0</w:t>
            </w:r>
          </w:p>
        </w:tc>
        <w:tc>
          <w:tcPr>
            <w:tcW w:w="1324" w:type="dxa"/>
            <w:gridSpan w:val="2"/>
            <w:noWrap/>
          </w:tcPr>
          <w:p w14:paraId="23924352">
            <w:pPr>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baseline"/>
              <w:rPr>
                <w:rFonts w:hint="eastAsia" w:ascii="宋体" w:hAnsi="宋体" w:eastAsia="宋体" w:cs="宋体"/>
                <w:snapToGrid w:val="0"/>
                <w:color w:val="auto"/>
                <w:kern w:val="0"/>
                <w:sz w:val="24"/>
                <w:szCs w:val="24"/>
                <w:highlight w:val="none"/>
              </w:rPr>
            </w:pPr>
          </w:p>
          <w:p w14:paraId="3D2D6174">
            <w:pPr>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baseline"/>
              <w:rPr>
                <w:rFonts w:hint="eastAsia" w:ascii="宋体" w:hAnsi="宋体" w:eastAsia="宋体" w:cs="宋体"/>
                <w:snapToGrid w:val="0"/>
                <w:color w:val="auto"/>
                <w:kern w:val="0"/>
                <w:sz w:val="24"/>
                <w:szCs w:val="24"/>
                <w:highlight w:val="none"/>
              </w:rPr>
            </w:pPr>
          </w:p>
          <w:p w14:paraId="11006F9E">
            <w:pPr>
              <w:keepNext w:val="0"/>
              <w:keepLines w:val="0"/>
              <w:pageBreakBefore w:val="0"/>
              <w:widowControl w:val="0"/>
              <w:kinsoku w:val="0"/>
              <w:wordWrap/>
              <w:overflowPunct/>
              <w:topLinePunct w:val="0"/>
              <w:autoSpaceDE w:val="0"/>
              <w:autoSpaceDN w:val="0"/>
              <w:bidi w:val="0"/>
              <w:adjustRightInd w:val="0"/>
              <w:snapToGrid w:val="0"/>
              <w:spacing w:line="269" w:lineRule="auto"/>
              <w:jc w:val="left"/>
              <w:textAlignment w:val="baseline"/>
              <w:rPr>
                <w:rFonts w:hint="eastAsia" w:ascii="宋体" w:hAnsi="宋体" w:eastAsia="宋体" w:cs="宋体"/>
                <w:snapToGrid w:val="0"/>
                <w:color w:val="auto"/>
                <w:kern w:val="0"/>
                <w:sz w:val="24"/>
                <w:szCs w:val="24"/>
                <w:highlight w:val="none"/>
              </w:rPr>
            </w:pPr>
          </w:p>
          <w:p w14:paraId="68518728">
            <w:pPr>
              <w:keepNext w:val="0"/>
              <w:keepLines w:val="0"/>
              <w:pageBreakBefore w:val="0"/>
              <w:widowControl w:val="0"/>
              <w:kinsoku w:val="0"/>
              <w:wordWrap/>
              <w:overflowPunct/>
              <w:topLinePunct w:val="0"/>
              <w:autoSpaceDE w:val="0"/>
              <w:autoSpaceDN w:val="0"/>
              <w:bidi w:val="0"/>
              <w:adjustRightInd w:val="0"/>
              <w:snapToGrid w:val="0"/>
              <w:spacing w:before="90" w:line="240" w:lineRule="auto"/>
              <w:ind w:left="13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磋商</w:t>
            </w:r>
            <w:r>
              <w:rPr>
                <w:rFonts w:hint="eastAsia" w:ascii="宋体" w:hAnsi="宋体" w:eastAsia="宋体" w:cs="宋体"/>
                <w:snapToGrid w:val="0"/>
                <w:color w:val="auto"/>
                <w:kern w:val="0"/>
                <w:sz w:val="24"/>
                <w:szCs w:val="24"/>
                <w:highlight w:val="none"/>
              </w:rPr>
              <w:t>报价及</w:t>
            </w:r>
            <w:r>
              <w:rPr>
                <w:rFonts w:hint="eastAsia" w:ascii="宋体" w:hAnsi="宋体" w:eastAsia="宋体" w:cs="宋体"/>
                <w:snapToGrid w:val="0"/>
                <w:color w:val="auto"/>
                <w:spacing w:val="-1"/>
                <w:kern w:val="0"/>
                <w:sz w:val="24"/>
                <w:szCs w:val="24"/>
                <w:highlight w:val="none"/>
              </w:rPr>
              <w:t>采购</w:t>
            </w:r>
            <w:r>
              <w:rPr>
                <w:rFonts w:hint="eastAsia" w:ascii="宋体" w:hAnsi="宋体" w:eastAsia="宋体" w:cs="宋体"/>
                <w:snapToGrid w:val="0"/>
                <w:color w:val="auto"/>
                <w:kern w:val="0"/>
                <w:sz w:val="24"/>
                <w:szCs w:val="24"/>
                <w:highlight w:val="none"/>
              </w:rPr>
              <w:t>预算金额</w:t>
            </w:r>
          </w:p>
        </w:tc>
        <w:tc>
          <w:tcPr>
            <w:tcW w:w="6587" w:type="dxa"/>
            <w:noWrap/>
          </w:tcPr>
          <w:p w14:paraId="1ABAE77E">
            <w:pPr>
              <w:keepNext w:val="0"/>
              <w:keepLines w:val="0"/>
              <w:pageBreakBefore w:val="0"/>
              <w:widowControl w:val="0"/>
              <w:kinsoku w:val="0"/>
              <w:wordWrap/>
              <w:overflowPunct/>
              <w:topLinePunct w:val="0"/>
              <w:autoSpaceDE w:val="0"/>
              <w:autoSpaceDN w:val="0"/>
              <w:bidi w:val="0"/>
              <w:adjustRightInd w:val="0"/>
              <w:snapToGrid w:val="0"/>
              <w:spacing w:before="129" w:line="221" w:lineRule="auto"/>
              <w:ind w:left="112" w:right="105" w:firstLine="1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1、 服务商必须就“</w:t>
            </w:r>
            <w:r>
              <w:rPr>
                <w:rFonts w:hint="eastAsia" w:ascii="宋体" w:hAnsi="宋体" w:eastAsia="宋体" w:cs="宋体"/>
                <w:snapToGrid w:val="0"/>
                <w:color w:val="auto"/>
                <w:kern w:val="0"/>
                <w:sz w:val="24"/>
                <w:szCs w:val="24"/>
                <w:highlight w:val="none"/>
              </w:rPr>
              <w:t xml:space="preserve">项目需求”中的所有内容作完整唯一报价，响应 </w:t>
            </w:r>
            <w:r>
              <w:rPr>
                <w:rFonts w:hint="eastAsia" w:ascii="宋体" w:hAnsi="宋体" w:eastAsia="宋体" w:cs="宋体"/>
                <w:snapToGrid w:val="0"/>
                <w:color w:val="auto"/>
                <w:spacing w:val="-1"/>
                <w:kern w:val="0"/>
                <w:sz w:val="24"/>
                <w:szCs w:val="24"/>
                <w:highlight w:val="none"/>
              </w:rPr>
              <w:t>文件只允许有一</w:t>
            </w:r>
            <w:r>
              <w:rPr>
                <w:rFonts w:hint="eastAsia" w:ascii="宋体" w:hAnsi="宋体" w:eastAsia="宋体" w:cs="宋体"/>
                <w:snapToGrid w:val="0"/>
                <w:color w:val="auto"/>
                <w:kern w:val="0"/>
                <w:sz w:val="24"/>
                <w:szCs w:val="24"/>
                <w:highlight w:val="none"/>
              </w:rPr>
              <w:t>个报价，有选择的或有条件的报价将不予接受。</w:t>
            </w:r>
          </w:p>
          <w:p w14:paraId="0F4F9E13">
            <w:pPr>
              <w:keepNext w:val="0"/>
              <w:keepLines w:val="0"/>
              <w:pageBreakBefore w:val="0"/>
              <w:widowControl w:val="0"/>
              <w:kinsoku w:val="0"/>
              <w:wordWrap/>
              <w:overflowPunct/>
              <w:topLinePunct w:val="0"/>
              <w:autoSpaceDE w:val="0"/>
              <w:autoSpaceDN w:val="0"/>
              <w:bidi w:val="0"/>
              <w:adjustRightInd w:val="0"/>
              <w:snapToGrid w:val="0"/>
              <w:spacing w:before="100" w:line="219" w:lineRule="auto"/>
              <w:ind w:left="109" w:right="105" w:firstLine="16"/>
              <w:jc w:val="left"/>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rPr>
              <w:t>2 、采购预算金额 (人民币)：</w:t>
            </w:r>
            <w:r>
              <w:rPr>
                <w:rFonts w:hint="eastAsia" w:ascii="宋体" w:hAnsi="宋体" w:eastAsia="宋体" w:cs="宋体"/>
                <w:snapToGrid w:val="0"/>
                <w:color w:val="auto"/>
                <w:spacing w:val="2"/>
                <w:kern w:val="0"/>
                <w:sz w:val="24"/>
                <w:szCs w:val="24"/>
                <w:highlight w:val="none"/>
                <w:lang w:eastAsia="zh-CN"/>
              </w:rPr>
              <w:t>110万元</w:t>
            </w:r>
            <w:r>
              <w:rPr>
                <w:rFonts w:hint="eastAsia" w:ascii="宋体" w:hAnsi="宋体" w:eastAsia="宋体" w:cs="宋体"/>
                <w:snapToGrid w:val="0"/>
                <w:color w:val="auto"/>
                <w:spacing w:val="2"/>
                <w:kern w:val="0"/>
                <w:sz w:val="24"/>
                <w:szCs w:val="24"/>
                <w:highlight w:val="none"/>
              </w:rPr>
              <w:t>元</w:t>
            </w:r>
          </w:p>
          <w:p w14:paraId="7C6FF572">
            <w:pPr>
              <w:keepNext w:val="0"/>
              <w:keepLines w:val="0"/>
              <w:pageBreakBefore w:val="0"/>
              <w:widowControl w:val="0"/>
              <w:kinsoku w:val="0"/>
              <w:wordWrap/>
              <w:overflowPunct/>
              <w:topLinePunct w:val="0"/>
              <w:autoSpaceDE w:val="0"/>
              <w:autoSpaceDN w:val="0"/>
              <w:bidi w:val="0"/>
              <w:adjustRightInd w:val="0"/>
              <w:snapToGrid w:val="0"/>
              <w:spacing w:before="100" w:line="219" w:lineRule="auto"/>
              <w:ind w:left="109" w:right="105" w:firstLine="16"/>
              <w:jc w:val="left"/>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rPr>
              <w:t>报价超采购预算金额的，响应文件作无效处理。</w:t>
            </w:r>
          </w:p>
          <w:p w14:paraId="6E281F9B">
            <w:pPr>
              <w:keepNext w:val="0"/>
              <w:keepLines w:val="0"/>
              <w:pageBreakBefore w:val="0"/>
              <w:widowControl w:val="0"/>
              <w:kinsoku w:val="0"/>
              <w:wordWrap/>
              <w:overflowPunct/>
              <w:topLinePunct w:val="0"/>
              <w:autoSpaceDE w:val="0"/>
              <w:autoSpaceDN w:val="0"/>
              <w:bidi w:val="0"/>
              <w:adjustRightInd w:val="0"/>
              <w:snapToGrid w:val="0"/>
              <w:spacing w:before="129" w:line="253" w:lineRule="auto"/>
              <w:ind w:left="112" w:right="106" w:firstLine="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3 、服务商磋商报价</w:t>
            </w:r>
            <w:r>
              <w:rPr>
                <w:rFonts w:hint="eastAsia" w:ascii="宋体" w:hAnsi="宋体" w:eastAsia="宋体" w:cs="宋体"/>
                <w:snapToGrid w:val="0"/>
                <w:color w:val="auto"/>
                <w:kern w:val="0"/>
                <w:sz w:val="24"/>
                <w:szCs w:val="24"/>
                <w:highlight w:val="none"/>
              </w:rPr>
              <w:t xml:space="preserve">应包含完成本“项目需求”中所列所有服务内容 </w:t>
            </w:r>
            <w:r>
              <w:rPr>
                <w:rFonts w:hint="eastAsia" w:ascii="宋体" w:hAnsi="宋体" w:eastAsia="宋体" w:cs="宋体"/>
                <w:snapToGrid w:val="0"/>
                <w:color w:val="auto"/>
                <w:spacing w:val="4"/>
                <w:kern w:val="0"/>
                <w:sz w:val="24"/>
                <w:szCs w:val="24"/>
                <w:highlight w:val="none"/>
              </w:rPr>
              <w:t>产生的</w:t>
            </w:r>
            <w:r>
              <w:rPr>
                <w:rFonts w:hint="eastAsia" w:ascii="宋体" w:hAnsi="宋体" w:eastAsia="宋体" w:cs="宋体"/>
                <w:snapToGrid w:val="0"/>
                <w:color w:val="auto"/>
                <w:spacing w:val="2"/>
                <w:kern w:val="0"/>
                <w:sz w:val="24"/>
                <w:szCs w:val="24"/>
                <w:highlight w:val="none"/>
              </w:rPr>
              <w:t>所有成本、完成本项目服务工作所需的人员成本、劳务费、技</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6"/>
                <w:kern w:val="0"/>
                <w:sz w:val="24"/>
                <w:szCs w:val="24"/>
                <w:highlight w:val="none"/>
              </w:rPr>
              <w:t>术服务费、管理</w:t>
            </w:r>
            <w:r>
              <w:rPr>
                <w:rFonts w:hint="eastAsia" w:ascii="宋体" w:hAnsi="宋体" w:eastAsia="宋体" w:cs="宋体"/>
                <w:snapToGrid w:val="0"/>
                <w:color w:val="auto"/>
                <w:spacing w:val="-4"/>
                <w:kern w:val="0"/>
                <w:sz w:val="24"/>
                <w:szCs w:val="24"/>
                <w:highlight w:val="none"/>
              </w:rPr>
              <w:t>、</w:t>
            </w:r>
            <w:r>
              <w:rPr>
                <w:rFonts w:hint="eastAsia" w:ascii="宋体" w:hAnsi="宋体" w:eastAsia="宋体" w:cs="宋体"/>
                <w:snapToGrid w:val="0"/>
                <w:color w:val="auto"/>
                <w:spacing w:val="-3"/>
                <w:kern w:val="0"/>
                <w:sz w:val="24"/>
                <w:szCs w:val="24"/>
                <w:highlight w:val="none"/>
              </w:rPr>
              <w:t>通讯 、保险、差旅费、项目验收 、税金 、利润、验</w:t>
            </w:r>
            <w:r>
              <w:rPr>
                <w:rFonts w:hint="eastAsia" w:ascii="宋体" w:hAnsi="宋体" w:eastAsia="宋体" w:cs="宋体"/>
                <w:snapToGrid w:val="0"/>
                <w:color w:val="auto"/>
                <w:spacing w:val="2"/>
                <w:kern w:val="0"/>
                <w:sz w:val="24"/>
                <w:szCs w:val="24"/>
                <w:highlight w:val="none"/>
              </w:rPr>
              <w:t>收、质量保证及合同包含的应有风险、责任等与本项目相关的所</w:t>
            </w:r>
            <w:r>
              <w:rPr>
                <w:rFonts w:hint="eastAsia" w:ascii="宋体" w:hAnsi="宋体" w:eastAsia="宋体" w:cs="宋体"/>
                <w:snapToGrid w:val="0"/>
                <w:color w:val="auto"/>
                <w:spacing w:val="1"/>
                <w:kern w:val="0"/>
                <w:sz w:val="24"/>
                <w:szCs w:val="24"/>
                <w:highlight w:val="none"/>
              </w:rPr>
              <w:t>有</w:t>
            </w:r>
            <w:r>
              <w:rPr>
                <w:rFonts w:hint="eastAsia" w:ascii="宋体" w:hAnsi="宋体" w:eastAsia="宋体" w:cs="宋体"/>
                <w:snapToGrid w:val="0"/>
                <w:color w:val="auto"/>
                <w:kern w:val="0"/>
                <w:sz w:val="24"/>
                <w:szCs w:val="24"/>
                <w:highlight w:val="none"/>
              </w:rPr>
              <w:t xml:space="preserve">费 </w:t>
            </w:r>
            <w:r>
              <w:rPr>
                <w:rFonts w:hint="eastAsia" w:ascii="宋体" w:hAnsi="宋体" w:eastAsia="宋体" w:cs="宋体"/>
                <w:snapToGrid w:val="0"/>
                <w:color w:val="auto"/>
                <w:spacing w:val="-1"/>
                <w:kern w:val="0"/>
                <w:sz w:val="24"/>
                <w:szCs w:val="24"/>
                <w:highlight w:val="none"/>
              </w:rPr>
              <w:t>用，服务商应综合</w:t>
            </w:r>
            <w:r>
              <w:rPr>
                <w:rFonts w:hint="eastAsia" w:ascii="宋体" w:hAnsi="宋体" w:eastAsia="宋体" w:cs="宋体"/>
                <w:snapToGrid w:val="0"/>
                <w:color w:val="auto"/>
                <w:kern w:val="0"/>
                <w:sz w:val="24"/>
                <w:szCs w:val="24"/>
                <w:highlight w:val="none"/>
              </w:rPr>
              <w:t>考虑在报价中。</w:t>
            </w:r>
          </w:p>
          <w:p w14:paraId="14516DA1">
            <w:pPr>
              <w:keepNext w:val="0"/>
              <w:keepLines w:val="0"/>
              <w:pageBreakBefore w:val="0"/>
              <w:widowControl w:val="0"/>
              <w:kinsoku w:val="0"/>
              <w:wordWrap/>
              <w:overflowPunct/>
              <w:topLinePunct w:val="0"/>
              <w:autoSpaceDE w:val="0"/>
              <w:autoSpaceDN w:val="0"/>
              <w:bidi w:val="0"/>
              <w:adjustRightInd w:val="0"/>
              <w:snapToGrid w:val="0"/>
              <w:spacing w:line="254" w:lineRule="auto"/>
              <w:ind w:left="109" w:right="105" w:firstLine="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4 、未书面退出磋商</w:t>
            </w:r>
            <w:r>
              <w:rPr>
                <w:rFonts w:hint="eastAsia" w:ascii="宋体" w:hAnsi="宋体" w:eastAsia="宋体" w:cs="宋体"/>
                <w:snapToGrid w:val="0"/>
                <w:color w:val="auto"/>
                <w:kern w:val="0"/>
                <w:sz w:val="24"/>
                <w:szCs w:val="24"/>
                <w:highlight w:val="none"/>
              </w:rPr>
              <w:t>的服务商必须在规定时间内登录“广西政府采购云平台”</w:t>
            </w:r>
            <w:r>
              <w:rPr>
                <w:rFonts w:hint="eastAsia" w:ascii="宋体" w:hAnsi="宋体" w:eastAsia="宋体" w:cs="宋体"/>
                <w:snapToGrid w:val="0"/>
                <w:color w:val="auto"/>
                <w:spacing w:val="1"/>
                <w:kern w:val="0"/>
                <w:sz w:val="24"/>
                <w:szCs w:val="24"/>
                <w:highlight w:val="none"/>
              </w:rPr>
              <w:t>在线提交</w:t>
            </w:r>
            <w:r>
              <w:rPr>
                <w:rFonts w:hint="eastAsia" w:ascii="宋体" w:hAnsi="宋体" w:eastAsia="宋体" w:cs="宋体"/>
                <w:snapToGrid w:val="0"/>
                <w:color w:val="auto"/>
                <w:kern w:val="0"/>
                <w:sz w:val="24"/>
                <w:szCs w:val="24"/>
                <w:highlight w:val="none"/>
              </w:rPr>
              <w:t>最后报价，其最后报价不得超出采购预算 ；磋商过程中磋商</w:t>
            </w:r>
            <w:r>
              <w:rPr>
                <w:rFonts w:hint="eastAsia" w:ascii="宋体" w:hAnsi="宋体" w:eastAsia="宋体" w:cs="宋体"/>
                <w:snapToGrid w:val="0"/>
                <w:color w:val="auto"/>
                <w:spacing w:val="1"/>
                <w:kern w:val="0"/>
                <w:sz w:val="24"/>
                <w:szCs w:val="24"/>
                <w:highlight w:val="none"/>
              </w:rPr>
              <w:t>文件</w:t>
            </w:r>
            <w:r>
              <w:rPr>
                <w:rFonts w:hint="eastAsia" w:ascii="宋体" w:hAnsi="宋体" w:eastAsia="宋体" w:cs="宋体"/>
                <w:snapToGrid w:val="0"/>
                <w:color w:val="auto"/>
                <w:kern w:val="0"/>
                <w:sz w:val="24"/>
                <w:szCs w:val="24"/>
                <w:highlight w:val="none"/>
              </w:rPr>
              <w:t xml:space="preserve">未作实质性变动的，最后报价不得超过首次报价。 </w:t>
            </w:r>
          </w:p>
        </w:tc>
      </w:tr>
      <w:tr w14:paraId="38F47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54E9FEC7">
            <w:pPr>
              <w:keepNext w:val="0"/>
              <w:keepLines w:val="0"/>
              <w:pageBreakBefore w:val="0"/>
              <w:widowControl w:val="0"/>
              <w:kinsoku w:val="0"/>
              <w:wordWrap/>
              <w:overflowPunct/>
              <w:topLinePunct w:val="0"/>
              <w:autoSpaceDE w:val="0"/>
              <w:autoSpaceDN w:val="0"/>
              <w:bidi w:val="0"/>
              <w:adjustRightInd w:val="0"/>
              <w:snapToGrid w:val="0"/>
              <w:spacing w:before="324" w:line="160" w:lineRule="auto"/>
              <w:ind w:left="35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816" w:type="dxa"/>
            <w:gridSpan w:val="2"/>
            <w:noWrap/>
          </w:tcPr>
          <w:p w14:paraId="2FE00610">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4055719F">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2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12.1</w:t>
            </w:r>
          </w:p>
        </w:tc>
        <w:tc>
          <w:tcPr>
            <w:tcW w:w="1324" w:type="dxa"/>
            <w:gridSpan w:val="2"/>
            <w:noWrap/>
          </w:tcPr>
          <w:p w14:paraId="28F4CA7D">
            <w:pPr>
              <w:keepNext w:val="0"/>
              <w:keepLines w:val="0"/>
              <w:pageBreakBefore w:val="0"/>
              <w:widowControl w:val="0"/>
              <w:kinsoku w:val="0"/>
              <w:wordWrap/>
              <w:overflowPunct/>
              <w:topLinePunct w:val="0"/>
              <w:autoSpaceDE w:val="0"/>
              <w:autoSpaceDN w:val="0"/>
              <w:bidi w:val="0"/>
              <w:adjustRightInd w:val="0"/>
              <w:snapToGrid w:val="0"/>
              <w:spacing w:before="108" w:line="205" w:lineRule="auto"/>
              <w:ind w:left="460" w:right="133" w:hanging="31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响应</w:t>
            </w:r>
            <w:r>
              <w:rPr>
                <w:rFonts w:hint="eastAsia" w:ascii="宋体" w:hAnsi="宋体" w:eastAsia="宋体" w:cs="宋体"/>
                <w:snapToGrid w:val="0"/>
                <w:color w:val="auto"/>
                <w:spacing w:val="-2"/>
                <w:kern w:val="0"/>
                <w:sz w:val="24"/>
                <w:szCs w:val="24"/>
                <w:highlight w:val="none"/>
              </w:rPr>
              <w:t>文件有</w:t>
            </w:r>
            <w:r>
              <w:rPr>
                <w:rFonts w:hint="eastAsia" w:ascii="宋体" w:hAnsi="宋体" w:eastAsia="宋体" w:cs="宋体"/>
                <w:snapToGrid w:val="0"/>
                <w:color w:val="auto"/>
                <w:spacing w:val="-4"/>
                <w:kern w:val="0"/>
                <w:sz w:val="24"/>
                <w:szCs w:val="24"/>
                <w:highlight w:val="none"/>
              </w:rPr>
              <w:t>效</w:t>
            </w:r>
            <w:r>
              <w:rPr>
                <w:rFonts w:hint="eastAsia" w:ascii="宋体" w:hAnsi="宋体" w:eastAsia="宋体" w:cs="宋体"/>
                <w:snapToGrid w:val="0"/>
                <w:color w:val="auto"/>
                <w:spacing w:val="-2"/>
                <w:kern w:val="0"/>
                <w:sz w:val="24"/>
                <w:szCs w:val="24"/>
                <w:highlight w:val="none"/>
              </w:rPr>
              <w:t>期</w:t>
            </w:r>
          </w:p>
        </w:tc>
        <w:tc>
          <w:tcPr>
            <w:tcW w:w="6587" w:type="dxa"/>
            <w:noWrap/>
          </w:tcPr>
          <w:p w14:paraId="5208DC33">
            <w:pPr>
              <w:keepNext w:val="0"/>
              <w:keepLines w:val="0"/>
              <w:pageBreakBefore w:val="0"/>
              <w:widowControl w:val="0"/>
              <w:kinsoku w:val="0"/>
              <w:wordWrap/>
              <w:overflowPunct/>
              <w:topLinePunct w:val="0"/>
              <w:autoSpaceDE w:val="0"/>
              <w:autoSpaceDN w:val="0"/>
              <w:bidi w:val="0"/>
              <w:adjustRightInd w:val="0"/>
              <w:snapToGrid w:val="0"/>
              <w:spacing w:before="108" w:line="205" w:lineRule="auto"/>
              <w:ind w:left="112" w:right="105" w:firstLine="32"/>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自响应文件提交截止时间之日起 90 天，有效期不足的响应文件将被</w:t>
            </w:r>
            <w:r>
              <w:rPr>
                <w:rFonts w:hint="eastAsia" w:ascii="宋体" w:hAnsi="宋体" w:eastAsia="宋体" w:cs="宋体"/>
                <w:snapToGrid w:val="0"/>
                <w:color w:val="auto"/>
                <w:spacing w:val="-2"/>
                <w:kern w:val="0"/>
                <w:sz w:val="24"/>
                <w:szCs w:val="24"/>
                <w:highlight w:val="none"/>
              </w:rPr>
              <w:t>拒</w:t>
            </w:r>
            <w:r>
              <w:rPr>
                <w:rFonts w:hint="eastAsia" w:ascii="宋体" w:hAnsi="宋体" w:eastAsia="宋体" w:cs="宋体"/>
                <w:snapToGrid w:val="0"/>
                <w:color w:val="auto"/>
                <w:spacing w:val="-5"/>
                <w:kern w:val="0"/>
                <w:sz w:val="24"/>
                <w:szCs w:val="24"/>
                <w:highlight w:val="none"/>
              </w:rPr>
              <w:t>绝</w:t>
            </w:r>
            <w:r>
              <w:rPr>
                <w:rFonts w:hint="eastAsia" w:ascii="宋体" w:hAnsi="宋体" w:eastAsia="宋体" w:cs="宋体"/>
                <w:snapToGrid w:val="0"/>
                <w:color w:val="auto"/>
                <w:spacing w:val="-4"/>
                <w:kern w:val="0"/>
                <w:sz w:val="24"/>
                <w:szCs w:val="24"/>
                <w:highlight w:val="none"/>
              </w:rPr>
              <w:t>。</w:t>
            </w:r>
          </w:p>
        </w:tc>
      </w:tr>
      <w:tr w14:paraId="0AAEF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14DD9B99">
            <w:pPr>
              <w:keepNext w:val="0"/>
              <w:keepLines w:val="0"/>
              <w:pageBreakBefore w:val="0"/>
              <w:widowControl w:val="0"/>
              <w:kinsoku w:val="0"/>
              <w:wordWrap/>
              <w:overflowPunct/>
              <w:topLinePunct w:val="0"/>
              <w:autoSpaceDE w:val="0"/>
              <w:autoSpaceDN w:val="0"/>
              <w:bidi w:val="0"/>
              <w:adjustRightInd w:val="0"/>
              <w:snapToGrid w:val="0"/>
              <w:spacing w:line="255" w:lineRule="auto"/>
              <w:jc w:val="left"/>
              <w:textAlignment w:val="baseline"/>
              <w:rPr>
                <w:rFonts w:hint="eastAsia" w:ascii="宋体" w:hAnsi="宋体" w:eastAsia="宋体" w:cs="宋体"/>
                <w:snapToGrid w:val="0"/>
                <w:color w:val="auto"/>
                <w:kern w:val="0"/>
                <w:sz w:val="24"/>
                <w:szCs w:val="24"/>
                <w:highlight w:val="none"/>
              </w:rPr>
            </w:pPr>
          </w:p>
          <w:p w14:paraId="14A6F6A8">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645135BD">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1A878208">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5B9435BC">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5FDE5C6A">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708C36A8">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4E19B74D">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4B99F0F2">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6BBD43EF">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56E427BA">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09D4E6D0">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47A75DAE">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7AC1A4D0">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71DCC023">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3CC3F33B">
            <w:pPr>
              <w:keepNext w:val="0"/>
              <w:keepLines w:val="0"/>
              <w:pageBreakBefore w:val="0"/>
              <w:widowControl w:val="0"/>
              <w:kinsoku w:val="0"/>
              <w:wordWrap/>
              <w:overflowPunct/>
              <w:topLinePunct w:val="0"/>
              <w:autoSpaceDE w:val="0"/>
              <w:autoSpaceDN w:val="0"/>
              <w:bidi w:val="0"/>
              <w:adjustRightInd w:val="0"/>
              <w:snapToGrid w:val="0"/>
              <w:spacing w:before="90" w:line="161" w:lineRule="auto"/>
              <w:ind w:left="35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816" w:type="dxa"/>
            <w:gridSpan w:val="2"/>
            <w:noWrap/>
          </w:tcPr>
          <w:p w14:paraId="4456E34B">
            <w:pPr>
              <w:keepNext w:val="0"/>
              <w:keepLines w:val="0"/>
              <w:pageBreakBefore w:val="0"/>
              <w:widowControl w:val="0"/>
              <w:kinsoku w:val="0"/>
              <w:wordWrap/>
              <w:overflowPunct/>
              <w:topLinePunct w:val="0"/>
              <w:autoSpaceDE w:val="0"/>
              <w:autoSpaceDN w:val="0"/>
              <w:bidi w:val="0"/>
              <w:adjustRightInd w:val="0"/>
              <w:snapToGrid w:val="0"/>
              <w:spacing w:line="255" w:lineRule="auto"/>
              <w:jc w:val="left"/>
              <w:textAlignment w:val="baseline"/>
              <w:rPr>
                <w:rFonts w:hint="eastAsia" w:ascii="宋体" w:hAnsi="宋体" w:eastAsia="宋体" w:cs="宋体"/>
                <w:snapToGrid w:val="0"/>
                <w:color w:val="auto"/>
                <w:kern w:val="0"/>
                <w:sz w:val="24"/>
                <w:szCs w:val="24"/>
                <w:highlight w:val="none"/>
              </w:rPr>
            </w:pPr>
          </w:p>
          <w:p w14:paraId="545A8B50">
            <w:pPr>
              <w:keepNext w:val="0"/>
              <w:keepLines w:val="0"/>
              <w:pageBreakBefore w:val="0"/>
              <w:widowControl w:val="0"/>
              <w:kinsoku w:val="0"/>
              <w:wordWrap/>
              <w:overflowPunct/>
              <w:topLinePunct w:val="0"/>
              <w:autoSpaceDE w:val="0"/>
              <w:autoSpaceDN w:val="0"/>
              <w:bidi w:val="0"/>
              <w:adjustRightInd w:val="0"/>
              <w:snapToGrid w:val="0"/>
              <w:spacing w:line="255" w:lineRule="auto"/>
              <w:jc w:val="left"/>
              <w:textAlignment w:val="baseline"/>
              <w:rPr>
                <w:rFonts w:hint="eastAsia" w:ascii="宋体" w:hAnsi="宋体" w:eastAsia="宋体" w:cs="宋体"/>
                <w:snapToGrid w:val="0"/>
                <w:color w:val="auto"/>
                <w:kern w:val="0"/>
                <w:sz w:val="24"/>
                <w:szCs w:val="24"/>
                <w:highlight w:val="none"/>
              </w:rPr>
            </w:pPr>
          </w:p>
          <w:p w14:paraId="309F5873">
            <w:pPr>
              <w:keepNext w:val="0"/>
              <w:keepLines w:val="0"/>
              <w:pageBreakBefore w:val="0"/>
              <w:widowControl w:val="0"/>
              <w:kinsoku w:val="0"/>
              <w:wordWrap/>
              <w:overflowPunct/>
              <w:topLinePunct w:val="0"/>
              <w:autoSpaceDE w:val="0"/>
              <w:autoSpaceDN w:val="0"/>
              <w:bidi w:val="0"/>
              <w:adjustRightInd w:val="0"/>
              <w:snapToGrid w:val="0"/>
              <w:spacing w:line="255" w:lineRule="auto"/>
              <w:jc w:val="left"/>
              <w:textAlignment w:val="baseline"/>
              <w:rPr>
                <w:rFonts w:hint="eastAsia" w:ascii="宋体" w:hAnsi="宋体" w:eastAsia="宋体" w:cs="宋体"/>
                <w:snapToGrid w:val="0"/>
                <w:color w:val="auto"/>
                <w:kern w:val="0"/>
                <w:sz w:val="24"/>
                <w:szCs w:val="24"/>
                <w:highlight w:val="none"/>
              </w:rPr>
            </w:pPr>
          </w:p>
          <w:p w14:paraId="6C110C31">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650D9A87">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55EE0814">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27B8DBB5">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79D16C91">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723EF141">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73BA511B">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4DC67ACF">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526236BB">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1CDA947A">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087EDF6B">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064DD036">
            <w:pPr>
              <w:keepNext w:val="0"/>
              <w:keepLines w:val="0"/>
              <w:pageBreakBefore w:val="0"/>
              <w:widowControl w:val="0"/>
              <w:kinsoku w:val="0"/>
              <w:wordWrap/>
              <w:overflowPunct/>
              <w:topLinePunct w:val="0"/>
              <w:autoSpaceDE w:val="0"/>
              <w:autoSpaceDN w:val="0"/>
              <w:bidi w:val="0"/>
              <w:adjustRightInd w:val="0"/>
              <w:snapToGrid w:val="0"/>
              <w:spacing w:line="256" w:lineRule="auto"/>
              <w:jc w:val="left"/>
              <w:textAlignment w:val="baseline"/>
              <w:rPr>
                <w:rFonts w:hint="eastAsia" w:ascii="宋体" w:hAnsi="宋体" w:eastAsia="宋体" w:cs="宋体"/>
                <w:snapToGrid w:val="0"/>
                <w:color w:val="auto"/>
                <w:kern w:val="0"/>
                <w:sz w:val="24"/>
                <w:szCs w:val="24"/>
                <w:highlight w:val="none"/>
              </w:rPr>
            </w:pPr>
          </w:p>
          <w:p w14:paraId="72394DE7">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31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sz w:val="24"/>
                <w:szCs w:val="24"/>
                <w:highlight w:val="none"/>
              </w:rPr>
              <w:t>1</w:t>
            </w:r>
            <w:r>
              <w:rPr>
                <w:rFonts w:hint="eastAsia" w:ascii="宋体" w:hAnsi="宋体" w:eastAsia="宋体" w:cs="宋体"/>
                <w:snapToGrid w:val="0"/>
                <w:color w:val="auto"/>
                <w:spacing w:val="-14"/>
                <w:kern w:val="0"/>
                <w:sz w:val="24"/>
                <w:szCs w:val="24"/>
                <w:highlight w:val="none"/>
              </w:rPr>
              <w:t>4</w:t>
            </w:r>
          </w:p>
        </w:tc>
        <w:tc>
          <w:tcPr>
            <w:tcW w:w="1324" w:type="dxa"/>
            <w:gridSpan w:val="2"/>
            <w:noWrap/>
          </w:tcPr>
          <w:p w14:paraId="1B6E9028">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7B9CFE1B">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50CD5F1F">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71C71847">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7DFB4AD5">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2C72D513">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4C6511F1">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5C6E34CC">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0AEC65AE">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2A058972">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3176ADF6">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30FC7E26">
            <w:pPr>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baseline"/>
              <w:rPr>
                <w:rFonts w:hint="eastAsia" w:ascii="宋体" w:hAnsi="宋体" w:eastAsia="宋体" w:cs="宋体"/>
                <w:snapToGrid w:val="0"/>
                <w:color w:val="auto"/>
                <w:kern w:val="0"/>
                <w:sz w:val="24"/>
                <w:szCs w:val="24"/>
                <w:highlight w:val="none"/>
              </w:rPr>
            </w:pPr>
          </w:p>
          <w:p w14:paraId="61805217">
            <w:pPr>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baseline"/>
              <w:rPr>
                <w:rFonts w:hint="eastAsia" w:ascii="宋体" w:hAnsi="宋体" w:eastAsia="宋体" w:cs="宋体"/>
                <w:snapToGrid w:val="0"/>
                <w:color w:val="auto"/>
                <w:kern w:val="0"/>
                <w:sz w:val="24"/>
                <w:szCs w:val="24"/>
                <w:highlight w:val="none"/>
              </w:rPr>
            </w:pPr>
          </w:p>
          <w:p w14:paraId="12DA37D7">
            <w:pPr>
              <w:keepNext w:val="0"/>
              <w:keepLines w:val="0"/>
              <w:pageBreakBefore w:val="0"/>
              <w:widowControl w:val="0"/>
              <w:kinsoku w:val="0"/>
              <w:wordWrap/>
              <w:overflowPunct/>
              <w:topLinePunct w:val="0"/>
              <w:autoSpaceDE w:val="0"/>
              <w:autoSpaceDN w:val="0"/>
              <w:bidi w:val="0"/>
              <w:adjustRightInd w:val="0"/>
              <w:snapToGrid w:val="0"/>
              <w:spacing w:line="247" w:lineRule="auto"/>
              <w:jc w:val="left"/>
              <w:textAlignment w:val="baseline"/>
              <w:rPr>
                <w:rFonts w:hint="eastAsia" w:ascii="宋体" w:hAnsi="宋体" w:eastAsia="宋体" w:cs="宋体"/>
                <w:snapToGrid w:val="0"/>
                <w:color w:val="auto"/>
                <w:kern w:val="0"/>
                <w:sz w:val="24"/>
                <w:szCs w:val="24"/>
                <w:highlight w:val="none"/>
              </w:rPr>
            </w:pPr>
          </w:p>
          <w:p w14:paraId="18409D0B">
            <w:pPr>
              <w:keepNext w:val="0"/>
              <w:keepLines w:val="0"/>
              <w:pageBreakBefore w:val="0"/>
              <w:widowControl w:val="0"/>
              <w:kinsoku w:val="0"/>
              <w:wordWrap/>
              <w:overflowPunct/>
              <w:topLinePunct w:val="0"/>
              <w:autoSpaceDE w:val="0"/>
              <w:autoSpaceDN w:val="0"/>
              <w:bidi w:val="0"/>
              <w:adjustRightInd w:val="0"/>
              <w:snapToGrid w:val="0"/>
              <w:spacing w:before="90"/>
              <w:ind w:left="137" w:right="133" w:firstLine="2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8"/>
                <w:kern w:val="0"/>
                <w:sz w:val="24"/>
                <w:szCs w:val="24"/>
                <w:highlight w:val="none"/>
              </w:rPr>
              <w:t>电</w:t>
            </w:r>
            <w:r>
              <w:rPr>
                <w:rFonts w:hint="eastAsia" w:ascii="宋体" w:hAnsi="宋体" w:eastAsia="宋体" w:cs="宋体"/>
                <w:snapToGrid w:val="0"/>
                <w:color w:val="auto"/>
                <w:spacing w:val="-5"/>
                <w:kern w:val="0"/>
                <w:sz w:val="24"/>
                <w:szCs w:val="24"/>
                <w:highlight w:val="none"/>
              </w:rPr>
              <w:t>子响应文</w:t>
            </w:r>
            <w:r>
              <w:rPr>
                <w:rFonts w:hint="eastAsia" w:ascii="宋体" w:hAnsi="宋体" w:eastAsia="宋体" w:cs="宋体"/>
                <w:snapToGrid w:val="0"/>
                <w:color w:val="auto"/>
                <w:spacing w:val="-1"/>
                <w:kern w:val="0"/>
                <w:sz w:val="24"/>
                <w:szCs w:val="24"/>
                <w:highlight w:val="none"/>
              </w:rPr>
              <w:t>件的制</w:t>
            </w:r>
            <w:r>
              <w:rPr>
                <w:rFonts w:hint="eastAsia" w:ascii="宋体" w:hAnsi="宋体" w:eastAsia="宋体" w:cs="宋体"/>
                <w:snapToGrid w:val="0"/>
                <w:color w:val="auto"/>
                <w:kern w:val="0"/>
                <w:sz w:val="24"/>
                <w:szCs w:val="24"/>
                <w:highlight w:val="none"/>
              </w:rPr>
              <w:t>作、</w:t>
            </w:r>
            <w:r>
              <w:rPr>
                <w:rFonts w:hint="eastAsia" w:ascii="宋体" w:hAnsi="宋体" w:eastAsia="宋体" w:cs="宋体"/>
                <w:snapToGrid w:val="0"/>
                <w:color w:val="auto"/>
                <w:spacing w:val="-2"/>
                <w:kern w:val="0"/>
                <w:sz w:val="24"/>
                <w:szCs w:val="24"/>
                <w:highlight w:val="none"/>
              </w:rPr>
              <w:t>加</w:t>
            </w:r>
            <w:r>
              <w:rPr>
                <w:rFonts w:hint="eastAsia" w:ascii="宋体" w:hAnsi="宋体" w:eastAsia="宋体" w:cs="宋体"/>
                <w:snapToGrid w:val="0"/>
                <w:color w:val="auto"/>
                <w:spacing w:val="-1"/>
                <w:kern w:val="0"/>
                <w:sz w:val="24"/>
                <w:szCs w:val="24"/>
                <w:highlight w:val="none"/>
              </w:rPr>
              <w:t>密</w:t>
            </w:r>
          </w:p>
        </w:tc>
        <w:tc>
          <w:tcPr>
            <w:tcW w:w="6587" w:type="dxa"/>
            <w:noWrap/>
          </w:tcPr>
          <w:p w14:paraId="01D5659F">
            <w:pPr>
              <w:keepNext w:val="0"/>
              <w:keepLines w:val="0"/>
              <w:pageBreakBefore w:val="0"/>
              <w:widowControl w:val="0"/>
              <w:kinsoku w:val="0"/>
              <w:wordWrap/>
              <w:overflowPunct/>
              <w:topLinePunct w:val="0"/>
              <w:autoSpaceDE w:val="0"/>
              <w:autoSpaceDN w:val="0"/>
              <w:bidi w:val="0"/>
              <w:adjustRightInd w:val="0"/>
              <w:snapToGrid w:val="0"/>
              <w:spacing w:before="126" w:line="231" w:lineRule="auto"/>
              <w:ind w:left="113" w:right="124" w:firstLine="12"/>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1、 服务商制作电子响应文件前，应登陆“</w:t>
            </w:r>
            <w:r>
              <w:rPr>
                <w:rFonts w:hint="eastAsia" w:ascii="宋体" w:hAnsi="宋体" w:eastAsia="宋体" w:cs="宋体"/>
                <w:snapToGrid w:val="0"/>
                <w:color w:val="auto"/>
                <w:kern w:val="0"/>
                <w:sz w:val="24"/>
                <w:szCs w:val="24"/>
                <w:highlight w:val="none"/>
              </w:rPr>
              <w:t>广西政府采购云平台</w:t>
            </w:r>
            <w:r>
              <w:rPr>
                <w:rFonts w:hint="eastAsia" w:ascii="宋体" w:hAnsi="宋体" w:eastAsia="宋体" w:cs="宋体"/>
                <w:snapToGrid w:val="0"/>
                <w:color w:val="auto"/>
                <w:spacing w:val="-1"/>
                <w:kern w:val="0"/>
                <w:sz w:val="24"/>
                <w:szCs w:val="24"/>
                <w:highlight w:val="none"/>
              </w:rPr>
              <w:t>”进行“</w:t>
            </w:r>
            <w:r>
              <w:rPr>
                <w:rFonts w:hint="eastAsia" w:ascii="宋体" w:hAnsi="宋体" w:eastAsia="宋体" w:cs="宋体"/>
                <w:snapToGrid w:val="0"/>
                <w:color w:val="auto"/>
                <w:kern w:val="0"/>
                <w:sz w:val="24"/>
                <w:szCs w:val="24"/>
                <w:highlight w:val="none"/>
              </w:rPr>
              <w:t xml:space="preserve">申请 </w:t>
            </w:r>
            <w:r>
              <w:rPr>
                <w:rFonts w:hint="eastAsia" w:ascii="宋体" w:hAnsi="宋体" w:eastAsia="宋体" w:cs="宋体"/>
                <w:snapToGrid w:val="0"/>
                <w:color w:val="auto"/>
                <w:spacing w:val="-1"/>
                <w:kern w:val="0"/>
                <w:sz w:val="24"/>
                <w:szCs w:val="24"/>
                <w:highlight w:val="none"/>
              </w:rPr>
              <w:t>获取采购文件”操作，</w:t>
            </w:r>
            <w:r>
              <w:rPr>
                <w:rFonts w:hint="eastAsia" w:ascii="宋体" w:hAnsi="宋体" w:eastAsia="宋体" w:cs="宋体"/>
                <w:snapToGrid w:val="0"/>
                <w:color w:val="auto"/>
                <w:kern w:val="0"/>
                <w:sz w:val="24"/>
                <w:szCs w:val="24"/>
                <w:highlight w:val="none"/>
              </w:rPr>
              <w:t>否则，有可能导致无法在线编制响应文件并参</w:t>
            </w:r>
            <w:r>
              <w:rPr>
                <w:rFonts w:hint="eastAsia" w:ascii="宋体" w:hAnsi="宋体" w:eastAsia="宋体" w:cs="宋体"/>
                <w:snapToGrid w:val="0"/>
                <w:color w:val="auto"/>
                <w:spacing w:val="-1"/>
                <w:kern w:val="0"/>
                <w:sz w:val="24"/>
                <w:szCs w:val="24"/>
                <w:highlight w:val="none"/>
              </w:rPr>
              <w:t>与磋商，其不</w:t>
            </w:r>
            <w:r>
              <w:rPr>
                <w:rFonts w:hint="eastAsia" w:ascii="宋体" w:hAnsi="宋体" w:eastAsia="宋体" w:cs="宋体"/>
                <w:snapToGrid w:val="0"/>
                <w:color w:val="auto"/>
                <w:kern w:val="0"/>
                <w:sz w:val="24"/>
                <w:szCs w:val="24"/>
                <w:highlight w:val="none"/>
              </w:rPr>
              <w:t>利后果由服务商自行承担。</w:t>
            </w:r>
          </w:p>
          <w:p w14:paraId="72A84832">
            <w:pPr>
              <w:keepNext w:val="0"/>
              <w:keepLines w:val="0"/>
              <w:pageBreakBefore w:val="0"/>
              <w:widowControl w:val="0"/>
              <w:kinsoku w:val="0"/>
              <w:wordWrap/>
              <w:overflowPunct/>
              <w:topLinePunct w:val="0"/>
              <w:autoSpaceDE w:val="0"/>
              <w:autoSpaceDN w:val="0"/>
              <w:bidi w:val="0"/>
              <w:adjustRightInd w:val="0"/>
              <w:snapToGrid w:val="0"/>
              <w:spacing w:before="100" w:line="231" w:lineRule="auto"/>
              <w:ind w:left="109" w:right="72" w:firstLine="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2、 服务商下载或获取竞争性磋商文件后，登录“</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spacing w:val="-1"/>
                <w:kern w:val="0"/>
                <w:sz w:val="24"/>
                <w:szCs w:val="24"/>
                <w:highlight w:val="none"/>
              </w:rPr>
              <w:t>电子投</w:t>
            </w:r>
            <w:r>
              <w:rPr>
                <w:rFonts w:hint="eastAsia" w:ascii="宋体" w:hAnsi="宋体" w:eastAsia="宋体" w:cs="宋体"/>
                <w:snapToGrid w:val="0"/>
                <w:color w:val="auto"/>
                <w:kern w:val="0"/>
                <w:sz w:val="24"/>
                <w:szCs w:val="24"/>
                <w:highlight w:val="none"/>
              </w:rPr>
              <w:t>标客</w:t>
            </w:r>
            <w:r>
              <w:rPr>
                <w:rFonts w:hint="eastAsia" w:ascii="宋体" w:hAnsi="宋体" w:eastAsia="宋体" w:cs="宋体"/>
                <w:snapToGrid w:val="0"/>
                <w:color w:val="auto"/>
                <w:spacing w:val="2"/>
                <w:kern w:val="0"/>
                <w:sz w:val="24"/>
                <w:szCs w:val="24"/>
                <w:highlight w:val="none"/>
              </w:rPr>
              <w:t>户端” ，按</w:t>
            </w:r>
            <w:r>
              <w:rPr>
                <w:rFonts w:hint="eastAsia" w:ascii="宋体" w:hAnsi="宋体" w:eastAsia="宋体" w:cs="宋体"/>
                <w:snapToGrid w:val="0"/>
                <w:color w:val="auto"/>
                <w:spacing w:val="1"/>
                <w:kern w:val="0"/>
                <w:sz w:val="24"/>
                <w:szCs w:val="24"/>
                <w:highlight w:val="none"/>
              </w:rPr>
              <w:t>照本磋商文件规定的响应文件格式、顺序以及“</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spacing w:val="1"/>
                <w:kern w:val="0"/>
                <w:sz w:val="24"/>
                <w:szCs w:val="24"/>
                <w:highlight w:val="none"/>
              </w:rPr>
              <w:t>”</w:t>
            </w:r>
            <w:r>
              <w:rPr>
                <w:rFonts w:hint="eastAsia" w:ascii="宋体" w:hAnsi="宋体" w:eastAsia="宋体" w:cs="宋体"/>
                <w:snapToGrid w:val="0"/>
                <w:color w:val="auto"/>
                <w:spacing w:val="-1"/>
                <w:kern w:val="0"/>
                <w:sz w:val="24"/>
                <w:szCs w:val="24"/>
                <w:highlight w:val="none"/>
              </w:rPr>
              <w:t>的</w:t>
            </w:r>
            <w:r>
              <w:rPr>
                <w:rFonts w:hint="eastAsia" w:ascii="宋体" w:hAnsi="宋体" w:eastAsia="宋体" w:cs="宋体"/>
                <w:snapToGrid w:val="0"/>
                <w:color w:val="auto"/>
                <w:kern w:val="0"/>
                <w:sz w:val="24"/>
                <w:szCs w:val="24"/>
                <w:highlight w:val="none"/>
              </w:rPr>
              <w:t>要求，通过“</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kern w:val="0"/>
                <w:sz w:val="24"/>
                <w:szCs w:val="24"/>
                <w:highlight w:val="none"/>
              </w:rPr>
              <w:t>电子投标客户端”编制电子响应文件。</w:t>
            </w:r>
          </w:p>
          <w:p w14:paraId="3CE6924A">
            <w:pPr>
              <w:keepNext w:val="0"/>
              <w:keepLines w:val="0"/>
              <w:pageBreakBefore w:val="0"/>
              <w:widowControl w:val="0"/>
              <w:kinsoku w:val="0"/>
              <w:wordWrap/>
              <w:overflowPunct/>
              <w:topLinePunct w:val="0"/>
              <w:autoSpaceDE w:val="0"/>
              <w:autoSpaceDN w:val="0"/>
              <w:bidi w:val="0"/>
              <w:adjustRightInd w:val="0"/>
              <w:snapToGrid w:val="0"/>
              <w:spacing w:before="99" w:line="242" w:lineRule="auto"/>
              <w:ind w:left="111" w:right="124" w:firstLine="1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3、 若竞争性磋商文件中有专门标注的某关联点，并要求服务商</w:t>
            </w:r>
            <w:r>
              <w:rPr>
                <w:rFonts w:hint="eastAsia" w:ascii="宋体" w:hAnsi="宋体" w:eastAsia="宋体" w:cs="宋体"/>
                <w:snapToGrid w:val="0"/>
                <w:color w:val="auto"/>
                <w:kern w:val="0"/>
                <w:sz w:val="24"/>
                <w:szCs w:val="24"/>
                <w:highlight w:val="none"/>
              </w:rPr>
              <w:t>在电</w:t>
            </w:r>
            <w:r>
              <w:rPr>
                <w:rFonts w:hint="eastAsia" w:ascii="宋体" w:hAnsi="宋体" w:eastAsia="宋体" w:cs="宋体"/>
                <w:snapToGrid w:val="0"/>
                <w:color w:val="auto"/>
                <w:spacing w:val="-7"/>
                <w:kern w:val="0"/>
                <w:sz w:val="24"/>
                <w:szCs w:val="24"/>
                <w:highlight w:val="none"/>
              </w:rPr>
              <w:t>子</w:t>
            </w:r>
            <w:r>
              <w:rPr>
                <w:rFonts w:hint="eastAsia" w:ascii="宋体" w:hAnsi="宋体" w:eastAsia="宋体" w:cs="宋体"/>
                <w:snapToGrid w:val="0"/>
                <w:color w:val="auto"/>
                <w:spacing w:val="-4"/>
                <w:kern w:val="0"/>
                <w:sz w:val="24"/>
                <w:szCs w:val="24"/>
                <w:highlight w:val="none"/>
              </w:rPr>
              <w:t>投标系统中作出响应的，服务商应进行响应并关联定位，以便评审</w:t>
            </w:r>
            <w:r>
              <w:rPr>
                <w:rFonts w:hint="eastAsia" w:ascii="宋体" w:hAnsi="宋体" w:eastAsia="宋体" w:cs="宋体"/>
                <w:snapToGrid w:val="0"/>
                <w:color w:val="auto"/>
                <w:spacing w:val="-8"/>
                <w:kern w:val="0"/>
                <w:sz w:val="24"/>
                <w:szCs w:val="24"/>
                <w:highlight w:val="none"/>
              </w:rPr>
              <w:t>小</w:t>
            </w:r>
            <w:r>
              <w:rPr>
                <w:rFonts w:hint="eastAsia" w:ascii="宋体" w:hAnsi="宋体" w:eastAsia="宋体" w:cs="宋体"/>
                <w:snapToGrid w:val="0"/>
                <w:color w:val="auto"/>
                <w:spacing w:val="-4"/>
                <w:kern w:val="0"/>
                <w:sz w:val="24"/>
                <w:szCs w:val="24"/>
                <w:highlight w:val="none"/>
              </w:rPr>
              <w:t>组在评审时点击评分项可直接定位到该评分项内容；如对竞争性磋</w:t>
            </w:r>
            <w:r>
              <w:rPr>
                <w:rFonts w:hint="eastAsia" w:ascii="宋体" w:hAnsi="宋体" w:eastAsia="宋体" w:cs="宋体"/>
                <w:snapToGrid w:val="0"/>
                <w:color w:val="auto"/>
                <w:spacing w:val="-1"/>
                <w:kern w:val="0"/>
                <w:sz w:val="24"/>
                <w:szCs w:val="24"/>
                <w:highlight w:val="none"/>
              </w:rPr>
              <w:t>商文件的某项要</w:t>
            </w:r>
            <w:r>
              <w:rPr>
                <w:rFonts w:hint="eastAsia" w:ascii="宋体" w:hAnsi="宋体" w:eastAsia="宋体" w:cs="宋体"/>
                <w:snapToGrid w:val="0"/>
                <w:color w:val="auto"/>
                <w:kern w:val="0"/>
                <w:sz w:val="24"/>
                <w:szCs w:val="24"/>
                <w:highlight w:val="none"/>
              </w:rPr>
              <w:t>求，服务商的电子响应文件未能关联定位提供相应的</w:t>
            </w:r>
            <w:r>
              <w:rPr>
                <w:rFonts w:hint="eastAsia" w:ascii="宋体" w:hAnsi="宋体" w:eastAsia="宋体" w:cs="宋体"/>
                <w:snapToGrid w:val="0"/>
                <w:color w:val="auto"/>
                <w:spacing w:val="-1"/>
                <w:kern w:val="0"/>
                <w:sz w:val="24"/>
                <w:szCs w:val="24"/>
                <w:highlight w:val="none"/>
              </w:rPr>
              <w:t>内容与其对应，</w:t>
            </w:r>
            <w:r>
              <w:rPr>
                <w:rFonts w:hint="eastAsia" w:ascii="宋体" w:hAnsi="宋体" w:eastAsia="宋体" w:cs="宋体"/>
                <w:snapToGrid w:val="0"/>
                <w:color w:val="auto"/>
                <w:kern w:val="0"/>
                <w:sz w:val="24"/>
                <w:szCs w:val="24"/>
                <w:highlight w:val="none"/>
              </w:rPr>
              <w:t>或者在响应文件其它内容中进行描述，导致磋商小组</w:t>
            </w:r>
            <w:r>
              <w:rPr>
                <w:rFonts w:hint="eastAsia" w:ascii="宋体" w:hAnsi="宋体" w:eastAsia="宋体" w:cs="宋体"/>
                <w:snapToGrid w:val="0"/>
                <w:color w:val="auto"/>
                <w:spacing w:val="-1"/>
                <w:kern w:val="0"/>
                <w:sz w:val="24"/>
                <w:szCs w:val="24"/>
                <w:highlight w:val="none"/>
              </w:rPr>
              <w:t>无法查询，做出对</w:t>
            </w:r>
            <w:r>
              <w:rPr>
                <w:rFonts w:hint="eastAsia" w:ascii="宋体" w:hAnsi="宋体" w:eastAsia="宋体" w:cs="宋体"/>
                <w:snapToGrid w:val="0"/>
                <w:color w:val="auto"/>
                <w:kern w:val="0"/>
                <w:sz w:val="24"/>
                <w:szCs w:val="24"/>
                <w:highlight w:val="none"/>
              </w:rPr>
              <w:t>服务商不利的评审，相关后果由服务商自行承担。</w:t>
            </w:r>
          </w:p>
          <w:p w14:paraId="7486EF7B">
            <w:pPr>
              <w:keepNext w:val="0"/>
              <w:keepLines w:val="0"/>
              <w:pageBreakBefore w:val="0"/>
              <w:widowControl w:val="0"/>
              <w:kinsoku w:val="0"/>
              <w:wordWrap/>
              <w:overflowPunct/>
              <w:topLinePunct w:val="0"/>
              <w:autoSpaceDE w:val="0"/>
              <w:autoSpaceDN w:val="0"/>
              <w:bidi w:val="0"/>
              <w:adjustRightInd w:val="0"/>
              <w:snapToGrid w:val="0"/>
              <w:spacing w:before="95" w:line="244" w:lineRule="auto"/>
              <w:ind w:left="109" w:right="102" w:firstLine="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4、 电子响应文件不</w:t>
            </w:r>
            <w:r>
              <w:rPr>
                <w:rFonts w:hint="eastAsia" w:ascii="宋体" w:hAnsi="宋体" w:eastAsia="宋体" w:cs="宋体"/>
                <w:snapToGrid w:val="0"/>
                <w:color w:val="auto"/>
                <w:spacing w:val="1"/>
                <w:kern w:val="0"/>
                <w:sz w:val="24"/>
                <w:szCs w:val="24"/>
                <w:highlight w:val="none"/>
              </w:rPr>
              <w:t>得涂改，若有修改错漏处，须由法定代表人 (负</w:t>
            </w:r>
            <w:r>
              <w:rPr>
                <w:rFonts w:hint="eastAsia" w:ascii="宋体" w:hAnsi="宋体" w:eastAsia="宋体" w:cs="宋体"/>
                <w:snapToGrid w:val="0"/>
                <w:color w:val="auto"/>
                <w:spacing w:val="-6"/>
                <w:kern w:val="0"/>
                <w:sz w:val="24"/>
                <w:szCs w:val="24"/>
                <w:highlight w:val="none"/>
              </w:rPr>
              <w:t>责人、</w:t>
            </w:r>
            <w:r>
              <w:rPr>
                <w:rFonts w:hint="eastAsia" w:ascii="宋体" w:hAnsi="宋体" w:eastAsia="宋体" w:cs="宋体"/>
                <w:snapToGrid w:val="0"/>
                <w:color w:val="auto"/>
                <w:spacing w:val="-3"/>
                <w:kern w:val="0"/>
                <w:sz w:val="24"/>
                <w:szCs w:val="24"/>
                <w:highlight w:val="none"/>
              </w:rPr>
              <w:t>自然人) 或授权委托代理人通过“</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spacing w:val="-3"/>
                <w:kern w:val="0"/>
                <w:sz w:val="24"/>
                <w:szCs w:val="24"/>
                <w:highlight w:val="none"/>
              </w:rPr>
              <w:t>电子投标客户端”采</w:t>
            </w:r>
            <w:r>
              <w:rPr>
                <w:rFonts w:hint="eastAsia" w:ascii="宋体" w:hAnsi="宋体" w:eastAsia="宋体" w:cs="宋体"/>
                <w:snapToGrid w:val="0"/>
                <w:color w:val="auto"/>
                <w:spacing w:val="-10"/>
                <w:kern w:val="0"/>
                <w:sz w:val="24"/>
                <w:szCs w:val="24"/>
                <w:highlight w:val="none"/>
              </w:rPr>
              <w:t>用</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spacing w:val="-10"/>
                <w:kern w:val="0"/>
                <w:sz w:val="24"/>
                <w:szCs w:val="24"/>
                <w:highlight w:val="none"/>
              </w:rPr>
              <w:t>个</w:t>
            </w:r>
            <w:r>
              <w:rPr>
                <w:rFonts w:hint="eastAsia" w:ascii="宋体" w:hAnsi="宋体" w:eastAsia="宋体" w:cs="宋体"/>
                <w:snapToGrid w:val="0"/>
                <w:color w:val="auto"/>
                <w:spacing w:val="-6"/>
                <w:kern w:val="0"/>
                <w:sz w:val="24"/>
                <w:szCs w:val="24"/>
                <w:highlight w:val="none"/>
              </w:rPr>
              <w:t>人</w:t>
            </w:r>
            <w:r>
              <w:rPr>
                <w:rFonts w:hint="eastAsia" w:ascii="宋体" w:hAnsi="宋体" w:eastAsia="宋体" w:cs="宋体"/>
                <w:snapToGrid w:val="0"/>
                <w:color w:val="auto"/>
                <w:spacing w:val="-5"/>
                <w:kern w:val="0"/>
                <w:sz w:val="24"/>
                <w:szCs w:val="24"/>
                <w:highlight w:val="none"/>
              </w:rPr>
              <w:t xml:space="preserve"> CA 证书签章，没有办理</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spacing w:val="-5"/>
                <w:kern w:val="0"/>
                <w:sz w:val="24"/>
                <w:szCs w:val="24"/>
                <w:highlight w:val="none"/>
              </w:rPr>
              <w:t>个人 CA 证书签章的，在</w:t>
            </w:r>
            <w:r>
              <w:rPr>
                <w:rFonts w:hint="eastAsia" w:ascii="宋体" w:hAnsi="宋体" w:eastAsia="宋体" w:cs="宋体"/>
                <w:snapToGrid w:val="0"/>
                <w:color w:val="auto"/>
                <w:spacing w:val="-3"/>
                <w:kern w:val="0"/>
                <w:sz w:val="24"/>
                <w:szCs w:val="24"/>
                <w:highlight w:val="none"/>
              </w:rPr>
              <w:t>响应文件中响应位置手写签字后扫描或者拍照做成 P</w:t>
            </w:r>
            <w:r>
              <w:rPr>
                <w:rFonts w:hint="eastAsia" w:ascii="宋体" w:hAnsi="宋体" w:eastAsia="宋体" w:cs="宋体"/>
                <w:snapToGrid w:val="0"/>
                <w:color w:val="auto"/>
                <w:spacing w:val="-1"/>
                <w:kern w:val="0"/>
                <w:sz w:val="24"/>
                <w:szCs w:val="24"/>
                <w:highlight w:val="none"/>
              </w:rPr>
              <w:t>D</w:t>
            </w:r>
            <w:r>
              <w:rPr>
                <w:rFonts w:hint="eastAsia" w:ascii="宋体" w:hAnsi="宋体" w:eastAsia="宋体" w:cs="宋体"/>
                <w:snapToGrid w:val="0"/>
                <w:color w:val="auto"/>
                <w:kern w:val="0"/>
                <w:sz w:val="24"/>
                <w:szCs w:val="24"/>
                <w:highlight w:val="none"/>
              </w:rPr>
              <w:t>F</w:t>
            </w:r>
            <w:r>
              <w:rPr>
                <w:rFonts w:hint="eastAsia" w:ascii="宋体" w:hAnsi="宋体" w:eastAsia="宋体" w:cs="宋体"/>
                <w:snapToGrid w:val="0"/>
                <w:color w:val="auto"/>
                <w:spacing w:val="-3"/>
                <w:kern w:val="0"/>
                <w:sz w:val="24"/>
                <w:szCs w:val="24"/>
                <w:highlight w:val="none"/>
              </w:rPr>
              <w:t>的格式上传。</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6"/>
                <w:kern w:val="0"/>
                <w:sz w:val="24"/>
                <w:szCs w:val="24"/>
                <w:highlight w:val="none"/>
              </w:rPr>
              <w:t>因</w:t>
            </w:r>
            <w:r>
              <w:rPr>
                <w:rFonts w:hint="eastAsia" w:ascii="宋体" w:hAnsi="宋体" w:eastAsia="宋体" w:cs="宋体"/>
                <w:snapToGrid w:val="0"/>
                <w:color w:val="auto"/>
                <w:spacing w:val="-4"/>
                <w:kern w:val="0"/>
                <w:sz w:val="24"/>
                <w:szCs w:val="24"/>
                <w:highlight w:val="none"/>
              </w:rPr>
              <w:t>响应文件字迹潦草、表达不清、 内容不完整、编排混乱导致响应文</w:t>
            </w:r>
            <w:r>
              <w:rPr>
                <w:rFonts w:hint="eastAsia" w:ascii="宋体" w:hAnsi="宋体" w:eastAsia="宋体" w:cs="宋体"/>
                <w:snapToGrid w:val="0"/>
                <w:color w:val="auto"/>
                <w:spacing w:val="-1"/>
                <w:kern w:val="0"/>
                <w:sz w:val="24"/>
                <w:szCs w:val="24"/>
                <w:highlight w:val="none"/>
              </w:rPr>
              <w:t>件被误读、</w:t>
            </w:r>
            <w:r>
              <w:rPr>
                <w:rFonts w:hint="eastAsia" w:ascii="宋体" w:hAnsi="宋体" w:eastAsia="宋体" w:cs="宋体"/>
                <w:snapToGrid w:val="0"/>
                <w:color w:val="auto"/>
                <w:kern w:val="0"/>
                <w:sz w:val="24"/>
                <w:szCs w:val="24"/>
                <w:highlight w:val="none"/>
              </w:rPr>
              <w:t>漏读，或者在按竞争性磋商文件规定的部位查找不到相关</w:t>
            </w:r>
            <w:r>
              <w:rPr>
                <w:rFonts w:hint="eastAsia" w:ascii="宋体" w:hAnsi="宋体" w:eastAsia="宋体" w:cs="宋体"/>
                <w:snapToGrid w:val="0"/>
                <w:color w:val="auto"/>
                <w:spacing w:val="-1"/>
                <w:kern w:val="0"/>
                <w:sz w:val="24"/>
                <w:szCs w:val="24"/>
                <w:highlight w:val="none"/>
              </w:rPr>
              <w:t>内容</w:t>
            </w:r>
            <w:r>
              <w:rPr>
                <w:rFonts w:hint="eastAsia" w:ascii="宋体" w:hAnsi="宋体" w:eastAsia="宋体" w:cs="宋体"/>
                <w:snapToGrid w:val="0"/>
                <w:color w:val="auto"/>
                <w:kern w:val="0"/>
                <w:sz w:val="24"/>
                <w:szCs w:val="24"/>
                <w:highlight w:val="none"/>
              </w:rPr>
              <w:t>的，其不利后果由服务商自行承担。</w:t>
            </w:r>
          </w:p>
          <w:p w14:paraId="779E3046">
            <w:pPr>
              <w:keepNext w:val="0"/>
              <w:keepLines w:val="0"/>
              <w:pageBreakBefore w:val="0"/>
              <w:widowControl w:val="0"/>
              <w:kinsoku w:val="0"/>
              <w:wordWrap/>
              <w:overflowPunct/>
              <w:topLinePunct w:val="0"/>
              <w:autoSpaceDE w:val="0"/>
              <w:autoSpaceDN w:val="0"/>
              <w:bidi w:val="0"/>
              <w:adjustRightInd w:val="0"/>
              <w:snapToGrid w:val="0"/>
              <w:spacing w:before="100" w:line="212" w:lineRule="auto"/>
              <w:ind w:left="112" w:right="124" w:firstLine="1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5、服务商编制、生</w:t>
            </w:r>
            <w:r>
              <w:rPr>
                <w:rFonts w:hint="eastAsia" w:ascii="宋体" w:hAnsi="宋体" w:eastAsia="宋体" w:cs="宋体"/>
                <w:snapToGrid w:val="0"/>
                <w:color w:val="auto"/>
                <w:spacing w:val="-3"/>
                <w:kern w:val="0"/>
                <w:sz w:val="24"/>
                <w:szCs w:val="24"/>
                <w:highlight w:val="none"/>
              </w:rPr>
              <w:t>成</w:t>
            </w:r>
            <w:r>
              <w:rPr>
                <w:rFonts w:hint="eastAsia" w:ascii="宋体" w:hAnsi="宋体" w:eastAsia="宋体" w:cs="宋体"/>
                <w:snapToGrid w:val="0"/>
                <w:color w:val="auto"/>
                <w:spacing w:val="-2"/>
                <w:kern w:val="0"/>
                <w:sz w:val="24"/>
                <w:szCs w:val="24"/>
                <w:highlight w:val="none"/>
              </w:rPr>
              <w:t>电子响应文件后应当加密响应文件 。服务商未</w:t>
            </w:r>
            <w:r>
              <w:rPr>
                <w:rFonts w:hint="eastAsia" w:ascii="宋体" w:hAnsi="宋体" w:eastAsia="宋体" w:cs="宋体"/>
                <w:snapToGrid w:val="0"/>
                <w:color w:val="auto"/>
                <w:spacing w:val="-1"/>
                <w:kern w:val="0"/>
                <w:sz w:val="24"/>
                <w:szCs w:val="24"/>
                <w:highlight w:val="none"/>
              </w:rPr>
              <w:t>按规定编制并加密</w:t>
            </w:r>
            <w:r>
              <w:rPr>
                <w:rFonts w:hint="eastAsia" w:ascii="宋体" w:hAnsi="宋体" w:eastAsia="宋体" w:cs="宋体"/>
                <w:snapToGrid w:val="0"/>
                <w:color w:val="auto"/>
                <w:kern w:val="0"/>
                <w:sz w:val="24"/>
                <w:szCs w:val="24"/>
                <w:highlight w:val="none"/>
              </w:rPr>
              <w:t>的响应文件，“广西政府采购云平台”将予以拒收。</w:t>
            </w:r>
          </w:p>
        </w:tc>
      </w:tr>
      <w:tr w14:paraId="0CED4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3ACC1D41">
            <w:pPr>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baseline"/>
              <w:rPr>
                <w:rFonts w:hint="eastAsia" w:ascii="宋体" w:hAnsi="宋体" w:eastAsia="宋体" w:cs="宋体"/>
                <w:snapToGrid w:val="0"/>
                <w:color w:val="auto"/>
                <w:kern w:val="0"/>
                <w:sz w:val="24"/>
                <w:szCs w:val="24"/>
                <w:highlight w:val="none"/>
              </w:rPr>
            </w:pPr>
          </w:p>
          <w:p w14:paraId="438B2459">
            <w:pPr>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baseline"/>
              <w:rPr>
                <w:rFonts w:hint="eastAsia" w:ascii="宋体" w:hAnsi="宋体" w:eastAsia="宋体" w:cs="宋体"/>
                <w:snapToGrid w:val="0"/>
                <w:color w:val="auto"/>
                <w:kern w:val="0"/>
                <w:sz w:val="24"/>
                <w:szCs w:val="24"/>
                <w:highlight w:val="none"/>
              </w:rPr>
            </w:pPr>
          </w:p>
          <w:p w14:paraId="4BFE4D16">
            <w:pPr>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baseline"/>
              <w:rPr>
                <w:rFonts w:hint="eastAsia" w:ascii="宋体" w:hAnsi="宋体" w:eastAsia="宋体" w:cs="宋体"/>
                <w:snapToGrid w:val="0"/>
                <w:color w:val="auto"/>
                <w:kern w:val="0"/>
                <w:sz w:val="24"/>
                <w:szCs w:val="24"/>
                <w:highlight w:val="none"/>
              </w:rPr>
            </w:pPr>
          </w:p>
          <w:p w14:paraId="75E02E43">
            <w:pPr>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baseline"/>
              <w:rPr>
                <w:rFonts w:hint="eastAsia" w:ascii="宋体" w:hAnsi="宋体" w:eastAsia="宋体" w:cs="宋体"/>
                <w:snapToGrid w:val="0"/>
                <w:color w:val="auto"/>
                <w:kern w:val="0"/>
                <w:sz w:val="24"/>
                <w:szCs w:val="24"/>
                <w:highlight w:val="none"/>
              </w:rPr>
            </w:pPr>
          </w:p>
          <w:p w14:paraId="345BC869">
            <w:pPr>
              <w:keepNext w:val="0"/>
              <w:keepLines w:val="0"/>
              <w:pageBreakBefore w:val="0"/>
              <w:widowControl w:val="0"/>
              <w:kinsoku w:val="0"/>
              <w:wordWrap/>
              <w:overflowPunct/>
              <w:topLinePunct w:val="0"/>
              <w:autoSpaceDE w:val="0"/>
              <w:autoSpaceDN w:val="0"/>
              <w:bidi w:val="0"/>
              <w:adjustRightInd w:val="0"/>
              <w:snapToGrid w:val="0"/>
              <w:spacing w:line="278" w:lineRule="auto"/>
              <w:jc w:val="left"/>
              <w:textAlignment w:val="baseline"/>
              <w:rPr>
                <w:rFonts w:hint="eastAsia" w:ascii="宋体" w:hAnsi="宋体" w:eastAsia="宋体" w:cs="宋体"/>
                <w:snapToGrid w:val="0"/>
                <w:color w:val="auto"/>
                <w:kern w:val="0"/>
                <w:sz w:val="24"/>
                <w:szCs w:val="24"/>
                <w:highlight w:val="none"/>
              </w:rPr>
            </w:pPr>
          </w:p>
          <w:p w14:paraId="40243897">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35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816" w:type="dxa"/>
            <w:gridSpan w:val="2"/>
            <w:noWrap/>
          </w:tcPr>
          <w:p w14:paraId="489BC788">
            <w:pPr>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baseline"/>
              <w:rPr>
                <w:rFonts w:hint="eastAsia" w:ascii="宋体" w:hAnsi="宋体" w:eastAsia="宋体" w:cs="宋体"/>
                <w:snapToGrid w:val="0"/>
                <w:color w:val="auto"/>
                <w:kern w:val="0"/>
                <w:sz w:val="24"/>
                <w:szCs w:val="24"/>
                <w:highlight w:val="none"/>
              </w:rPr>
            </w:pPr>
          </w:p>
          <w:p w14:paraId="1B427B9C">
            <w:pPr>
              <w:keepNext w:val="0"/>
              <w:keepLines w:val="0"/>
              <w:pageBreakBefore w:val="0"/>
              <w:widowControl w:val="0"/>
              <w:kinsoku w:val="0"/>
              <w:wordWrap/>
              <w:overflowPunct/>
              <w:topLinePunct w:val="0"/>
              <w:autoSpaceDE w:val="0"/>
              <w:autoSpaceDN w:val="0"/>
              <w:bidi w:val="0"/>
              <w:adjustRightInd w:val="0"/>
              <w:snapToGrid w:val="0"/>
              <w:spacing w:line="276" w:lineRule="auto"/>
              <w:jc w:val="left"/>
              <w:textAlignment w:val="baseline"/>
              <w:rPr>
                <w:rFonts w:hint="eastAsia" w:ascii="宋体" w:hAnsi="宋体" w:eastAsia="宋体" w:cs="宋体"/>
                <w:snapToGrid w:val="0"/>
                <w:color w:val="auto"/>
                <w:kern w:val="0"/>
                <w:sz w:val="24"/>
                <w:szCs w:val="24"/>
                <w:highlight w:val="none"/>
              </w:rPr>
            </w:pPr>
          </w:p>
          <w:p w14:paraId="608CC2EC">
            <w:pPr>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baseline"/>
              <w:rPr>
                <w:rFonts w:hint="eastAsia" w:ascii="宋体" w:hAnsi="宋体" w:eastAsia="宋体" w:cs="宋体"/>
                <w:snapToGrid w:val="0"/>
                <w:color w:val="auto"/>
                <w:kern w:val="0"/>
                <w:sz w:val="24"/>
                <w:szCs w:val="24"/>
                <w:highlight w:val="none"/>
              </w:rPr>
            </w:pPr>
          </w:p>
          <w:p w14:paraId="131EBADE">
            <w:pPr>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baseline"/>
              <w:rPr>
                <w:rFonts w:hint="eastAsia" w:ascii="宋体" w:hAnsi="宋体" w:eastAsia="宋体" w:cs="宋体"/>
                <w:snapToGrid w:val="0"/>
                <w:color w:val="auto"/>
                <w:kern w:val="0"/>
                <w:sz w:val="24"/>
                <w:szCs w:val="24"/>
                <w:highlight w:val="none"/>
              </w:rPr>
            </w:pPr>
          </w:p>
          <w:p w14:paraId="1CF3960A">
            <w:pPr>
              <w:keepNext w:val="0"/>
              <w:keepLines w:val="0"/>
              <w:pageBreakBefore w:val="0"/>
              <w:widowControl w:val="0"/>
              <w:kinsoku w:val="0"/>
              <w:wordWrap/>
              <w:overflowPunct/>
              <w:topLinePunct w:val="0"/>
              <w:autoSpaceDE w:val="0"/>
              <w:autoSpaceDN w:val="0"/>
              <w:bidi w:val="0"/>
              <w:adjustRightInd w:val="0"/>
              <w:snapToGrid w:val="0"/>
              <w:spacing w:line="277" w:lineRule="auto"/>
              <w:jc w:val="left"/>
              <w:textAlignment w:val="baseline"/>
              <w:rPr>
                <w:rFonts w:hint="eastAsia" w:ascii="宋体" w:hAnsi="宋体" w:eastAsia="宋体" w:cs="宋体"/>
                <w:snapToGrid w:val="0"/>
                <w:color w:val="auto"/>
                <w:kern w:val="0"/>
                <w:sz w:val="24"/>
                <w:szCs w:val="24"/>
                <w:highlight w:val="none"/>
              </w:rPr>
            </w:pPr>
          </w:p>
          <w:p w14:paraId="47CFCABC">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2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15.1-15.2</w:t>
            </w:r>
          </w:p>
        </w:tc>
        <w:tc>
          <w:tcPr>
            <w:tcW w:w="1324" w:type="dxa"/>
            <w:gridSpan w:val="2"/>
            <w:noWrap/>
          </w:tcPr>
          <w:p w14:paraId="09A1649E">
            <w:pPr>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baseline"/>
              <w:rPr>
                <w:rFonts w:hint="eastAsia" w:ascii="宋体" w:hAnsi="宋体" w:eastAsia="宋体" w:cs="宋体"/>
                <w:snapToGrid w:val="0"/>
                <w:color w:val="auto"/>
                <w:kern w:val="0"/>
                <w:sz w:val="24"/>
                <w:szCs w:val="24"/>
                <w:highlight w:val="none"/>
              </w:rPr>
            </w:pPr>
          </w:p>
          <w:p w14:paraId="0F9DBE78">
            <w:pPr>
              <w:keepNext w:val="0"/>
              <w:keepLines w:val="0"/>
              <w:pageBreakBefore w:val="0"/>
              <w:widowControl w:val="0"/>
              <w:kinsoku w:val="0"/>
              <w:wordWrap/>
              <w:overflowPunct/>
              <w:topLinePunct w:val="0"/>
              <w:autoSpaceDE w:val="0"/>
              <w:autoSpaceDN w:val="0"/>
              <w:bidi w:val="0"/>
              <w:adjustRightInd w:val="0"/>
              <w:snapToGrid w:val="0"/>
              <w:spacing w:line="263" w:lineRule="auto"/>
              <w:jc w:val="left"/>
              <w:textAlignment w:val="baseline"/>
              <w:rPr>
                <w:rFonts w:hint="eastAsia" w:ascii="宋体" w:hAnsi="宋体" w:eastAsia="宋体" w:cs="宋体"/>
                <w:snapToGrid w:val="0"/>
                <w:color w:val="auto"/>
                <w:kern w:val="0"/>
                <w:sz w:val="24"/>
                <w:szCs w:val="24"/>
                <w:highlight w:val="none"/>
              </w:rPr>
            </w:pPr>
          </w:p>
          <w:p w14:paraId="31A0B67F">
            <w:pPr>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baseline"/>
              <w:rPr>
                <w:rFonts w:hint="eastAsia" w:ascii="宋体" w:hAnsi="宋体" w:eastAsia="宋体" w:cs="宋体"/>
                <w:snapToGrid w:val="0"/>
                <w:color w:val="auto"/>
                <w:kern w:val="0"/>
                <w:sz w:val="24"/>
                <w:szCs w:val="24"/>
                <w:highlight w:val="none"/>
              </w:rPr>
            </w:pPr>
          </w:p>
          <w:p w14:paraId="7D85E2C0">
            <w:pPr>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baseline"/>
              <w:rPr>
                <w:rFonts w:hint="eastAsia" w:ascii="宋体" w:hAnsi="宋体" w:eastAsia="宋体" w:cs="宋体"/>
                <w:snapToGrid w:val="0"/>
                <w:color w:val="auto"/>
                <w:kern w:val="0"/>
                <w:sz w:val="24"/>
                <w:szCs w:val="24"/>
                <w:highlight w:val="none"/>
              </w:rPr>
            </w:pPr>
          </w:p>
          <w:p w14:paraId="1458DDEF">
            <w:pPr>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baseline"/>
              <w:rPr>
                <w:rFonts w:hint="eastAsia" w:ascii="宋体" w:hAnsi="宋体" w:eastAsia="宋体" w:cs="宋体"/>
                <w:snapToGrid w:val="0"/>
                <w:color w:val="auto"/>
                <w:kern w:val="0"/>
                <w:sz w:val="24"/>
                <w:szCs w:val="24"/>
                <w:highlight w:val="none"/>
              </w:rPr>
            </w:pPr>
          </w:p>
          <w:p w14:paraId="3046C8CE">
            <w:pPr>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baseline"/>
              <w:rPr>
                <w:rFonts w:hint="eastAsia" w:ascii="宋体" w:hAnsi="宋体" w:eastAsia="宋体" w:cs="宋体"/>
                <w:snapToGrid w:val="0"/>
                <w:color w:val="auto"/>
                <w:kern w:val="0"/>
                <w:sz w:val="24"/>
                <w:szCs w:val="24"/>
                <w:highlight w:val="none"/>
              </w:rPr>
            </w:pPr>
          </w:p>
          <w:p w14:paraId="26925C68">
            <w:pPr>
              <w:keepNext w:val="0"/>
              <w:keepLines w:val="0"/>
              <w:pageBreakBefore w:val="0"/>
              <w:widowControl w:val="0"/>
              <w:kinsoku w:val="0"/>
              <w:wordWrap/>
              <w:overflowPunct/>
              <w:topLinePunct w:val="0"/>
              <w:autoSpaceDE w:val="0"/>
              <w:autoSpaceDN w:val="0"/>
              <w:bidi w:val="0"/>
              <w:adjustRightInd w:val="0"/>
              <w:snapToGrid w:val="0"/>
              <w:spacing w:line="264" w:lineRule="auto"/>
              <w:jc w:val="left"/>
              <w:textAlignment w:val="baseline"/>
              <w:rPr>
                <w:rFonts w:hint="eastAsia" w:ascii="宋体" w:hAnsi="宋体" w:eastAsia="宋体" w:cs="宋体"/>
                <w:snapToGrid w:val="0"/>
                <w:color w:val="auto"/>
                <w:kern w:val="0"/>
                <w:sz w:val="24"/>
                <w:szCs w:val="24"/>
                <w:highlight w:val="none"/>
              </w:rPr>
            </w:pPr>
          </w:p>
          <w:p w14:paraId="57EFC5E4">
            <w:pPr>
              <w:keepNext w:val="0"/>
              <w:keepLines w:val="0"/>
              <w:pageBreakBefore w:val="0"/>
              <w:widowControl w:val="0"/>
              <w:kinsoku w:val="0"/>
              <w:wordWrap/>
              <w:overflowPunct/>
              <w:topLinePunct w:val="0"/>
              <w:autoSpaceDE w:val="0"/>
              <w:autoSpaceDN w:val="0"/>
              <w:bidi w:val="0"/>
              <w:adjustRightInd w:val="0"/>
              <w:snapToGrid w:val="0"/>
              <w:spacing w:before="90" w:line="252" w:lineRule="auto"/>
              <w:ind w:left="137" w:right="132" w:firstLine="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首</w:t>
            </w:r>
            <w:r>
              <w:rPr>
                <w:rFonts w:hint="eastAsia" w:ascii="宋体" w:hAnsi="宋体" w:eastAsia="宋体" w:cs="宋体"/>
                <w:snapToGrid w:val="0"/>
                <w:color w:val="auto"/>
                <w:spacing w:val="-1"/>
                <w:kern w:val="0"/>
                <w:sz w:val="24"/>
                <w:szCs w:val="24"/>
                <w:highlight w:val="none"/>
              </w:rPr>
              <w:t>次响应文件的</w:t>
            </w:r>
            <w:r>
              <w:rPr>
                <w:rFonts w:hint="eastAsia" w:ascii="宋体" w:hAnsi="宋体" w:eastAsia="宋体" w:cs="宋体"/>
                <w:snapToGrid w:val="0"/>
                <w:color w:val="auto"/>
                <w:kern w:val="0"/>
                <w:sz w:val="24"/>
                <w:szCs w:val="24"/>
                <w:highlight w:val="none"/>
              </w:rPr>
              <w:t>提交、</w:t>
            </w:r>
            <w:r>
              <w:rPr>
                <w:rFonts w:hint="eastAsia" w:ascii="宋体" w:hAnsi="宋体" w:eastAsia="宋体" w:cs="宋体"/>
                <w:snapToGrid w:val="0"/>
                <w:color w:val="auto"/>
                <w:spacing w:val="-1"/>
                <w:kern w:val="0"/>
                <w:sz w:val="24"/>
                <w:szCs w:val="24"/>
                <w:highlight w:val="none"/>
              </w:rPr>
              <w:t>撤回</w:t>
            </w:r>
            <w:r>
              <w:rPr>
                <w:rFonts w:hint="eastAsia" w:ascii="宋体" w:hAnsi="宋体" w:eastAsia="宋体" w:cs="宋体"/>
                <w:snapToGrid w:val="0"/>
                <w:color w:val="auto"/>
                <w:kern w:val="0"/>
                <w:sz w:val="24"/>
                <w:szCs w:val="24"/>
                <w:highlight w:val="none"/>
              </w:rPr>
              <w:t>、修改</w:t>
            </w:r>
          </w:p>
        </w:tc>
        <w:tc>
          <w:tcPr>
            <w:tcW w:w="6587" w:type="dxa"/>
            <w:noWrap/>
          </w:tcPr>
          <w:p w14:paraId="248799F1">
            <w:pPr>
              <w:keepNext w:val="0"/>
              <w:keepLines w:val="0"/>
              <w:pageBreakBefore w:val="0"/>
              <w:widowControl w:val="0"/>
              <w:tabs>
                <w:tab w:val="left" w:pos="221"/>
              </w:tabs>
              <w:kinsoku w:val="0"/>
              <w:wordWrap/>
              <w:overflowPunct/>
              <w:topLinePunct w:val="0"/>
              <w:autoSpaceDE w:val="0"/>
              <w:autoSpaceDN w:val="0"/>
              <w:bidi w:val="0"/>
              <w:adjustRightInd w:val="0"/>
              <w:snapToGrid w:val="0"/>
              <w:spacing w:before="140" w:line="225" w:lineRule="auto"/>
              <w:ind w:left="116" w:right="105" w:firstLine="9"/>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1. 响应文件的提交截止时间：</w:t>
            </w:r>
            <w:r>
              <w:rPr>
                <w:rFonts w:hint="eastAsia" w:ascii="宋体" w:hAnsi="宋体" w:eastAsia="宋体" w:cs="宋体"/>
                <w:snapToGrid w:val="0"/>
                <w:color w:val="auto"/>
                <w:spacing w:val="-1"/>
                <w:kern w:val="0"/>
                <w:sz w:val="24"/>
                <w:szCs w:val="24"/>
                <w:highlight w:val="none"/>
                <w:u w:val="single"/>
              </w:rPr>
              <w:t>202</w:t>
            </w:r>
            <w:r>
              <w:rPr>
                <w:rFonts w:hint="eastAsia" w:ascii="宋体" w:hAnsi="宋体" w:eastAsia="宋体" w:cs="宋体"/>
                <w:snapToGrid w:val="0"/>
                <w:color w:val="auto"/>
                <w:spacing w:val="-1"/>
                <w:kern w:val="0"/>
                <w:sz w:val="24"/>
                <w:szCs w:val="24"/>
                <w:highlight w:val="none"/>
                <w:u w:val="single"/>
                <w:lang w:val="en-US" w:eastAsia="zh-CN"/>
              </w:rPr>
              <w:t>5</w:t>
            </w:r>
            <w:r>
              <w:rPr>
                <w:rFonts w:hint="eastAsia" w:ascii="宋体" w:hAnsi="宋体" w:eastAsia="宋体" w:cs="宋体"/>
                <w:snapToGrid w:val="0"/>
                <w:color w:val="auto"/>
                <w:spacing w:val="-1"/>
                <w:kern w:val="0"/>
                <w:sz w:val="24"/>
                <w:szCs w:val="24"/>
                <w:highlight w:val="none"/>
              </w:rPr>
              <w:t xml:space="preserve">年 </w:t>
            </w:r>
            <w:r>
              <w:rPr>
                <w:rFonts w:hint="eastAsia" w:ascii="宋体" w:hAnsi="宋体" w:eastAsia="宋体" w:cs="宋体"/>
                <w:snapToGrid w:val="0"/>
                <w:color w:val="auto"/>
                <w:spacing w:val="-1"/>
                <w:kern w:val="0"/>
                <w:sz w:val="24"/>
                <w:szCs w:val="24"/>
                <w:highlight w:val="none"/>
                <w:lang w:val="en-US" w:eastAsia="zh-CN"/>
              </w:rPr>
              <w:t>7</w:t>
            </w:r>
            <w:r>
              <w:rPr>
                <w:rFonts w:hint="eastAsia" w:ascii="宋体" w:hAnsi="宋体" w:eastAsia="宋体" w:cs="宋体"/>
                <w:snapToGrid w:val="0"/>
                <w:color w:val="auto"/>
                <w:spacing w:val="-1"/>
                <w:kern w:val="0"/>
                <w:sz w:val="24"/>
                <w:szCs w:val="24"/>
                <w:highlight w:val="none"/>
              </w:rPr>
              <w:t xml:space="preserve"> 月 </w:t>
            </w:r>
            <w:r>
              <w:rPr>
                <w:rFonts w:hint="eastAsia" w:ascii="宋体" w:hAnsi="宋体" w:eastAsia="宋体" w:cs="宋体"/>
                <w:snapToGrid w:val="0"/>
                <w:color w:val="auto"/>
                <w:spacing w:val="-1"/>
                <w:kern w:val="0"/>
                <w:sz w:val="24"/>
                <w:szCs w:val="24"/>
                <w:highlight w:val="none"/>
                <w:lang w:val="en-US" w:eastAsia="zh-CN"/>
              </w:rPr>
              <w:t>29</w:t>
            </w:r>
            <w:r>
              <w:rPr>
                <w:rFonts w:hint="eastAsia" w:ascii="宋体" w:hAnsi="宋体" w:eastAsia="宋体" w:cs="宋体"/>
                <w:snapToGrid w:val="0"/>
                <w:color w:val="auto"/>
                <w:spacing w:val="-1"/>
                <w:kern w:val="0"/>
                <w:sz w:val="24"/>
                <w:szCs w:val="24"/>
                <w:highlight w:val="none"/>
              </w:rPr>
              <w:t xml:space="preserve"> 日上午</w:t>
            </w:r>
            <w:r>
              <w:rPr>
                <w:rFonts w:hint="eastAsia" w:ascii="宋体" w:hAnsi="宋体" w:eastAsia="宋体" w:cs="宋体"/>
                <w:snapToGrid w:val="0"/>
                <w:color w:val="auto"/>
                <w:spacing w:val="-1"/>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9</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30 </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spacing w:val="8"/>
                <w:kern w:val="0"/>
                <w:sz w:val="24"/>
                <w:szCs w:val="24"/>
                <w:highlight w:val="none"/>
              </w:rPr>
              <w:t>(</w:t>
            </w:r>
            <w:r>
              <w:rPr>
                <w:rFonts w:hint="eastAsia" w:ascii="宋体" w:hAnsi="宋体" w:eastAsia="宋体" w:cs="宋体"/>
                <w:snapToGrid w:val="0"/>
                <w:color w:val="auto"/>
                <w:spacing w:val="7"/>
                <w:kern w:val="0"/>
                <w:sz w:val="24"/>
                <w:szCs w:val="24"/>
                <w:highlight w:val="none"/>
              </w:rPr>
              <w:t>北京时间)</w:t>
            </w:r>
          </w:p>
          <w:p w14:paraId="01296B6D">
            <w:pPr>
              <w:keepNext w:val="0"/>
              <w:keepLines w:val="0"/>
              <w:pageBreakBefore w:val="0"/>
              <w:widowControl w:val="0"/>
              <w:kinsoku w:val="0"/>
              <w:wordWrap/>
              <w:overflowPunct/>
              <w:topLinePunct w:val="0"/>
              <w:autoSpaceDE w:val="0"/>
              <w:autoSpaceDN w:val="0"/>
              <w:bidi w:val="0"/>
              <w:adjustRightInd w:val="0"/>
              <w:snapToGrid w:val="0"/>
              <w:spacing w:before="126" w:line="188" w:lineRule="auto"/>
              <w:ind w:left="12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2. 地点：通</w:t>
            </w:r>
            <w:r>
              <w:rPr>
                <w:rFonts w:hint="eastAsia" w:ascii="宋体" w:hAnsi="宋体" w:eastAsia="宋体" w:cs="宋体"/>
                <w:snapToGrid w:val="0"/>
                <w:color w:val="auto"/>
                <w:spacing w:val="-1"/>
                <w:kern w:val="0"/>
                <w:sz w:val="24"/>
                <w:szCs w:val="24"/>
                <w:highlight w:val="none"/>
              </w:rPr>
              <w:t>过“</w:t>
            </w:r>
            <w:r>
              <w:rPr>
                <w:rFonts w:hint="eastAsia" w:ascii="宋体" w:hAnsi="宋体" w:eastAsia="宋体" w:cs="宋体"/>
                <w:snapToGrid w:val="0"/>
                <w:color w:val="auto"/>
                <w:kern w:val="0"/>
                <w:sz w:val="24"/>
                <w:szCs w:val="24"/>
                <w:highlight w:val="none"/>
              </w:rPr>
              <w:t>广西政府采购云平台</w:t>
            </w:r>
            <w:r>
              <w:rPr>
                <w:rFonts w:hint="eastAsia" w:ascii="宋体" w:hAnsi="宋体" w:eastAsia="宋体" w:cs="宋体"/>
                <w:snapToGrid w:val="0"/>
                <w:color w:val="auto"/>
                <w:spacing w:val="-1"/>
                <w:kern w:val="0"/>
                <w:sz w:val="24"/>
                <w:szCs w:val="24"/>
                <w:highlight w:val="none"/>
              </w:rPr>
              <w:t>”在线提交。</w:t>
            </w:r>
          </w:p>
          <w:p w14:paraId="2D0AE2E8">
            <w:pPr>
              <w:keepNext w:val="0"/>
              <w:keepLines w:val="0"/>
              <w:pageBreakBefore w:val="0"/>
              <w:widowControl w:val="0"/>
              <w:kinsoku w:val="0"/>
              <w:wordWrap/>
              <w:overflowPunct/>
              <w:topLinePunct w:val="0"/>
              <w:autoSpaceDE w:val="0"/>
              <w:autoSpaceDN w:val="0"/>
              <w:bidi w:val="0"/>
              <w:adjustRightInd w:val="0"/>
              <w:snapToGrid w:val="0"/>
              <w:spacing w:before="116" w:line="255" w:lineRule="auto"/>
              <w:ind w:left="110" w:right="105" w:firstLine="1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3. 服务商应当在响</w:t>
            </w:r>
            <w:r>
              <w:rPr>
                <w:rFonts w:hint="eastAsia" w:ascii="宋体" w:hAnsi="宋体" w:eastAsia="宋体" w:cs="宋体"/>
                <w:snapToGrid w:val="0"/>
                <w:color w:val="auto"/>
                <w:kern w:val="0"/>
                <w:sz w:val="24"/>
                <w:szCs w:val="24"/>
                <w:highlight w:val="none"/>
              </w:rPr>
              <w:t>应文件提交截止时间前，将生成的电子响应文件</w:t>
            </w:r>
            <w:r>
              <w:rPr>
                <w:rFonts w:hint="eastAsia" w:ascii="宋体" w:hAnsi="宋体" w:eastAsia="宋体" w:cs="宋体"/>
                <w:snapToGrid w:val="0"/>
                <w:color w:val="auto"/>
                <w:spacing w:val="1"/>
                <w:kern w:val="0"/>
                <w:sz w:val="24"/>
                <w:szCs w:val="24"/>
                <w:highlight w:val="none"/>
              </w:rPr>
              <w:t>上传提</w:t>
            </w:r>
            <w:r>
              <w:rPr>
                <w:rFonts w:hint="eastAsia" w:ascii="宋体" w:hAnsi="宋体" w:eastAsia="宋体" w:cs="宋体"/>
                <w:snapToGrid w:val="0"/>
                <w:color w:val="auto"/>
                <w:kern w:val="0"/>
                <w:sz w:val="24"/>
                <w:szCs w:val="24"/>
                <w:highlight w:val="none"/>
              </w:rPr>
              <w:t>交至“广西政府采购云平台” 。响应文件提交截止时间前可以补充、修</w:t>
            </w:r>
            <w:r>
              <w:rPr>
                <w:rFonts w:hint="eastAsia" w:ascii="宋体" w:hAnsi="宋体" w:eastAsia="宋体" w:cs="宋体"/>
                <w:snapToGrid w:val="0"/>
                <w:color w:val="auto"/>
                <w:spacing w:val="1"/>
                <w:kern w:val="0"/>
                <w:sz w:val="24"/>
                <w:szCs w:val="24"/>
                <w:highlight w:val="none"/>
              </w:rPr>
              <w:t>改或撤</w:t>
            </w:r>
            <w:r>
              <w:rPr>
                <w:rFonts w:hint="eastAsia" w:ascii="宋体" w:hAnsi="宋体" w:eastAsia="宋体" w:cs="宋体"/>
                <w:snapToGrid w:val="0"/>
                <w:color w:val="auto"/>
                <w:kern w:val="0"/>
                <w:sz w:val="24"/>
                <w:szCs w:val="24"/>
                <w:highlight w:val="none"/>
              </w:rPr>
              <w:t>回电子响应文件 ，补充、修改电子响应文件的，应当先行撤回</w:t>
            </w:r>
            <w:r>
              <w:rPr>
                <w:rFonts w:hint="eastAsia" w:ascii="宋体" w:hAnsi="宋体" w:eastAsia="宋体" w:cs="宋体"/>
                <w:snapToGrid w:val="0"/>
                <w:color w:val="auto"/>
                <w:spacing w:val="-2"/>
                <w:kern w:val="0"/>
                <w:sz w:val="24"/>
                <w:szCs w:val="24"/>
                <w:highlight w:val="none"/>
              </w:rPr>
              <w:t>原文件，补充 、修改后重新传输提交。在响应文件提交截止时间</w:t>
            </w:r>
            <w:r>
              <w:rPr>
                <w:rFonts w:hint="eastAsia" w:ascii="宋体" w:hAnsi="宋体" w:eastAsia="宋体" w:cs="宋体"/>
                <w:snapToGrid w:val="0"/>
                <w:color w:val="auto"/>
                <w:kern w:val="0"/>
                <w:sz w:val="24"/>
                <w:szCs w:val="24"/>
                <w:highlight w:val="none"/>
              </w:rPr>
              <w:t>后的</w:t>
            </w:r>
            <w:r>
              <w:rPr>
                <w:rFonts w:hint="eastAsia" w:ascii="宋体" w:hAnsi="宋体" w:eastAsia="宋体" w:cs="宋体"/>
                <w:snapToGrid w:val="0"/>
                <w:color w:val="auto"/>
                <w:spacing w:val="1"/>
                <w:kern w:val="0"/>
                <w:sz w:val="24"/>
                <w:szCs w:val="24"/>
                <w:highlight w:val="none"/>
              </w:rPr>
              <w:t>响应文</w:t>
            </w:r>
            <w:r>
              <w:rPr>
                <w:rFonts w:hint="eastAsia" w:ascii="宋体" w:hAnsi="宋体" w:eastAsia="宋体" w:cs="宋体"/>
                <w:snapToGrid w:val="0"/>
                <w:color w:val="auto"/>
                <w:kern w:val="0"/>
                <w:sz w:val="24"/>
                <w:szCs w:val="24"/>
                <w:highlight w:val="none"/>
              </w:rPr>
              <w:t>件有效期内，服务商不得撤回其响应文件。响应文件提交截止</w:t>
            </w:r>
            <w:r>
              <w:rPr>
                <w:rFonts w:hint="eastAsia" w:ascii="宋体" w:hAnsi="宋体" w:eastAsia="宋体" w:cs="宋体"/>
                <w:snapToGrid w:val="0"/>
                <w:color w:val="auto"/>
                <w:spacing w:val="4"/>
                <w:kern w:val="0"/>
                <w:sz w:val="24"/>
                <w:szCs w:val="24"/>
                <w:highlight w:val="none"/>
              </w:rPr>
              <w:t>时间</w:t>
            </w:r>
            <w:r>
              <w:rPr>
                <w:rFonts w:hint="eastAsia" w:ascii="宋体" w:hAnsi="宋体" w:eastAsia="宋体" w:cs="宋体"/>
                <w:snapToGrid w:val="0"/>
                <w:color w:val="auto"/>
                <w:spacing w:val="3"/>
                <w:kern w:val="0"/>
                <w:sz w:val="24"/>
                <w:szCs w:val="24"/>
                <w:highlight w:val="none"/>
              </w:rPr>
              <w:t>前</w:t>
            </w:r>
            <w:r>
              <w:rPr>
                <w:rFonts w:hint="eastAsia" w:ascii="宋体" w:hAnsi="宋体" w:eastAsia="宋体" w:cs="宋体"/>
                <w:snapToGrid w:val="0"/>
                <w:color w:val="auto"/>
                <w:spacing w:val="2"/>
                <w:kern w:val="0"/>
                <w:sz w:val="24"/>
                <w:szCs w:val="24"/>
                <w:highlight w:val="none"/>
              </w:rPr>
              <w:t>未成功将电子响应文件上传“</w:t>
            </w:r>
            <w:r>
              <w:rPr>
                <w:rFonts w:hint="eastAsia" w:ascii="宋体" w:hAnsi="宋体" w:eastAsia="宋体" w:cs="宋体"/>
                <w:snapToGrid w:val="0"/>
                <w:color w:val="auto"/>
                <w:kern w:val="0"/>
                <w:sz w:val="24"/>
                <w:szCs w:val="24"/>
                <w:highlight w:val="none"/>
              </w:rPr>
              <w:t>广西政府采购云平台</w:t>
            </w:r>
            <w:r>
              <w:rPr>
                <w:rFonts w:hint="eastAsia" w:ascii="宋体" w:hAnsi="宋体" w:eastAsia="宋体" w:cs="宋体"/>
                <w:snapToGrid w:val="0"/>
                <w:color w:val="auto"/>
                <w:spacing w:val="2"/>
                <w:kern w:val="0"/>
                <w:sz w:val="24"/>
                <w:szCs w:val="24"/>
                <w:highlight w:val="none"/>
              </w:rPr>
              <w:t>”的，视为未提交响</w:t>
            </w:r>
            <w:r>
              <w:rPr>
                <w:rFonts w:hint="eastAsia" w:ascii="宋体" w:hAnsi="宋体" w:eastAsia="宋体" w:cs="宋体"/>
                <w:snapToGrid w:val="0"/>
                <w:color w:val="auto"/>
                <w:spacing w:val="-2"/>
                <w:kern w:val="0"/>
                <w:sz w:val="24"/>
                <w:szCs w:val="24"/>
                <w:highlight w:val="none"/>
              </w:rPr>
              <w:t>应</w:t>
            </w:r>
            <w:r>
              <w:rPr>
                <w:rFonts w:hint="eastAsia" w:ascii="宋体" w:hAnsi="宋体" w:eastAsia="宋体" w:cs="宋体"/>
                <w:snapToGrid w:val="0"/>
                <w:color w:val="auto"/>
                <w:spacing w:val="-1"/>
                <w:kern w:val="0"/>
                <w:sz w:val="24"/>
                <w:szCs w:val="24"/>
                <w:highlight w:val="none"/>
              </w:rPr>
              <w:t>文件。</w:t>
            </w:r>
          </w:p>
          <w:p w14:paraId="15AF9B80">
            <w:pPr>
              <w:keepNext w:val="0"/>
              <w:keepLines w:val="0"/>
              <w:pageBreakBefore w:val="0"/>
              <w:widowControl w:val="0"/>
              <w:kinsoku w:val="0"/>
              <w:wordWrap/>
              <w:overflowPunct/>
              <w:topLinePunct w:val="0"/>
              <w:autoSpaceDE w:val="0"/>
              <w:autoSpaceDN w:val="0"/>
              <w:bidi w:val="0"/>
              <w:adjustRightInd w:val="0"/>
              <w:snapToGrid w:val="0"/>
              <w:spacing w:before="107" w:line="212" w:lineRule="auto"/>
              <w:ind w:left="109" w:right="105" w:firstLine="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4.除竞争性磋商文</w:t>
            </w:r>
            <w:r>
              <w:rPr>
                <w:rFonts w:hint="eastAsia" w:ascii="宋体" w:hAnsi="宋体" w:eastAsia="宋体" w:cs="宋体"/>
                <w:snapToGrid w:val="0"/>
                <w:color w:val="auto"/>
                <w:kern w:val="0"/>
                <w:sz w:val="24"/>
                <w:szCs w:val="24"/>
                <w:highlight w:val="none"/>
              </w:rPr>
              <w:t>件另有规定外，服务商所提交的响应文件不予退</w:t>
            </w:r>
            <w:r>
              <w:rPr>
                <w:rFonts w:hint="eastAsia" w:ascii="宋体" w:hAnsi="宋体" w:eastAsia="宋体" w:cs="宋体"/>
                <w:snapToGrid w:val="0"/>
                <w:color w:val="auto"/>
                <w:spacing w:val="-4"/>
                <w:kern w:val="0"/>
                <w:sz w:val="24"/>
                <w:szCs w:val="24"/>
                <w:highlight w:val="none"/>
              </w:rPr>
              <w:t>还</w:t>
            </w:r>
            <w:r>
              <w:rPr>
                <w:rFonts w:hint="eastAsia" w:ascii="宋体" w:hAnsi="宋体" w:eastAsia="宋体" w:cs="宋体"/>
                <w:snapToGrid w:val="0"/>
                <w:color w:val="auto"/>
                <w:spacing w:val="-3"/>
                <w:kern w:val="0"/>
                <w:sz w:val="24"/>
                <w:szCs w:val="24"/>
                <w:highlight w:val="none"/>
              </w:rPr>
              <w:t>。</w:t>
            </w:r>
          </w:p>
        </w:tc>
      </w:tr>
      <w:tr w14:paraId="250E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06833A22">
            <w:pPr>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baseline"/>
              <w:rPr>
                <w:rFonts w:hint="eastAsia" w:ascii="宋体" w:hAnsi="宋体" w:eastAsia="宋体" w:cs="宋体"/>
                <w:snapToGrid w:val="0"/>
                <w:color w:val="auto"/>
                <w:kern w:val="0"/>
                <w:sz w:val="24"/>
                <w:szCs w:val="24"/>
                <w:highlight w:val="none"/>
              </w:rPr>
            </w:pPr>
          </w:p>
          <w:p w14:paraId="7359DCF6">
            <w:pPr>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baseline"/>
              <w:rPr>
                <w:rFonts w:hint="eastAsia" w:ascii="宋体" w:hAnsi="宋体" w:eastAsia="宋体" w:cs="宋体"/>
                <w:snapToGrid w:val="0"/>
                <w:color w:val="auto"/>
                <w:kern w:val="0"/>
                <w:sz w:val="24"/>
                <w:szCs w:val="24"/>
                <w:highlight w:val="none"/>
              </w:rPr>
            </w:pPr>
          </w:p>
          <w:p w14:paraId="597ED12C">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712B7AB2">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2C0EE637">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52A2A704">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44EE38E4">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02096703">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3DC18BF2">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4522A30D">
            <w:pPr>
              <w:keepNext w:val="0"/>
              <w:keepLines w:val="0"/>
              <w:pageBreakBefore w:val="0"/>
              <w:widowControl w:val="0"/>
              <w:kinsoku w:val="0"/>
              <w:wordWrap/>
              <w:overflowPunct/>
              <w:topLinePunct w:val="0"/>
              <w:autoSpaceDE w:val="0"/>
              <w:autoSpaceDN w:val="0"/>
              <w:bidi w:val="0"/>
              <w:adjustRightInd w:val="0"/>
              <w:snapToGrid w:val="0"/>
              <w:spacing w:before="91" w:line="161" w:lineRule="auto"/>
              <w:ind w:left="349"/>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816" w:type="dxa"/>
            <w:gridSpan w:val="2"/>
            <w:noWrap/>
          </w:tcPr>
          <w:p w14:paraId="5CD5F5EC">
            <w:pPr>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baseline"/>
              <w:rPr>
                <w:rFonts w:hint="eastAsia" w:ascii="宋体" w:hAnsi="宋体" w:eastAsia="宋体" w:cs="宋体"/>
                <w:snapToGrid w:val="0"/>
                <w:color w:val="auto"/>
                <w:kern w:val="0"/>
                <w:sz w:val="24"/>
                <w:szCs w:val="24"/>
                <w:highlight w:val="none"/>
              </w:rPr>
            </w:pPr>
          </w:p>
          <w:p w14:paraId="17485486">
            <w:pPr>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baseline"/>
              <w:rPr>
                <w:rFonts w:hint="eastAsia" w:ascii="宋体" w:hAnsi="宋体" w:eastAsia="宋体" w:cs="宋体"/>
                <w:snapToGrid w:val="0"/>
                <w:color w:val="auto"/>
                <w:kern w:val="0"/>
                <w:sz w:val="24"/>
                <w:szCs w:val="24"/>
                <w:highlight w:val="none"/>
              </w:rPr>
            </w:pPr>
          </w:p>
          <w:p w14:paraId="4CDF60D6">
            <w:pPr>
              <w:keepNext w:val="0"/>
              <w:keepLines w:val="0"/>
              <w:pageBreakBefore w:val="0"/>
              <w:widowControl w:val="0"/>
              <w:kinsoku w:val="0"/>
              <w:wordWrap/>
              <w:overflowPunct/>
              <w:topLinePunct w:val="0"/>
              <w:autoSpaceDE w:val="0"/>
              <w:autoSpaceDN w:val="0"/>
              <w:bidi w:val="0"/>
              <w:adjustRightInd w:val="0"/>
              <w:snapToGrid w:val="0"/>
              <w:spacing w:line="248" w:lineRule="auto"/>
              <w:jc w:val="left"/>
              <w:textAlignment w:val="baseline"/>
              <w:rPr>
                <w:rFonts w:hint="eastAsia" w:ascii="宋体" w:hAnsi="宋体" w:eastAsia="宋体" w:cs="宋体"/>
                <w:snapToGrid w:val="0"/>
                <w:color w:val="auto"/>
                <w:kern w:val="0"/>
                <w:sz w:val="24"/>
                <w:szCs w:val="24"/>
                <w:highlight w:val="none"/>
              </w:rPr>
            </w:pPr>
          </w:p>
          <w:p w14:paraId="3092C883">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0A230A1B">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7D477057">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38ADC533">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7D72F849">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3EAC02A7">
            <w:pPr>
              <w:keepNext w:val="0"/>
              <w:keepLines w:val="0"/>
              <w:pageBreakBefore w:val="0"/>
              <w:widowControl w:val="0"/>
              <w:kinsoku w:val="0"/>
              <w:wordWrap/>
              <w:overflowPunct/>
              <w:topLinePunct w:val="0"/>
              <w:autoSpaceDE w:val="0"/>
              <w:autoSpaceDN w:val="0"/>
              <w:bidi w:val="0"/>
              <w:adjustRightInd w:val="0"/>
              <w:snapToGrid w:val="0"/>
              <w:spacing w:line="249" w:lineRule="auto"/>
              <w:jc w:val="left"/>
              <w:textAlignment w:val="baseline"/>
              <w:rPr>
                <w:rFonts w:hint="eastAsia" w:ascii="宋体" w:hAnsi="宋体" w:eastAsia="宋体" w:cs="宋体"/>
                <w:snapToGrid w:val="0"/>
                <w:color w:val="auto"/>
                <w:kern w:val="0"/>
                <w:sz w:val="24"/>
                <w:szCs w:val="24"/>
                <w:highlight w:val="none"/>
              </w:rPr>
            </w:pPr>
          </w:p>
          <w:p w14:paraId="67EE9D81">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31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sz w:val="24"/>
                <w:szCs w:val="24"/>
                <w:highlight w:val="none"/>
              </w:rPr>
              <w:t>15.3</w:t>
            </w:r>
          </w:p>
        </w:tc>
        <w:tc>
          <w:tcPr>
            <w:tcW w:w="1324" w:type="dxa"/>
            <w:gridSpan w:val="2"/>
            <w:noWrap/>
            <w:vAlign w:val="center"/>
          </w:tcPr>
          <w:p w14:paraId="481D39BA">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服务商公章及签字</w:t>
            </w:r>
          </w:p>
        </w:tc>
        <w:tc>
          <w:tcPr>
            <w:tcW w:w="6587" w:type="dxa"/>
            <w:noWrap/>
            <w:vAlign w:val="center"/>
          </w:tcPr>
          <w:p w14:paraId="243C6293">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 本竞争性磋商文件中描述供应商服务商的“公章”是指供应商服务商通过指定电子化政府采购平台办理数字证书 (CA 认证证书) 获得的以法定主 体行为名称制作的电子印章。</w:t>
            </w:r>
          </w:p>
          <w:p w14:paraId="3B9E5840">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 .本竞争性磋商文件中要求供应商服务商对其电子响应文件的相关内容加盖公章的，均指采用 CA 证书签章。</w:t>
            </w:r>
          </w:p>
          <w:p w14:paraId="44AC6797">
            <w:pPr>
              <w:keepNext w:val="0"/>
              <w:keepLines w:val="0"/>
              <w:pageBreakBefore w:val="0"/>
              <w:widowControl w:val="0"/>
              <w:tabs>
                <w:tab w:val="left" w:pos="534"/>
              </w:tabs>
              <w:kinsoku w:val="0"/>
              <w:wordWrap/>
              <w:overflowPunct/>
              <w:topLinePunct w:val="0"/>
              <w:autoSpaceDE w:val="0"/>
              <w:autoSpaceDN w:val="0"/>
              <w:bidi w:val="0"/>
              <w:adjustRightInd w:val="0"/>
              <w:snapToGrid w:val="0"/>
              <w:spacing w:before="1" w:line="240" w:lineRule="auto"/>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 本磋商文件中描述供应商服务商的“签字”是指供应商服务商通过指定电子 化政府采购平台办理数字证书 (CA 认证证书) 获得的以供应商服务商法定代表人 (自负责人、自然人)  或者委托代理人姓名制作的个人电子印章或手写签字。没有办理个人 CA 证书的，可以为手写签字的形式。</w:t>
            </w:r>
          </w:p>
        </w:tc>
      </w:tr>
      <w:tr w14:paraId="5E8F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4871C51E">
            <w:pPr>
              <w:keepNext w:val="0"/>
              <w:keepLines w:val="0"/>
              <w:pageBreakBefore w:val="0"/>
              <w:widowControl w:val="0"/>
              <w:kinsoku w:val="0"/>
              <w:wordWrap/>
              <w:overflowPunct/>
              <w:topLinePunct w:val="0"/>
              <w:autoSpaceDE w:val="0"/>
              <w:autoSpaceDN w:val="0"/>
              <w:bidi w:val="0"/>
              <w:adjustRightInd w:val="0"/>
              <w:snapToGrid w:val="0"/>
              <w:spacing w:line="250" w:lineRule="auto"/>
              <w:jc w:val="center"/>
              <w:textAlignment w:val="baseline"/>
              <w:rPr>
                <w:rFonts w:hint="eastAsia" w:ascii="宋体" w:hAnsi="宋体" w:eastAsia="宋体" w:cs="宋体"/>
                <w:snapToGrid w:val="0"/>
                <w:color w:val="auto"/>
                <w:kern w:val="0"/>
                <w:sz w:val="24"/>
                <w:szCs w:val="24"/>
                <w:highlight w:val="none"/>
              </w:rPr>
            </w:pPr>
          </w:p>
          <w:p w14:paraId="4FA3FCFE">
            <w:pPr>
              <w:keepNext w:val="0"/>
              <w:keepLines w:val="0"/>
              <w:pageBreakBefore w:val="0"/>
              <w:widowControl w:val="0"/>
              <w:kinsoku w:val="0"/>
              <w:wordWrap/>
              <w:overflowPunct/>
              <w:topLinePunct w:val="0"/>
              <w:autoSpaceDE w:val="0"/>
              <w:autoSpaceDN w:val="0"/>
              <w:bidi w:val="0"/>
              <w:adjustRightInd w:val="0"/>
              <w:snapToGrid w:val="0"/>
              <w:spacing w:line="250" w:lineRule="auto"/>
              <w:jc w:val="center"/>
              <w:textAlignment w:val="baseline"/>
              <w:rPr>
                <w:rFonts w:hint="eastAsia" w:ascii="宋体" w:hAnsi="宋体" w:eastAsia="宋体" w:cs="宋体"/>
                <w:snapToGrid w:val="0"/>
                <w:color w:val="auto"/>
                <w:kern w:val="0"/>
                <w:sz w:val="24"/>
                <w:szCs w:val="24"/>
                <w:highlight w:val="none"/>
              </w:rPr>
            </w:pPr>
          </w:p>
          <w:p w14:paraId="612D8818">
            <w:pPr>
              <w:keepNext w:val="0"/>
              <w:keepLines w:val="0"/>
              <w:pageBreakBefore w:val="0"/>
              <w:widowControl w:val="0"/>
              <w:kinsoku w:val="0"/>
              <w:wordWrap/>
              <w:overflowPunct/>
              <w:topLinePunct w:val="0"/>
              <w:autoSpaceDE w:val="0"/>
              <w:autoSpaceDN w:val="0"/>
              <w:bidi w:val="0"/>
              <w:adjustRightInd w:val="0"/>
              <w:snapToGrid w:val="0"/>
              <w:spacing w:line="250" w:lineRule="auto"/>
              <w:jc w:val="center"/>
              <w:textAlignment w:val="baseline"/>
              <w:rPr>
                <w:rFonts w:hint="eastAsia" w:ascii="宋体" w:hAnsi="宋体" w:eastAsia="宋体" w:cs="宋体"/>
                <w:snapToGrid w:val="0"/>
                <w:color w:val="auto"/>
                <w:kern w:val="0"/>
                <w:sz w:val="24"/>
                <w:szCs w:val="24"/>
                <w:highlight w:val="none"/>
              </w:rPr>
            </w:pPr>
          </w:p>
          <w:p w14:paraId="2ACAE92C">
            <w:pPr>
              <w:keepNext w:val="0"/>
              <w:keepLines w:val="0"/>
              <w:pageBreakBefore w:val="0"/>
              <w:widowControl w:val="0"/>
              <w:kinsoku w:val="0"/>
              <w:wordWrap/>
              <w:overflowPunct/>
              <w:topLinePunct w:val="0"/>
              <w:autoSpaceDE w:val="0"/>
              <w:autoSpaceDN w:val="0"/>
              <w:bidi w:val="0"/>
              <w:adjustRightInd w:val="0"/>
              <w:snapToGrid w:val="0"/>
              <w:spacing w:before="90" w:line="161" w:lineRule="auto"/>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816" w:type="dxa"/>
            <w:gridSpan w:val="2"/>
            <w:noWrap/>
          </w:tcPr>
          <w:p w14:paraId="455FF867">
            <w:pPr>
              <w:keepNext w:val="0"/>
              <w:keepLines w:val="0"/>
              <w:pageBreakBefore w:val="0"/>
              <w:widowControl w:val="0"/>
              <w:kinsoku w:val="0"/>
              <w:wordWrap/>
              <w:overflowPunct/>
              <w:topLinePunct w:val="0"/>
              <w:autoSpaceDE w:val="0"/>
              <w:autoSpaceDN w:val="0"/>
              <w:bidi w:val="0"/>
              <w:adjustRightInd w:val="0"/>
              <w:snapToGrid w:val="0"/>
              <w:spacing w:line="250" w:lineRule="auto"/>
              <w:jc w:val="center"/>
              <w:textAlignment w:val="baseline"/>
              <w:rPr>
                <w:rFonts w:hint="eastAsia" w:ascii="宋体" w:hAnsi="宋体" w:eastAsia="宋体" w:cs="宋体"/>
                <w:snapToGrid w:val="0"/>
                <w:color w:val="auto"/>
                <w:kern w:val="0"/>
                <w:sz w:val="24"/>
                <w:szCs w:val="24"/>
                <w:highlight w:val="none"/>
              </w:rPr>
            </w:pPr>
          </w:p>
          <w:p w14:paraId="0DC962D5">
            <w:pPr>
              <w:keepNext w:val="0"/>
              <w:keepLines w:val="0"/>
              <w:pageBreakBefore w:val="0"/>
              <w:widowControl w:val="0"/>
              <w:kinsoku w:val="0"/>
              <w:wordWrap/>
              <w:overflowPunct/>
              <w:topLinePunct w:val="0"/>
              <w:autoSpaceDE w:val="0"/>
              <w:autoSpaceDN w:val="0"/>
              <w:bidi w:val="0"/>
              <w:adjustRightInd w:val="0"/>
              <w:snapToGrid w:val="0"/>
              <w:spacing w:line="250" w:lineRule="auto"/>
              <w:jc w:val="center"/>
              <w:textAlignment w:val="baseline"/>
              <w:rPr>
                <w:rFonts w:hint="eastAsia" w:ascii="宋体" w:hAnsi="宋体" w:eastAsia="宋体" w:cs="宋体"/>
                <w:snapToGrid w:val="0"/>
                <w:color w:val="auto"/>
                <w:kern w:val="0"/>
                <w:sz w:val="24"/>
                <w:szCs w:val="24"/>
                <w:highlight w:val="none"/>
              </w:rPr>
            </w:pPr>
          </w:p>
          <w:p w14:paraId="01E14FF0">
            <w:pPr>
              <w:keepNext w:val="0"/>
              <w:keepLines w:val="0"/>
              <w:pageBreakBefore w:val="0"/>
              <w:widowControl w:val="0"/>
              <w:kinsoku w:val="0"/>
              <w:wordWrap/>
              <w:overflowPunct/>
              <w:topLinePunct w:val="0"/>
              <w:autoSpaceDE w:val="0"/>
              <w:autoSpaceDN w:val="0"/>
              <w:bidi w:val="0"/>
              <w:adjustRightInd w:val="0"/>
              <w:snapToGrid w:val="0"/>
              <w:spacing w:line="250" w:lineRule="auto"/>
              <w:jc w:val="center"/>
              <w:textAlignment w:val="baseline"/>
              <w:rPr>
                <w:rFonts w:hint="eastAsia" w:ascii="宋体" w:hAnsi="宋体" w:eastAsia="宋体" w:cs="宋体"/>
                <w:snapToGrid w:val="0"/>
                <w:color w:val="auto"/>
                <w:kern w:val="0"/>
                <w:sz w:val="24"/>
                <w:szCs w:val="24"/>
                <w:highlight w:val="none"/>
              </w:rPr>
            </w:pPr>
          </w:p>
          <w:p w14:paraId="3BC45366">
            <w:pPr>
              <w:keepNext w:val="0"/>
              <w:keepLines w:val="0"/>
              <w:pageBreakBefore w:val="0"/>
              <w:widowControl w:val="0"/>
              <w:kinsoku w:val="0"/>
              <w:wordWrap/>
              <w:overflowPunct/>
              <w:topLinePunct w:val="0"/>
              <w:autoSpaceDE w:val="0"/>
              <w:autoSpaceDN w:val="0"/>
              <w:bidi w:val="0"/>
              <w:adjustRightInd w:val="0"/>
              <w:snapToGrid w:val="0"/>
              <w:spacing w:before="90" w:line="163" w:lineRule="auto"/>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sz w:val="24"/>
                <w:szCs w:val="24"/>
                <w:highlight w:val="none"/>
              </w:rPr>
              <w:t>15.4</w:t>
            </w:r>
          </w:p>
        </w:tc>
        <w:tc>
          <w:tcPr>
            <w:tcW w:w="1324" w:type="dxa"/>
            <w:gridSpan w:val="2"/>
            <w:noWrap/>
          </w:tcPr>
          <w:p w14:paraId="75C04626">
            <w:pPr>
              <w:keepNext w:val="0"/>
              <w:keepLines w:val="0"/>
              <w:pageBreakBefore w:val="0"/>
              <w:widowControl w:val="0"/>
              <w:kinsoku w:val="0"/>
              <w:wordWrap/>
              <w:overflowPunct/>
              <w:topLinePunct w:val="0"/>
              <w:autoSpaceDE w:val="0"/>
              <w:autoSpaceDN w:val="0"/>
              <w:bidi w:val="0"/>
              <w:adjustRightInd w:val="0"/>
              <w:snapToGrid w:val="0"/>
              <w:spacing w:line="253" w:lineRule="auto"/>
              <w:jc w:val="center"/>
              <w:textAlignment w:val="baseline"/>
              <w:rPr>
                <w:rFonts w:hint="eastAsia" w:ascii="宋体" w:hAnsi="宋体" w:eastAsia="宋体" w:cs="宋体"/>
                <w:snapToGrid w:val="0"/>
                <w:color w:val="auto"/>
                <w:kern w:val="0"/>
                <w:sz w:val="24"/>
                <w:szCs w:val="24"/>
                <w:highlight w:val="none"/>
              </w:rPr>
            </w:pPr>
          </w:p>
          <w:p w14:paraId="6C500555">
            <w:pPr>
              <w:keepNext w:val="0"/>
              <w:keepLines w:val="0"/>
              <w:pageBreakBefore w:val="0"/>
              <w:widowControl w:val="0"/>
              <w:kinsoku w:val="0"/>
              <w:wordWrap/>
              <w:overflowPunct/>
              <w:topLinePunct w:val="0"/>
              <w:autoSpaceDE w:val="0"/>
              <w:autoSpaceDN w:val="0"/>
              <w:bidi w:val="0"/>
              <w:adjustRightInd w:val="0"/>
              <w:snapToGrid w:val="0"/>
              <w:spacing w:line="253" w:lineRule="auto"/>
              <w:jc w:val="center"/>
              <w:textAlignment w:val="baseline"/>
              <w:rPr>
                <w:rFonts w:hint="eastAsia" w:ascii="宋体" w:hAnsi="宋体" w:eastAsia="宋体" w:cs="宋体"/>
                <w:snapToGrid w:val="0"/>
                <w:color w:val="auto"/>
                <w:kern w:val="0"/>
                <w:sz w:val="24"/>
                <w:szCs w:val="24"/>
                <w:highlight w:val="none"/>
              </w:rPr>
            </w:pPr>
          </w:p>
          <w:p w14:paraId="54E96C83">
            <w:pPr>
              <w:keepNext w:val="0"/>
              <w:keepLines w:val="0"/>
              <w:pageBreakBefore w:val="0"/>
              <w:widowControl w:val="0"/>
              <w:kinsoku w:val="0"/>
              <w:wordWrap/>
              <w:overflowPunct/>
              <w:topLinePunct w:val="0"/>
              <w:autoSpaceDE w:val="0"/>
              <w:autoSpaceDN w:val="0"/>
              <w:bidi w:val="0"/>
              <w:adjustRightInd w:val="0"/>
              <w:snapToGrid w:val="0"/>
              <w:spacing w:before="90" w:line="258" w:lineRule="auto"/>
              <w:ind w:right="133"/>
              <w:jc w:val="center"/>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响应</w:t>
            </w:r>
            <w:r>
              <w:rPr>
                <w:rFonts w:hint="eastAsia" w:ascii="宋体" w:hAnsi="宋体" w:eastAsia="宋体" w:cs="宋体"/>
                <w:snapToGrid w:val="0"/>
                <w:color w:val="auto"/>
                <w:spacing w:val="-2"/>
                <w:kern w:val="0"/>
                <w:sz w:val="24"/>
                <w:szCs w:val="24"/>
                <w:highlight w:val="none"/>
              </w:rPr>
              <w:t>文件的</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2"/>
                <w:kern w:val="0"/>
                <w:sz w:val="24"/>
                <w:szCs w:val="24"/>
                <w:highlight w:val="none"/>
              </w:rPr>
              <w:t>解</w:t>
            </w:r>
            <w:r>
              <w:rPr>
                <w:rFonts w:hint="eastAsia" w:ascii="宋体" w:hAnsi="宋体" w:eastAsia="宋体" w:cs="宋体"/>
                <w:snapToGrid w:val="0"/>
                <w:color w:val="auto"/>
                <w:spacing w:val="-1"/>
                <w:kern w:val="0"/>
                <w:sz w:val="24"/>
                <w:szCs w:val="24"/>
                <w:highlight w:val="none"/>
              </w:rPr>
              <w:t>密</w:t>
            </w:r>
          </w:p>
        </w:tc>
        <w:tc>
          <w:tcPr>
            <w:tcW w:w="6587" w:type="dxa"/>
            <w:noWrap/>
          </w:tcPr>
          <w:p w14:paraId="19F4C751">
            <w:pPr>
              <w:keepNext w:val="0"/>
              <w:keepLines w:val="0"/>
              <w:pageBreakBefore w:val="0"/>
              <w:widowControl w:val="0"/>
              <w:kinsoku w:val="0"/>
              <w:wordWrap/>
              <w:overflowPunct/>
              <w:topLinePunct w:val="0"/>
              <w:autoSpaceDE w:val="0"/>
              <w:autoSpaceDN w:val="0"/>
              <w:bidi w:val="0"/>
              <w:adjustRightInd w:val="0"/>
              <w:snapToGrid w:val="0"/>
              <w:spacing w:before="144" w:line="246" w:lineRule="auto"/>
              <w:ind w:left="94" w:right="45" w:firstLine="3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8"/>
                <w:kern w:val="0"/>
                <w:sz w:val="24"/>
                <w:szCs w:val="24"/>
                <w:highlight w:val="none"/>
              </w:rPr>
              <w:t>响</w:t>
            </w:r>
            <w:r>
              <w:rPr>
                <w:rFonts w:hint="eastAsia" w:ascii="宋体" w:hAnsi="宋体" w:eastAsia="宋体" w:cs="宋体"/>
                <w:snapToGrid w:val="0"/>
                <w:color w:val="auto"/>
                <w:spacing w:val="-7"/>
                <w:kern w:val="0"/>
                <w:sz w:val="24"/>
                <w:szCs w:val="24"/>
                <w:highlight w:val="none"/>
              </w:rPr>
              <w:t>应</w:t>
            </w:r>
            <w:r>
              <w:rPr>
                <w:rFonts w:hint="eastAsia" w:ascii="宋体" w:hAnsi="宋体" w:eastAsia="宋体" w:cs="宋体"/>
                <w:snapToGrid w:val="0"/>
                <w:color w:val="auto"/>
                <w:spacing w:val="-4"/>
                <w:kern w:val="0"/>
                <w:sz w:val="24"/>
                <w:szCs w:val="24"/>
                <w:highlight w:val="none"/>
              </w:rPr>
              <w:t>文件提交截止时间后，采购代理机构开启解密响应文件操作，</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2"/>
                <w:kern w:val="0"/>
                <w:sz w:val="24"/>
                <w:szCs w:val="24"/>
                <w:highlight w:val="none"/>
              </w:rPr>
              <w:t>“</w:t>
            </w:r>
            <w:r>
              <w:rPr>
                <w:rFonts w:hint="eastAsia" w:ascii="宋体" w:hAnsi="宋体" w:eastAsia="宋体" w:cs="宋体"/>
                <w:snapToGrid w:val="0"/>
                <w:color w:val="auto"/>
                <w:kern w:val="0"/>
                <w:sz w:val="24"/>
                <w:szCs w:val="24"/>
                <w:highlight w:val="none"/>
              </w:rPr>
              <w:t>广西政府采购云平台</w:t>
            </w:r>
            <w:r>
              <w:rPr>
                <w:rFonts w:hint="eastAsia" w:ascii="宋体" w:hAnsi="宋体" w:eastAsia="宋体" w:cs="宋体"/>
                <w:snapToGrid w:val="0"/>
                <w:color w:val="auto"/>
                <w:spacing w:val="-2"/>
                <w:kern w:val="0"/>
                <w:sz w:val="24"/>
                <w:szCs w:val="24"/>
                <w:highlight w:val="none"/>
              </w:rPr>
              <w:t>”向各服务商</w:t>
            </w:r>
            <w:r>
              <w:rPr>
                <w:rFonts w:hint="eastAsia" w:ascii="宋体" w:hAnsi="宋体" w:eastAsia="宋体" w:cs="宋体"/>
                <w:snapToGrid w:val="0"/>
                <w:color w:val="auto"/>
                <w:spacing w:val="-1"/>
                <w:kern w:val="0"/>
                <w:sz w:val="24"/>
                <w:szCs w:val="24"/>
                <w:highlight w:val="none"/>
              </w:rPr>
              <w:t>发出电子加密响应文件解密通知，由供应</w:t>
            </w:r>
            <w:r>
              <w:rPr>
                <w:rFonts w:hint="eastAsia" w:ascii="宋体" w:hAnsi="宋体" w:eastAsia="宋体" w:cs="宋体"/>
                <w:snapToGrid w:val="0"/>
                <w:color w:val="auto"/>
                <w:spacing w:val="-3"/>
                <w:kern w:val="0"/>
                <w:sz w:val="24"/>
                <w:szCs w:val="24"/>
                <w:highlight w:val="none"/>
              </w:rPr>
              <w:t>商</w:t>
            </w:r>
            <w:r>
              <w:rPr>
                <w:rFonts w:hint="eastAsia" w:ascii="宋体" w:hAnsi="宋体" w:eastAsia="宋体" w:cs="宋体"/>
                <w:snapToGrid w:val="0"/>
                <w:color w:val="auto"/>
                <w:spacing w:val="-2"/>
                <w:kern w:val="0"/>
                <w:sz w:val="24"/>
                <w:szCs w:val="24"/>
                <w:highlight w:val="none"/>
              </w:rPr>
              <w:t>在系统发出解密通知后 30 分钟内自行使用加密时的 CA 通过“项目</w:t>
            </w:r>
            <w:r>
              <w:rPr>
                <w:rFonts w:hint="eastAsia" w:ascii="宋体" w:hAnsi="宋体" w:eastAsia="宋体" w:cs="宋体"/>
                <w:snapToGrid w:val="0"/>
                <w:color w:val="auto"/>
                <w:spacing w:val="2"/>
                <w:kern w:val="0"/>
                <w:sz w:val="24"/>
                <w:szCs w:val="24"/>
                <w:highlight w:val="none"/>
              </w:rPr>
              <w:t>采购-开</w:t>
            </w:r>
            <w:r>
              <w:rPr>
                <w:rFonts w:hint="eastAsia" w:ascii="宋体" w:hAnsi="宋体" w:eastAsia="宋体" w:cs="宋体"/>
                <w:snapToGrid w:val="0"/>
                <w:color w:val="auto"/>
                <w:spacing w:val="1"/>
                <w:kern w:val="0"/>
                <w:sz w:val="24"/>
                <w:szCs w:val="24"/>
                <w:highlight w:val="none"/>
              </w:rPr>
              <w:t>标评标”功能对响应文件进行解密。</w:t>
            </w:r>
          </w:p>
        </w:tc>
      </w:tr>
      <w:tr w14:paraId="6B177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vAlign w:val="center"/>
          </w:tcPr>
          <w:p w14:paraId="35C67910">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311"/>
              <w:jc w:val="center"/>
              <w:textAlignment w:val="baseline"/>
              <w:rPr>
                <w:rFonts w:hint="eastAsia" w:ascii="宋体" w:hAnsi="宋体" w:eastAsia="宋体" w:cs="宋体"/>
                <w:snapToGrid w:val="0"/>
                <w:color w:val="auto"/>
                <w:spacing w:val="-16"/>
                <w:kern w:val="0"/>
                <w:sz w:val="24"/>
                <w:szCs w:val="24"/>
                <w:highlight w:val="none"/>
              </w:rPr>
            </w:pPr>
            <w:r>
              <w:rPr>
                <w:rFonts w:hint="eastAsia" w:ascii="宋体" w:hAnsi="宋体" w:eastAsia="宋体" w:cs="宋体"/>
                <w:snapToGrid w:val="0"/>
                <w:color w:val="auto"/>
                <w:spacing w:val="-16"/>
                <w:kern w:val="0"/>
                <w:sz w:val="24"/>
                <w:szCs w:val="24"/>
                <w:highlight w:val="none"/>
              </w:rPr>
              <w:t>11</w:t>
            </w:r>
          </w:p>
        </w:tc>
        <w:tc>
          <w:tcPr>
            <w:tcW w:w="816" w:type="dxa"/>
            <w:gridSpan w:val="2"/>
            <w:vMerge w:val="restart"/>
            <w:noWrap/>
            <w:vAlign w:val="center"/>
          </w:tcPr>
          <w:p w14:paraId="1A1F2BBD">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269"/>
              <w:jc w:val="center"/>
              <w:textAlignment w:val="baseline"/>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17.3</w:t>
            </w:r>
          </w:p>
        </w:tc>
        <w:tc>
          <w:tcPr>
            <w:tcW w:w="1324" w:type="dxa"/>
            <w:gridSpan w:val="2"/>
            <w:noWrap/>
            <w:vAlign w:val="center"/>
          </w:tcPr>
          <w:p w14:paraId="38DDABBB">
            <w:pPr>
              <w:keepNext w:val="0"/>
              <w:keepLines w:val="0"/>
              <w:pageBreakBefore w:val="0"/>
              <w:widowControl w:val="0"/>
              <w:kinsoku w:val="0"/>
              <w:wordWrap/>
              <w:overflowPunct/>
              <w:topLinePunct w:val="0"/>
              <w:autoSpaceDE w:val="0"/>
              <w:autoSpaceDN w:val="0"/>
              <w:bidi w:val="0"/>
              <w:adjustRightInd w:val="0"/>
              <w:snapToGrid w:val="0"/>
              <w:spacing w:before="184" w:line="187" w:lineRule="auto"/>
              <w:ind w:left="257"/>
              <w:jc w:val="center"/>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评审办</w:t>
            </w:r>
            <w:r>
              <w:rPr>
                <w:rFonts w:hint="eastAsia" w:ascii="宋体" w:hAnsi="宋体" w:eastAsia="宋体" w:cs="宋体"/>
                <w:snapToGrid w:val="0"/>
                <w:color w:val="auto"/>
                <w:kern w:val="0"/>
                <w:sz w:val="24"/>
                <w:szCs w:val="24"/>
                <w:highlight w:val="none"/>
              </w:rPr>
              <w:t>法</w:t>
            </w:r>
          </w:p>
        </w:tc>
        <w:tc>
          <w:tcPr>
            <w:tcW w:w="6587" w:type="dxa"/>
            <w:noWrap/>
            <w:vAlign w:val="center"/>
          </w:tcPr>
          <w:p w14:paraId="2B11F602">
            <w:pPr>
              <w:keepNext w:val="0"/>
              <w:keepLines w:val="0"/>
              <w:pageBreakBefore w:val="0"/>
              <w:widowControl w:val="0"/>
              <w:kinsoku w:val="0"/>
              <w:wordWrap/>
              <w:overflowPunct/>
              <w:topLinePunct w:val="0"/>
              <w:autoSpaceDE w:val="0"/>
              <w:autoSpaceDN w:val="0"/>
              <w:bidi w:val="0"/>
              <w:adjustRightInd w:val="0"/>
              <w:snapToGrid w:val="0"/>
              <w:spacing w:before="184" w:line="186" w:lineRule="auto"/>
              <w:ind w:left="112"/>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综合评分法，具体</w:t>
            </w:r>
            <w:r>
              <w:rPr>
                <w:rFonts w:hint="eastAsia" w:ascii="宋体" w:hAnsi="宋体" w:eastAsia="宋体" w:cs="宋体"/>
                <w:snapToGrid w:val="0"/>
                <w:color w:val="auto"/>
                <w:kern w:val="0"/>
                <w:sz w:val="24"/>
                <w:szCs w:val="24"/>
                <w:highlight w:val="none"/>
              </w:rPr>
              <w:t>详见第三章“评审办法”。</w:t>
            </w:r>
          </w:p>
        </w:tc>
      </w:tr>
      <w:tr w14:paraId="39C77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7D995F20">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311"/>
              <w:jc w:val="left"/>
              <w:textAlignment w:val="baseline"/>
              <w:rPr>
                <w:rFonts w:hint="eastAsia" w:ascii="宋体" w:hAnsi="宋体" w:eastAsia="宋体" w:cs="宋体"/>
                <w:snapToGrid w:val="0"/>
                <w:color w:val="auto"/>
                <w:spacing w:val="-16"/>
                <w:kern w:val="0"/>
                <w:sz w:val="24"/>
                <w:szCs w:val="24"/>
                <w:highlight w:val="none"/>
              </w:rPr>
            </w:pPr>
          </w:p>
        </w:tc>
        <w:tc>
          <w:tcPr>
            <w:tcW w:w="816" w:type="dxa"/>
            <w:gridSpan w:val="2"/>
            <w:vMerge w:val="continue"/>
            <w:noWrap/>
          </w:tcPr>
          <w:p w14:paraId="7FE33DBD">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269"/>
              <w:jc w:val="left"/>
              <w:textAlignment w:val="baseline"/>
              <w:rPr>
                <w:rFonts w:hint="eastAsia" w:ascii="宋体" w:hAnsi="宋体" w:eastAsia="宋体" w:cs="宋体"/>
                <w:snapToGrid w:val="0"/>
                <w:color w:val="auto"/>
                <w:spacing w:val="-4"/>
                <w:kern w:val="0"/>
                <w:sz w:val="24"/>
                <w:szCs w:val="24"/>
                <w:highlight w:val="none"/>
              </w:rPr>
            </w:pPr>
          </w:p>
        </w:tc>
        <w:tc>
          <w:tcPr>
            <w:tcW w:w="1324" w:type="dxa"/>
            <w:gridSpan w:val="2"/>
            <w:noWrap/>
          </w:tcPr>
          <w:p w14:paraId="4BC48A40">
            <w:pPr>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baseline"/>
              <w:rPr>
                <w:rFonts w:hint="eastAsia" w:ascii="宋体" w:hAnsi="宋体" w:eastAsia="宋体" w:cs="宋体"/>
                <w:snapToGrid w:val="0"/>
                <w:color w:val="auto"/>
                <w:kern w:val="0"/>
                <w:sz w:val="24"/>
                <w:szCs w:val="24"/>
                <w:highlight w:val="none"/>
              </w:rPr>
            </w:pPr>
          </w:p>
          <w:p w14:paraId="4DF88633">
            <w:pPr>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baseline"/>
              <w:rPr>
                <w:rFonts w:hint="eastAsia" w:ascii="宋体" w:hAnsi="宋体" w:eastAsia="宋体" w:cs="宋体"/>
                <w:snapToGrid w:val="0"/>
                <w:color w:val="auto"/>
                <w:kern w:val="0"/>
                <w:sz w:val="24"/>
                <w:szCs w:val="24"/>
                <w:highlight w:val="none"/>
              </w:rPr>
            </w:pPr>
          </w:p>
          <w:p w14:paraId="52414145">
            <w:pPr>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baseline"/>
              <w:rPr>
                <w:rFonts w:hint="eastAsia" w:ascii="宋体" w:hAnsi="宋体" w:eastAsia="宋体" w:cs="宋体"/>
                <w:snapToGrid w:val="0"/>
                <w:color w:val="auto"/>
                <w:kern w:val="0"/>
                <w:sz w:val="24"/>
                <w:szCs w:val="24"/>
                <w:highlight w:val="none"/>
              </w:rPr>
            </w:pPr>
          </w:p>
          <w:p w14:paraId="2C71DFBD">
            <w:pPr>
              <w:keepNext w:val="0"/>
              <w:keepLines w:val="0"/>
              <w:pageBreakBefore w:val="0"/>
              <w:widowControl w:val="0"/>
              <w:kinsoku w:val="0"/>
              <w:wordWrap/>
              <w:overflowPunct/>
              <w:topLinePunct w:val="0"/>
              <w:autoSpaceDE w:val="0"/>
              <w:autoSpaceDN w:val="0"/>
              <w:bidi w:val="0"/>
              <w:adjustRightInd w:val="0"/>
              <w:snapToGrid w:val="0"/>
              <w:spacing w:line="245" w:lineRule="auto"/>
              <w:jc w:val="left"/>
              <w:textAlignment w:val="baseline"/>
              <w:rPr>
                <w:rFonts w:hint="eastAsia" w:ascii="宋体" w:hAnsi="宋体" w:eastAsia="宋体" w:cs="宋体"/>
                <w:snapToGrid w:val="0"/>
                <w:color w:val="auto"/>
                <w:kern w:val="0"/>
                <w:sz w:val="24"/>
                <w:szCs w:val="24"/>
                <w:highlight w:val="none"/>
              </w:rPr>
            </w:pPr>
          </w:p>
          <w:p w14:paraId="27A1302D">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6DC1F201">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446E1164">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4D9DFB13">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40B5E843">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1D9C1C72">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08FC0D8B">
            <w:pPr>
              <w:keepNext w:val="0"/>
              <w:keepLines w:val="0"/>
              <w:pageBreakBefore w:val="0"/>
              <w:widowControl w:val="0"/>
              <w:kinsoku w:val="0"/>
              <w:wordWrap/>
              <w:overflowPunct/>
              <w:topLinePunct w:val="0"/>
              <w:autoSpaceDE w:val="0"/>
              <w:autoSpaceDN w:val="0"/>
              <w:bidi w:val="0"/>
              <w:adjustRightInd w:val="0"/>
              <w:snapToGrid w:val="0"/>
              <w:spacing w:line="246" w:lineRule="auto"/>
              <w:jc w:val="left"/>
              <w:textAlignment w:val="baseline"/>
              <w:rPr>
                <w:rFonts w:hint="eastAsia" w:ascii="宋体" w:hAnsi="宋体" w:eastAsia="宋体" w:cs="宋体"/>
                <w:snapToGrid w:val="0"/>
                <w:color w:val="auto"/>
                <w:kern w:val="0"/>
                <w:sz w:val="24"/>
                <w:szCs w:val="24"/>
                <w:highlight w:val="none"/>
              </w:rPr>
            </w:pPr>
          </w:p>
          <w:p w14:paraId="48A055F4">
            <w:pPr>
              <w:keepNext w:val="0"/>
              <w:keepLines w:val="0"/>
              <w:pageBreakBefore w:val="0"/>
              <w:widowControl w:val="0"/>
              <w:kinsoku w:val="0"/>
              <w:wordWrap/>
              <w:overflowPunct/>
              <w:topLinePunct w:val="0"/>
              <w:autoSpaceDE w:val="0"/>
              <w:autoSpaceDN w:val="0"/>
              <w:bidi w:val="0"/>
              <w:adjustRightInd w:val="0"/>
              <w:snapToGrid w:val="0"/>
              <w:spacing w:before="91" w:line="186" w:lineRule="auto"/>
              <w:ind w:left="244"/>
              <w:jc w:val="left"/>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信用查</w:t>
            </w:r>
            <w:r>
              <w:rPr>
                <w:rFonts w:hint="eastAsia" w:ascii="宋体" w:hAnsi="宋体" w:eastAsia="宋体" w:cs="宋体"/>
                <w:snapToGrid w:val="0"/>
                <w:color w:val="auto"/>
                <w:kern w:val="0"/>
                <w:sz w:val="24"/>
                <w:szCs w:val="24"/>
                <w:highlight w:val="none"/>
              </w:rPr>
              <w:t>询</w:t>
            </w:r>
          </w:p>
        </w:tc>
        <w:tc>
          <w:tcPr>
            <w:tcW w:w="6587" w:type="dxa"/>
            <w:noWrap/>
          </w:tcPr>
          <w:p w14:paraId="1F6A36C4">
            <w:pPr>
              <w:keepNext w:val="0"/>
              <w:keepLines w:val="0"/>
              <w:pageBreakBefore w:val="0"/>
              <w:widowControl w:val="0"/>
              <w:kinsoku w:val="0"/>
              <w:wordWrap/>
              <w:overflowPunct/>
              <w:topLinePunct w:val="0"/>
              <w:autoSpaceDE w:val="0"/>
              <w:autoSpaceDN w:val="0"/>
              <w:bidi w:val="0"/>
              <w:adjustRightInd w:val="0"/>
              <w:snapToGrid w:val="0"/>
              <w:spacing w:before="107" w:line="240" w:lineRule="auto"/>
              <w:ind w:left="15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根据《关于做好政府采购有关信用主体标识码登</w:t>
            </w:r>
            <w:r>
              <w:rPr>
                <w:rFonts w:hint="eastAsia" w:ascii="宋体" w:hAnsi="宋体" w:eastAsia="宋体" w:cs="宋体"/>
                <w:snapToGrid w:val="0"/>
                <w:color w:val="auto"/>
                <w:kern w:val="0"/>
                <w:sz w:val="24"/>
                <w:szCs w:val="24"/>
                <w:highlight w:val="none"/>
              </w:rPr>
              <w:t>记及在政府采购活动</w:t>
            </w:r>
            <w:r>
              <w:rPr>
                <w:rFonts w:hint="eastAsia" w:ascii="宋体" w:hAnsi="宋体" w:eastAsia="宋体" w:cs="宋体"/>
                <w:snapToGrid w:val="0"/>
                <w:color w:val="auto"/>
                <w:spacing w:val="1"/>
                <w:kern w:val="0"/>
                <w:sz w:val="24"/>
                <w:szCs w:val="24"/>
                <w:highlight w:val="none"/>
              </w:rPr>
              <w:t>中查询使用信用记录有关问题的通知》(桂财采〔201</w:t>
            </w:r>
            <w:r>
              <w:rPr>
                <w:rFonts w:hint="eastAsia" w:ascii="宋体" w:hAnsi="宋体" w:eastAsia="宋体" w:cs="宋体"/>
                <w:snapToGrid w:val="0"/>
                <w:color w:val="auto"/>
                <w:kern w:val="0"/>
                <w:sz w:val="24"/>
                <w:szCs w:val="24"/>
                <w:highlight w:val="none"/>
              </w:rPr>
              <w:t>6〕37)，由采</w:t>
            </w:r>
            <w:r>
              <w:rPr>
                <w:rFonts w:hint="eastAsia" w:ascii="宋体" w:hAnsi="宋体" w:eastAsia="宋体" w:cs="宋体"/>
                <w:snapToGrid w:val="0"/>
                <w:color w:val="auto"/>
                <w:spacing w:val="-1"/>
                <w:kern w:val="0"/>
                <w:sz w:val="24"/>
                <w:szCs w:val="24"/>
                <w:highlight w:val="none"/>
              </w:rPr>
              <w:t>购代理机</w:t>
            </w:r>
            <w:r>
              <w:rPr>
                <w:rFonts w:hint="eastAsia" w:ascii="宋体" w:hAnsi="宋体" w:eastAsia="宋体" w:cs="宋体"/>
                <w:snapToGrid w:val="0"/>
                <w:color w:val="auto"/>
                <w:kern w:val="0"/>
                <w:sz w:val="24"/>
                <w:szCs w:val="24"/>
                <w:highlight w:val="none"/>
              </w:rPr>
              <w:t>构对第一成交候选人进行信用查询：</w:t>
            </w:r>
          </w:p>
          <w:p w14:paraId="48C3C13D">
            <w:pPr>
              <w:keepNext w:val="0"/>
              <w:keepLines w:val="0"/>
              <w:pageBreakBefore w:val="0"/>
              <w:widowControl w:val="0"/>
              <w:tabs>
                <w:tab w:val="left" w:pos="221"/>
              </w:tabs>
              <w:kinsoku w:val="0"/>
              <w:wordWrap/>
              <w:overflowPunct/>
              <w:topLinePunct w:val="0"/>
              <w:autoSpaceDE w:val="0"/>
              <w:autoSpaceDN w:val="0"/>
              <w:bidi w:val="0"/>
              <w:adjustRightInd w:val="0"/>
              <w:snapToGrid w:val="0"/>
              <w:spacing w:before="2" w:line="204" w:lineRule="auto"/>
              <w:ind w:left="109" w:right="105" w:firstLine="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spacing w:val="-1"/>
                <w:kern w:val="0"/>
                <w:sz w:val="24"/>
                <w:szCs w:val="24"/>
                <w:highlight w:val="none"/>
              </w:rPr>
              <w:t xml:space="preserve">(1) </w:t>
            </w:r>
            <w:r>
              <w:rPr>
                <w:rFonts w:hint="eastAsia" w:ascii="宋体" w:hAnsi="宋体" w:eastAsia="宋体" w:cs="宋体"/>
                <w:snapToGrid w:val="0"/>
                <w:color w:val="auto"/>
                <w:kern w:val="0"/>
                <w:sz w:val="24"/>
                <w:szCs w:val="24"/>
                <w:highlight w:val="none"/>
              </w:rPr>
              <w:t xml:space="preserve"> 查询渠道：“信用中国”网站(www.creditchina.gov.cn)、中国</w:t>
            </w:r>
            <w:r>
              <w:rPr>
                <w:rFonts w:hint="eastAsia" w:ascii="宋体" w:hAnsi="宋体" w:eastAsia="宋体" w:cs="宋体"/>
                <w:snapToGrid w:val="0"/>
                <w:color w:val="auto"/>
                <w:spacing w:val="-8"/>
                <w:kern w:val="0"/>
                <w:sz w:val="24"/>
                <w:szCs w:val="24"/>
                <w:highlight w:val="none"/>
              </w:rPr>
              <w:t>政</w:t>
            </w:r>
            <w:r>
              <w:rPr>
                <w:rFonts w:hint="eastAsia" w:ascii="宋体" w:hAnsi="宋体" w:eastAsia="宋体" w:cs="宋体"/>
                <w:snapToGrid w:val="0"/>
                <w:color w:val="auto"/>
                <w:spacing w:val="-5"/>
                <w:kern w:val="0"/>
                <w:sz w:val="24"/>
                <w:szCs w:val="24"/>
                <w:highlight w:val="none"/>
              </w:rPr>
              <w:t>府</w:t>
            </w:r>
            <w:r>
              <w:rPr>
                <w:rFonts w:hint="eastAsia" w:ascii="宋体" w:hAnsi="宋体" w:eastAsia="宋体" w:cs="宋体"/>
                <w:snapToGrid w:val="0"/>
                <w:color w:val="auto"/>
                <w:spacing w:val="-4"/>
                <w:kern w:val="0"/>
                <w:sz w:val="24"/>
                <w:szCs w:val="24"/>
                <w:highlight w:val="none"/>
              </w:rPr>
              <w:t>采购网(www.ccgp.gov.cn)等；</w:t>
            </w:r>
          </w:p>
          <w:p w14:paraId="18D9184E">
            <w:pPr>
              <w:keepNext w:val="0"/>
              <w:keepLines w:val="0"/>
              <w:pageBreakBefore w:val="0"/>
              <w:widowControl w:val="0"/>
              <w:tabs>
                <w:tab w:val="left" w:pos="221"/>
              </w:tabs>
              <w:kinsoku w:val="0"/>
              <w:wordWrap/>
              <w:overflowPunct/>
              <w:topLinePunct w:val="0"/>
              <w:autoSpaceDE w:val="0"/>
              <w:autoSpaceDN w:val="0"/>
              <w:bidi w:val="0"/>
              <w:adjustRightInd w:val="0"/>
              <w:snapToGrid w:val="0"/>
              <w:spacing w:before="104" w:line="182" w:lineRule="auto"/>
              <w:ind w:left="1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spacing w:val="-2"/>
                <w:kern w:val="0"/>
                <w:sz w:val="24"/>
                <w:szCs w:val="24"/>
                <w:highlight w:val="none"/>
              </w:rPr>
              <w:t>(2) 查询截止时间 ：成交通</w:t>
            </w:r>
            <w:r>
              <w:rPr>
                <w:rFonts w:hint="eastAsia" w:ascii="宋体" w:hAnsi="宋体" w:eastAsia="宋体" w:cs="宋体"/>
                <w:snapToGrid w:val="0"/>
                <w:color w:val="auto"/>
                <w:spacing w:val="-1"/>
                <w:kern w:val="0"/>
                <w:sz w:val="24"/>
                <w:szCs w:val="24"/>
                <w:highlight w:val="none"/>
              </w:rPr>
              <w:t>知书发出前；</w:t>
            </w:r>
          </w:p>
          <w:p w14:paraId="5B862554">
            <w:pPr>
              <w:keepNext w:val="0"/>
              <w:keepLines w:val="0"/>
              <w:pageBreakBefore w:val="0"/>
              <w:widowControl w:val="0"/>
              <w:tabs>
                <w:tab w:val="left" w:pos="221"/>
              </w:tabs>
              <w:kinsoku w:val="0"/>
              <w:wordWrap/>
              <w:overflowPunct/>
              <w:topLinePunct w:val="0"/>
              <w:autoSpaceDE w:val="0"/>
              <w:autoSpaceDN w:val="0"/>
              <w:bidi w:val="0"/>
              <w:adjustRightInd w:val="0"/>
              <w:snapToGrid w:val="0"/>
              <w:spacing w:before="86" w:line="215" w:lineRule="auto"/>
              <w:ind w:left="109" w:right="105" w:firstLine="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spacing w:val="2"/>
                <w:kern w:val="0"/>
                <w:sz w:val="24"/>
                <w:szCs w:val="24"/>
                <w:highlight w:val="none"/>
              </w:rPr>
              <w:t>(3) 信用信息查询记录和证据留存</w:t>
            </w:r>
            <w:r>
              <w:rPr>
                <w:rFonts w:hint="eastAsia" w:ascii="宋体" w:hAnsi="宋体" w:eastAsia="宋体" w:cs="宋体"/>
                <w:snapToGrid w:val="0"/>
                <w:color w:val="auto"/>
                <w:spacing w:val="1"/>
                <w:kern w:val="0"/>
                <w:sz w:val="24"/>
                <w:szCs w:val="24"/>
                <w:highlight w:val="none"/>
              </w:rPr>
              <w:t>方式：在查询网站中直接打印查询</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1"/>
                <w:kern w:val="0"/>
                <w:sz w:val="24"/>
                <w:szCs w:val="24"/>
                <w:highlight w:val="none"/>
              </w:rPr>
              <w:t>记录</w:t>
            </w:r>
            <w:r>
              <w:rPr>
                <w:rFonts w:hint="eastAsia" w:ascii="宋体" w:hAnsi="宋体" w:eastAsia="宋体" w:cs="宋体"/>
                <w:snapToGrid w:val="0"/>
                <w:color w:val="auto"/>
                <w:kern w:val="0"/>
                <w:sz w:val="24"/>
                <w:szCs w:val="24"/>
                <w:highlight w:val="none"/>
              </w:rPr>
              <w:t>，打印材料作为采购活动资料保存；</w:t>
            </w:r>
          </w:p>
          <w:p w14:paraId="4452DBCF">
            <w:pPr>
              <w:keepNext w:val="0"/>
              <w:keepLines w:val="0"/>
              <w:pageBreakBefore w:val="0"/>
              <w:widowControl w:val="0"/>
              <w:tabs>
                <w:tab w:val="left" w:pos="221"/>
              </w:tabs>
              <w:kinsoku w:val="0"/>
              <w:wordWrap/>
              <w:overflowPunct/>
              <w:topLinePunct w:val="0"/>
              <w:autoSpaceDE w:val="0"/>
              <w:autoSpaceDN w:val="0"/>
              <w:bidi w:val="0"/>
              <w:adjustRightInd w:val="0"/>
              <w:snapToGrid w:val="0"/>
              <w:spacing w:before="75" w:line="231" w:lineRule="auto"/>
              <w:ind w:left="109" w:right="105" w:firstLine="7"/>
              <w:jc w:val="left"/>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spacing w:val="12"/>
                <w:kern w:val="0"/>
                <w:sz w:val="24"/>
                <w:szCs w:val="24"/>
                <w:highlight w:val="none"/>
              </w:rPr>
              <w:t>(</w:t>
            </w:r>
            <w:r>
              <w:rPr>
                <w:rFonts w:hint="eastAsia" w:ascii="宋体" w:hAnsi="宋体" w:eastAsia="宋体" w:cs="宋体"/>
                <w:snapToGrid w:val="0"/>
                <w:color w:val="auto"/>
                <w:spacing w:val="8"/>
                <w:kern w:val="0"/>
                <w:sz w:val="24"/>
                <w:szCs w:val="24"/>
                <w:highlight w:val="none"/>
              </w:rPr>
              <w:t>4</w:t>
            </w:r>
            <w:r>
              <w:rPr>
                <w:rFonts w:hint="eastAsia" w:ascii="宋体" w:hAnsi="宋体" w:eastAsia="宋体" w:cs="宋体"/>
                <w:snapToGrid w:val="0"/>
                <w:color w:val="auto"/>
                <w:spacing w:val="6"/>
                <w:kern w:val="0"/>
                <w:sz w:val="24"/>
                <w:szCs w:val="24"/>
                <w:highlight w:val="none"/>
              </w:rPr>
              <w:t>) 信用信息使用规则 ：对 在“ 信用中国 ”网站</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w:t>
            </w:r>
            <w:r>
              <w:rPr>
                <w:rFonts w:hint="eastAsia" w:ascii="宋体" w:hAnsi="宋体" w:eastAsia="宋体" w:cs="宋体"/>
                <w:snapToGrid w:val="0"/>
                <w:color w:val="auto"/>
                <w:spacing w:val="-2"/>
                <w:kern w:val="0"/>
                <w:sz w:val="24"/>
                <w:szCs w:val="24"/>
                <w:highlight w:val="none"/>
              </w:rPr>
              <w:t>www</w:t>
            </w:r>
            <w:r>
              <w:rPr>
                <w:rFonts w:hint="eastAsia" w:ascii="宋体" w:hAnsi="宋体" w:eastAsia="宋体" w:cs="宋体"/>
                <w:snapToGrid w:val="0"/>
                <w:color w:val="auto"/>
                <w:spacing w:val="-4"/>
                <w:kern w:val="0"/>
                <w:sz w:val="24"/>
                <w:szCs w:val="24"/>
                <w:highlight w:val="none"/>
              </w:rPr>
              <w:t>.</w:t>
            </w:r>
            <w:r>
              <w:rPr>
                <w:rFonts w:hint="eastAsia" w:ascii="宋体" w:hAnsi="宋体" w:eastAsia="宋体" w:cs="宋体"/>
                <w:snapToGrid w:val="0"/>
                <w:color w:val="auto"/>
                <w:spacing w:val="-2"/>
                <w:kern w:val="0"/>
                <w:sz w:val="24"/>
                <w:szCs w:val="24"/>
                <w:highlight w:val="none"/>
              </w:rPr>
              <w:t>creditchina</w:t>
            </w:r>
            <w:r>
              <w:rPr>
                <w:rFonts w:hint="eastAsia" w:ascii="宋体" w:hAnsi="宋体" w:eastAsia="宋体" w:cs="宋体"/>
                <w:snapToGrid w:val="0"/>
                <w:color w:val="auto"/>
                <w:spacing w:val="-4"/>
                <w:kern w:val="0"/>
                <w:sz w:val="24"/>
                <w:szCs w:val="24"/>
                <w:highlight w:val="none"/>
              </w:rPr>
              <w:t>.</w:t>
            </w:r>
            <w:r>
              <w:rPr>
                <w:rFonts w:hint="eastAsia" w:ascii="宋体" w:hAnsi="宋体" w:eastAsia="宋体" w:cs="宋体"/>
                <w:snapToGrid w:val="0"/>
                <w:color w:val="auto"/>
                <w:spacing w:val="-2"/>
                <w:kern w:val="0"/>
                <w:sz w:val="24"/>
                <w:szCs w:val="24"/>
                <w:highlight w:val="none"/>
              </w:rPr>
              <w:t>gov</w:t>
            </w:r>
            <w:r>
              <w:rPr>
                <w:rFonts w:hint="eastAsia" w:ascii="宋体" w:hAnsi="宋体" w:eastAsia="宋体" w:cs="宋体"/>
                <w:snapToGrid w:val="0"/>
                <w:color w:val="auto"/>
                <w:spacing w:val="-4"/>
                <w:kern w:val="0"/>
                <w:sz w:val="24"/>
                <w:szCs w:val="24"/>
                <w:highlight w:val="none"/>
              </w:rPr>
              <w:t>.</w:t>
            </w:r>
            <w:r>
              <w:rPr>
                <w:rFonts w:hint="eastAsia" w:ascii="宋体" w:hAnsi="宋体" w:eastAsia="宋体" w:cs="宋体"/>
                <w:snapToGrid w:val="0"/>
                <w:color w:val="auto"/>
                <w:spacing w:val="-2"/>
                <w:kern w:val="0"/>
                <w:sz w:val="24"/>
                <w:szCs w:val="24"/>
                <w:highlight w:val="none"/>
              </w:rPr>
              <w:t>cn</w:t>
            </w:r>
            <w:r>
              <w:rPr>
                <w:rFonts w:hint="eastAsia" w:ascii="宋体" w:hAnsi="宋体" w:eastAsia="宋体" w:cs="宋体"/>
                <w:snapToGrid w:val="0"/>
                <w:color w:val="auto"/>
                <w:spacing w:val="-4"/>
                <w:kern w:val="0"/>
                <w:sz w:val="24"/>
                <w:szCs w:val="24"/>
                <w:highlight w:val="none"/>
              </w:rPr>
              <w:t>)、中国政府采购</w:t>
            </w:r>
            <w:r>
              <w:rPr>
                <w:rFonts w:hint="eastAsia" w:ascii="宋体" w:hAnsi="宋体" w:eastAsia="宋体" w:cs="宋体"/>
                <w:snapToGrid w:val="0"/>
                <w:color w:val="auto"/>
                <w:spacing w:val="-2"/>
                <w:kern w:val="0"/>
                <w:sz w:val="24"/>
                <w:szCs w:val="24"/>
                <w:highlight w:val="none"/>
              </w:rPr>
              <w:t>网(www.ccgp.gov.cn)等渠</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道列入</w:t>
            </w:r>
            <w:r>
              <w:rPr>
                <w:rFonts w:hint="eastAsia" w:ascii="宋体" w:hAnsi="宋体" w:eastAsia="宋体" w:cs="宋体"/>
                <w:snapToGrid w:val="0"/>
                <w:color w:val="auto"/>
                <w:spacing w:val="2"/>
                <w:kern w:val="0"/>
                <w:sz w:val="24"/>
                <w:szCs w:val="24"/>
                <w:highlight w:val="none"/>
              </w:rPr>
              <w:t>失信被执行人、重大税收违法案件当事人名单、政府采购严重</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2"/>
                <w:kern w:val="0"/>
                <w:sz w:val="24"/>
                <w:szCs w:val="24"/>
                <w:highlight w:val="none"/>
              </w:rPr>
              <w:t>违法失信行为记录名单及其他不符合《中华人民共和国政府采购法</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1"/>
                <w:kern w:val="0"/>
                <w:sz w:val="24"/>
                <w:szCs w:val="24"/>
                <w:highlight w:val="none"/>
              </w:rPr>
              <w:t>第二十二</w:t>
            </w:r>
            <w:r>
              <w:rPr>
                <w:rFonts w:hint="eastAsia" w:ascii="宋体" w:hAnsi="宋体" w:eastAsia="宋体" w:cs="宋体"/>
                <w:snapToGrid w:val="0"/>
                <w:color w:val="auto"/>
                <w:kern w:val="0"/>
                <w:sz w:val="24"/>
                <w:szCs w:val="24"/>
                <w:highlight w:val="none"/>
              </w:rPr>
              <w:t>条规定条件的服务商，取消其成交候选人资格 。两个以上的</w:t>
            </w:r>
            <w:r>
              <w:rPr>
                <w:rFonts w:hint="eastAsia" w:ascii="宋体" w:hAnsi="宋体" w:eastAsia="宋体" w:cs="宋体"/>
                <w:snapToGrid w:val="0"/>
                <w:color w:val="auto"/>
                <w:spacing w:val="-2"/>
                <w:kern w:val="0"/>
                <w:sz w:val="24"/>
                <w:szCs w:val="24"/>
                <w:highlight w:val="none"/>
              </w:rPr>
              <w:t>自然人、法人或者其他组织组成一个联合体，以一个服务商的</w:t>
            </w:r>
            <w:r>
              <w:rPr>
                <w:rFonts w:hint="eastAsia" w:ascii="宋体" w:hAnsi="宋体" w:eastAsia="宋体" w:cs="宋体"/>
                <w:snapToGrid w:val="0"/>
                <w:color w:val="auto"/>
                <w:spacing w:val="-1"/>
                <w:kern w:val="0"/>
                <w:sz w:val="24"/>
                <w:szCs w:val="24"/>
                <w:highlight w:val="none"/>
              </w:rPr>
              <w:t>身</w:t>
            </w:r>
            <w:r>
              <w:rPr>
                <w:rFonts w:hint="eastAsia" w:ascii="宋体" w:hAnsi="宋体" w:eastAsia="宋体" w:cs="宋体"/>
                <w:snapToGrid w:val="0"/>
                <w:color w:val="auto"/>
                <w:kern w:val="0"/>
                <w:sz w:val="24"/>
                <w:szCs w:val="24"/>
                <w:highlight w:val="none"/>
              </w:rPr>
              <w:t>份共</w:t>
            </w:r>
            <w:r>
              <w:rPr>
                <w:rFonts w:hint="eastAsia" w:ascii="宋体" w:hAnsi="宋体" w:eastAsia="宋体" w:cs="宋体"/>
                <w:snapToGrid w:val="0"/>
                <w:color w:val="auto"/>
                <w:spacing w:val="1"/>
                <w:kern w:val="0"/>
                <w:sz w:val="24"/>
                <w:szCs w:val="24"/>
                <w:highlight w:val="none"/>
              </w:rPr>
              <w:t>同参加政</w:t>
            </w:r>
            <w:r>
              <w:rPr>
                <w:rFonts w:hint="eastAsia" w:ascii="宋体" w:hAnsi="宋体" w:eastAsia="宋体" w:cs="宋体"/>
                <w:snapToGrid w:val="0"/>
                <w:color w:val="auto"/>
                <w:kern w:val="0"/>
                <w:sz w:val="24"/>
                <w:szCs w:val="24"/>
                <w:highlight w:val="none"/>
              </w:rPr>
              <w:t>府采购活动的 ，对所有联合体成员进行信用记录查询，联合</w:t>
            </w:r>
            <w:r>
              <w:rPr>
                <w:rFonts w:hint="eastAsia" w:ascii="宋体" w:hAnsi="宋体" w:eastAsia="宋体" w:cs="宋体"/>
                <w:snapToGrid w:val="0"/>
                <w:color w:val="auto"/>
                <w:spacing w:val="-1"/>
                <w:kern w:val="0"/>
                <w:sz w:val="24"/>
                <w:szCs w:val="24"/>
                <w:highlight w:val="none"/>
              </w:rPr>
              <w:t>体成员存在不</w:t>
            </w:r>
            <w:r>
              <w:rPr>
                <w:rFonts w:hint="eastAsia" w:ascii="宋体" w:hAnsi="宋体" w:eastAsia="宋体" w:cs="宋体"/>
                <w:snapToGrid w:val="0"/>
                <w:color w:val="auto"/>
                <w:kern w:val="0"/>
                <w:sz w:val="24"/>
                <w:szCs w:val="24"/>
                <w:highlight w:val="none"/>
              </w:rPr>
              <w:t>良信用记录的，视同联合体存在不良信用记录。</w:t>
            </w:r>
          </w:p>
        </w:tc>
      </w:tr>
      <w:tr w14:paraId="63E96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34D2106A">
            <w:pPr>
              <w:keepNext w:val="0"/>
              <w:keepLines w:val="0"/>
              <w:pageBreakBefore w:val="0"/>
              <w:widowControl w:val="0"/>
              <w:kinsoku w:val="0"/>
              <w:wordWrap/>
              <w:overflowPunct/>
              <w:topLinePunct w:val="0"/>
              <w:autoSpaceDE w:val="0"/>
              <w:autoSpaceDN w:val="0"/>
              <w:bidi w:val="0"/>
              <w:adjustRightInd w:val="0"/>
              <w:snapToGrid w:val="0"/>
              <w:spacing w:line="293" w:lineRule="auto"/>
              <w:jc w:val="left"/>
              <w:textAlignment w:val="baseline"/>
              <w:rPr>
                <w:rFonts w:hint="eastAsia" w:ascii="宋体" w:hAnsi="宋体" w:eastAsia="宋体" w:cs="宋体"/>
                <w:snapToGrid w:val="0"/>
                <w:color w:val="auto"/>
                <w:kern w:val="0"/>
                <w:sz w:val="24"/>
                <w:szCs w:val="24"/>
                <w:highlight w:val="none"/>
              </w:rPr>
            </w:pPr>
          </w:p>
          <w:p w14:paraId="79CC8B5F">
            <w:pPr>
              <w:keepNext w:val="0"/>
              <w:keepLines w:val="0"/>
              <w:pageBreakBefore w:val="0"/>
              <w:widowControl w:val="0"/>
              <w:kinsoku w:val="0"/>
              <w:wordWrap/>
              <w:overflowPunct/>
              <w:topLinePunct w:val="0"/>
              <w:autoSpaceDE w:val="0"/>
              <w:autoSpaceDN w:val="0"/>
              <w:bidi w:val="0"/>
              <w:adjustRightInd w:val="0"/>
              <w:snapToGrid w:val="0"/>
              <w:spacing w:line="293" w:lineRule="auto"/>
              <w:jc w:val="left"/>
              <w:textAlignment w:val="baseline"/>
              <w:rPr>
                <w:rFonts w:hint="eastAsia" w:ascii="宋体" w:hAnsi="宋体" w:eastAsia="宋体" w:cs="宋体"/>
                <w:snapToGrid w:val="0"/>
                <w:color w:val="auto"/>
                <w:kern w:val="0"/>
                <w:sz w:val="24"/>
                <w:szCs w:val="24"/>
                <w:highlight w:val="none"/>
              </w:rPr>
            </w:pPr>
          </w:p>
          <w:p w14:paraId="370BA5B0">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31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sz w:val="24"/>
                <w:szCs w:val="24"/>
                <w:highlight w:val="none"/>
              </w:rPr>
              <w:t>12</w:t>
            </w:r>
          </w:p>
        </w:tc>
        <w:tc>
          <w:tcPr>
            <w:tcW w:w="816" w:type="dxa"/>
            <w:gridSpan w:val="2"/>
            <w:vMerge w:val="restart"/>
            <w:noWrap/>
          </w:tcPr>
          <w:p w14:paraId="54E01340">
            <w:pPr>
              <w:keepNext w:val="0"/>
              <w:keepLines w:val="0"/>
              <w:pageBreakBefore w:val="0"/>
              <w:widowControl w:val="0"/>
              <w:kinsoku w:val="0"/>
              <w:wordWrap/>
              <w:overflowPunct/>
              <w:topLinePunct w:val="0"/>
              <w:autoSpaceDE w:val="0"/>
              <w:autoSpaceDN w:val="0"/>
              <w:bidi w:val="0"/>
              <w:adjustRightInd w:val="0"/>
              <w:snapToGrid w:val="0"/>
              <w:spacing w:line="302" w:lineRule="auto"/>
              <w:jc w:val="left"/>
              <w:textAlignment w:val="baseline"/>
              <w:rPr>
                <w:rFonts w:hint="eastAsia" w:ascii="宋体" w:hAnsi="宋体" w:eastAsia="宋体" w:cs="宋体"/>
                <w:snapToGrid w:val="0"/>
                <w:color w:val="auto"/>
                <w:kern w:val="0"/>
                <w:sz w:val="24"/>
                <w:szCs w:val="24"/>
                <w:highlight w:val="none"/>
              </w:rPr>
            </w:pPr>
          </w:p>
          <w:p w14:paraId="334F4E93">
            <w:pPr>
              <w:keepNext w:val="0"/>
              <w:keepLines w:val="0"/>
              <w:pageBreakBefore w:val="0"/>
              <w:widowControl w:val="0"/>
              <w:kinsoku w:val="0"/>
              <w:wordWrap/>
              <w:overflowPunct/>
              <w:topLinePunct w:val="0"/>
              <w:autoSpaceDE w:val="0"/>
              <w:autoSpaceDN w:val="0"/>
              <w:bidi w:val="0"/>
              <w:adjustRightInd w:val="0"/>
              <w:snapToGrid w:val="0"/>
              <w:spacing w:line="303" w:lineRule="auto"/>
              <w:jc w:val="left"/>
              <w:textAlignment w:val="baseline"/>
              <w:rPr>
                <w:rFonts w:hint="eastAsia" w:ascii="宋体" w:hAnsi="宋体" w:eastAsia="宋体" w:cs="宋体"/>
                <w:snapToGrid w:val="0"/>
                <w:color w:val="auto"/>
                <w:kern w:val="0"/>
                <w:sz w:val="24"/>
                <w:szCs w:val="24"/>
                <w:highlight w:val="none"/>
              </w:rPr>
            </w:pPr>
          </w:p>
          <w:p w14:paraId="04862C75">
            <w:pPr>
              <w:keepNext w:val="0"/>
              <w:keepLines w:val="0"/>
              <w:pageBreakBefore w:val="0"/>
              <w:widowControl w:val="0"/>
              <w:kinsoku w:val="0"/>
              <w:wordWrap/>
              <w:overflowPunct/>
              <w:topLinePunct w:val="0"/>
              <w:autoSpaceDE w:val="0"/>
              <w:autoSpaceDN w:val="0"/>
              <w:bidi w:val="0"/>
              <w:adjustRightInd w:val="0"/>
              <w:snapToGrid w:val="0"/>
              <w:spacing w:before="90" w:line="162" w:lineRule="auto"/>
              <w:ind w:left="269"/>
              <w:jc w:val="left"/>
              <w:textAlignment w:val="baseline"/>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17.4</w:t>
            </w:r>
          </w:p>
          <w:p w14:paraId="2A6429D2">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216"/>
              <w:jc w:val="left"/>
              <w:textAlignment w:val="baseline"/>
              <w:rPr>
                <w:rFonts w:hint="eastAsia" w:ascii="宋体" w:hAnsi="宋体" w:eastAsia="宋体" w:cs="宋体"/>
                <w:snapToGrid w:val="0"/>
                <w:color w:val="auto"/>
                <w:spacing w:val="-4"/>
                <w:kern w:val="0"/>
                <w:position w:val="-1"/>
                <w:sz w:val="24"/>
                <w:szCs w:val="24"/>
                <w:highlight w:val="none"/>
              </w:rPr>
            </w:pPr>
          </w:p>
          <w:p w14:paraId="5FA5224C">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216"/>
              <w:jc w:val="left"/>
              <w:textAlignment w:val="baseline"/>
              <w:rPr>
                <w:rFonts w:hint="eastAsia" w:ascii="宋体" w:hAnsi="宋体" w:eastAsia="宋体" w:cs="宋体"/>
                <w:snapToGrid w:val="0"/>
                <w:color w:val="auto"/>
                <w:spacing w:val="-4"/>
                <w:kern w:val="0"/>
                <w:position w:val="-1"/>
                <w:sz w:val="24"/>
                <w:szCs w:val="24"/>
                <w:highlight w:val="none"/>
              </w:rPr>
            </w:pPr>
          </w:p>
          <w:p w14:paraId="5D21A29C">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216"/>
              <w:jc w:val="left"/>
              <w:textAlignment w:val="baseline"/>
              <w:rPr>
                <w:rFonts w:hint="eastAsia" w:ascii="宋体" w:hAnsi="宋体" w:eastAsia="宋体" w:cs="宋体"/>
                <w:snapToGrid w:val="0"/>
                <w:color w:val="auto"/>
                <w:spacing w:val="-4"/>
                <w:kern w:val="0"/>
                <w:position w:val="-1"/>
                <w:sz w:val="24"/>
                <w:szCs w:val="24"/>
                <w:highlight w:val="none"/>
              </w:rPr>
            </w:pPr>
          </w:p>
          <w:p w14:paraId="6E68352D">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216"/>
              <w:jc w:val="left"/>
              <w:textAlignment w:val="baseline"/>
              <w:rPr>
                <w:rFonts w:hint="eastAsia" w:ascii="宋体" w:hAnsi="宋体" w:eastAsia="宋体" w:cs="宋体"/>
                <w:snapToGrid w:val="0"/>
                <w:color w:val="auto"/>
                <w:kern w:val="0"/>
                <w:sz w:val="24"/>
                <w:szCs w:val="24"/>
                <w:highlight w:val="none"/>
              </w:rPr>
            </w:pPr>
          </w:p>
        </w:tc>
        <w:tc>
          <w:tcPr>
            <w:tcW w:w="1324" w:type="dxa"/>
            <w:gridSpan w:val="2"/>
            <w:noWrap/>
          </w:tcPr>
          <w:p w14:paraId="2ECCFEE1">
            <w:pPr>
              <w:keepNext w:val="0"/>
              <w:keepLines w:val="0"/>
              <w:pageBreakBefore w:val="0"/>
              <w:widowControl w:val="0"/>
              <w:kinsoku w:val="0"/>
              <w:wordWrap/>
              <w:overflowPunct/>
              <w:topLinePunct w:val="0"/>
              <w:autoSpaceDE w:val="0"/>
              <w:autoSpaceDN w:val="0"/>
              <w:bidi w:val="0"/>
              <w:adjustRightInd w:val="0"/>
              <w:snapToGrid w:val="0"/>
              <w:spacing w:line="376" w:lineRule="auto"/>
              <w:jc w:val="left"/>
              <w:textAlignment w:val="baseline"/>
              <w:rPr>
                <w:rFonts w:hint="eastAsia" w:ascii="宋体" w:hAnsi="宋体" w:eastAsia="宋体" w:cs="宋体"/>
                <w:snapToGrid w:val="0"/>
                <w:color w:val="auto"/>
                <w:kern w:val="0"/>
                <w:sz w:val="24"/>
                <w:szCs w:val="24"/>
                <w:highlight w:val="none"/>
              </w:rPr>
            </w:pPr>
          </w:p>
          <w:p w14:paraId="095AB736">
            <w:pPr>
              <w:keepNext w:val="0"/>
              <w:keepLines w:val="0"/>
              <w:pageBreakBefore w:val="0"/>
              <w:widowControl w:val="0"/>
              <w:kinsoku w:val="0"/>
              <w:wordWrap/>
              <w:overflowPunct/>
              <w:topLinePunct w:val="0"/>
              <w:autoSpaceDE w:val="0"/>
              <w:autoSpaceDN w:val="0"/>
              <w:bidi w:val="0"/>
              <w:adjustRightInd w:val="0"/>
              <w:snapToGrid w:val="0"/>
              <w:spacing w:before="90" w:line="258" w:lineRule="auto"/>
              <w:ind w:left="557" w:right="133" w:hanging="42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磋商</w:t>
            </w:r>
            <w:r>
              <w:rPr>
                <w:rFonts w:hint="eastAsia" w:ascii="宋体" w:hAnsi="宋体" w:eastAsia="宋体" w:cs="宋体"/>
                <w:snapToGrid w:val="0"/>
                <w:color w:val="auto"/>
                <w:kern w:val="0"/>
                <w:sz w:val="24"/>
                <w:szCs w:val="24"/>
                <w:highlight w:val="none"/>
              </w:rPr>
              <w:t>小组组 成</w:t>
            </w:r>
          </w:p>
        </w:tc>
        <w:tc>
          <w:tcPr>
            <w:tcW w:w="6587" w:type="dxa"/>
            <w:noWrap/>
          </w:tcPr>
          <w:p w14:paraId="7833524E">
            <w:pPr>
              <w:keepNext w:val="0"/>
              <w:keepLines w:val="0"/>
              <w:pageBreakBefore w:val="0"/>
              <w:widowControl w:val="0"/>
              <w:kinsoku w:val="0"/>
              <w:wordWrap/>
              <w:overflowPunct/>
              <w:topLinePunct w:val="0"/>
              <w:autoSpaceDE w:val="0"/>
              <w:autoSpaceDN w:val="0"/>
              <w:bidi w:val="0"/>
              <w:adjustRightInd w:val="0"/>
              <w:snapToGrid w:val="0"/>
              <w:spacing w:before="110" w:line="222" w:lineRule="auto"/>
              <w:ind w:left="110" w:right="105" w:hanging="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磋商及评</w:t>
            </w:r>
            <w:r>
              <w:rPr>
                <w:rFonts w:hint="eastAsia" w:ascii="宋体" w:hAnsi="宋体" w:eastAsia="宋体" w:cs="宋体"/>
                <w:snapToGrid w:val="0"/>
                <w:color w:val="auto"/>
                <w:kern w:val="0"/>
                <w:sz w:val="24"/>
                <w:szCs w:val="24"/>
                <w:highlight w:val="none"/>
              </w:rPr>
              <w:t xml:space="preserve">审组织工作由采购代理机构负责，具体磋商、评审工作由依 </w:t>
            </w:r>
            <w:r>
              <w:rPr>
                <w:rFonts w:hint="eastAsia" w:ascii="宋体" w:hAnsi="宋体" w:eastAsia="宋体" w:cs="宋体"/>
                <w:snapToGrid w:val="0"/>
                <w:color w:val="auto"/>
                <w:spacing w:val="1"/>
                <w:kern w:val="0"/>
                <w:sz w:val="24"/>
                <w:szCs w:val="24"/>
                <w:highlight w:val="none"/>
              </w:rPr>
              <w:t>法</w:t>
            </w:r>
            <w:r>
              <w:rPr>
                <w:rFonts w:hint="eastAsia" w:ascii="宋体" w:hAnsi="宋体" w:eastAsia="宋体" w:cs="宋体"/>
                <w:snapToGrid w:val="0"/>
                <w:color w:val="auto"/>
                <w:kern w:val="0"/>
                <w:sz w:val="24"/>
                <w:szCs w:val="24"/>
                <w:highlight w:val="none"/>
              </w:rPr>
              <w:t xml:space="preserve">组建的磋商小组负责 ，本项目的磋商小组由采购人代表和有关方面 </w:t>
            </w:r>
            <w:r>
              <w:rPr>
                <w:rFonts w:hint="eastAsia" w:ascii="宋体" w:hAnsi="宋体" w:eastAsia="宋体" w:cs="宋体"/>
                <w:snapToGrid w:val="0"/>
                <w:color w:val="auto"/>
                <w:spacing w:val="-6"/>
                <w:kern w:val="0"/>
                <w:sz w:val="24"/>
                <w:szCs w:val="24"/>
                <w:highlight w:val="none"/>
              </w:rPr>
              <w:t>的专家组成。磋商</w:t>
            </w:r>
            <w:r>
              <w:rPr>
                <w:rFonts w:hint="eastAsia" w:ascii="宋体" w:hAnsi="宋体" w:eastAsia="宋体" w:cs="宋体"/>
                <w:snapToGrid w:val="0"/>
                <w:color w:val="auto"/>
                <w:spacing w:val="-5"/>
                <w:kern w:val="0"/>
                <w:sz w:val="24"/>
                <w:szCs w:val="24"/>
                <w:highlight w:val="none"/>
              </w:rPr>
              <w:t>小</w:t>
            </w:r>
            <w:r>
              <w:rPr>
                <w:rFonts w:hint="eastAsia" w:ascii="宋体" w:hAnsi="宋体" w:eastAsia="宋体" w:cs="宋体"/>
                <w:snapToGrid w:val="0"/>
                <w:color w:val="auto"/>
                <w:spacing w:val="-3"/>
                <w:kern w:val="0"/>
                <w:sz w:val="24"/>
                <w:szCs w:val="24"/>
                <w:highlight w:val="none"/>
              </w:rPr>
              <w:t>组的构成： 3 人，其中采购人代表  1 人，有关专</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8"/>
                <w:kern w:val="0"/>
                <w:sz w:val="24"/>
                <w:szCs w:val="24"/>
                <w:highlight w:val="none"/>
              </w:rPr>
              <w:t>家</w:t>
            </w:r>
            <w:r>
              <w:rPr>
                <w:rFonts w:hint="eastAsia" w:ascii="宋体" w:hAnsi="宋体" w:eastAsia="宋体" w:cs="宋体"/>
                <w:snapToGrid w:val="0"/>
                <w:color w:val="auto"/>
                <w:spacing w:val="-7"/>
                <w:kern w:val="0"/>
                <w:sz w:val="24"/>
                <w:szCs w:val="24"/>
                <w:highlight w:val="none"/>
              </w:rPr>
              <w:t xml:space="preserve"> 2 人。</w:t>
            </w:r>
          </w:p>
        </w:tc>
      </w:tr>
      <w:tr w14:paraId="70B68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0B93B9F9">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311"/>
              <w:jc w:val="left"/>
              <w:textAlignment w:val="baseline"/>
              <w:rPr>
                <w:rFonts w:hint="eastAsia" w:ascii="宋体" w:hAnsi="宋体" w:eastAsia="宋体" w:cs="宋体"/>
                <w:snapToGrid w:val="0"/>
                <w:color w:val="auto"/>
                <w:spacing w:val="-16"/>
                <w:kern w:val="0"/>
                <w:position w:val="-1"/>
                <w:sz w:val="24"/>
                <w:szCs w:val="24"/>
                <w:highlight w:val="none"/>
              </w:rPr>
            </w:pPr>
          </w:p>
          <w:p w14:paraId="3D524AFE">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311"/>
              <w:jc w:val="left"/>
              <w:textAlignment w:val="baseline"/>
              <w:rPr>
                <w:rFonts w:hint="eastAsia" w:ascii="宋体" w:hAnsi="宋体" w:eastAsia="宋体" w:cs="宋体"/>
                <w:snapToGrid w:val="0"/>
                <w:color w:val="auto"/>
                <w:spacing w:val="-16"/>
                <w:kern w:val="0"/>
                <w:position w:val="-1"/>
                <w:sz w:val="24"/>
                <w:szCs w:val="24"/>
                <w:highlight w:val="none"/>
              </w:rPr>
            </w:pPr>
          </w:p>
          <w:p w14:paraId="1913BB55">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311"/>
              <w:jc w:val="left"/>
              <w:textAlignment w:val="baseline"/>
              <w:rPr>
                <w:rFonts w:hint="eastAsia" w:ascii="宋体" w:hAnsi="宋体" w:eastAsia="宋体" w:cs="宋体"/>
                <w:snapToGrid w:val="0"/>
                <w:color w:val="auto"/>
                <w:spacing w:val="-16"/>
                <w:kern w:val="0"/>
                <w:position w:val="-1"/>
                <w:sz w:val="24"/>
                <w:szCs w:val="24"/>
                <w:highlight w:val="none"/>
              </w:rPr>
            </w:pPr>
          </w:p>
          <w:p w14:paraId="2506632E">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31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position w:val="-1"/>
                <w:sz w:val="24"/>
                <w:szCs w:val="24"/>
                <w:highlight w:val="none"/>
              </w:rPr>
              <w:t>13</w:t>
            </w:r>
          </w:p>
        </w:tc>
        <w:tc>
          <w:tcPr>
            <w:tcW w:w="816" w:type="dxa"/>
            <w:gridSpan w:val="2"/>
            <w:vMerge w:val="continue"/>
            <w:noWrap/>
          </w:tcPr>
          <w:p w14:paraId="01179124">
            <w:pPr>
              <w:keepNext w:val="0"/>
              <w:keepLines w:val="0"/>
              <w:pageBreakBefore w:val="0"/>
              <w:widowControl w:val="0"/>
              <w:kinsoku w:val="0"/>
              <w:wordWrap/>
              <w:overflowPunct/>
              <w:topLinePunct w:val="0"/>
              <w:autoSpaceDE w:val="0"/>
              <w:autoSpaceDN w:val="0"/>
              <w:bidi w:val="0"/>
              <w:adjustRightInd w:val="0"/>
              <w:snapToGrid w:val="0"/>
              <w:spacing w:before="153" w:line="235" w:lineRule="exact"/>
              <w:ind w:left="216"/>
              <w:jc w:val="left"/>
              <w:textAlignment w:val="baseline"/>
              <w:rPr>
                <w:rFonts w:hint="eastAsia" w:ascii="宋体" w:hAnsi="宋体" w:eastAsia="宋体" w:cs="宋体"/>
                <w:snapToGrid w:val="0"/>
                <w:color w:val="auto"/>
                <w:kern w:val="0"/>
                <w:sz w:val="24"/>
                <w:szCs w:val="24"/>
                <w:highlight w:val="none"/>
              </w:rPr>
            </w:pPr>
          </w:p>
        </w:tc>
        <w:tc>
          <w:tcPr>
            <w:tcW w:w="1324" w:type="dxa"/>
            <w:gridSpan w:val="2"/>
            <w:noWrap/>
          </w:tcPr>
          <w:p w14:paraId="0027B2C0">
            <w:pPr>
              <w:keepNext w:val="0"/>
              <w:keepLines w:val="0"/>
              <w:pageBreakBefore w:val="0"/>
              <w:widowControl w:val="0"/>
              <w:kinsoku w:val="0"/>
              <w:wordWrap/>
              <w:overflowPunct/>
              <w:topLinePunct w:val="0"/>
              <w:autoSpaceDE w:val="0"/>
              <w:autoSpaceDN w:val="0"/>
              <w:bidi w:val="0"/>
              <w:adjustRightInd w:val="0"/>
              <w:snapToGrid w:val="0"/>
              <w:spacing w:before="120" w:line="178" w:lineRule="auto"/>
              <w:ind w:left="137"/>
              <w:jc w:val="left"/>
              <w:textAlignment w:val="baseline"/>
              <w:rPr>
                <w:rFonts w:hint="eastAsia" w:ascii="宋体" w:hAnsi="宋体" w:eastAsia="宋体" w:cs="宋体"/>
                <w:snapToGrid w:val="0"/>
                <w:color w:val="auto"/>
                <w:spacing w:val="-1"/>
                <w:kern w:val="0"/>
                <w:sz w:val="24"/>
                <w:szCs w:val="24"/>
                <w:highlight w:val="none"/>
              </w:rPr>
            </w:pPr>
          </w:p>
          <w:p w14:paraId="0E012AB9">
            <w:pPr>
              <w:keepNext w:val="0"/>
              <w:keepLines w:val="0"/>
              <w:pageBreakBefore w:val="0"/>
              <w:widowControl w:val="0"/>
              <w:kinsoku w:val="0"/>
              <w:wordWrap/>
              <w:overflowPunct/>
              <w:topLinePunct w:val="0"/>
              <w:autoSpaceDE w:val="0"/>
              <w:autoSpaceDN w:val="0"/>
              <w:bidi w:val="0"/>
              <w:adjustRightInd w:val="0"/>
              <w:snapToGrid w:val="0"/>
              <w:spacing w:before="120" w:line="178" w:lineRule="auto"/>
              <w:ind w:left="137"/>
              <w:jc w:val="left"/>
              <w:textAlignment w:val="baseline"/>
              <w:rPr>
                <w:rFonts w:hint="eastAsia" w:ascii="宋体" w:hAnsi="宋体" w:eastAsia="宋体" w:cs="宋体"/>
                <w:snapToGrid w:val="0"/>
                <w:color w:val="auto"/>
                <w:spacing w:val="-1"/>
                <w:kern w:val="0"/>
                <w:sz w:val="24"/>
                <w:szCs w:val="24"/>
                <w:highlight w:val="none"/>
              </w:rPr>
            </w:pPr>
          </w:p>
          <w:p w14:paraId="5DD0B84F">
            <w:pPr>
              <w:keepNext w:val="0"/>
              <w:keepLines w:val="0"/>
              <w:pageBreakBefore w:val="0"/>
              <w:widowControl w:val="0"/>
              <w:kinsoku w:val="0"/>
              <w:wordWrap/>
              <w:overflowPunct/>
              <w:topLinePunct w:val="0"/>
              <w:autoSpaceDE w:val="0"/>
              <w:autoSpaceDN w:val="0"/>
              <w:bidi w:val="0"/>
              <w:adjustRightInd w:val="0"/>
              <w:snapToGrid w:val="0"/>
              <w:spacing w:before="120" w:line="178" w:lineRule="auto"/>
              <w:ind w:left="137"/>
              <w:jc w:val="left"/>
              <w:textAlignment w:val="baseline"/>
              <w:rPr>
                <w:rFonts w:hint="eastAsia" w:ascii="宋体" w:hAnsi="宋体" w:eastAsia="宋体" w:cs="宋体"/>
                <w:snapToGrid w:val="0"/>
                <w:color w:val="auto"/>
                <w:spacing w:val="-1"/>
                <w:kern w:val="0"/>
                <w:sz w:val="24"/>
                <w:szCs w:val="24"/>
                <w:highlight w:val="none"/>
              </w:rPr>
            </w:pPr>
          </w:p>
          <w:p w14:paraId="2B3B8C83">
            <w:pPr>
              <w:keepNext w:val="0"/>
              <w:keepLines w:val="0"/>
              <w:pageBreakBefore w:val="0"/>
              <w:widowControl w:val="0"/>
              <w:kinsoku w:val="0"/>
              <w:wordWrap/>
              <w:overflowPunct/>
              <w:topLinePunct w:val="0"/>
              <w:autoSpaceDE w:val="0"/>
              <w:autoSpaceDN w:val="0"/>
              <w:bidi w:val="0"/>
              <w:adjustRightInd w:val="0"/>
              <w:snapToGrid w:val="0"/>
              <w:spacing w:before="120" w:line="178" w:lineRule="auto"/>
              <w:ind w:left="13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磋商时</w:t>
            </w:r>
            <w:r>
              <w:rPr>
                <w:rFonts w:hint="eastAsia" w:ascii="宋体" w:hAnsi="宋体" w:eastAsia="宋体" w:cs="宋体"/>
                <w:snapToGrid w:val="0"/>
                <w:color w:val="auto"/>
                <w:kern w:val="0"/>
                <w:sz w:val="24"/>
                <w:szCs w:val="24"/>
                <w:highlight w:val="none"/>
              </w:rPr>
              <w:t>间、</w:t>
            </w:r>
            <w:r>
              <w:rPr>
                <w:rFonts w:hint="eastAsia" w:ascii="宋体" w:hAnsi="宋体" w:eastAsia="宋体" w:cs="宋体"/>
                <w:snapToGrid w:val="0"/>
                <w:color w:val="auto"/>
                <w:spacing w:val="1"/>
                <w:kern w:val="0"/>
                <w:sz w:val="24"/>
                <w:szCs w:val="24"/>
                <w:highlight w:val="none"/>
              </w:rPr>
              <w:t>地</w:t>
            </w:r>
            <w:r>
              <w:rPr>
                <w:rFonts w:hint="eastAsia" w:ascii="宋体" w:hAnsi="宋体" w:eastAsia="宋体" w:cs="宋体"/>
                <w:snapToGrid w:val="0"/>
                <w:color w:val="auto"/>
                <w:kern w:val="0"/>
                <w:sz w:val="24"/>
                <w:szCs w:val="24"/>
                <w:highlight w:val="none"/>
              </w:rPr>
              <w:t>点、人员</w:t>
            </w:r>
          </w:p>
        </w:tc>
        <w:tc>
          <w:tcPr>
            <w:tcW w:w="6587" w:type="dxa"/>
            <w:noWrap/>
          </w:tcPr>
          <w:p w14:paraId="268A40F4">
            <w:pPr>
              <w:keepNext w:val="0"/>
              <w:keepLines w:val="0"/>
              <w:pageBreakBefore w:val="0"/>
              <w:widowControl w:val="0"/>
              <w:kinsoku w:val="0"/>
              <w:wordWrap/>
              <w:overflowPunct/>
              <w:topLinePunct w:val="0"/>
              <w:autoSpaceDE w:val="0"/>
              <w:autoSpaceDN w:val="0"/>
              <w:bidi w:val="0"/>
              <w:adjustRightInd w:val="0"/>
              <w:snapToGrid w:val="0"/>
              <w:spacing w:before="127" w:line="241" w:lineRule="auto"/>
              <w:ind w:left="109" w:right="105" w:firstLine="16"/>
              <w:jc w:val="left"/>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4"/>
                <w:kern w:val="0"/>
                <w:sz w:val="24"/>
                <w:szCs w:val="24"/>
                <w:highlight w:val="none"/>
              </w:rPr>
              <w:t>1、</w:t>
            </w:r>
            <w:r>
              <w:rPr>
                <w:rFonts w:hint="eastAsia" w:ascii="宋体" w:hAnsi="宋体" w:eastAsia="宋体" w:cs="宋体"/>
                <w:snapToGrid w:val="0"/>
                <w:color w:val="auto"/>
                <w:spacing w:val="-2"/>
                <w:kern w:val="0"/>
                <w:sz w:val="24"/>
                <w:szCs w:val="24"/>
                <w:highlight w:val="none"/>
              </w:rPr>
              <w:t xml:space="preserve"> 磋商时间：首次响应文件提交截止时间后。</w:t>
            </w:r>
          </w:p>
          <w:p w14:paraId="20EA8F6F">
            <w:pPr>
              <w:keepNext w:val="0"/>
              <w:keepLines w:val="0"/>
              <w:pageBreakBefore w:val="0"/>
              <w:widowControl w:val="0"/>
              <w:kinsoku w:val="0"/>
              <w:wordWrap/>
              <w:overflowPunct/>
              <w:topLinePunct w:val="0"/>
              <w:autoSpaceDE w:val="0"/>
              <w:autoSpaceDN w:val="0"/>
              <w:bidi w:val="0"/>
              <w:adjustRightInd w:val="0"/>
              <w:snapToGrid w:val="0"/>
              <w:spacing w:before="127" w:line="241" w:lineRule="auto"/>
              <w:ind w:left="109" w:right="105" w:firstLine="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2、 磋商地点：服务商代表在响应文件提交</w:t>
            </w:r>
            <w:r>
              <w:rPr>
                <w:rFonts w:hint="eastAsia" w:ascii="宋体" w:hAnsi="宋体" w:eastAsia="宋体" w:cs="宋体"/>
                <w:snapToGrid w:val="0"/>
                <w:color w:val="auto"/>
                <w:kern w:val="0"/>
                <w:sz w:val="24"/>
                <w:szCs w:val="24"/>
                <w:highlight w:val="none"/>
              </w:rPr>
              <w:t>当天实时登陆登录“</w:t>
            </w:r>
            <w:r>
              <w:rPr>
                <w:rFonts w:hint="eastAsia" w:ascii="宋体" w:hAnsi="宋体" w:eastAsia="宋体" w:cs="宋体"/>
                <w:snapToGrid w:val="0"/>
                <w:color w:val="auto"/>
                <w:kern w:val="0"/>
                <w:sz w:val="24"/>
                <w:szCs w:val="24"/>
                <w:highlight w:val="none"/>
                <w:lang w:val="en-US" w:eastAsia="zh-CN"/>
              </w:rPr>
              <w:t>广西政府采购</w:t>
            </w:r>
            <w:r>
              <w:rPr>
                <w:rFonts w:hint="eastAsia" w:ascii="宋体" w:hAnsi="宋体" w:eastAsia="宋体" w:cs="宋体"/>
                <w:snapToGrid w:val="0"/>
                <w:color w:val="auto"/>
                <w:spacing w:val="1"/>
                <w:kern w:val="0"/>
                <w:sz w:val="24"/>
                <w:szCs w:val="24"/>
                <w:highlight w:val="none"/>
              </w:rPr>
              <w:t>云平</w:t>
            </w:r>
            <w:r>
              <w:rPr>
                <w:rFonts w:hint="eastAsia" w:ascii="宋体" w:hAnsi="宋体" w:eastAsia="宋体" w:cs="宋体"/>
                <w:snapToGrid w:val="0"/>
                <w:color w:val="auto"/>
                <w:kern w:val="0"/>
                <w:sz w:val="24"/>
                <w:szCs w:val="24"/>
                <w:highlight w:val="none"/>
              </w:rPr>
              <w:t>台</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，按磋商小组要求在线等候参与磋商及提交最后报价 。因</w:t>
            </w:r>
            <w:r>
              <w:rPr>
                <w:rFonts w:hint="eastAsia" w:ascii="宋体" w:hAnsi="宋体" w:eastAsia="宋体" w:cs="宋体"/>
                <w:snapToGrid w:val="0"/>
                <w:color w:val="auto"/>
                <w:spacing w:val="1"/>
                <w:kern w:val="0"/>
                <w:sz w:val="24"/>
                <w:szCs w:val="24"/>
                <w:highlight w:val="none"/>
              </w:rPr>
              <w:t>服务商未</w:t>
            </w:r>
            <w:r>
              <w:rPr>
                <w:rFonts w:hint="eastAsia" w:ascii="宋体" w:hAnsi="宋体" w:eastAsia="宋体" w:cs="宋体"/>
                <w:snapToGrid w:val="0"/>
                <w:color w:val="auto"/>
                <w:kern w:val="0"/>
                <w:sz w:val="24"/>
                <w:szCs w:val="24"/>
                <w:highlight w:val="none"/>
              </w:rPr>
              <w:t>保持实时在线 ，导致磋商小组无法及时与其取得联系，从而</w:t>
            </w:r>
            <w:r>
              <w:rPr>
                <w:rFonts w:hint="eastAsia" w:ascii="宋体" w:hAnsi="宋体" w:eastAsia="宋体" w:cs="宋体"/>
                <w:snapToGrid w:val="0"/>
                <w:color w:val="auto"/>
                <w:spacing w:val="4"/>
                <w:kern w:val="0"/>
                <w:sz w:val="24"/>
                <w:szCs w:val="24"/>
                <w:highlight w:val="none"/>
              </w:rPr>
              <w:t>造成服务商</w:t>
            </w:r>
            <w:r>
              <w:rPr>
                <w:rFonts w:hint="eastAsia" w:ascii="宋体" w:hAnsi="宋体" w:eastAsia="宋体" w:cs="宋体"/>
                <w:snapToGrid w:val="0"/>
                <w:color w:val="auto"/>
                <w:spacing w:val="2"/>
                <w:kern w:val="0"/>
                <w:sz w:val="24"/>
                <w:szCs w:val="24"/>
                <w:highlight w:val="none"/>
              </w:rPr>
              <w:t>未按规定参与磋商或报价的，其不利后果由服务商自行承</w:t>
            </w:r>
            <w:r>
              <w:rPr>
                <w:rFonts w:hint="eastAsia" w:ascii="宋体" w:hAnsi="宋体" w:eastAsia="宋体" w:cs="宋体"/>
                <w:snapToGrid w:val="0"/>
                <w:color w:val="auto"/>
                <w:spacing w:val="-4"/>
                <w:kern w:val="0"/>
                <w:sz w:val="24"/>
                <w:szCs w:val="24"/>
                <w:highlight w:val="none"/>
              </w:rPr>
              <w:t>担</w:t>
            </w:r>
            <w:r>
              <w:rPr>
                <w:rFonts w:hint="eastAsia" w:ascii="宋体" w:hAnsi="宋体" w:eastAsia="宋体" w:cs="宋体"/>
                <w:snapToGrid w:val="0"/>
                <w:color w:val="auto"/>
                <w:spacing w:val="-3"/>
                <w:kern w:val="0"/>
                <w:sz w:val="24"/>
                <w:szCs w:val="24"/>
                <w:highlight w:val="none"/>
              </w:rPr>
              <w:t>。</w:t>
            </w:r>
          </w:p>
          <w:p w14:paraId="618D510A">
            <w:pPr>
              <w:keepNext w:val="0"/>
              <w:keepLines w:val="0"/>
              <w:pageBreakBefore w:val="0"/>
              <w:widowControl w:val="0"/>
              <w:kinsoku w:val="0"/>
              <w:wordWrap/>
              <w:overflowPunct/>
              <w:topLinePunct w:val="0"/>
              <w:autoSpaceDE w:val="0"/>
              <w:autoSpaceDN w:val="0"/>
              <w:bidi w:val="0"/>
              <w:adjustRightInd w:val="0"/>
              <w:snapToGrid w:val="0"/>
              <w:spacing w:before="94" w:line="231" w:lineRule="auto"/>
              <w:ind w:left="109" w:right="105" w:firstLine="1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4"/>
                <w:kern w:val="0"/>
                <w:sz w:val="24"/>
                <w:szCs w:val="24"/>
                <w:highlight w:val="none"/>
              </w:rPr>
              <w:t>3、 磋</w:t>
            </w:r>
            <w:r>
              <w:rPr>
                <w:rFonts w:hint="eastAsia" w:ascii="宋体" w:hAnsi="宋体" w:eastAsia="宋体" w:cs="宋体"/>
                <w:snapToGrid w:val="0"/>
                <w:color w:val="auto"/>
                <w:spacing w:val="-3"/>
                <w:kern w:val="0"/>
                <w:sz w:val="24"/>
                <w:szCs w:val="24"/>
                <w:highlight w:val="none"/>
              </w:rPr>
              <w:t>商</w:t>
            </w:r>
            <w:r>
              <w:rPr>
                <w:rFonts w:hint="eastAsia" w:ascii="宋体" w:hAnsi="宋体" w:eastAsia="宋体" w:cs="宋体"/>
                <w:snapToGrid w:val="0"/>
                <w:color w:val="auto"/>
                <w:spacing w:val="-2"/>
                <w:kern w:val="0"/>
                <w:sz w:val="24"/>
                <w:szCs w:val="24"/>
                <w:highlight w:val="none"/>
              </w:rPr>
              <w:t>参加人员 ：服务商法定代表人(负责人、自然人)或相应的</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1"/>
                <w:kern w:val="0"/>
                <w:sz w:val="24"/>
                <w:szCs w:val="24"/>
                <w:highlight w:val="none"/>
              </w:rPr>
              <w:t>委托代理</w:t>
            </w:r>
            <w:r>
              <w:rPr>
                <w:rFonts w:hint="eastAsia" w:ascii="宋体" w:hAnsi="宋体" w:eastAsia="宋体" w:cs="宋体"/>
                <w:snapToGrid w:val="0"/>
                <w:color w:val="auto"/>
                <w:kern w:val="0"/>
                <w:sz w:val="24"/>
                <w:szCs w:val="24"/>
                <w:highlight w:val="none"/>
              </w:rPr>
              <w:t>人参加磋商 。请服务商实时登陆登录“</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kern w:val="0"/>
                <w:sz w:val="24"/>
                <w:szCs w:val="24"/>
                <w:highlight w:val="none"/>
              </w:rPr>
              <w:t>”等候在</w:t>
            </w:r>
            <w:r>
              <w:rPr>
                <w:rFonts w:hint="eastAsia" w:ascii="宋体" w:hAnsi="宋体" w:eastAsia="宋体" w:cs="宋体"/>
                <w:snapToGrid w:val="0"/>
                <w:color w:val="auto"/>
                <w:spacing w:val="-1"/>
                <w:kern w:val="0"/>
                <w:sz w:val="24"/>
                <w:szCs w:val="24"/>
                <w:highlight w:val="none"/>
              </w:rPr>
              <w:t>线磋商。</w:t>
            </w:r>
          </w:p>
          <w:p w14:paraId="056AE3EC">
            <w:pPr>
              <w:keepNext w:val="0"/>
              <w:keepLines w:val="0"/>
              <w:pageBreakBefore w:val="0"/>
              <w:widowControl w:val="0"/>
              <w:kinsoku w:val="0"/>
              <w:wordWrap/>
              <w:overflowPunct/>
              <w:topLinePunct w:val="0"/>
              <w:autoSpaceDE w:val="0"/>
              <w:autoSpaceDN w:val="0"/>
              <w:bidi w:val="0"/>
              <w:adjustRightInd w:val="0"/>
              <w:snapToGrid w:val="0"/>
              <w:spacing w:before="129" w:line="172" w:lineRule="auto"/>
              <w:ind w:left="126"/>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4、首次响应文件提交截止时间后，登录“</w:t>
            </w:r>
            <w:r>
              <w:rPr>
                <w:rFonts w:hint="eastAsia" w:ascii="宋体" w:hAnsi="宋体" w:eastAsia="宋体" w:cs="宋体"/>
                <w:color w:val="auto"/>
                <w:spacing w:val="6"/>
                <w:kern w:val="48"/>
                <w:sz w:val="24"/>
                <w:szCs w:val="24"/>
                <w:highlight w:val="none"/>
              </w:rPr>
              <w:t>广西政府采购云平台</w:t>
            </w:r>
            <w:r>
              <w:rPr>
                <w:rFonts w:hint="eastAsia" w:ascii="宋体" w:hAnsi="宋体" w:eastAsia="宋体" w:cs="宋体"/>
                <w:snapToGrid w:val="0"/>
                <w:color w:val="auto"/>
                <w:kern w:val="0"/>
                <w:sz w:val="24"/>
                <w:szCs w:val="24"/>
                <w:highlight w:val="none"/>
              </w:rPr>
              <w:t>”在线解密</w:t>
            </w:r>
            <w:r>
              <w:rPr>
                <w:rFonts w:hint="eastAsia" w:ascii="宋体" w:hAnsi="宋体" w:eastAsia="宋体" w:cs="宋体"/>
                <w:snapToGrid w:val="0"/>
                <w:color w:val="auto"/>
                <w:spacing w:val="-3"/>
                <w:kern w:val="0"/>
                <w:sz w:val="24"/>
                <w:szCs w:val="24"/>
                <w:highlight w:val="none"/>
              </w:rPr>
              <w:t>开</w:t>
            </w:r>
            <w:r>
              <w:rPr>
                <w:rFonts w:hint="eastAsia" w:ascii="宋体" w:hAnsi="宋体" w:eastAsia="宋体" w:cs="宋体"/>
                <w:snapToGrid w:val="0"/>
                <w:color w:val="auto"/>
                <w:spacing w:val="-2"/>
                <w:kern w:val="0"/>
                <w:sz w:val="24"/>
                <w:szCs w:val="24"/>
                <w:highlight w:val="none"/>
              </w:rPr>
              <w:t>启。</w:t>
            </w:r>
          </w:p>
        </w:tc>
      </w:tr>
      <w:tr w14:paraId="5F652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269145E9">
            <w:pPr>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rPr>
            </w:pPr>
          </w:p>
          <w:p w14:paraId="2E33C3CD">
            <w:pPr>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rPr>
            </w:pPr>
          </w:p>
          <w:p w14:paraId="12EB663E">
            <w:pPr>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rPr>
            </w:pPr>
          </w:p>
          <w:p w14:paraId="6BBE1909">
            <w:pPr>
              <w:keepNext w:val="0"/>
              <w:keepLines w:val="0"/>
              <w:pageBreakBefore w:val="0"/>
              <w:widowControl w:val="0"/>
              <w:kinsoku w:val="0"/>
              <w:wordWrap/>
              <w:overflowPunct/>
              <w:topLinePunct w:val="0"/>
              <w:autoSpaceDE w:val="0"/>
              <w:autoSpaceDN w:val="0"/>
              <w:bidi w:val="0"/>
              <w:adjustRightInd w:val="0"/>
              <w:snapToGrid w:val="0"/>
              <w:spacing w:line="262" w:lineRule="auto"/>
              <w:jc w:val="left"/>
              <w:textAlignment w:val="baseline"/>
              <w:rPr>
                <w:rFonts w:hint="eastAsia" w:ascii="宋体" w:hAnsi="宋体" w:eastAsia="宋体" w:cs="宋体"/>
                <w:snapToGrid w:val="0"/>
                <w:color w:val="auto"/>
                <w:kern w:val="0"/>
                <w:sz w:val="24"/>
                <w:szCs w:val="24"/>
                <w:highlight w:val="none"/>
              </w:rPr>
            </w:pPr>
          </w:p>
          <w:p w14:paraId="76D3572B">
            <w:pPr>
              <w:keepNext w:val="0"/>
              <w:keepLines w:val="0"/>
              <w:pageBreakBefore w:val="0"/>
              <w:widowControl w:val="0"/>
              <w:kinsoku w:val="0"/>
              <w:wordWrap/>
              <w:overflowPunct/>
              <w:topLinePunct w:val="0"/>
              <w:autoSpaceDE w:val="0"/>
              <w:autoSpaceDN w:val="0"/>
              <w:bidi w:val="0"/>
              <w:adjustRightInd w:val="0"/>
              <w:snapToGrid w:val="0"/>
              <w:spacing w:line="262" w:lineRule="auto"/>
              <w:jc w:val="left"/>
              <w:textAlignment w:val="baseline"/>
              <w:rPr>
                <w:rFonts w:hint="eastAsia" w:ascii="宋体" w:hAnsi="宋体" w:eastAsia="宋体" w:cs="宋体"/>
                <w:snapToGrid w:val="0"/>
                <w:color w:val="auto"/>
                <w:kern w:val="0"/>
                <w:sz w:val="24"/>
                <w:szCs w:val="24"/>
                <w:highlight w:val="none"/>
              </w:rPr>
            </w:pPr>
          </w:p>
          <w:p w14:paraId="24C3F1DA">
            <w:pPr>
              <w:keepNext w:val="0"/>
              <w:keepLines w:val="0"/>
              <w:pageBreakBefore w:val="0"/>
              <w:widowControl w:val="0"/>
              <w:kinsoku w:val="0"/>
              <w:wordWrap/>
              <w:overflowPunct/>
              <w:topLinePunct w:val="0"/>
              <w:autoSpaceDE w:val="0"/>
              <w:autoSpaceDN w:val="0"/>
              <w:bidi w:val="0"/>
              <w:adjustRightInd w:val="0"/>
              <w:snapToGrid w:val="0"/>
              <w:spacing w:before="90" w:line="163" w:lineRule="auto"/>
              <w:ind w:left="31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sz w:val="24"/>
                <w:szCs w:val="24"/>
                <w:highlight w:val="none"/>
              </w:rPr>
              <w:t>1</w:t>
            </w:r>
            <w:r>
              <w:rPr>
                <w:rFonts w:hint="eastAsia" w:ascii="宋体" w:hAnsi="宋体" w:eastAsia="宋体" w:cs="宋体"/>
                <w:snapToGrid w:val="0"/>
                <w:color w:val="auto"/>
                <w:spacing w:val="-14"/>
                <w:kern w:val="0"/>
                <w:sz w:val="24"/>
                <w:szCs w:val="24"/>
                <w:highlight w:val="none"/>
              </w:rPr>
              <w:t>4</w:t>
            </w:r>
          </w:p>
        </w:tc>
        <w:tc>
          <w:tcPr>
            <w:tcW w:w="816" w:type="dxa"/>
            <w:gridSpan w:val="2"/>
            <w:noWrap/>
          </w:tcPr>
          <w:p w14:paraId="0C21FAF6">
            <w:pPr>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rPr>
            </w:pPr>
          </w:p>
          <w:p w14:paraId="0EA55CC7">
            <w:pPr>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rPr>
            </w:pPr>
          </w:p>
          <w:p w14:paraId="78E4F49D">
            <w:pPr>
              <w:keepNext w:val="0"/>
              <w:keepLines w:val="0"/>
              <w:pageBreakBefore w:val="0"/>
              <w:widowControl w:val="0"/>
              <w:kinsoku w:val="0"/>
              <w:wordWrap/>
              <w:overflowPunct/>
              <w:topLinePunct w:val="0"/>
              <w:autoSpaceDE w:val="0"/>
              <w:autoSpaceDN w:val="0"/>
              <w:bidi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rPr>
            </w:pPr>
          </w:p>
          <w:p w14:paraId="02891F54">
            <w:pPr>
              <w:keepNext w:val="0"/>
              <w:keepLines w:val="0"/>
              <w:pageBreakBefore w:val="0"/>
              <w:widowControl w:val="0"/>
              <w:kinsoku w:val="0"/>
              <w:wordWrap/>
              <w:overflowPunct/>
              <w:topLinePunct w:val="0"/>
              <w:autoSpaceDE w:val="0"/>
              <w:autoSpaceDN w:val="0"/>
              <w:bidi w:val="0"/>
              <w:adjustRightInd w:val="0"/>
              <w:snapToGrid w:val="0"/>
              <w:spacing w:line="262" w:lineRule="auto"/>
              <w:jc w:val="left"/>
              <w:textAlignment w:val="baseline"/>
              <w:rPr>
                <w:rFonts w:hint="eastAsia" w:ascii="宋体" w:hAnsi="宋体" w:eastAsia="宋体" w:cs="宋体"/>
                <w:snapToGrid w:val="0"/>
                <w:color w:val="auto"/>
                <w:kern w:val="0"/>
                <w:sz w:val="24"/>
                <w:szCs w:val="24"/>
                <w:highlight w:val="none"/>
              </w:rPr>
            </w:pPr>
          </w:p>
          <w:p w14:paraId="61838965">
            <w:pPr>
              <w:keepNext w:val="0"/>
              <w:keepLines w:val="0"/>
              <w:pageBreakBefore w:val="0"/>
              <w:widowControl w:val="0"/>
              <w:kinsoku w:val="0"/>
              <w:wordWrap/>
              <w:overflowPunct/>
              <w:topLinePunct w:val="0"/>
              <w:autoSpaceDE w:val="0"/>
              <w:autoSpaceDN w:val="0"/>
              <w:bidi w:val="0"/>
              <w:adjustRightInd w:val="0"/>
              <w:snapToGrid w:val="0"/>
              <w:spacing w:line="262" w:lineRule="auto"/>
              <w:jc w:val="left"/>
              <w:textAlignment w:val="baseline"/>
              <w:rPr>
                <w:rFonts w:hint="eastAsia" w:ascii="宋体" w:hAnsi="宋体" w:eastAsia="宋体" w:cs="宋体"/>
                <w:snapToGrid w:val="0"/>
                <w:color w:val="auto"/>
                <w:kern w:val="0"/>
                <w:sz w:val="24"/>
                <w:szCs w:val="24"/>
                <w:highlight w:val="none"/>
              </w:rPr>
            </w:pPr>
          </w:p>
          <w:p w14:paraId="0E3AC429">
            <w:pPr>
              <w:keepNext w:val="0"/>
              <w:keepLines w:val="0"/>
              <w:pageBreakBefore w:val="0"/>
              <w:widowControl w:val="0"/>
              <w:kinsoku w:val="0"/>
              <w:wordWrap/>
              <w:overflowPunct/>
              <w:topLinePunct w:val="0"/>
              <w:autoSpaceDE w:val="0"/>
              <w:autoSpaceDN w:val="0"/>
              <w:bidi w:val="0"/>
              <w:adjustRightInd w:val="0"/>
              <w:snapToGrid w:val="0"/>
              <w:spacing w:before="90" w:line="163" w:lineRule="auto"/>
              <w:ind w:left="304"/>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2"/>
                <w:kern w:val="0"/>
                <w:sz w:val="24"/>
                <w:szCs w:val="24"/>
                <w:highlight w:val="none"/>
              </w:rPr>
              <w:t>23</w:t>
            </w:r>
          </w:p>
        </w:tc>
        <w:tc>
          <w:tcPr>
            <w:tcW w:w="1324" w:type="dxa"/>
            <w:gridSpan w:val="2"/>
            <w:noWrap/>
          </w:tcPr>
          <w:p w14:paraId="7F84028D">
            <w:pPr>
              <w:keepNext w:val="0"/>
              <w:keepLines w:val="0"/>
              <w:pageBreakBefore w:val="0"/>
              <w:widowControl w:val="0"/>
              <w:kinsoku w:val="0"/>
              <w:wordWrap/>
              <w:overflowPunct/>
              <w:topLinePunct w:val="0"/>
              <w:autoSpaceDE w:val="0"/>
              <w:autoSpaceDN w:val="0"/>
              <w:bidi w:val="0"/>
              <w:adjustRightInd w:val="0"/>
              <w:snapToGrid w:val="0"/>
              <w:spacing w:line="305" w:lineRule="auto"/>
              <w:jc w:val="left"/>
              <w:textAlignment w:val="baseline"/>
              <w:rPr>
                <w:rFonts w:hint="eastAsia" w:ascii="宋体" w:hAnsi="宋体" w:eastAsia="宋体" w:cs="宋体"/>
                <w:snapToGrid w:val="0"/>
                <w:color w:val="auto"/>
                <w:kern w:val="0"/>
                <w:sz w:val="24"/>
                <w:szCs w:val="24"/>
                <w:highlight w:val="none"/>
              </w:rPr>
            </w:pPr>
          </w:p>
          <w:p w14:paraId="0662DB21">
            <w:pPr>
              <w:keepNext w:val="0"/>
              <w:keepLines w:val="0"/>
              <w:pageBreakBefore w:val="0"/>
              <w:widowControl w:val="0"/>
              <w:kinsoku w:val="0"/>
              <w:wordWrap/>
              <w:overflowPunct/>
              <w:topLinePunct w:val="0"/>
              <w:autoSpaceDE w:val="0"/>
              <w:autoSpaceDN w:val="0"/>
              <w:bidi w:val="0"/>
              <w:adjustRightInd w:val="0"/>
              <w:snapToGrid w:val="0"/>
              <w:spacing w:line="305" w:lineRule="auto"/>
              <w:jc w:val="left"/>
              <w:textAlignment w:val="baseline"/>
              <w:rPr>
                <w:rFonts w:hint="eastAsia" w:ascii="宋体" w:hAnsi="宋体" w:eastAsia="宋体" w:cs="宋体"/>
                <w:snapToGrid w:val="0"/>
                <w:color w:val="auto"/>
                <w:kern w:val="0"/>
                <w:sz w:val="24"/>
                <w:szCs w:val="24"/>
                <w:highlight w:val="none"/>
              </w:rPr>
            </w:pPr>
          </w:p>
          <w:p w14:paraId="197D36DD">
            <w:pPr>
              <w:keepNext w:val="0"/>
              <w:keepLines w:val="0"/>
              <w:pageBreakBefore w:val="0"/>
              <w:widowControl w:val="0"/>
              <w:kinsoku w:val="0"/>
              <w:wordWrap/>
              <w:overflowPunct/>
              <w:topLinePunct w:val="0"/>
              <w:autoSpaceDE w:val="0"/>
              <w:autoSpaceDN w:val="0"/>
              <w:bidi w:val="0"/>
              <w:adjustRightInd w:val="0"/>
              <w:snapToGrid w:val="0"/>
              <w:spacing w:line="306" w:lineRule="auto"/>
              <w:jc w:val="left"/>
              <w:textAlignment w:val="baseline"/>
              <w:rPr>
                <w:rFonts w:hint="eastAsia" w:ascii="宋体" w:hAnsi="宋体" w:eastAsia="宋体" w:cs="宋体"/>
                <w:snapToGrid w:val="0"/>
                <w:color w:val="auto"/>
                <w:kern w:val="0"/>
                <w:sz w:val="24"/>
                <w:szCs w:val="24"/>
                <w:highlight w:val="none"/>
              </w:rPr>
            </w:pPr>
          </w:p>
          <w:p w14:paraId="73AE86C3">
            <w:pPr>
              <w:keepNext w:val="0"/>
              <w:keepLines w:val="0"/>
              <w:pageBreakBefore w:val="0"/>
              <w:widowControl w:val="0"/>
              <w:kinsoku w:val="0"/>
              <w:wordWrap/>
              <w:overflowPunct/>
              <w:topLinePunct w:val="0"/>
              <w:autoSpaceDE w:val="0"/>
              <w:autoSpaceDN w:val="0"/>
              <w:bidi w:val="0"/>
              <w:adjustRightInd w:val="0"/>
              <w:snapToGrid w:val="0"/>
              <w:spacing w:before="90" w:line="187" w:lineRule="auto"/>
              <w:ind w:left="245"/>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成交公告</w:t>
            </w:r>
          </w:p>
          <w:p w14:paraId="623B407C">
            <w:pPr>
              <w:keepNext w:val="0"/>
              <w:keepLines w:val="0"/>
              <w:pageBreakBefore w:val="0"/>
              <w:widowControl w:val="0"/>
              <w:kinsoku w:val="0"/>
              <w:wordWrap/>
              <w:overflowPunct/>
              <w:topLinePunct w:val="0"/>
              <w:autoSpaceDE w:val="0"/>
              <w:autoSpaceDN w:val="0"/>
              <w:bidi w:val="0"/>
              <w:adjustRightInd w:val="0"/>
              <w:snapToGrid w:val="0"/>
              <w:spacing w:before="79" w:line="187" w:lineRule="auto"/>
              <w:ind w:left="137"/>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及成</w:t>
            </w:r>
            <w:r>
              <w:rPr>
                <w:rFonts w:hint="eastAsia" w:ascii="宋体" w:hAnsi="宋体" w:eastAsia="宋体" w:cs="宋体"/>
                <w:snapToGrid w:val="0"/>
                <w:color w:val="auto"/>
                <w:kern w:val="0"/>
                <w:sz w:val="24"/>
                <w:szCs w:val="24"/>
                <w:highlight w:val="none"/>
              </w:rPr>
              <w:t>交通知书</w:t>
            </w:r>
          </w:p>
        </w:tc>
        <w:tc>
          <w:tcPr>
            <w:tcW w:w="6587" w:type="dxa"/>
            <w:noWrap/>
          </w:tcPr>
          <w:p w14:paraId="1625D088">
            <w:pPr>
              <w:keepNext w:val="0"/>
              <w:keepLines w:val="0"/>
              <w:pageBreakBefore w:val="0"/>
              <w:widowControl w:val="0"/>
              <w:kinsoku w:val="0"/>
              <w:wordWrap/>
              <w:overflowPunct/>
              <w:topLinePunct w:val="0"/>
              <w:autoSpaceDE w:val="0"/>
              <w:autoSpaceDN w:val="0"/>
              <w:bidi w:val="0"/>
              <w:adjustRightInd w:val="0"/>
              <w:snapToGrid w:val="0"/>
              <w:spacing w:before="109" w:line="230" w:lineRule="auto"/>
              <w:ind w:left="111" w:right="106" w:firstLine="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6"/>
                <w:kern w:val="0"/>
                <w:sz w:val="24"/>
                <w:szCs w:val="24"/>
                <w:highlight w:val="none"/>
              </w:rPr>
              <w:t>1、采购代理机构于评审结束后两个工作日内将评审报告送交采购</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人</w:t>
            </w:r>
            <w:r>
              <w:rPr>
                <w:rFonts w:hint="eastAsia" w:ascii="宋体" w:hAnsi="宋体" w:eastAsia="宋体" w:cs="宋体"/>
                <w:snapToGrid w:val="0"/>
                <w:color w:val="auto"/>
                <w:spacing w:val="3"/>
                <w:kern w:val="0"/>
                <w:sz w:val="24"/>
                <w:szCs w:val="24"/>
                <w:highlight w:val="none"/>
              </w:rPr>
              <w:t>，</w:t>
            </w:r>
            <w:r>
              <w:rPr>
                <w:rFonts w:hint="eastAsia" w:ascii="宋体" w:hAnsi="宋体" w:eastAsia="宋体" w:cs="宋体"/>
                <w:snapToGrid w:val="0"/>
                <w:color w:val="auto"/>
                <w:spacing w:val="2"/>
                <w:kern w:val="0"/>
                <w:sz w:val="24"/>
                <w:szCs w:val="24"/>
                <w:highlight w:val="none"/>
              </w:rPr>
              <w:t>采购人应当自收到评审报告五个工作日内在评审报告推荐的成交</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4"/>
                <w:kern w:val="0"/>
                <w:sz w:val="24"/>
                <w:szCs w:val="24"/>
                <w:highlight w:val="none"/>
              </w:rPr>
              <w:t>候选</w:t>
            </w:r>
            <w:r>
              <w:rPr>
                <w:rFonts w:hint="eastAsia" w:ascii="宋体" w:hAnsi="宋体" w:eastAsia="宋体" w:cs="宋体"/>
                <w:snapToGrid w:val="0"/>
                <w:color w:val="auto"/>
                <w:spacing w:val="2"/>
                <w:kern w:val="0"/>
                <w:sz w:val="24"/>
                <w:szCs w:val="24"/>
                <w:highlight w:val="none"/>
              </w:rPr>
              <w:t>服务商中按顺序确定成交服务商，采购代理机构在成交服务商确</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spacing w:val="-2"/>
                <w:kern w:val="0"/>
                <w:sz w:val="24"/>
                <w:szCs w:val="24"/>
                <w:highlight w:val="none"/>
              </w:rPr>
              <w:t>定之日起两个工作日内发出成交通知书，并在指定媒体上公告成</w:t>
            </w:r>
            <w:r>
              <w:rPr>
                <w:rFonts w:hint="eastAsia" w:ascii="宋体" w:hAnsi="宋体" w:eastAsia="宋体" w:cs="宋体"/>
                <w:snapToGrid w:val="0"/>
                <w:color w:val="auto"/>
                <w:kern w:val="0"/>
                <w:sz w:val="24"/>
                <w:szCs w:val="24"/>
                <w:highlight w:val="none"/>
              </w:rPr>
              <w:t xml:space="preserve">交信 </w:t>
            </w:r>
            <w:r>
              <w:rPr>
                <w:rFonts w:hint="eastAsia" w:ascii="宋体" w:hAnsi="宋体" w:eastAsia="宋体" w:cs="宋体"/>
                <w:snapToGrid w:val="0"/>
                <w:color w:val="auto"/>
                <w:spacing w:val="-4"/>
                <w:kern w:val="0"/>
                <w:sz w:val="24"/>
                <w:szCs w:val="24"/>
                <w:highlight w:val="none"/>
              </w:rPr>
              <w:t>息。</w:t>
            </w:r>
          </w:p>
          <w:p w14:paraId="43BDB212">
            <w:pPr>
              <w:keepNext w:val="0"/>
              <w:keepLines w:val="0"/>
              <w:pageBreakBefore w:val="0"/>
              <w:widowControl w:val="0"/>
              <w:kinsoku w:val="0"/>
              <w:wordWrap/>
              <w:overflowPunct/>
              <w:topLinePunct w:val="0"/>
              <w:autoSpaceDE w:val="0"/>
              <w:autoSpaceDN w:val="0"/>
              <w:bidi w:val="0"/>
              <w:adjustRightInd w:val="0"/>
              <w:snapToGrid w:val="0"/>
              <w:spacing w:before="75" w:line="216" w:lineRule="auto"/>
              <w:ind w:left="113" w:right="105" w:hanging="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2、</w:t>
            </w:r>
            <w:r>
              <w:rPr>
                <w:rFonts w:hint="eastAsia" w:ascii="宋体" w:hAnsi="宋体" w:eastAsia="宋体" w:cs="宋体"/>
                <w:snapToGrid w:val="0"/>
                <w:color w:val="auto"/>
                <w:kern w:val="0"/>
                <w:sz w:val="24"/>
                <w:szCs w:val="24"/>
                <w:highlight w:val="none"/>
              </w:rPr>
              <w:t xml:space="preserve"> 在发布成交公告的同时，采购代理机构向成交服务商发出成交通 </w:t>
            </w:r>
            <w:r>
              <w:rPr>
                <w:rFonts w:hint="eastAsia" w:ascii="宋体" w:hAnsi="宋体" w:eastAsia="宋体" w:cs="宋体"/>
                <w:snapToGrid w:val="0"/>
                <w:color w:val="auto"/>
                <w:spacing w:val="-1"/>
                <w:kern w:val="0"/>
                <w:sz w:val="24"/>
                <w:szCs w:val="24"/>
                <w:highlight w:val="none"/>
              </w:rPr>
              <w:t>知</w:t>
            </w:r>
            <w:r>
              <w:rPr>
                <w:rFonts w:hint="eastAsia" w:ascii="宋体" w:hAnsi="宋体" w:eastAsia="宋体" w:cs="宋体"/>
                <w:snapToGrid w:val="0"/>
                <w:color w:val="auto"/>
                <w:kern w:val="0"/>
                <w:sz w:val="24"/>
                <w:szCs w:val="24"/>
                <w:highlight w:val="none"/>
              </w:rPr>
              <w:t xml:space="preserve">书 。成交服务商应自接到通知之日起七个工作日内，办理成交通知 </w:t>
            </w:r>
            <w:r>
              <w:rPr>
                <w:rFonts w:hint="eastAsia" w:ascii="宋体" w:hAnsi="宋体" w:eastAsia="宋体" w:cs="宋体"/>
                <w:snapToGrid w:val="0"/>
                <w:color w:val="auto"/>
                <w:spacing w:val="-2"/>
                <w:kern w:val="0"/>
                <w:sz w:val="24"/>
                <w:szCs w:val="24"/>
                <w:highlight w:val="none"/>
              </w:rPr>
              <w:t>书</w:t>
            </w:r>
            <w:r>
              <w:rPr>
                <w:rFonts w:hint="eastAsia" w:ascii="宋体" w:hAnsi="宋体" w:eastAsia="宋体" w:cs="宋体"/>
                <w:snapToGrid w:val="0"/>
                <w:color w:val="auto"/>
                <w:spacing w:val="-1"/>
                <w:kern w:val="0"/>
                <w:sz w:val="24"/>
                <w:szCs w:val="24"/>
                <w:highlight w:val="none"/>
              </w:rPr>
              <w:t>领取手续。</w:t>
            </w:r>
          </w:p>
        </w:tc>
      </w:tr>
      <w:tr w14:paraId="7BDE2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0752EA27">
            <w:pPr>
              <w:keepNext w:val="0"/>
              <w:keepLines w:val="0"/>
              <w:pageBreakBefore w:val="0"/>
              <w:widowControl w:val="0"/>
              <w:kinsoku w:val="0"/>
              <w:wordWrap/>
              <w:overflowPunct/>
              <w:topLinePunct w:val="0"/>
              <w:autoSpaceDE w:val="0"/>
              <w:autoSpaceDN w:val="0"/>
              <w:bidi w:val="0"/>
              <w:adjustRightInd w:val="0"/>
              <w:snapToGrid w:val="0"/>
              <w:spacing w:before="143" w:line="220" w:lineRule="exact"/>
              <w:ind w:left="31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position w:val="-1"/>
                <w:sz w:val="24"/>
                <w:szCs w:val="24"/>
                <w:highlight w:val="none"/>
              </w:rPr>
              <w:t>1</w:t>
            </w:r>
            <w:r>
              <w:rPr>
                <w:rFonts w:hint="eastAsia" w:ascii="宋体" w:hAnsi="宋体" w:eastAsia="宋体" w:cs="宋体"/>
                <w:snapToGrid w:val="0"/>
                <w:color w:val="auto"/>
                <w:spacing w:val="-14"/>
                <w:kern w:val="0"/>
                <w:position w:val="-1"/>
                <w:sz w:val="24"/>
                <w:szCs w:val="24"/>
                <w:highlight w:val="none"/>
              </w:rPr>
              <w:t>5</w:t>
            </w:r>
          </w:p>
        </w:tc>
        <w:tc>
          <w:tcPr>
            <w:tcW w:w="816" w:type="dxa"/>
            <w:gridSpan w:val="2"/>
            <w:noWrap/>
          </w:tcPr>
          <w:p w14:paraId="12ED91C5">
            <w:pPr>
              <w:keepNext w:val="0"/>
              <w:keepLines w:val="0"/>
              <w:pageBreakBefore w:val="0"/>
              <w:widowControl w:val="0"/>
              <w:kinsoku w:val="0"/>
              <w:wordWrap/>
              <w:overflowPunct/>
              <w:topLinePunct w:val="0"/>
              <w:autoSpaceDE w:val="0"/>
              <w:autoSpaceDN w:val="0"/>
              <w:bidi w:val="0"/>
              <w:adjustRightInd w:val="0"/>
              <w:snapToGrid w:val="0"/>
              <w:spacing w:before="143" w:line="220" w:lineRule="exact"/>
              <w:ind w:left="203"/>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position w:val="-1"/>
                <w:sz w:val="24"/>
                <w:szCs w:val="24"/>
                <w:highlight w:val="none"/>
              </w:rPr>
              <w:t>24</w:t>
            </w:r>
          </w:p>
        </w:tc>
        <w:tc>
          <w:tcPr>
            <w:tcW w:w="1324" w:type="dxa"/>
            <w:gridSpan w:val="2"/>
            <w:noWrap/>
          </w:tcPr>
          <w:p w14:paraId="3EFDDD80">
            <w:pPr>
              <w:keepNext w:val="0"/>
              <w:keepLines w:val="0"/>
              <w:pageBreakBefore w:val="0"/>
              <w:widowControl w:val="0"/>
              <w:kinsoku w:val="0"/>
              <w:wordWrap/>
              <w:overflowPunct/>
              <w:topLinePunct w:val="0"/>
              <w:autoSpaceDE w:val="0"/>
              <w:autoSpaceDN w:val="0"/>
              <w:bidi w:val="0"/>
              <w:adjustRightInd w:val="0"/>
              <w:snapToGrid w:val="0"/>
              <w:spacing w:before="110" w:line="169" w:lineRule="auto"/>
              <w:ind w:left="14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履约保证金</w:t>
            </w:r>
          </w:p>
        </w:tc>
        <w:tc>
          <w:tcPr>
            <w:tcW w:w="6587" w:type="dxa"/>
            <w:noWrap/>
          </w:tcPr>
          <w:p w14:paraId="2C27546A">
            <w:pPr>
              <w:keepNext w:val="0"/>
              <w:keepLines w:val="0"/>
              <w:pageBreakBefore w:val="0"/>
              <w:widowControl w:val="0"/>
              <w:kinsoku w:val="0"/>
              <w:wordWrap/>
              <w:overflowPunct/>
              <w:topLinePunct w:val="0"/>
              <w:autoSpaceDE w:val="0"/>
              <w:autoSpaceDN w:val="0"/>
              <w:bidi w:val="0"/>
              <w:adjustRightInd w:val="0"/>
              <w:snapToGrid w:val="0"/>
              <w:spacing w:before="110" w:line="169" w:lineRule="auto"/>
              <w:ind w:left="11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本项目不收取</w:t>
            </w:r>
            <w:r>
              <w:rPr>
                <w:rFonts w:hint="eastAsia" w:ascii="宋体" w:hAnsi="宋体" w:eastAsia="宋体" w:cs="宋体"/>
                <w:snapToGrid w:val="0"/>
                <w:color w:val="auto"/>
                <w:kern w:val="0"/>
                <w:sz w:val="24"/>
                <w:szCs w:val="24"/>
                <w:highlight w:val="none"/>
              </w:rPr>
              <w:t>履约保证金。</w:t>
            </w:r>
          </w:p>
        </w:tc>
      </w:tr>
      <w:tr w14:paraId="2752A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13F09AB4">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311"/>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6"/>
                <w:kern w:val="0"/>
                <w:position w:val="-1"/>
                <w:sz w:val="24"/>
                <w:szCs w:val="24"/>
                <w:highlight w:val="none"/>
              </w:rPr>
              <w:t>1</w:t>
            </w:r>
            <w:r>
              <w:rPr>
                <w:rFonts w:hint="eastAsia" w:ascii="宋体" w:hAnsi="宋体" w:eastAsia="宋体" w:cs="宋体"/>
                <w:snapToGrid w:val="0"/>
                <w:color w:val="auto"/>
                <w:spacing w:val="-14"/>
                <w:kern w:val="0"/>
                <w:position w:val="-1"/>
                <w:sz w:val="24"/>
                <w:szCs w:val="24"/>
                <w:highlight w:val="none"/>
              </w:rPr>
              <w:t>6</w:t>
            </w:r>
          </w:p>
        </w:tc>
        <w:tc>
          <w:tcPr>
            <w:tcW w:w="816" w:type="dxa"/>
            <w:gridSpan w:val="2"/>
            <w:vMerge w:val="restart"/>
            <w:noWrap/>
          </w:tcPr>
          <w:p w14:paraId="106BA2C4">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203"/>
              <w:jc w:val="left"/>
              <w:textAlignment w:val="baseline"/>
              <w:rPr>
                <w:rFonts w:hint="eastAsia" w:ascii="宋体" w:hAnsi="宋体" w:eastAsia="宋体" w:cs="宋体"/>
                <w:snapToGrid w:val="0"/>
                <w:color w:val="auto"/>
                <w:spacing w:val="-2"/>
                <w:kern w:val="0"/>
                <w:position w:val="-1"/>
                <w:sz w:val="24"/>
                <w:szCs w:val="24"/>
                <w:highlight w:val="none"/>
              </w:rPr>
            </w:pPr>
            <w:r>
              <w:rPr>
                <w:rFonts w:hint="eastAsia" w:ascii="宋体" w:hAnsi="宋体" w:eastAsia="宋体" w:cs="宋体"/>
                <w:snapToGrid w:val="0"/>
                <w:color w:val="auto"/>
                <w:spacing w:val="-2"/>
                <w:kern w:val="0"/>
                <w:position w:val="-1"/>
                <w:sz w:val="24"/>
                <w:szCs w:val="24"/>
                <w:highlight w:val="none"/>
              </w:rPr>
              <w:t>25</w:t>
            </w:r>
          </w:p>
          <w:p w14:paraId="0C4FF599">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203"/>
              <w:jc w:val="left"/>
              <w:textAlignment w:val="baseline"/>
              <w:rPr>
                <w:rFonts w:hint="eastAsia" w:ascii="宋体" w:hAnsi="宋体" w:eastAsia="宋体" w:cs="宋体"/>
                <w:snapToGrid w:val="0"/>
                <w:color w:val="auto"/>
                <w:spacing w:val="-16"/>
                <w:kern w:val="0"/>
                <w:sz w:val="24"/>
                <w:szCs w:val="24"/>
                <w:highlight w:val="none"/>
              </w:rPr>
            </w:pPr>
          </w:p>
          <w:p w14:paraId="728DB17E">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203"/>
              <w:jc w:val="left"/>
              <w:textAlignment w:val="baseline"/>
              <w:rPr>
                <w:rFonts w:hint="eastAsia" w:ascii="宋体" w:hAnsi="宋体" w:eastAsia="宋体" w:cs="宋体"/>
                <w:snapToGrid w:val="0"/>
                <w:color w:val="auto"/>
                <w:spacing w:val="-2"/>
                <w:kern w:val="0"/>
                <w:position w:val="-1"/>
                <w:sz w:val="24"/>
                <w:szCs w:val="24"/>
                <w:highlight w:val="none"/>
              </w:rPr>
            </w:pPr>
          </w:p>
        </w:tc>
        <w:tc>
          <w:tcPr>
            <w:tcW w:w="1324" w:type="dxa"/>
            <w:gridSpan w:val="2"/>
            <w:noWrap/>
          </w:tcPr>
          <w:p w14:paraId="40DF107B">
            <w:pPr>
              <w:keepNext w:val="0"/>
              <w:keepLines w:val="0"/>
              <w:pageBreakBefore w:val="0"/>
              <w:widowControl w:val="0"/>
              <w:kinsoku w:val="0"/>
              <w:wordWrap/>
              <w:overflowPunct/>
              <w:topLinePunct w:val="0"/>
              <w:autoSpaceDE w:val="0"/>
              <w:autoSpaceDN w:val="0"/>
              <w:bidi w:val="0"/>
              <w:adjustRightInd w:val="0"/>
              <w:snapToGrid w:val="0"/>
              <w:spacing w:before="111" w:line="175" w:lineRule="auto"/>
              <w:ind w:left="138"/>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签订</w:t>
            </w:r>
            <w:r>
              <w:rPr>
                <w:rFonts w:hint="eastAsia" w:ascii="宋体" w:hAnsi="宋体" w:eastAsia="宋体" w:cs="宋体"/>
                <w:snapToGrid w:val="0"/>
                <w:color w:val="auto"/>
                <w:kern w:val="0"/>
                <w:sz w:val="24"/>
                <w:szCs w:val="24"/>
                <w:highlight w:val="none"/>
              </w:rPr>
              <w:t>合同时间</w:t>
            </w:r>
          </w:p>
        </w:tc>
        <w:tc>
          <w:tcPr>
            <w:tcW w:w="6587" w:type="dxa"/>
            <w:noWrap/>
          </w:tcPr>
          <w:p w14:paraId="48881321">
            <w:pPr>
              <w:keepNext w:val="0"/>
              <w:keepLines w:val="0"/>
              <w:pageBreakBefore w:val="0"/>
              <w:widowControl w:val="0"/>
              <w:kinsoku w:val="0"/>
              <w:wordWrap/>
              <w:overflowPunct/>
              <w:topLinePunct w:val="0"/>
              <w:autoSpaceDE w:val="0"/>
              <w:autoSpaceDN w:val="0"/>
              <w:bidi w:val="0"/>
              <w:adjustRightInd w:val="0"/>
              <w:snapToGrid w:val="0"/>
              <w:spacing w:before="111" w:line="175" w:lineRule="auto"/>
              <w:ind w:left="112"/>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8"/>
                <w:kern w:val="0"/>
                <w:sz w:val="24"/>
                <w:szCs w:val="24"/>
                <w:highlight w:val="none"/>
              </w:rPr>
              <w:t>成交通知</w:t>
            </w:r>
            <w:r>
              <w:rPr>
                <w:rFonts w:hint="eastAsia" w:ascii="宋体" w:hAnsi="宋体" w:eastAsia="宋体" w:cs="宋体"/>
                <w:snapToGrid w:val="0"/>
                <w:color w:val="auto"/>
                <w:spacing w:val="-7"/>
                <w:kern w:val="0"/>
                <w:sz w:val="24"/>
                <w:szCs w:val="24"/>
                <w:highlight w:val="none"/>
              </w:rPr>
              <w:t>书</w:t>
            </w:r>
            <w:r>
              <w:rPr>
                <w:rFonts w:hint="eastAsia" w:ascii="宋体" w:hAnsi="宋体" w:eastAsia="宋体" w:cs="宋体"/>
                <w:snapToGrid w:val="0"/>
                <w:color w:val="auto"/>
                <w:spacing w:val="-4"/>
                <w:kern w:val="0"/>
                <w:sz w:val="24"/>
                <w:szCs w:val="24"/>
                <w:highlight w:val="none"/>
              </w:rPr>
              <w:t xml:space="preserve">发出之日起 </w:t>
            </w:r>
            <w:r>
              <w:rPr>
                <w:rFonts w:hint="eastAsia" w:ascii="宋体" w:hAnsi="宋体" w:eastAsia="宋体" w:cs="宋体"/>
                <w:snapToGrid w:val="0"/>
                <w:color w:val="auto"/>
                <w:spacing w:val="-4"/>
                <w:kern w:val="0"/>
                <w:sz w:val="24"/>
                <w:szCs w:val="24"/>
                <w:highlight w:val="none"/>
                <w:u w:val="single"/>
              </w:rPr>
              <w:t xml:space="preserve">15 </w:t>
            </w:r>
            <w:r>
              <w:rPr>
                <w:rFonts w:hint="eastAsia" w:ascii="宋体" w:hAnsi="宋体" w:eastAsia="宋体" w:cs="宋体"/>
                <w:snapToGrid w:val="0"/>
                <w:color w:val="auto"/>
                <w:spacing w:val="-4"/>
                <w:kern w:val="0"/>
                <w:sz w:val="24"/>
                <w:szCs w:val="24"/>
                <w:highlight w:val="none"/>
              </w:rPr>
              <w:t xml:space="preserve"> 日内。成交服务商领取成交通知书后，应按</w:t>
            </w:r>
            <w:r>
              <w:rPr>
                <w:rFonts w:hint="eastAsia" w:ascii="宋体" w:hAnsi="宋体" w:eastAsia="宋体" w:cs="宋体"/>
                <w:snapToGrid w:val="0"/>
                <w:color w:val="auto"/>
                <w:spacing w:val="-1"/>
                <w:kern w:val="0"/>
                <w:sz w:val="24"/>
                <w:szCs w:val="24"/>
                <w:highlight w:val="none"/>
              </w:rPr>
              <w:t>规定与采购人签</w:t>
            </w:r>
            <w:r>
              <w:rPr>
                <w:rFonts w:hint="eastAsia" w:ascii="宋体" w:hAnsi="宋体" w:eastAsia="宋体" w:cs="宋体"/>
                <w:snapToGrid w:val="0"/>
                <w:color w:val="auto"/>
                <w:kern w:val="0"/>
                <w:sz w:val="24"/>
                <w:szCs w:val="24"/>
                <w:highlight w:val="none"/>
              </w:rPr>
              <w:t>订合同。</w:t>
            </w:r>
          </w:p>
        </w:tc>
      </w:tr>
      <w:tr w14:paraId="1992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tcPr>
          <w:p w14:paraId="28F6F3F5">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311"/>
              <w:jc w:val="left"/>
              <w:textAlignment w:val="baseline"/>
              <w:rPr>
                <w:rFonts w:hint="eastAsia" w:ascii="宋体" w:hAnsi="宋体" w:eastAsia="宋体" w:cs="宋体"/>
                <w:snapToGrid w:val="0"/>
                <w:color w:val="auto"/>
                <w:spacing w:val="-16"/>
                <w:kern w:val="0"/>
                <w:sz w:val="24"/>
                <w:szCs w:val="24"/>
                <w:highlight w:val="none"/>
              </w:rPr>
            </w:pPr>
          </w:p>
          <w:p w14:paraId="24F9D79F">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311"/>
              <w:jc w:val="left"/>
              <w:textAlignment w:val="baseline"/>
              <w:rPr>
                <w:rFonts w:hint="eastAsia" w:ascii="宋体" w:hAnsi="宋体" w:eastAsia="宋体" w:cs="宋体"/>
                <w:snapToGrid w:val="0"/>
                <w:color w:val="auto"/>
                <w:spacing w:val="-16"/>
                <w:kern w:val="0"/>
                <w:position w:val="-1"/>
                <w:sz w:val="24"/>
                <w:szCs w:val="24"/>
                <w:highlight w:val="none"/>
              </w:rPr>
            </w:pPr>
            <w:r>
              <w:rPr>
                <w:rFonts w:hint="eastAsia" w:ascii="宋体" w:hAnsi="宋体" w:eastAsia="宋体" w:cs="宋体"/>
                <w:snapToGrid w:val="0"/>
                <w:color w:val="auto"/>
                <w:spacing w:val="-16"/>
                <w:kern w:val="0"/>
                <w:sz w:val="24"/>
                <w:szCs w:val="24"/>
                <w:highlight w:val="none"/>
              </w:rPr>
              <w:t>1</w:t>
            </w:r>
            <w:r>
              <w:rPr>
                <w:rFonts w:hint="eastAsia" w:ascii="宋体" w:hAnsi="宋体" w:eastAsia="宋体" w:cs="宋体"/>
                <w:snapToGrid w:val="0"/>
                <w:color w:val="auto"/>
                <w:spacing w:val="-14"/>
                <w:kern w:val="0"/>
                <w:sz w:val="24"/>
                <w:szCs w:val="24"/>
                <w:highlight w:val="none"/>
              </w:rPr>
              <w:t>7</w:t>
            </w:r>
          </w:p>
        </w:tc>
        <w:tc>
          <w:tcPr>
            <w:tcW w:w="816" w:type="dxa"/>
            <w:gridSpan w:val="2"/>
            <w:vMerge w:val="continue"/>
            <w:noWrap/>
          </w:tcPr>
          <w:p w14:paraId="1FD1AB88">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203"/>
              <w:jc w:val="left"/>
              <w:textAlignment w:val="baseline"/>
              <w:rPr>
                <w:rFonts w:hint="eastAsia" w:ascii="宋体" w:hAnsi="宋体" w:eastAsia="宋体" w:cs="宋体"/>
                <w:snapToGrid w:val="0"/>
                <w:color w:val="auto"/>
                <w:spacing w:val="-2"/>
                <w:kern w:val="0"/>
                <w:position w:val="-1"/>
                <w:sz w:val="24"/>
                <w:szCs w:val="24"/>
                <w:highlight w:val="none"/>
              </w:rPr>
            </w:pPr>
          </w:p>
        </w:tc>
        <w:tc>
          <w:tcPr>
            <w:tcW w:w="1324" w:type="dxa"/>
            <w:gridSpan w:val="2"/>
            <w:noWrap/>
          </w:tcPr>
          <w:p w14:paraId="49AE3FCC">
            <w:pPr>
              <w:keepNext w:val="0"/>
              <w:keepLines w:val="0"/>
              <w:pageBreakBefore w:val="0"/>
              <w:widowControl w:val="0"/>
              <w:wordWrap/>
              <w:overflowPunct/>
              <w:topLinePunct w:val="0"/>
              <w:bidi w:val="0"/>
              <w:spacing w:line="277" w:lineRule="auto"/>
              <w:rPr>
                <w:rFonts w:hint="eastAsia" w:ascii="宋体" w:hAnsi="宋体" w:eastAsia="宋体" w:cs="宋体"/>
                <w:color w:val="auto"/>
                <w:sz w:val="24"/>
                <w:szCs w:val="24"/>
                <w:highlight w:val="none"/>
              </w:rPr>
            </w:pPr>
          </w:p>
          <w:p w14:paraId="3CD24236">
            <w:pPr>
              <w:keepNext w:val="0"/>
              <w:keepLines w:val="0"/>
              <w:pageBreakBefore w:val="0"/>
              <w:widowControl w:val="0"/>
              <w:wordWrap/>
              <w:overflowPunct/>
              <w:topLinePunct w:val="0"/>
              <w:bidi w:val="0"/>
              <w:spacing w:line="278" w:lineRule="auto"/>
              <w:rPr>
                <w:rFonts w:hint="eastAsia" w:ascii="宋体" w:hAnsi="宋体" w:eastAsia="宋体" w:cs="宋体"/>
                <w:color w:val="auto"/>
                <w:sz w:val="24"/>
                <w:szCs w:val="24"/>
                <w:highlight w:val="none"/>
              </w:rPr>
            </w:pPr>
          </w:p>
          <w:p w14:paraId="6942E7EF">
            <w:pPr>
              <w:keepNext w:val="0"/>
              <w:keepLines w:val="0"/>
              <w:pageBreakBefore w:val="0"/>
              <w:widowControl w:val="0"/>
              <w:wordWrap/>
              <w:overflowPunct/>
              <w:topLinePunct w:val="0"/>
              <w:bidi w:val="0"/>
              <w:spacing w:before="90" w:line="258" w:lineRule="auto"/>
              <w:ind w:left="556" w:right="133" w:hanging="417"/>
              <w:rPr>
                <w:rFonts w:hint="eastAsia" w:ascii="宋体" w:hAnsi="宋体" w:eastAsia="宋体" w:cs="宋体"/>
                <w:snapToGrid w:val="0"/>
                <w:color w:val="auto"/>
                <w:spacing w:val="-1"/>
                <w:kern w:val="0"/>
                <w:sz w:val="24"/>
                <w:szCs w:val="24"/>
                <w:highlight w:val="none"/>
              </w:rPr>
            </w:pPr>
            <w:r>
              <w:rPr>
                <w:rFonts w:hint="eastAsia" w:ascii="宋体" w:hAnsi="宋体" w:eastAsia="宋体" w:cs="宋体"/>
                <w:color w:val="auto"/>
                <w:spacing w:val="-1"/>
                <w:sz w:val="24"/>
                <w:szCs w:val="24"/>
                <w:highlight w:val="none"/>
              </w:rPr>
              <w:t>合同备案</w:t>
            </w:r>
            <w:r>
              <w:rPr>
                <w:rFonts w:hint="eastAsia" w:ascii="宋体" w:hAnsi="宋体" w:eastAsia="宋体" w:cs="宋体"/>
                <w:color w:val="auto"/>
                <w:sz w:val="24"/>
                <w:szCs w:val="24"/>
                <w:highlight w:val="none"/>
              </w:rPr>
              <w:t>存 档</w:t>
            </w:r>
          </w:p>
        </w:tc>
        <w:tc>
          <w:tcPr>
            <w:tcW w:w="6587" w:type="dxa"/>
            <w:noWrap/>
          </w:tcPr>
          <w:p w14:paraId="46C89F41">
            <w:pPr>
              <w:keepNext w:val="0"/>
              <w:keepLines w:val="0"/>
              <w:pageBreakBefore w:val="0"/>
              <w:widowControl w:val="0"/>
              <w:kinsoku w:val="0"/>
              <w:wordWrap/>
              <w:overflowPunct/>
              <w:topLinePunct w:val="0"/>
              <w:autoSpaceDE w:val="0"/>
              <w:autoSpaceDN w:val="0"/>
              <w:bidi w:val="0"/>
              <w:adjustRightInd w:val="0"/>
              <w:snapToGrid w:val="0"/>
              <w:spacing w:before="111" w:line="240" w:lineRule="auto"/>
              <w:ind w:left="113"/>
              <w:jc w:val="left"/>
              <w:textAlignment w:val="baseline"/>
              <w:rPr>
                <w:rFonts w:hint="eastAsia" w:ascii="宋体" w:hAnsi="宋体" w:eastAsia="宋体" w:cs="宋体"/>
                <w:snapToGrid w:val="0"/>
                <w:color w:val="auto"/>
                <w:spacing w:val="-8"/>
                <w:kern w:val="0"/>
                <w:sz w:val="24"/>
                <w:szCs w:val="24"/>
                <w:highlight w:val="none"/>
              </w:rPr>
            </w:pPr>
            <w:r>
              <w:rPr>
                <w:rFonts w:hint="eastAsia" w:ascii="宋体" w:hAnsi="宋体" w:eastAsia="宋体" w:cs="宋体"/>
                <w:color w:val="auto"/>
                <w:sz w:val="24"/>
                <w:szCs w:val="24"/>
                <w:highlight w:val="none"/>
              </w:rPr>
              <w:t>政府采购合同双方自签订之日起 1 个工作日内将合同原件两份交采购代理机构，采购代理机构收到政府采购合同原件后在省级以上人民政府财政部门指定媒体上公告并于合同签订之日起 7 个工作日内将一份 合同原件送采购代理机构存档。</w:t>
            </w:r>
          </w:p>
        </w:tc>
      </w:tr>
      <w:tr w14:paraId="256A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vAlign w:val="center"/>
          </w:tcPr>
          <w:p w14:paraId="1EDB835C">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311"/>
              <w:jc w:val="center"/>
              <w:textAlignment w:val="baseline"/>
              <w:rPr>
                <w:rFonts w:hint="eastAsia" w:ascii="宋体" w:hAnsi="宋体" w:eastAsia="宋体" w:cs="宋体"/>
                <w:snapToGrid w:val="0"/>
                <w:color w:val="auto"/>
                <w:spacing w:val="-16"/>
                <w:kern w:val="0"/>
                <w:sz w:val="24"/>
                <w:szCs w:val="24"/>
                <w:highlight w:val="none"/>
              </w:rPr>
            </w:pPr>
            <w:r>
              <w:rPr>
                <w:rFonts w:hint="eastAsia" w:ascii="宋体" w:hAnsi="宋体" w:eastAsia="宋体" w:cs="宋体"/>
                <w:snapToGrid w:val="0"/>
                <w:color w:val="auto"/>
                <w:spacing w:val="-16"/>
                <w:kern w:val="0"/>
                <w:sz w:val="24"/>
                <w:szCs w:val="24"/>
                <w:highlight w:val="none"/>
              </w:rPr>
              <w:t>1</w:t>
            </w:r>
            <w:r>
              <w:rPr>
                <w:rFonts w:hint="eastAsia" w:ascii="宋体" w:hAnsi="宋体" w:eastAsia="宋体" w:cs="宋体"/>
                <w:snapToGrid w:val="0"/>
                <w:color w:val="auto"/>
                <w:spacing w:val="-14"/>
                <w:kern w:val="0"/>
                <w:sz w:val="24"/>
                <w:szCs w:val="24"/>
                <w:highlight w:val="none"/>
              </w:rPr>
              <w:t>8</w:t>
            </w:r>
          </w:p>
        </w:tc>
        <w:tc>
          <w:tcPr>
            <w:tcW w:w="816" w:type="dxa"/>
            <w:gridSpan w:val="2"/>
            <w:noWrap/>
            <w:vAlign w:val="center"/>
          </w:tcPr>
          <w:p w14:paraId="664B11DF">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203"/>
              <w:jc w:val="center"/>
              <w:textAlignment w:val="baseline"/>
              <w:rPr>
                <w:rFonts w:hint="eastAsia" w:ascii="宋体" w:hAnsi="宋体" w:eastAsia="宋体" w:cs="宋体"/>
                <w:snapToGrid w:val="0"/>
                <w:color w:val="auto"/>
                <w:spacing w:val="-16"/>
                <w:kern w:val="0"/>
                <w:sz w:val="24"/>
                <w:szCs w:val="24"/>
                <w:highlight w:val="none"/>
              </w:rPr>
            </w:pPr>
            <w:r>
              <w:rPr>
                <w:rFonts w:hint="eastAsia" w:ascii="宋体" w:hAnsi="宋体" w:eastAsia="宋体" w:cs="宋体"/>
                <w:snapToGrid w:val="0"/>
                <w:color w:val="auto"/>
                <w:spacing w:val="-2"/>
                <w:kern w:val="0"/>
                <w:sz w:val="24"/>
                <w:szCs w:val="24"/>
                <w:highlight w:val="none"/>
              </w:rPr>
              <w:t>11.4</w:t>
            </w:r>
          </w:p>
        </w:tc>
        <w:tc>
          <w:tcPr>
            <w:tcW w:w="1324" w:type="dxa"/>
            <w:gridSpan w:val="2"/>
            <w:noWrap/>
            <w:vAlign w:val="center"/>
          </w:tcPr>
          <w:p w14:paraId="68F993B7">
            <w:pPr>
              <w:keepNext w:val="0"/>
              <w:keepLines w:val="0"/>
              <w:pageBreakBefore w:val="0"/>
              <w:widowControl w:val="0"/>
              <w:wordWrap/>
              <w:overflowPunct/>
              <w:topLinePunct w:val="0"/>
              <w:bidi w:val="0"/>
              <w:spacing w:before="291" w:line="257" w:lineRule="auto"/>
              <w:ind w:left="456" w:right="133" w:hanging="319"/>
              <w:jc w:val="center"/>
              <w:rPr>
                <w:rFonts w:hint="eastAsia" w:ascii="宋体" w:hAnsi="宋体" w:eastAsia="宋体" w:cs="宋体"/>
                <w:snapToGrid w:val="0"/>
                <w:color w:val="auto"/>
                <w:spacing w:val="-1"/>
                <w:kern w:val="0"/>
                <w:sz w:val="24"/>
                <w:szCs w:val="24"/>
                <w:highlight w:val="none"/>
              </w:rPr>
            </w:pPr>
            <w:r>
              <w:rPr>
                <w:rFonts w:hint="eastAsia" w:ascii="宋体" w:hAnsi="宋体" w:eastAsia="宋体" w:cs="宋体"/>
                <w:color w:val="auto"/>
                <w:spacing w:val="-1"/>
                <w:sz w:val="24"/>
                <w:szCs w:val="24"/>
                <w:highlight w:val="none"/>
              </w:rPr>
              <w:t>采购</w:t>
            </w:r>
            <w:r>
              <w:rPr>
                <w:rFonts w:hint="eastAsia" w:ascii="宋体" w:hAnsi="宋体" w:eastAsia="宋体" w:cs="宋体"/>
                <w:color w:val="auto"/>
                <w:sz w:val="24"/>
                <w:szCs w:val="24"/>
                <w:highlight w:val="none"/>
              </w:rPr>
              <w:t xml:space="preserve">代理服 </w:t>
            </w:r>
            <w:r>
              <w:rPr>
                <w:rFonts w:hint="eastAsia" w:ascii="宋体" w:hAnsi="宋体" w:eastAsia="宋体" w:cs="宋体"/>
                <w:color w:val="auto"/>
                <w:spacing w:val="-2"/>
                <w:sz w:val="24"/>
                <w:szCs w:val="24"/>
                <w:highlight w:val="none"/>
              </w:rPr>
              <w:t>务费</w:t>
            </w:r>
          </w:p>
        </w:tc>
        <w:tc>
          <w:tcPr>
            <w:tcW w:w="6587" w:type="dxa"/>
            <w:noWrap/>
            <w:vAlign w:val="center"/>
          </w:tcPr>
          <w:p w14:paraId="49A4CF69">
            <w:pPr>
              <w:keepNext w:val="0"/>
              <w:keepLines w:val="0"/>
              <w:pageBreakBefore w:val="0"/>
              <w:widowControl w:val="0"/>
              <w:wordWrap/>
              <w:overflowPunct/>
              <w:topLinePunct w:val="0"/>
              <w:bidi w:val="0"/>
              <w:spacing w:before="291" w:line="257" w:lineRule="auto"/>
              <w:ind w:left="456" w:right="133" w:hanging="3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服务费：签订合同前，领取成交通知书，并向中经国际招标集团有限公司梧州分公司一次性付清招标代理服务费，其金额参照国家发展计划委员会计价格广西壮族自治区物价局《转发国家计委关于印发&lt;招标代理服务收费管理暂行办法&gt;的通知》(桂价费字〔2003〕7号)、《转发国家发展改革委办公厅关于招标代理服务收费有关问题的通知》(桂价费字〔2003〕347号)《招标代理服务收费管理暂行办法》招标收费标准收取。</w:t>
            </w:r>
          </w:p>
          <w:p w14:paraId="52B5D99E">
            <w:pPr>
              <w:keepNext w:val="0"/>
              <w:keepLines w:val="0"/>
              <w:pageBreakBefore w:val="0"/>
              <w:widowControl w:val="0"/>
              <w:wordWrap/>
              <w:overflowPunct/>
              <w:topLinePunct w:val="0"/>
              <w:bidi w:val="0"/>
              <w:spacing w:before="291" w:line="257" w:lineRule="auto"/>
              <w:ind w:left="456" w:right="133" w:hanging="3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2.采购代理费收取银行账户信息以中标事项告知书为准。</w:t>
            </w:r>
          </w:p>
        </w:tc>
      </w:tr>
      <w:tr w14:paraId="655F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0" w:hRule="atLeast"/>
        </w:trPr>
        <w:tc>
          <w:tcPr>
            <w:tcW w:w="796" w:type="dxa"/>
            <w:gridSpan w:val="2"/>
            <w:noWrap/>
            <w:vAlign w:val="center"/>
          </w:tcPr>
          <w:p w14:paraId="7D053A75">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311"/>
              <w:jc w:val="center"/>
              <w:textAlignment w:val="baseline"/>
              <w:rPr>
                <w:rFonts w:hint="eastAsia" w:ascii="宋体" w:hAnsi="宋体" w:eastAsia="宋体" w:cs="宋体"/>
                <w:snapToGrid w:val="0"/>
                <w:color w:val="auto"/>
                <w:spacing w:val="-16"/>
                <w:kern w:val="0"/>
                <w:sz w:val="24"/>
                <w:szCs w:val="24"/>
                <w:highlight w:val="none"/>
              </w:rPr>
            </w:pPr>
            <w:r>
              <w:rPr>
                <w:rFonts w:hint="eastAsia" w:ascii="宋体" w:hAnsi="宋体" w:eastAsia="宋体" w:cs="宋体"/>
                <w:snapToGrid w:val="0"/>
                <w:color w:val="auto"/>
                <w:spacing w:val="-16"/>
                <w:kern w:val="0"/>
                <w:sz w:val="24"/>
                <w:szCs w:val="24"/>
                <w:highlight w:val="none"/>
              </w:rPr>
              <w:t>1</w:t>
            </w:r>
            <w:r>
              <w:rPr>
                <w:rFonts w:hint="eastAsia" w:ascii="宋体" w:hAnsi="宋体" w:eastAsia="宋体" w:cs="宋体"/>
                <w:snapToGrid w:val="0"/>
                <w:color w:val="auto"/>
                <w:spacing w:val="-14"/>
                <w:kern w:val="0"/>
                <w:sz w:val="24"/>
                <w:szCs w:val="24"/>
                <w:highlight w:val="none"/>
              </w:rPr>
              <w:t>9</w:t>
            </w:r>
          </w:p>
        </w:tc>
        <w:tc>
          <w:tcPr>
            <w:tcW w:w="816" w:type="dxa"/>
            <w:gridSpan w:val="2"/>
            <w:noWrap/>
            <w:vAlign w:val="center"/>
          </w:tcPr>
          <w:p w14:paraId="4CA09589">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203"/>
              <w:jc w:val="center"/>
              <w:textAlignment w:val="baseline"/>
              <w:rPr>
                <w:rFonts w:hint="eastAsia" w:ascii="宋体" w:hAnsi="宋体" w:eastAsia="宋体" w:cs="宋体"/>
                <w:snapToGrid w:val="0"/>
                <w:color w:val="auto"/>
                <w:spacing w:val="-16"/>
                <w:kern w:val="0"/>
                <w:sz w:val="24"/>
                <w:szCs w:val="24"/>
                <w:highlight w:val="none"/>
              </w:rPr>
            </w:pPr>
            <w:r>
              <w:rPr>
                <w:rFonts w:hint="eastAsia" w:ascii="宋体" w:hAnsi="宋体" w:eastAsia="宋体" w:cs="宋体"/>
                <w:snapToGrid w:val="0"/>
                <w:color w:val="auto"/>
                <w:spacing w:val="-12"/>
                <w:kern w:val="0"/>
                <w:sz w:val="24"/>
                <w:szCs w:val="24"/>
                <w:highlight w:val="none"/>
              </w:rPr>
              <w:t>26</w:t>
            </w:r>
          </w:p>
        </w:tc>
        <w:tc>
          <w:tcPr>
            <w:tcW w:w="1324" w:type="dxa"/>
            <w:gridSpan w:val="2"/>
            <w:noWrap/>
          </w:tcPr>
          <w:p w14:paraId="47958C80">
            <w:pPr>
              <w:keepNext w:val="0"/>
              <w:keepLines w:val="0"/>
              <w:pageBreakBefore w:val="0"/>
              <w:widowControl w:val="0"/>
              <w:wordWrap/>
              <w:overflowPunct/>
              <w:topLinePunct w:val="0"/>
              <w:bidi w:val="0"/>
              <w:spacing w:line="240" w:lineRule="auto"/>
              <w:jc w:val="center"/>
              <w:rPr>
                <w:rFonts w:hint="eastAsia" w:ascii="宋体" w:hAnsi="宋体" w:eastAsia="宋体" w:cs="宋体"/>
                <w:color w:val="auto"/>
                <w:sz w:val="24"/>
                <w:szCs w:val="24"/>
                <w:highlight w:val="none"/>
              </w:rPr>
            </w:pPr>
          </w:p>
          <w:p w14:paraId="4F3BDB46">
            <w:pPr>
              <w:keepNext w:val="0"/>
              <w:keepLines w:val="0"/>
              <w:pageBreakBefore w:val="0"/>
              <w:widowControl w:val="0"/>
              <w:wordWrap/>
              <w:overflowPunct/>
              <w:topLinePunct w:val="0"/>
              <w:bidi w:val="0"/>
              <w:spacing w:line="240" w:lineRule="auto"/>
              <w:jc w:val="center"/>
              <w:rPr>
                <w:rFonts w:hint="eastAsia" w:ascii="宋体" w:hAnsi="宋体" w:eastAsia="宋体" w:cs="宋体"/>
                <w:color w:val="auto"/>
                <w:sz w:val="24"/>
                <w:szCs w:val="24"/>
                <w:highlight w:val="none"/>
              </w:rPr>
            </w:pPr>
          </w:p>
          <w:p w14:paraId="4657DEED">
            <w:pPr>
              <w:keepNext w:val="0"/>
              <w:keepLines w:val="0"/>
              <w:pageBreakBefore w:val="0"/>
              <w:widowControl w:val="0"/>
              <w:wordWrap/>
              <w:overflowPunct/>
              <w:topLinePunct w:val="0"/>
              <w:bidi w:val="0"/>
              <w:spacing w:before="90" w:line="240" w:lineRule="auto"/>
              <w:ind w:left="348"/>
              <w:jc w:val="center"/>
              <w:rPr>
                <w:rFonts w:hint="eastAsia" w:ascii="宋体" w:hAnsi="宋体" w:eastAsia="宋体" w:cs="宋体"/>
                <w:snapToGrid w:val="0"/>
                <w:color w:val="auto"/>
                <w:spacing w:val="-1"/>
                <w:kern w:val="0"/>
                <w:sz w:val="24"/>
                <w:szCs w:val="24"/>
                <w:highlight w:val="none"/>
              </w:rPr>
            </w:pPr>
            <w:r>
              <w:rPr>
                <w:rFonts w:hint="eastAsia" w:ascii="宋体" w:hAnsi="宋体" w:eastAsia="宋体" w:cs="宋体"/>
                <w:color w:val="auto"/>
                <w:spacing w:val="-1"/>
                <w:sz w:val="24"/>
                <w:szCs w:val="24"/>
                <w:highlight w:val="none"/>
              </w:rPr>
              <w:t>解释权</w:t>
            </w:r>
          </w:p>
        </w:tc>
        <w:tc>
          <w:tcPr>
            <w:tcW w:w="6587" w:type="dxa"/>
            <w:noWrap/>
          </w:tcPr>
          <w:p w14:paraId="3410036A">
            <w:pPr>
              <w:keepNext w:val="0"/>
              <w:keepLines w:val="0"/>
              <w:pageBreakBefore w:val="0"/>
              <w:widowControl w:val="0"/>
              <w:kinsoku w:val="0"/>
              <w:wordWrap/>
              <w:overflowPunct/>
              <w:topLinePunct w:val="0"/>
              <w:autoSpaceDE w:val="0"/>
              <w:autoSpaceDN w:val="0"/>
              <w:bidi w:val="0"/>
              <w:adjustRightInd w:val="0"/>
              <w:snapToGrid w:val="0"/>
              <w:spacing w:before="111" w:line="240" w:lineRule="auto"/>
              <w:ind w:left="112"/>
              <w:jc w:val="left"/>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4"/>
                <w:kern w:val="0"/>
                <w:sz w:val="24"/>
                <w:szCs w:val="24"/>
                <w:highlight w:val="none"/>
              </w:rPr>
              <w:t>本竞</w:t>
            </w:r>
            <w:r>
              <w:rPr>
                <w:rFonts w:hint="eastAsia" w:ascii="宋体" w:hAnsi="宋体" w:eastAsia="宋体" w:cs="宋体"/>
                <w:snapToGrid w:val="0"/>
                <w:color w:val="auto"/>
                <w:spacing w:val="3"/>
                <w:kern w:val="0"/>
                <w:sz w:val="24"/>
                <w:szCs w:val="24"/>
                <w:highlight w:val="none"/>
              </w:rPr>
              <w:t>争</w:t>
            </w:r>
            <w:r>
              <w:rPr>
                <w:rFonts w:hint="eastAsia" w:ascii="宋体" w:hAnsi="宋体" w:eastAsia="宋体" w:cs="宋体"/>
                <w:snapToGrid w:val="0"/>
                <w:color w:val="auto"/>
                <w:spacing w:val="2"/>
                <w:kern w:val="0"/>
                <w:sz w:val="24"/>
                <w:szCs w:val="24"/>
                <w:highlight w:val="none"/>
              </w:rPr>
              <w:t>性磋商文件是根据《中华人民共和国政府采购法》、《中华人</w:t>
            </w:r>
            <w:r>
              <w:rPr>
                <w:rFonts w:hint="eastAsia" w:ascii="宋体" w:hAnsi="宋体" w:eastAsia="宋体" w:cs="宋体"/>
                <w:snapToGrid w:val="0"/>
                <w:color w:val="auto"/>
                <w:spacing w:val="4"/>
                <w:kern w:val="0"/>
                <w:sz w:val="24"/>
                <w:szCs w:val="24"/>
                <w:highlight w:val="none"/>
              </w:rPr>
              <w:t>民共</w:t>
            </w:r>
            <w:r>
              <w:rPr>
                <w:rFonts w:hint="eastAsia" w:ascii="宋体" w:hAnsi="宋体" w:eastAsia="宋体" w:cs="宋体"/>
                <w:snapToGrid w:val="0"/>
                <w:color w:val="auto"/>
                <w:spacing w:val="3"/>
                <w:kern w:val="0"/>
                <w:sz w:val="24"/>
                <w:szCs w:val="24"/>
                <w:highlight w:val="none"/>
              </w:rPr>
              <w:t>和</w:t>
            </w:r>
            <w:r>
              <w:rPr>
                <w:rFonts w:hint="eastAsia" w:ascii="宋体" w:hAnsi="宋体" w:eastAsia="宋体" w:cs="宋体"/>
                <w:snapToGrid w:val="0"/>
                <w:color w:val="auto"/>
                <w:spacing w:val="2"/>
                <w:kern w:val="0"/>
                <w:sz w:val="24"/>
                <w:szCs w:val="24"/>
                <w:highlight w:val="none"/>
              </w:rPr>
              <w:t>国政府采购法实施条例》、《政府采购竞争性磋商采购人式管</w:t>
            </w:r>
            <w:r>
              <w:rPr>
                <w:rFonts w:hint="eastAsia" w:ascii="宋体" w:hAnsi="宋体" w:eastAsia="宋体" w:cs="宋体"/>
                <w:snapToGrid w:val="0"/>
                <w:color w:val="auto"/>
                <w:spacing w:val="-2"/>
                <w:kern w:val="0"/>
                <w:sz w:val="24"/>
                <w:szCs w:val="24"/>
                <w:highlight w:val="none"/>
              </w:rPr>
              <w:t>理暂行办法》和政府采购管理有关规定编制，本竞争性磋商文</w:t>
            </w:r>
            <w:r>
              <w:rPr>
                <w:rFonts w:hint="eastAsia" w:ascii="宋体" w:hAnsi="宋体" w:eastAsia="宋体" w:cs="宋体"/>
                <w:snapToGrid w:val="0"/>
                <w:color w:val="auto"/>
                <w:spacing w:val="-1"/>
                <w:kern w:val="0"/>
                <w:sz w:val="24"/>
                <w:szCs w:val="24"/>
                <w:highlight w:val="none"/>
              </w:rPr>
              <w:t>件</w:t>
            </w:r>
            <w:r>
              <w:rPr>
                <w:rFonts w:hint="eastAsia" w:ascii="宋体" w:hAnsi="宋体" w:eastAsia="宋体" w:cs="宋体"/>
                <w:snapToGrid w:val="0"/>
                <w:color w:val="auto"/>
                <w:kern w:val="0"/>
                <w:sz w:val="24"/>
                <w:szCs w:val="24"/>
                <w:highlight w:val="none"/>
              </w:rPr>
              <w:t>的解</w:t>
            </w:r>
            <w:r>
              <w:rPr>
                <w:rFonts w:hint="eastAsia" w:ascii="宋体" w:hAnsi="宋体" w:eastAsia="宋体" w:cs="宋体"/>
                <w:snapToGrid w:val="0"/>
                <w:color w:val="auto"/>
                <w:spacing w:val="-1"/>
                <w:kern w:val="0"/>
                <w:sz w:val="24"/>
                <w:szCs w:val="24"/>
                <w:highlight w:val="none"/>
              </w:rPr>
              <w:t>释权属于采购</w:t>
            </w:r>
            <w:r>
              <w:rPr>
                <w:rFonts w:hint="eastAsia" w:ascii="宋体" w:hAnsi="宋体" w:eastAsia="宋体" w:cs="宋体"/>
                <w:snapToGrid w:val="0"/>
                <w:color w:val="auto"/>
                <w:kern w:val="0"/>
                <w:sz w:val="24"/>
                <w:szCs w:val="24"/>
                <w:highlight w:val="none"/>
              </w:rPr>
              <w:t>代理机构。</w:t>
            </w:r>
          </w:p>
        </w:tc>
      </w:tr>
      <w:tr w14:paraId="50501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7" w:type="dxa"/>
          <w:trHeight w:val="660" w:hRule="atLeast"/>
        </w:trPr>
        <w:tc>
          <w:tcPr>
            <w:tcW w:w="796" w:type="dxa"/>
            <w:gridSpan w:val="2"/>
            <w:noWrap/>
            <w:vAlign w:val="center"/>
          </w:tcPr>
          <w:p w14:paraId="4437922C">
            <w:pPr>
              <w:keepNext w:val="0"/>
              <w:keepLines w:val="0"/>
              <w:pageBreakBefore w:val="0"/>
              <w:widowControl w:val="0"/>
              <w:kinsoku w:val="0"/>
              <w:wordWrap/>
              <w:overflowPunct/>
              <w:topLinePunct w:val="0"/>
              <w:autoSpaceDE w:val="0"/>
              <w:autoSpaceDN w:val="0"/>
              <w:bidi w:val="0"/>
              <w:adjustRightInd w:val="0"/>
              <w:snapToGrid w:val="0"/>
              <w:spacing w:before="143" w:line="230" w:lineRule="exact"/>
              <w:ind w:left="311"/>
              <w:jc w:val="center"/>
              <w:textAlignment w:val="baseline"/>
              <w:rPr>
                <w:rFonts w:hint="default" w:ascii="宋体" w:hAnsi="宋体" w:eastAsia="宋体" w:cs="宋体"/>
                <w:snapToGrid w:val="0"/>
                <w:color w:val="auto"/>
                <w:spacing w:val="-16"/>
                <w:kern w:val="0"/>
                <w:sz w:val="24"/>
                <w:szCs w:val="24"/>
                <w:highlight w:val="none"/>
                <w:lang w:val="en-US" w:eastAsia="zh-CN"/>
              </w:rPr>
            </w:pPr>
            <w:r>
              <w:rPr>
                <w:rFonts w:hint="eastAsia" w:ascii="宋体" w:hAnsi="宋体" w:eastAsia="宋体" w:cs="宋体"/>
                <w:snapToGrid w:val="0"/>
                <w:color w:val="auto"/>
                <w:spacing w:val="-16"/>
                <w:kern w:val="0"/>
                <w:sz w:val="24"/>
                <w:szCs w:val="24"/>
                <w:highlight w:val="none"/>
                <w:lang w:val="en-US" w:eastAsia="zh-CN"/>
              </w:rPr>
              <w:t>20</w:t>
            </w:r>
          </w:p>
        </w:tc>
        <w:tc>
          <w:tcPr>
            <w:tcW w:w="8727" w:type="dxa"/>
            <w:gridSpan w:val="5"/>
            <w:noWrap/>
            <w:vAlign w:val="center"/>
          </w:tcPr>
          <w:p w14:paraId="384AFA58">
            <w:pPr>
              <w:keepNext w:val="0"/>
              <w:keepLines w:val="0"/>
              <w:pageBreakBefore w:val="0"/>
              <w:widowControl w:val="0"/>
              <w:tabs>
                <w:tab w:val="left" w:pos="1665"/>
              </w:tabs>
              <w:kinsoku w:val="0"/>
              <w:wordWrap/>
              <w:overflowPunct/>
              <w:topLinePunct w:val="0"/>
              <w:autoSpaceDE w:val="0"/>
              <w:autoSpaceDN w:val="0"/>
              <w:bidi w:val="0"/>
              <w:adjustRightInd w:val="0"/>
              <w:snapToGrid w:val="0"/>
              <w:spacing w:before="111" w:line="175" w:lineRule="auto"/>
              <w:ind w:left="112"/>
              <w:jc w:val="both"/>
              <w:textAlignment w:val="baseline"/>
              <w:rPr>
                <w:rFonts w:hint="eastAsia" w:ascii="宋体" w:hAnsi="宋体" w:eastAsia="宋体" w:cs="宋体"/>
                <w:snapToGrid w:val="0"/>
                <w:color w:val="auto"/>
                <w:spacing w:val="4"/>
                <w:kern w:val="0"/>
                <w:sz w:val="24"/>
                <w:szCs w:val="24"/>
                <w:highlight w:val="none"/>
                <w:lang w:eastAsia="zh-CN"/>
              </w:rPr>
            </w:pPr>
            <w:r>
              <w:rPr>
                <w:rFonts w:hint="eastAsia"/>
                <w:b/>
                <w:bCs/>
                <w:snapToGrid w:val="0"/>
                <w:color w:val="auto"/>
                <w:sz w:val="22"/>
                <w:highlight w:val="none"/>
              </w:rPr>
              <w:t>本项目所属行业：软件和信息技术服务业</w:t>
            </w:r>
          </w:p>
        </w:tc>
      </w:tr>
    </w:tbl>
    <w:p w14:paraId="23BE5047">
      <w:pPr>
        <w:rPr>
          <w:rFonts w:hint="eastAsia" w:ascii="宋体" w:hAnsi="宋体" w:eastAsia="宋体" w:cs="宋体"/>
          <w:color w:val="auto"/>
          <w:highlight w:val="none"/>
        </w:rPr>
        <w:sectPr>
          <w:headerReference r:id="rId8" w:type="default"/>
          <w:footerReference r:id="rId9" w:type="default"/>
          <w:pgSz w:w="11900" w:h="16840"/>
          <w:pgMar w:top="1440" w:right="1080" w:bottom="1440" w:left="1080" w:header="850" w:footer="1020" w:gutter="0"/>
          <w:cols w:space="720" w:num="1"/>
        </w:sectPr>
      </w:pPr>
    </w:p>
    <w:p w14:paraId="12FCDE3C">
      <w:pPr>
        <w:widowControl/>
        <w:spacing w:before="165" w:beforeLines="50" w:after="165" w:afterLines="50" w:line="280" w:lineRule="exact"/>
        <w:jc w:val="center"/>
        <w:rPr>
          <w:rFonts w:hint="eastAsia" w:ascii="宋体" w:hAnsi="宋体" w:cs="宋体"/>
          <w:b/>
          <w:bCs/>
          <w:color w:val="auto"/>
          <w:kern w:val="0"/>
          <w:sz w:val="30"/>
          <w:szCs w:val="30"/>
          <w:highlight w:val="none"/>
        </w:rPr>
      </w:pPr>
      <w:bookmarkStart w:id="23" w:name="_Toc28361_WPSOffice_Level2"/>
      <w:r>
        <w:rPr>
          <w:rFonts w:hint="eastAsia" w:ascii="宋体" w:hAnsi="宋体" w:cs="宋体"/>
          <w:b/>
          <w:bCs/>
          <w:color w:val="auto"/>
          <w:kern w:val="0"/>
          <w:sz w:val="30"/>
          <w:szCs w:val="30"/>
          <w:highlight w:val="none"/>
        </w:rPr>
        <w:t>统计上大中小微型企业划分标准</w:t>
      </w:r>
      <w:bookmarkEnd w:id="23"/>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B40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14F68B9">
            <w:pPr>
              <w:widowControl/>
              <w:spacing w:line="28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3D8D3B0D">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081BDC10">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0981458D">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1816564">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697806C">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50C50CF8">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0024F115">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70E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F466153">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228E07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3FEBB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BC062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DFC63A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B0A6E7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597921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F9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64DA8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3883470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679C18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F4375F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A6D880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219947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1936A6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2A0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8E4CDCD">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4CDBA3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B4D720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609417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5B180F4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68ED0E4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1487788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E61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918084">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51F9E1C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811AA2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022C2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02C7287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5FB11AE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5041548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EA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952C0B0">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7F2E935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48D323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2BF61F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4B8E4C4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2DFAD96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80D908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6CC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D4B2258">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2E5364C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4A799E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DC4213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2BC82D6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77B67A9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6BA84F5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5BE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99B7D68">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C177B0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8A3D8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68895B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66C37B0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4F18FF91">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5ECD7F9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576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41F27B">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C3D8E1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3C196C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2D3D97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154BC4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50E3A70F">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306F4D2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70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9EBCA1">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0D8E52F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E65EEE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7C0F96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422AD1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052A47EA">
            <w:pPr>
              <w:widowControl/>
              <w:spacing w:line="280" w:lineRule="exact"/>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032DB65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8F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09E3A25">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0A9448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E0C1B7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B11555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3B0FA8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A7E094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F91C78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10B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42BEB72">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09B3C8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B442AF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8FA6D1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D87CBB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4C1D3B4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34495D5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8DB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96F039C">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05AC73A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01F82B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CE559D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CE7F722">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5581129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363B55C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39D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2F4C46">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3B055DB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30D4EF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6B8F43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EC0A29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6BD4569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2F394EA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2C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AF16A23">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D68E47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FF5D58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5B6A44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97C6C2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A22797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AF549E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60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88C68E">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4E46058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C4A55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2D2F7F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1A3DCF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2885BC6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D8391A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E9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0C9EE7">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3F2FB1C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6DD55C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70FED9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C6006DB">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A8ADC7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5AC886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A93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36F0C5">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7CC772B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A6FE38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0AF341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FCE02D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645E44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7020FD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079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C93EC52">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BEA130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B8ABCC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156C40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2B7CF48">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457A37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9950FE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BA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B85AE0">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17ED21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E20006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2C0D96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8CFC84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041B652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2F069D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19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3CA8D8">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376F0A4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DE5B15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651914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637C2B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78490F1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98AABF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2D1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DBF5A2">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60BB98A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F76FE3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151AE2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186FFFD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5CA1411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93F3D2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63D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18E80F7">
            <w:pPr>
              <w:widowControl/>
              <w:spacing w:line="28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16A2F8B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F42EB1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A857FB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305DAF8">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F68723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3BDC2A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9FC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3E7A55B">
            <w:pPr>
              <w:widowControl/>
              <w:spacing w:line="280" w:lineRule="exact"/>
              <w:jc w:val="left"/>
              <w:rPr>
                <w:rFonts w:hint="eastAsia" w:ascii="宋体" w:hAnsi="宋体" w:cs="宋体"/>
                <w:color w:val="auto"/>
                <w:spacing w:val="-12"/>
                <w:kern w:val="0"/>
                <w:sz w:val="18"/>
                <w:szCs w:val="18"/>
                <w:highlight w:val="none"/>
              </w:rPr>
            </w:pPr>
          </w:p>
        </w:tc>
        <w:tc>
          <w:tcPr>
            <w:tcW w:w="1369" w:type="dxa"/>
            <w:noWrap w:val="0"/>
            <w:vAlign w:val="center"/>
          </w:tcPr>
          <w:p w14:paraId="7F33BC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A4A2D3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FC2324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D0F9E7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F4F49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68BBF4C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F96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0C41113">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7971848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6C5AD9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6824644">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64D14B9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406528F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3ECFC29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269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4771F13">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586FFC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419ED1AB">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E4397CD">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48A4D37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6912DD32">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24B6F3F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9C9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1A0AFFA">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190DE79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B96FE4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711E1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CB893D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764E4B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7A9443A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878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E0F7A74">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2E0F890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41BBEC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0EE0EA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5A8FC518">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37EAC4A0">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1BB3D78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F2B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46CD9C8">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520F8B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EF36767">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A071F5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2CCDC36">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C37417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32F6E9F">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43B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4B6F537">
            <w:pPr>
              <w:widowControl/>
              <w:spacing w:line="280" w:lineRule="exact"/>
              <w:jc w:val="left"/>
              <w:rPr>
                <w:rFonts w:hint="eastAsia" w:ascii="宋体" w:hAnsi="宋体" w:cs="宋体"/>
                <w:color w:val="auto"/>
                <w:kern w:val="0"/>
                <w:sz w:val="18"/>
                <w:szCs w:val="18"/>
                <w:highlight w:val="none"/>
              </w:rPr>
            </w:pPr>
          </w:p>
        </w:tc>
        <w:tc>
          <w:tcPr>
            <w:tcW w:w="1369" w:type="dxa"/>
            <w:noWrap w:val="0"/>
            <w:vAlign w:val="center"/>
          </w:tcPr>
          <w:p w14:paraId="518B261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C0C7A06">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782F343">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0442EE7C">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2233E5D8">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4877BCBA">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2A7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16C5241">
            <w:pPr>
              <w:widowControl/>
              <w:spacing w:line="28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60E6E44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6CCF6F1">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8B7F2F9">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642568">
            <w:pPr>
              <w:widowControl/>
              <w:spacing w:line="280" w:lineRule="exact"/>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7839755">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EE7CF9E">
            <w:pPr>
              <w:widowControl/>
              <w:spacing w:line="28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279627F">
      <w:pPr>
        <w:widowControl/>
        <w:spacing w:line="280" w:lineRule="exact"/>
        <w:rPr>
          <w:rFonts w:hint="eastAsia" w:ascii="宋体" w:hAnsi="宋体" w:cs="宋体"/>
          <w:color w:val="auto"/>
          <w:spacing w:val="8"/>
          <w:kern w:val="0"/>
          <w:sz w:val="24"/>
          <w:highlight w:val="none"/>
        </w:rPr>
      </w:pPr>
    </w:p>
    <w:p w14:paraId="0A235E3F">
      <w:pPr>
        <w:widowControl/>
        <w:spacing w:line="360" w:lineRule="auto"/>
        <w:rPr>
          <w:rFonts w:hint="eastAsia" w:ascii="宋体" w:hAnsi="宋体" w:cs="宋体"/>
          <w:color w:val="auto"/>
          <w:spacing w:val="8"/>
          <w:kern w:val="0"/>
          <w:szCs w:val="21"/>
          <w:highlight w:val="none"/>
        </w:rPr>
      </w:pPr>
    </w:p>
    <w:p w14:paraId="50E0B182">
      <w:pPr>
        <w:widowControl/>
        <w:spacing w:line="360" w:lineRule="auto"/>
        <w:rPr>
          <w:rFonts w:hint="eastAsia" w:ascii="宋体" w:hAnsi="宋体" w:cs="宋体"/>
          <w:color w:val="auto"/>
          <w:spacing w:val="8"/>
          <w:kern w:val="0"/>
          <w:szCs w:val="21"/>
          <w:highlight w:val="none"/>
        </w:rPr>
      </w:pPr>
    </w:p>
    <w:p w14:paraId="21AAF14A">
      <w:pPr>
        <w:widowControl/>
        <w:spacing w:line="360" w:lineRule="auto"/>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8B6D47D">
      <w:pPr>
        <w:adjustRightInd w:val="0"/>
        <w:spacing w:line="360" w:lineRule="auto"/>
        <w:ind w:firstLine="452" w:firstLineChars="200"/>
        <w:contextualSpacing/>
        <w:rPr>
          <w:rFonts w:hint="eastAsia" w:ascii="宋体" w:hAnsi="宋体" w:cs="宋体"/>
          <w:color w:val="auto"/>
          <w:spacing w:val="8"/>
          <w:szCs w:val="20"/>
          <w:highlight w:val="none"/>
        </w:rPr>
      </w:pPr>
      <w:r>
        <w:rPr>
          <w:rFonts w:hint="eastAsia" w:ascii="宋体" w:hAnsi="宋体" w:cs="宋体"/>
          <w:color w:val="auto"/>
          <w:spacing w:val="8"/>
          <w:szCs w:val="20"/>
          <w:highlight w:val="none"/>
        </w:rPr>
        <w:t>1.大型、中型和小型企业须同时满足所列指标的下限，否则下划一档；微型企业只须满足所列指标中的一项即可。</w:t>
      </w:r>
    </w:p>
    <w:p w14:paraId="1CB43906">
      <w:pPr>
        <w:adjustRightInd w:val="0"/>
        <w:spacing w:line="360" w:lineRule="auto"/>
        <w:ind w:firstLine="452" w:firstLineChars="200"/>
        <w:contextualSpacing/>
        <w:rPr>
          <w:rFonts w:hint="eastAsia" w:ascii="宋体" w:hAnsi="宋体" w:cs="宋体"/>
          <w:color w:val="auto"/>
          <w:spacing w:val="8"/>
          <w:szCs w:val="20"/>
          <w:highlight w:val="none"/>
        </w:rPr>
      </w:pPr>
      <w:r>
        <w:rPr>
          <w:rFonts w:hint="eastAsia" w:ascii="宋体" w:hAnsi="宋体" w:cs="宋体"/>
          <w:color w:val="auto"/>
          <w:spacing w:val="8"/>
          <w:szCs w:val="2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AB88F1B">
      <w:pPr>
        <w:pStyle w:val="85"/>
        <w:spacing w:line="360" w:lineRule="auto"/>
        <w:rPr>
          <w:rFonts w:hint="eastAsia" w:hAnsi="宋体" w:cs="宋体"/>
          <w:color w:val="auto"/>
          <w:spacing w:val="8"/>
          <w:highlight w:val="none"/>
        </w:rPr>
      </w:pPr>
      <w:r>
        <w:rPr>
          <w:rFonts w:hint="eastAsia" w:hAnsi="宋体" w:cs="宋体"/>
          <w:color w:val="auto"/>
          <w:spacing w:val="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9A48AB3">
      <w:pPr>
        <w:pStyle w:val="11"/>
        <w:spacing w:line="360" w:lineRule="auto"/>
        <w:rPr>
          <w:rFonts w:hAnsi="宋体" w:cs="宋体"/>
          <w:color w:val="auto"/>
          <w:spacing w:val="8"/>
          <w:szCs w:val="20"/>
          <w:highlight w:val="none"/>
        </w:rPr>
      </w:pPr>
    </w:p>
    <w:p w14:paraId="316E955D">
      <w:pPr>
        <w:rPr>
          <w:rFonts w:hint="eastAsia" w:hAnsi="宋体" w:cs="宋体"/>
          <w:b/>
          <w:color w:val="auto"/>
          <w:sz w:val="30"/>
          <w:szCs w:val="30"/>
          <w:highlight w:val="none"/>
        </w:rPr>
      </w:pPr>
    </w:p>
    <w:p w14:paraId="6CAE4DC0">
      <w:pPr>
        <w:pStyle w:val="9"/>
        <w:rPr>
          <w:rFonts w:hint="eastAsia" w:hAnsi="宋体" w:cs="宋体"/>
          <w:b/>
          <w:color w:val="auto"/>
          <w:sz w:val="30"/>
          <w:szCs w:val="30"/>
          <w:highlight w:val="none"/>
        </w:rPr>
      </w:pPr>
    </w:p>
    <w:p w14:paraId="5D2C1BEF">
      <w:pPr>
        <w:rPr>
          <w:rFonts w:hint="eastAsia"/>
          <w:color w:val="auto"/>
          <w:highlight w:val="none"/>
        </w:rPr>
      </w:pPr>
    </w:p>
    <w:p w14:paraId="5A97320D">
      <w:pPr>
        <w:pStyle w:val="11"/>
        <w:jc w:val="center"/>
        <w:outlineLvl w:val="1"/>
        <w:rPr>
          <w:rFonts w:hint="eastAsia" w:hAnsi="宋体" w:cs="宋体"/>
          <w:b/>
          <w:color w:val="auto"/>
          <w:sz w:val="28"/>
          <w:szCs w:val="28"/>
          <w:highlight w:val="none"/>
        </w:rPr>
      </w:pPr>
      <w:r>
        <w:rPr>
          <w:rFonts w:hint="eastAsia" w:hAnsi="宋体" w:cs="宋体"/>
          <w:b/>
          <w:color w:val="auto"/>
          <w:sz w:val="30"/>
          <w:szCs w:val="30"/>
          <w:highlight w:val="none"/>
        </w:rPr>
        <w:t>一    总  则</w:t>
      </w:r>
      <w:bookmarkEnd w:id="22"/>
    </w:p>
    <w:p w14:paraId="756805D8">
      <w:pPr>
        <w:pStyle w:val="11"/>
        <w:spacing w:line="440" w:lineRule="exact"/>
        <w:ind w:left="242" w:hanging="242" w:hangingChars="101"/>
        <w:jc w:val="left"/>
        <w:rPr>
          <w:rFonts w:hint="eastAsia" w:hAnsi="宋体" w:cs="宋体"/>
          <w:bCs/>
          <w:color w:val="auto"/>
          <w:sz w:val="24"/>
          <w:highlight w:val="none"/>
        </w:rPr>
      </w:pPr>
      <w:r>
        <w:rPr>
          <w:rFonts w:hint="eastAsia" w:hAnsi="宋体" w:cs="宋体"/>
          <w:bCs/>
          <w:color w:val="auto"/>
          <w:sz w:val="24"/>
          <w:highlight w:val="none"/>
        </w:rPr>
        <w:t>1. 项目概况</w:t>
      </w:r>
    </w:p>
    <w:p w14:paraId="32B5299A">
      <w:pPr>
        <w:pStyle w:val="11"/>
        <w:spacing w:line="440" w:lineRule="exact"/>
        <w:ind w:left="2" w:firstLine="358"/>
        <w:jc w:val="left"/>
        <w:rPr>
          <w:rFonts w:hint="eastAsia" w:hAnsi="宋体" w:cs="宋体"/>
          <w:bCs/>
          <w:color w:val="auto"/>
          <w:highlight w:val="none"/>
        </w:rPr>
      </w:pPr>
      <w:r>
        <w:rPr>
          <w:rFonts w:hint="eastAsia" w:hAnsi="宋体" w:cs="宋体"/>
          <w:bCs/>
          <w:color w:val="auto"/>
          <w:highlight w:val="none"/>
        </w:rPr>
        <w:t>1.1  采购人：见服务商须知前附表。</w:t>
      </w:r>
    </w:p>
    <w:p w14:paraId="6B09D5C7">
      <w:pPr>
        <w:pStyle w:val="11"/>
        <w:spacing w:line="440" w:lineRule="exact"/>
        <w:ind w:left="2" w:firstLine="358"/>
        <w:jc w:val="left"/>
        <w:rPr>
          <w:rFonts w:hint="eastAsia" w:hAnsi="宋体" w:cs="宋体"/>
          <w:color w:val="auto"/>
          <w:highlight w:val="none"/>
        </w:rPr>
      </w:pPr>
      <w:r>
        <w:rPr>
          <w:rFonts w:hint="eastAsia" w:hAnsi="宋体" w:cs="宋体"/>
          <w:bCs/>
          <w:color w:val="auto"/>
          <w:highlight w:val="none"/>
        </w:rPr>
        <w:t>1.2  采购代理机构：见服务商须知前附表。</w:t>
      </w:r>
    </w:p>
    <w:p w14:paraId="735B3584">
      <w:pPr>
        <w:pStyle w:val="11"/>
        <w:spacing w:line="440" w:lineRule="exact"/>
        <w:ind w:left="2" w:firstLine="358"/>
        <w:jc w:val="left"/>
        <w:rPr>
          <w:rFonts w:hint="eastAsia" w:hAnsi="宋体" w:cs="宋体"/>
          <w:color w:val="auto"/>
          <w:highlight w:val="none"/>
        </w:rPr>
      </w:pPr>
      <w:r>
        <w:rPr>
          <w:rFonts w:hint="eastAsia" w:hAnsi="宋体" w:cs="宋体"/>
          <w:color w:val="auto"/>
          <w:highlight w:val="none"/>
        </w:rPr>
        <w:t>1.3  项目名称：</w:t>
      </w:r>
      <w:r>
        <w:rPr>
          <w:rFonts w:hint="eastAsia" w:hAnsi="宋体" w:cs="宋体"/>
          <w:bCs/>
          <w:color w:val="auto"/>
          <w:highlight w:val="none"/>
        </w:rPr>
        <w:t>见服务商须知前附表。</w:t>
      </w:r>
    </w:p>
    <w:p w14:paraId="0D20FD78">
      <w:pPr>
        <w:pStyle w:val="11"/>
        <w:spacing w:line="440" w:lineRule="exact"/>
        <w:ind w:left="2" w:firstLine="358"/>
        <w:jc w:val="left"/>
        <w:rPr>
          <w:rFonts w:hint="eastAsia" w:hAnsi="宋体" w:cs="宋体"/>
          <w:bCs/>
          <w:color w:val="auto"/>
          <w:highlight w:val="none"/>
        </w:rPr>
      </w:pPr>
      <w:r>
        <w:rPr>
          <w:rFonts w:hint="eastAsia" w:hAnsi="宋体" w:cs="宋体"/>
          <w:color w:val="auto"/>
          <w:highlight w:val="none"/>
        </w:rPr>
        <w:t>1.4  项目编号：</w:t>
      </w:r>
      <w:r>
        <w:rPr>
          <w:rFonts w:hint="eastAsia" w:hAnsi="宋体" w:cs="宋体"/>
          <w:bCs/>
          <w:color w:val="auto"/>
          <w:highlight w:val="none"/>
        </w:rPr>
        <w:t>见服务商须知前附表。</w:t>
      </w:r>
    </w:p>
    <w:p w14:paraId="45A8A974">
      <w:pPr>
        <w:pStyle w:val="11"/>
        <w:spacing w:line="440" w:lineRule="exact"/>
        <w:ind w:left="2" w:firstLine="358"/>
        <w:jc w:val="left"/>
        <w:rPr>
          <w:rFonts w:hint="eastAsia" w:hAnsi="宋体" w:cs="宋体"/>
          <w:bCs/>
          <w:color w:val="auto"/>
          <w:highlight w:val="none"/>
        </w:rPr>
      </w:pPr>
      <w:r>
        <w:rPr>
          <w:rFonts w:hint="eastAsia" w:hAnsi="宋体" w:cs="宋体"/>
          <w:bCs/>
          <w:color w:val="auto"/>
          <w:highlight w:val="none"/>
        </w:rPr>
        <w:t>1.5  采购预算：见服务商须知前附表。</w:t>
      </w:r>
    </w:p>
    <w:p w14:paraId="72799E34">
      <w:pPr>
        <w:pStyle w:val="11"/>
        <w:spacing w:line="440" w:lineRule="exact"/>
        <w:ind w:left="2" w:firstLine="358"/>
        <w:jc w:val="left"/>
        <w:rPr>
          <w:rFonts w:hint="eastAsia" w:hAnsi="宋体" w:cs="宋体"/>
          <w:bCs/>
          <w:color w:val="auto"/>
          <w:highlight w:val="none"/>
        </w:rPr>
      </w:pPr>
      <w:r>
        <w:rPr>
          <w:rFonts w:hint="eastAsia" w:hAnsi="宋体" w:cs="宋体"/>
          <w:bCs/>
          <w:color w:val="auto"/>
          <w:highlight w:val="none"/>
        </w:rPr>
        <w:t>1.6  资金来源：政府财政性资金</w:t>
      </w:r>
    </w:p>
    <w:p w14:paraId="3EB733A4">
      <w:pPr>
        <w:pStyle w:val="11"/>
        <w:spacing w:line="440" w:lineRule="exact"/>
        <w:ind w:left="2" w:firstLine="358"/>
        <w:jc w:val="left"/>
        <w:rPr>
          <w:rFonts w:hint="eastAsia" w:hAnsi="宋体" w:cs="宋体"/>
          <w:bCs/>
          <w:color w:val="auto"/>
          <w:highlight w:val="none"/>
        </w:rPr>
      </w:pPr>
      <w:r>
        <w:rPr>
          <w:rFonts w:hint="eastAsia" w:hAnsi="宋体" w:cs="宋体"/>
          <w:bCs/>
          <w:color w:val="auto"/>
          <w:highlight w:val="none"/>
        </w:rPr>
        <w:t xml:space="preserve">1.7  </w:t>
      </w:r>
      <w:r>
        <w:rPr>
          <w:rFonts w:hint="eastAsia" w:hAnsi="宋体" w:cs="宋体"/>
          <w:color w:val="auto"/>
          <w:szCs w:val="21"/>
          <w:highlight w:val="none"/>
        </w:rPr>
        <w:t>获取采购文件的方式：</w:t>
      </w:r>
      <w:r>
        <w:rPr>
          <w:rFonts w:hint="eastAsia" w:hAnsi="宋体" w:cs="宋体"/>
          <w:bCs/>
          <w:color w:val="auto"/>
          <w:highlight w:val="none"/>
        </w:rPr>
        <w:t>见服务商须知前附表。</w:t>
      </w:r>
    </w:p>
    <w:p w14:paraId="1544F312">
      <w:pPr>
        <w:pStyle w:val="11"/>
        <w:spacing w:line="440" w:lineRule="exact"/>
        <w:jc w:val="left"/>
        <w:rPr>
          <w:rFonts w:hint="eastAsia" w:hAnsi="宋体" w:cs="宋体"/>
          <w:bCs/>
          <w:color w:val="auto"/>
          <w:sz w:val="24"/>
          <w:highlight w:val="none"/>
        </w:rPr>
      </w:pPr>
      <w:r>
        <w:rPr>
          <w:rFonts w:hint="eastAsia" w:hAnsi="宋体" w:cs="宋体"/>
          <w:bCs/>
          <w:color w:val="auto"/>
          <w:sz w:val="24"/>
          <w:highlight w:val="none"/>
        </w:rPr>
        <w:t>2.  政府采购信息发布媒体：</w:t>
      </w:r>
    </w:p>
    <w:p w14:paraId="112DC0E0">
      <w:pPr>
        <w:pStyle w:val="11"/>
        <w:spacing w:line="440" w:lineRule="exact"/>
        <w:ind w:firstLine="359" w:firstLineChars="171"/>
        <w:rPr>
          <w:rFonts w:hint="eastAsia" w:hAnsi="宋体" w:cs="宋体"/>
          <w:bCs/>
          <w:color w:val="auto"/>
          <w:highlight w:val="none"/>
        </w:rPr>
      </w:pPr>
      <w:r>
        <w:rPr>
          <w:rFonts w:hint="eastAsia" w:hAnsi="宋体" w:cs="宋体"/>
          <w:bCs/>
          <w:color w:val="auto"/>
          <w:highlight w:val="none"/>
        </w:rPr>
        <w:t>2.1  与本项目相关的政府采购业务信息（包括竞争性磋商采购公告、成交公告及其更正事项等）将在以下媒体上发布：</w:t>
      </w:r>
      <w:r>
        <w:rPr>
          <w:rFonts w:hint="eastAsia" w:hAnsi="宋体" w:cs="宋体"/>
          <w:color w:val="auto"/>
          <w:spacing w:val="6"/>
          <w:kern w:val="48"/>
          <w:szCs w:val="21"/>
          <w:highlight w:val="none"/>
        </w:rPr>
        <w:t>广西</w:t>
      </w:r>
      <w:bookmarkStart w:id="24" w:name="_Hlk118134699"/>
      <w:r>
        <w:rPr>
          <w:rFonts w:hint="eastAsia" w:hAnsi="宋体" w:cs="宋体"/>
          <w:color w:val="auto"/>
          <w:spacing w:val="6"/>
          <w:kern w:val="48"/>
          <w:szCs w:val="21"/>
          <w:highlight w:val="none"/>
        </w:rPr>
        <w:t>政府采购网、</w:t>
      </w:r>
      <w:bookmarkEnd w:id="24"/>
      <w:r>
        <w:rPr>
          <w:rFonts w:hint="eastAsia" w:hAnsi="宋体" w:cs="宋体"/>
          <w:color w:val="auto"/>
          <w:spacing w:val="6"/>
          <w:szCs w:val="21"/>
          <w:highlight w:val="none"/>
        </w:rPr>
        <w:t>梧州政府采购网</w:t>
      </w:r>
      <w:r>
        <w:rPr>
          <w:rFonts w:hint="eastAsia" w:hAnsi="宋体" w:cs="宋体"/>
          <w:bCs/>
          <w:color w:val="auto"/>
          <w:highlight w:val="none"/>
        </w:rPr>
        <w:t>。</w:t>
      </w:r>
    </w:p>
    <w:p w14:paraId="234D01DB">
      <w:pPr>
        <w:pStyle w:val="11"/>
        <w:spacing w:line="440" w:lineRule="exact"/>
        <w:ind w:left="242" w:hanging="242" w:hangingChars="101"/>
        <w:jc w:val="left"/>
        <w:rPr>
          <w:rFonts w:hint="eastAsia" w:hAnsi="宋体" w:cs="宋体"/>
          <w:bCs/>
          <w:color w:val="auto"/>
          <w:sz w:val="24"/>
          <w:highlight w:val="none"/>
        </w:rPr>
      </w:pPr>
      <w:r>
        <w:rPr>
          <w:rFonts w:hint="eastAsia" w:hAnsi="宋体" w:cs="宋体"/>
          <w:bCs/>
          <w:color w:val="auto"/>
          <w:sz w:val="24"/>
          <w:highlight w:val="none"/>
        </w:rPr>
        <w:t>3. 服务商资格要求：</w:t>
      </w:r>
    </w:p>
    <w:p w14:paraId="5C4CF60A">
      <w:pPr>
        <w:pStyle w:val="11"/>
        <w:spacing w:line="440" w:lineRule="exact"/>
        <w:ind w:firstLine="360"/>
        <w:rPr>
          <w:rFonts w:hint="eastAsia" w:hAnsi="宋体" w:cs="宋体"/>
          <w:bCs/>
          <w:color w:val="auto"/>
          <w:highlight w:val="none"/>
        </w:rPr>
      </w:pPr>
      <w:r>
        <w:rPr>
          <w:rFonts w:hint="eastAsia" w:hAnsi="宋体" w:cs="宋体"/>
          <w:bCs/>
          <w:color w:val="auto"/>
          <w:highlight w:val="none"/>
        </w:rPr>
        <w:t>3.1服务商未被列入失信被执行人、重大税收违法案件当事人名单、政府采购严重违法失信行为记录名单，且应符合《中华人民共和国政府采购法》第二十二条规定的下列服务商资格条件：</w:t>
      </w:r>
    </w:p>
    <w:p w14:paraId="0F87C26A">
      <w:pPr>
        <w:pStyle w:val="11"/>
        <w:spacing w:line="440" w:lineRule="exact"/>
        <w:ind w:firstLine="720"/>
        <w:rPr>
          <w:rFonts w:hint="eastAsia" w:hAnsi="宋体" w:cs="宋体"/>
          <w:bCs/>
          <w:color w:val="auto"/>
          <w:highlight w:val="none"/>
        </w:rPr>
      </w:pPr>
      <w:r>
        <w:rPr>
          <w:rFonts w:hint="eastAsia" w:hAnsi="宋体" w:cs="宋体"/>
          <w:bCs/>
          <w:color w:val="auto"/>
          <w:highlight w:val="none"/>
        </w:rPr>
        <w:t>（1）具有独立承担民事责任的能力；</w:t>
      </w:r>
    </w:p>
    <w:p w14:paraId="663A1BBF">
      <w:pPr>
        <w:pStyle w:val="11"/>
        <w:spacing w:line="440" w:lineRule="exact"/>
        <w:ind w:firstLine="720"/>
        <w:rPr>
          <w:rFonts w:hint="eastAsia" w:hAnsi="宋体" w:cs="宋体"/>
          <w:bCs/>
          <w:color w:val="auto"/>
          <w:highlight w:val="none"/>
        </w:rPr>
      </w:pPr>
      <w:r>
        <w:rPr>
          <w:rFonts w:hint="eastAsia" w:hAnsi="宋体" w:cs="宋体"/>
          <w:bCs/>
          <w:color w:val="auto"/>
          <w:highlight w:val="none"/>
        </w:rPr>
        <w:t>（2）具有良好的商业信誉和健全的财务会计制度；</w:t>
      </w:r>
    </w:p>
    <w:p w14:paraId="5E4753EA">
      <w:pPr>
        <w:pStyle w:val="11"/>
        <w:spacing w:line="440" w:lineRule="exact"/>
        <w:ind w:firstLine="720"/>
        <w:rPr>
          <w:rFonts w:hint="eastAsia" w:hAnsi="宋体" w:cs="宋体"/>
          <w:bCs/>
          <w:color w:val="auto"/>
          <w:highlight w:val="none"/>
        </w:rPr>
      </w:pPr>
      <w:r>
        <w:rPr>
          <w:rFonts w:hint="eastAsia" w:hAnsi="宋体" w:cs="宋体"/>
          <w:bCs/>
          <w:color w:val="auto"/>
          <w:highlight w:val="none"/>
        </w:rPr>
        <w:t>（3）具有履行合同所必需的设备和专业技术能力；</w:t>
      </w:r>
    </w:p>
    <w:p w14:paraId="716B1691">
      <w:pPr>
        <w:pStyle w:val="11"/>
        <w:spacing w:line="440" w:lineRule="exact"/>
        <w:ind w:firstLine="720"/>
        <w:rPr>
          <w:rFonts w:hint="eastAsia" w:hAnsi="宋体" w:cs="宋体"/>
          <w:bCs/>
          <w:color w:val="auto"/>
          <w:highlight w:val="none"/>
        </w:rPr>
      </w:pPr>
      <w:r>
        <w:rPr>
          <w:rFonts w:hint="eastAsia" w:hAnsi="宋体" w:cs="宋体"/>
          <w:bCs/>
          <w:color w:val="auto"/>
          <w:highlight w:val="none"/>
        </w:rPr>
        <w:t>（4）有依法缴纳税收和社会保障资金的良好记录；</w:t>
      </w:r>
    </w:p>
    <w:p w14:paraId="344D9B5B">
      <w:pPr>
        <w:pStyle w:val="11"/>
        <w:spacing w:line="440" w:lineRule="exact"/>
        <w:ind w:firstLine="720"/>
        <w:rPr>
          <w:rFonts w:hint="eastAsia" w:hAnsi="宋体" w:cs="宋体"/>
          <w:bCs/>
          <w:color w:val="auto"/>
          <w:highlight w:val="none"/>
        </w:rPr>
      </w:pPr>
      <w:r>
        <w:rPr>
          <w:rFonts w:hint="eastAsia" w:hAnsi="宋体" w:cs="宋体"/>
          <w:bCs/>
          <w:color w:val="auto"/>
          <w:highlight w:val="none"/>
        </w:rPr>
        <w:t>（5）参加政府采购活动前三年内，在经营活动中没有重大违法记录；</w:t>
      </w:r>
    </w:p>
    <w:p w14:paraId="204DD471">
      <w:pPr>
        <w:pStyle w:val="11"/>
        <w:spacing w:line="440" w:lineRule="exact"/>
        <w:ind w:firstLine="720"/>
        <w:rPr>
          <w:rFonts w:hint="eastAsia" w:hAnsi="宋体" w:cs="宋体"/>
          <w:bCs/>
          <w:color w:val="auto"/>
          <w:highlight w:val="none"/>
        </w:rPr>
      </w:pPr>
      <w:r>
        <w:rPr>
          <w:rFonts w:hint="eastAsia" w:hAnsi="宋体" w:cs="宋体"/>
          <w:bCs/>
          <w:color w:val="auto"/>
          <w:highlight w:val="none"/>
        </w:rPr>
        <w:t>（6）法律、行政法规规定的其他条件。</w:t>
      </w:r>
    </w:p>
    <w:p w14:paraId="64DBB97B">
      <w:pPr>
        <w:pStyle w:val="11"/>
        <w:spacing w:line="440" w:lineRule="exact"/>
        <w:ind w:firstLine="360"/>
        <w:rPr>
          <w:rFonts w:hint="eastAsia" w:hAnsi="宋体" w:cs="宋体"/>
          <w:bCs/>
          <w:color w:val="auto"/>
          <w:highlight w:val="none"/>
        </w:rPr>
      </w:pPr>
      <w:r>
        <w:rPr>
          <w:rFonts w:hint="eastAsia" w:hAnsi="宋体" w:cs="宋体"/>
          <w:bCs/>
          <w:color w:val="auto"/>
          <w:highlight w:val="none"/>
        </w:rPr>
        <w:t>3.2  针对本项目，服务商应具备的特定条件：见服务商须知前附表。</w:t>
      </w:r>
    </w:p>
    <w:p w14:paraId="5C6799FE">
      <w:pPr>
        <w:pStyle w:val="11"/>
        <w:spacing w:line="440" w:lineRule="exact"/>
        <w:ind w:firstLine="360"/>
        <w:rPr>
          <w:rFonts w:hint="eastAsia" w:hAnsi="宋体" w:cs="宋体"/>
          <w:bCs/>
          <w:color w:val="auto"/>
          <w:highlight w:val="none"/>
        </w:rPr>
      </w:pPr>
      <w:r>
        <w:rPr>
          <w:rFonts w:hint="eastAsia" w:hAnsi="宋体" w:cs="宋体"/>
          <w:bCs/>
          <w:color w:val="auto"/>
          <w:highlight w:val="none"/>
        </w:rPr>
        <w:t>3.3  服务商须知前附表规定接受联合体</w:t>
      </w:r>
      <w:r>
        <w:rPr>
          <w:rFonts w:hint="eastAsia" w:hAnsi="宋体" w:cs="宋体"/>
          <w:bCs/>
          <w:color w:val="auto"/>
          <w:highlight w:val="none"/>
          <w:lang w:eastAsia="zh-CN"/>
        </w:rPr>
        <w:t>磋商</w:t>
      </w:r>
      <w:r>
        <w:rPr>
          <w:rFonts w:hint="eastAsia" w:hAnsi="宋体" w:cs="宋体"/>
          <w:bCs/>
          <w:color w:val="auto"/>
          <w:highlight w:val="none"/>
        </w:rPr>
        <w:t>的，两个以上服务商可以组成一个</w:t>
      </w:r>
      <w:r>
        <w:rPr>
          <w:rFonts w:hint="eastAsia" w:hAnsi="宋体" w:cs="宋体"/>
          <w:bCs/>
          <w:color w:val="auto"/>
          <w:highlight w:val="none"/>
          <w:lang w:eastAsia="zh-CN"/>
        </w:rPr>
        <w:t>磋商</w:t>
      </w:r>
      <w:r>
        <w:rPr>
          <w:rFonts w:hint="eastAsia" w:hAnsi="宋体" w:cs="宋体"/>
          <w:bCs/>
          <w:color w:val="auto"/>
          <w:highlight w:val="none"/>
        </w:rPr>
        <w:t>联合体，</w:t>
      </w:r>
      <w:r>
        <w:rPr>
          <w:rFonts w:hint="eastAsia" w:hAnsi="宋体" w:cs="宋体"/>
          <w:color w:val="auto"/>
          <w:szCs w:val="21"/>
          <w:highlight w:val="none"/>
        </w:rPr>
        <w:t>以一个服务商的身份共同参加</w:t>
      </w:r>
      <w:r>
        <w:rPr>
          <w:rFonts w:hint="eastAsia" w:hAnsi="宋体" w:cs="宋体"/>
          <w:color w:val="auto"/>
          <w:szCs w:val="21"/>
          <w:highlight w:val="none"/>
          <w:lang w:eastAsia="zh-CN"/>
        </w:rPr>
        <w:t>磋商</w:t>
      </w:r>
      <w:r>
        <w:rPr>
          <w:rFonts w:hint="eastAsia" w:hAnsi="宋体" w:cs="宋体"/>
          <w:bCs/>
          <w:color w:val="auto"/>
          <w:highlight w:val="none"/>
        </w:rPr>
        <w:t>。以联合体形式参加</w:t>
      </w:r>
      <w:r>
        <w:rPr>
          <w:rFonts w:hint="eastAsia" w:hAnsi="宋体" w:cs="宋体"/>
          <w:bCs/>
          <w:color w:val="auto"/>
          <w:highlight w:val="none"/>
          <w:lang w:eastAsia="zh-CN"/>
        </w:rPr>
        <w:t>磋商</w:t>
      </w:r>
      <w:r>
        <w:rPr>
          <w:rFonts w:hint="eastAsia" w:hAnsi="宋体" w:cs="宋体"/>
          <w:bCs/>
          <w:color w:val="auto"/>
          <w:highlight w:val="none"/>
        </w:rPr>
        <w:t>的，联合体各方均应当符合本章第3.1项的要求，至少应当有一方符合本章第3.2项的要求；联合体各方应签订共同</w:t>
      </w:r>
      <w:r>
        <w:rPr>
          <w:rFonts w:hint="eastAsia" w:hAnsi="宋体" w:cs="宋体"/>
          <w:bCs/>
          <w:color w:val="auto"/>
          <w:highlight w:val="none"/>
          <w:lang w:eastAsia="zh-CN"/>
        </w:rPr>
        <w:t>磋商</w:t>
      </w:r>
      <w:r>
        <w:rPr>
          <w:rFonts w:hint="eastAsia" w:hAnsi="宋体" w:cs="宋体"/>
          <w:bCs/>
          <w:color w:val="auto"/>
          <w:highlight w:val="none"/>
        </w:rPr>
        <w:t>协议，明确联合体各方承担的工作和相应的责任，并将共同</w:t>
      </w:r>
      <w:r>
        <w:rPr>
          <w:rFonts w:hint="eastAsia" w:hAnsi="宋体" w:cs="宋体"/>
          <w:bCs/>
          <w:color w:val="auto"/>
          <w:highlight w:val="none"/>
          <w:lang w:eastAsia="zh-CN"/>
        </w:rPr>
        <w:t>磋商</w:t>
      </w:r>
      <w:r>
        <w:rPr>
          <w:rFonts w:hint="eastAsia" w:hAnsi="宋体" w:cs="宋体"/>
          <w:bCs/>
          <w:color w:val="auto"/>
          <w:highlight w:val="none"/>
        </w:rPr>
        <w:t>协议连同磋商响应文件一并提交采购代理机构；由同一专业的单位组成的联合体，按照资质等级最低的单位确定资质等级；联合体各方不得再以自己名义单独或组成新的联合体参加同一项目同一分标</w:t>
      </w:r>
      <w:r>
        <w:rPr>
          <w:rFonts w:hint="eastAsia" w:hAnsi="宋体" w:cs="宋体"/>
          <w:bCs/>
          <w:color w:val="auto"/>
          <w:highlight w:val="none"/>
          <w:lang w:eastAsia="zh-CN"/>
        </w:rPr>
        <w:t>磋商</w:t>
      </w:r>
      <w:r>
        <w:rPr>
          <w:rFonts w:hint="eastAsia" w:hAnsi="宋体" w:cs="宋体"/>
          <w:bCs/>
          <w:color w:val="auto"/>
          <w:highlight w:val="none"/>
        </w:rPr>
        <w:t>，否则与之相关的磋商响应文件作废；</w:t>
      </w:r>
      <w:r>
        <w:rPr>
          <w:rFonts w:hint="eastAsia" w:hAnsi="宋体" w:cs="宋体"/>
          <w:bCs/>
          <w:color w:val="auto"/>
          <w:highlight w:val="none"/>
          <w:lang w:eastAsia="zh-CN"/>
        </w:rPr>
        <w:t>磋商</w:t>
      </w:r>
      <w:r>
        <w:rPr>
          <w:rFonts w:hint="eastAsia" w:hAnsi="宋体" w:cs="宋体"/>
          <w:bCs/>
          <w:color w:val="auto"/>
          <w:highlight w:val="none"/>
        </w:rPr>
        <w:t>联合体的业绩和信誉按联合体主体方（或牵头方）计算。</w:t>
      </w:r>
    </w:p>
    <w:p w14:paraId="0D8B9E36">
      <w:pPr>
        <w:pStyle w:val="11"/>
        <w:spacing w:line="440" w:lineRule="exact"/>
        <w:ind w:firstLine="360"/>
        <w:rPr>
          <w:rFonts w:hint="eastAsia" w:hAnsi="宋体" w:cs="宋体"/>
          <w:bCs/>
          <w:color w:val="auto"/>
          <w:highlight w:val="none"/>
        </w:rPr>
      </w:pPr>
      <w:r>
        <w:rPr>
          <w:rFonts w:hint="eastAsia" w:hAnsi="宋体" w:cs="宋体"/>
          <w:bCs/>
          <w:color w:val="auto"/>
          <w:highlight w:val="none"/>
        </w:rPr>
        <w:t xml:space="preserve">3.4  </w:t>
      </w:r>
      <w:r>
        <w:rPr>
          <w:rFonts w:hint="eastAsia" w:hAnsi="宋体" w:cs="宋体"/>
          <w:color w:val="auto"/>
          <w:highlight w:val="none"/>
        </w:rPr>
        <w:t xml:space="preserve">服务商不得直接或间接地与为本次采购的项目内容进行设计、编制规范和其他文件的咨询公司、采购代理机构或其附属机构有任何关联。 </w:t>
      </w:r>
    </w:p>
    <w:p w14:paraId="40413789">
      <w:pPr>
        <w:pStyle w:val="11"/>
        <w:spacing w:line="440" w:lineRule="exact"/>
        <w:ind w:left="242" w:hanging="242" w:hangingChars="101"/>
        <w:jc w:val="left"/>
        <w:rPr>
          <w:rFonts w:hint="eastAsia" w:hAnsi="宋体" w:cs="宋体"/>
          <w:bCs/>
          <w:color w:val="auto"/>
          <w:sz w:val="24"/>
          <w:highlight w:val="none"/>
        </w:rPr>
      </w:pPr>
      <w:r>
        <w:rPr>
          <w:rFonts w:hint="eastAsia" w:hAnsi="宋体" w:cs="宋体"/>
          <w:bCs/>
          <w:color w:val="auto"/>
          <w:sz w:val="24"/>
          <w:highlight w:val="none"/>
        </w:rPr>
        <w:t>4. 质疑</w:t>
      </w:r>
    </w:p>
    <w:p w14:paraId="20FC6C45">
      <w:pPr>
        <w:pStyle w:val="11"/>
        <w:spacing w:line="440" w:lineRule="exact"/>
        <w:ind w:left="2" w:firstLine="360"/>
        <w:jc w:val="left"/>
        <w:rPr>
          <w:rFonts w:hint="eastAsia" w:hAnsi="宋体" w:cs="宋体"/>
          <w:bCs/>
          <w:color w:val="auto"/>
          <w:highlight w:val="none"/>
        </w:rPr>
      </w:pPr>
      <w:r>
        <w:rPr>
          <w:rFonts w:hint="eastAsia" w:hAnsi="宋体" w:cs="宋体"/>
          <w:bCs/>
          <w:color w:val="auto"/>
          <w:highlight w:val="none"/>
        </w:rPr>
        <w:t>4.1  服务商认为采购文件使自己的权益受到损害的，</w:t>
      </w:r>
      <w:r>
        <w:rPr>
          <w:rFonts w:hint="eastAsia" w:hAnsi="宋体" w:cs="宋体"/>
          <w:color w:val="auto"/>
          <w:highlight w:val="none"/>
        </w:rPr>
        <w:t>可</w:t>
      </w:r>
      <w:r>
        <w:rPr>
          <w:rFonts w:hint="eastAsia" w:hAnsi="宋体" w:cs="宋体"/>
          <w:bCs/>
          <w:color w:val="auto"/>
          <w:highlight w:val="none"/>
        </w:rPr>
        <w:t>以</w:t>
      </w:r>
      <w:r>
        <w:rPr>
          <w:rFonts w:hint="eastAsia" w:hAnsi="宋体" w:cs="宋体"/>
          <w:color w:val="auto"/>
          <w:highlight w:val="none"/>
        </w:rPr>
        <w:t>在知道或者应知其权益受到损害之日起7个工作日内</w:t>
      </w:r>
      <w:r>
        <w:rPr>
          <w:rFonts w:hint="eastAsia" w:hAnsi="宋体" w:cs="宋体"/>
          <w:bCs/>
          <w:color w:val="auto"/>
          <w:highlight w:val="none"/>
        </w:rPr>
        <w:t>以书面形式向采购人委托的采购代理机构质疑；质疑提交截止时间后，采购代理机构不再受理对采购文件的质疑。服务商认为</w:t>
      </w:r>
      <w:r>
        <w:rPr>
          <w:rFonts w:hint="eastAsia" w:hAnsi="宋体" w:cs="宋体"/>
          <w:color w:val="auto"/>
          <w:highlight w:val="none"/>
        </w:rPr>
        <w:t>采购过程和成交结果使自己的权益受到损害的，可</w:t>
      </w:r>
      <w:r>
        <w:rPr>
          <w:rFonts w:hint="eastAsia" w:hAnsi="宋体" w:cs="宋体"/>
          <w:bCs/>
          <w:color w:val="auto"/>
          <w:highlight w:val="none"/>
        </w:rPr>
        <w:t>以</w:t>
      </w:r>
      <w:r>
        <w:rPr>
          <w:rFonts w:hint="eastAsia" w:hAnsi="宋体" w:cs="宋体"/>
          <w:color w:val="auto"/>
          <w:highlight w:val="none"/>
        </w:rPr>
        <w:t>在知道或者应知其权益受到损害之日起七个工作日内，以书面形式向采购人委托的采购代理机构质疑。质疑书的提交地点和质疑受理电话见服务商须知前附表。</w:t>
      </w:r>
    </w:p>
    <w:p w14:paraId="0ED26351">
      <w:pPr>
        <w:pStyle w:val="11"/>
        <w:spacing w:line="440" w:lineRule="exact"/>
        <w:ind w:left="2" w:firstLine="360"/>
        <w:jc w:val="left"/>
        <w:rPr>
          <w:rFonts w:hint="eastAsia" w:hAnsi="宋体" w:cs="宋体"/>
          <w:bCs/>
          <w:color w:val="auto"/>
          <w:szCs w:val="21"/>
          <w:highlight w:val="none"/>
        </w:rPr>
      </w:pPr>
      <w:r>
        <w:rPr>
          <w:rFonts w:hint="eastAsia" w:hAnsi="宋体" w:cs="宋体"/>
          <w:bCs/>
          <w:color w:val="auto"/>
          <w:szCs w:val="21"/>
          <w:highlight w:val="none"/>
        </w:rPr>
        <w:t>4.2  服务商质疑实行实名制，其质疑应当有具体的质疑事项及事实根据，不得进行虚假、恶意质疑。</w:t>
      </w:r>
    </w:p>
    <w:p w14:paraId="3838E282">
      <w:pPr>
        <w:pStyle w:val="11"/>
        <w:spacing w:line="440" w:lineRule="exact"/>
        <w:ind w:left="2" w:firstLine="360"/>
        <w:jc w:val="left"/>
        <w:rPr>
          <w:rFonts w:hint="eastAsia" w:hAnsi="宋体" w:cs="宋体"/>
          <w:bCs/>
          <w:color w:val="auto"/>
          <w:highlight w:val="none"/>
        </w:rPr>
      </w:pPr>
      <w:r>
        <w:rPr>
          <w:rFonts w:hint="eastAsia" w:hAnsi="宋体" w:cs="宋体"/>
          <w:bCs/>
          <w:color w:val="auto"/>
          <w:szCs w:val="21"/>
          <w:highlight w:val="none"/>
        </w:rPr>
        <w:t>4.3  服务商质疑时，应当提交质疑</w:t>
      </w:r>
      <w:r>
        <w:rPr>
          <w:rFonts w:hint="eastAsia" w:hAnsi="宋体" w:cs="宋体"/>
          <w:bCs/>
          <w:color w:val="auto"/>
          <w:highlight w:val="none"/>
        </w:rPr>
        <w:t>书原件，质疑书应当包括下列主要内容：</w:t>
      </w:r>
    </w:p>
    <w:p w14:paraId="79566506">
      <w:pPr>
        <w:pStyle w:val="11"/>
        <w:spacing w:line="440" w:lineRule="exact"/>
        <w:ind w:left="2" w:firstLine="718"/>
        <w:jc w:val="left"/>
        <w:rPr>
          <w:rFonts w:hint="eastAsia" w:hAnsi="宋体" w:cs="宋体"/>
          <w:color w:val="auto"/>
          <w:highlight w:val="none"/>
        </w:rPr>
      </w:pPr>
      <w:r>
        <w:rPr>
          <w:rFonts w:hint="eastAsia" w:hAnsi="宋体" w:cs="宋体"/>
          <w:color w:val="auto"/>
          <w:highlight w:val="none"/>
        </w:rPr>
        <w:t>（1）服务商的姓名或者名称、地址、邮编、联系人及联系电话；</w:t>
      </w:r>
    </w:p>
    <w:p w14:paraId="026E822E">
      <w:pPr>
        <w:pStyle w:val="11"/>
        <w:spacing w:line="440" w:lineRule="exact"/>
        <w:ind w:left="2" w:firstLine="718"/>
        <w:jc w:val="left"/>
        <w:rPr>
          <w:rFonts w:hint="eastAsia" w:hAnsi="宋体" w:cs="宋体"/>
          <w:color w:val="auto"/>
          <w:highlight w:val="none"/>
        </w:rPr>
      </w:pPr>
      <w:r>
        <w:rPr>
          <w:rFonts w:hint="eastAsia" w:hAnsi="宋体" w:cs="宋体"/>
          <w:color w:val="auto"/>
          <w:highlight w:val="none"/>
        </w:rPr>
        <w:t>（2）质疑项目的名称、编号；</w:t>
      </w:r>
    </w:p>
    <w:p w14:paraId="6484E0DF">
      <w:pPr>
        <w:pStyle w:val="11"/>
        <w:spacing w:line="440" w:lineRule="exact"/>
        <w:ind w:left="2" w:firstLine="718"/>
        <w:jc w:val="left"/>
        <w:rPr>
          <w:rFonts w:hint="eastAsia" w:hAnsi="宋体" w:cs="宋体"/>
          <w:bCs/>
          <w:color w:val="auto"/>
          <w:szCs w:val="21"/>
          <w:highlight w:val="none"/>
        </w:rPr>
      </w:pPr>
      <w:r>
        <w:rPr>
          <w:rFonts w:hint="eastAsia" w:hAnsi="宋体" w:cs="宋体"/>
          <w:color w:val="auto"/>
          <w:highlight w:val="none"/>
        </w:rPr>
        <w:t>（3）具体、明确的质疑事项和与质疑事项相关的请求</w:t>
      </w:r>
      <w:r>
        <w:rPr>
          <w:rFonts w:hint="eastAsia" w:hAnsi="宋体" w:cs="宋体"/>
          <w:bCs/>
          <w:color w:val="auto"/>
          <w:szCs w:val="21"/>
          <w:highlight w:val="none"/>
        </w:rPr>
        <w:t>（列明权益受到损害的事实和理由）；</w:t>
      </w:r>
    </w:p>
    <w:p w14:paraId="58B3B3C3">
      <w:pPr>
        <w:pStyle w:val="11"/>
        <w:spacing w:line="440" w:lineRule="exact"/>
        <w:ind w:left="2" w:firstLine="718"/>
        <w:jc w:val="left"/>
        <w:rPr>
          <w:rFonts w:hint="eastAsia" w:hAnsi="宋体" w:cs="宋体"/>
          <w:color w:val="auto"/>
          <w:highlight w:val="none"/>
        </w:rPr>
      </w:pPr>
      <w:r>
        <w:rPr>
          <w:rFonts w:hint="eastAsia" w:hAnsi="宋体" w:cs="宋体"/>
          <w:color w:val="auto"/>
          <w:highlight w:val="none"/>
        </w:rPr>
        <w:t>（4）事实依据；</w:t>
      </w:r>
    </w:p>
    <w:p w14:paraId="01042E23">
      <w:pPr>
        <w:pStyle w:val="11"/>
        <w:spacing w:line="440" w:lineRule="exact"/>
        <w:ind w:left="2" w:firstLine="718"/>
        <w:jc w:val="left"/>
        <w:rPr>
          <w:rFonts w:hint="eastAsia" w:hAnsi="宋体" w:cs="宋体"/>
          <w:color w:val="auto"/>
          <w:highlight w:val="none"/>
        </w:rPr>
      </w:pPr>
      <w:r>
        <w:rPr>
          <w:rFonts w:hint="eastAsia" w:hAnsi="宋体" w:cs="宋体"/>
          <w:color w:val="auto"/>
          <w:highlight w:val="none"/>
        </w:rPr>
        <w:t>（5）必要的法律依据；</w:t>
      </w:r>
    </w:p>
    <w:p w14:paraId="186AB694">
      <w:pPr>
        <w:pStyle w:val="11"/>
        <w:spacing w:line="440" w:lineRule="exact"/>
        <w:ind w:left="2" w:firstLine="718"/>
        <w:jc w:val="left"/>
        <w:rPr>
          <w:rFonts w:hint="eastAsia" w:hAnsi="宋体" w:cs="宋体"/>
          <w:color w:val="auto"/>
          <w:highlight w:val="none"/>
        </w:rPr>
      </w:pPr>
      <w:r>
        <w:rPr>
          <w:rFonts w:hint="eastAsia" w:hAnsi="宋体" w:cs="宋体"/>
          <w:color w:val="auto"/>
          <w:highlight w:val="none"/>
        </w:rPr>
        <w:t>（6）提起质疑的日期；</w:t>
      </w:r>
    </w:p>
    <w:p w14:paraId="50EB18A4">
      <w:pPr>
        <w:pStyle w:val="11"/>
        <w:spacing w:line="440" w:lineRule="exact"/>
        <w:ind w:left="2" w:firstLine="735" w:firstLineChars="350"/>
        <w:jc w:val="left"/>
        <w:rPr>
          <w:rFonts w:hint="eastAsia" w:hAnsi="宋体" w:cs="宋体"/>
          <w:color w:val="auto"/>
          <w:highlight w:val="none"/>
        </w:rPr>
      </w:pPr>
      <w:r>
        <w:rPr>
          <w:rFonts w:hint="eastAsia" w:hAnsi="宋体" w:cs="宋体"/>
          <w:color w:val="auto"/>
          <w:highlight w:val="none"/>
        </w:rPr>
        <w:t xml:space="preserve">（7）附件材料：营业执照副本内页复印件；近期连续三个月依法缴纳税收证明材料（复印件）；近期连续三个月在职职工依法缴纳社会保障资金证明材料（复印件）。 </w:t>
      </w:r>
    </w:p>
    <w:p w14:paraId="661D3EDA">
      <w:pPr>
        <w:pStyle w:val="11"/>
        <w:spacing w:line="440" w:lineRule="exact"/>
        <w:ind w:firstLine="420" w:firstLineChars="200"/>
        <w:jc w:val="left"/>
        <w:rPr>
          <w:rFonts w:hint="eastAsia" w:hAnsi="宋体" w:cs="宋体"/>
          <w:color w:val="auto"/>
          <w:highlight w:val="none"/>
        </w:rPr>
      </w:pPr>
      <w:r>
        <w:rPr>
          <w:rFonts w:hint="eastAsia" w:hAnsi="宋体" w:cs="宋体"/>
          <w:color w:val="auto"/>
          <w:highlight w:val="none"/>
        </w:rPr>
        <w:t>质疑书应当署名。服务商为自然人的，应当由本人签字；服务商为法人或者其他组织的，应当由法定代表人、主要负责人，或者其授权代表签字或者盖章，并加盖公章。</w:t>
      </w:r>
    </w:p>
    <w:p w14:paraId="0B012FAE">
      <w:pPr>
        <w:pStyle w:val="11"/>
        <w:spacing w:line="440" w:lineRule="exact"/>
        <w:ind w:left="2" w:firstLine="360"/>
        <w:rPr>
          <w:rFonts w:hint="eastAsia" w:hAnsi="宋体" w:cs="宋体"/>
          <w:bCs/>
          <w:color w:val="auto"/>
          <w:highlight w:val="none"/>
        </w:rPr>
      </w:pPr>
      <w:r>
        <w:rPr>
          <w:rFonts w:hint="eastAsia" w:hAnsi="宋体" w:cs="宋体"/>
          <w:bCs/>
          <w:color w:val="auto"/>
          <w:highlight w:val="none"/>
        </w:rPr>
        <w:t>4.4  质疑服务商可以委托代理人办理质疑事务。委托代理人应为质疑服务商的正式员工并熟悉相关业务情况。代理人办理质疑事务时，除提交质疑书外，还应当提交质疑服务商的授权委托书，授权委托书应当载明委托代理的具体权限和事项；提交委托代理人身份证明复印件和近期三个月社保缴费证明复印件。</w:t>
      </w:r>
    </w:p>
    <w:p w14:paraId="478ECAB3">
      <w:pPr>
        <w:pStyle w:val="11"/>
        <w:spacing w:line="440" w:lineRule="exact"/>
        <w:ind w:left="2" w:firstLine="360"/>
        <w:rPr>
          <w:rFonts w:hint="eastAsia" w:hAnsi="宋体" w:cs="宋体"/>
          <w:bCs/>
          <w:color w:val="auto"/>
          <w:highlight w:val="none"/>
        </w:rPr>
      </w:pPr>
      <w:r>
        <w:rPr>
          <w:rFonts w:hint="eastAsia" w:hAnsi="宋体" w:cs="宋体"/>
          <w:bCs/>
          <w:color w:val="auto"/>
          <w:highlight w:val="none"/>
        </w:rPr>
        <w:t>4.5  质疑服务商提起质疑应当符合下列条件：</w:t>
      </w:r>
    </w:p>
    <w:p w14:paraId="4C032079">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（1）质疑服务商是参与所质疑政府采购活动的服务商；</w:t>
      </w:r>
    </w:p>
    <w:p w14:paraId="2F01ADEE">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（2）质疑书内容符合本章第4.3项的规定；</w:t>
      </w:r>
    </w:p>
    <w:p w14:paraId="6E7A537B">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（3）在质疑有效期限内提起质疑；</w:t>
      </w:r>
    </w:p>
    <w:p w14:paraId="65E19596">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（4）属于所质疑的采购人或采购人委托的采购代理机构组织的采购活动；</w:t>
      </w:r>
    </w:p>
    <w:p w14:paraId="1A3477BB">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（5）同一质疑事项未经采购人或采购人委托的采购代理机构质疑处理；</w:t>
      </w:r>
    </w:p>
    <w:p w14:paraId="69E20B69">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（6）服务商对同一采购程序环节的质疑应当在质疑有效期内一次性提出；</w:t>
      </w:r>
    </w:p>
    <w:p w14:paraId="1FDCAA1E">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（7）服务商提交质疑应当提交必要的证明材料，证明材料应以合法手段取得；</w:t>
      </w:r>
    </w:p>
    <w:p w14:paraId="6F76F4BF">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（8）财政部门规定的其他条件。</w:t>
      </w:r>
    </w:p>
    <w:p w14:paraId="419837E7">
      <w:pPr>
        <w:spacing w:line="44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4.6  采购人或采购人委托的采购代理机构自受理质疑之日起七个工作日内，对质疑事项作出答复，并以书面形式通知质疑服务商及其他有关服务商。</w:t>
      </w:r>
    </w:p>
    <w:p w14:paraId="07A55DC8">
      <w:pPr>
        <w:pStyle w:val="11"/>
        <w:spacing w:line="440" w:lineRule="exact"/>
        <w:ind w:left="242" w:hanging="242" w:hangingChars="101"/>
        <w:jc w:val="left"/>
        <w:rPr>
          <w:rFonts w:hint="eastAsia" w:hAnsi="宋体" w:cs="宋体"/>
          <w:bCs/>
          <w:color w:val="auto"/>
          <w:sz w:val="24"/>
          <w:highlight w:val="none"/>
        </w:rPr>
      </w:pPr>
      <w:r>
        <w:rPr>
          <w:rFonts w:hint="eastAsia" w:hAnsi="宋体" w:cs="宋体"/>
          <w:bCs/>
          <w:color w:val="auto"/>
          <w:sz w:val="24"/>
          <w:highlight w:val="none"/>
        </w:rPr>
        <w:t>5.  投诉</w:t>
      </w:r>
    </w:p>
    <w:p w14:paraId="6E0B725B">
      <w:pPr>
        <w:pStyle w:val="11"/>
        <w:spacing w:line="440" w:lineRule="exact"/>
        <w:ind w:left="2" w:firstLine="357" w:firstLineChars="170"/>
        <w:jc w:val="left"/>
        <w:rPr>
          <w:rFonts w:hint="eastAsia" w:hAnsi="宋体" w:cs="宋体"/>
          <w:bCs/>
          <w:color w:val="auto"/>
          <w:highlight w:val="none"/>
        </w:rPr>
      </w:pPr>
      <w:r>
        <w:rPr>
          <w:rFonts w:hint="eastAsia" w:hAnsi="宋体" w:cs="宋体"/>
          <w:bCs/>
          <w:color w:val="auto"/>
          <w:highlight w:val="none"/>
        </w:rPr>
        <w:t>5.1  服务商认为采购文件、采购过程、成交和成交结果使自己的合法权益受到损害的，应当首先依法向采购人或采购人委托的</w:t>
      </w:r>
      <w:r>
        <w:rPr>
          <w:rFonts w:hint="eastAsia" w:hAnsi="宋体" w:cs="宋体"/>
          <w:color w:val="auto"/>
          <w:highlight w:val="none"/>
        </w:rPr>
        <w:t>采购代理机构</w:t>
      </w:r>
      <w:r>
        <w:rPr>
          <w:rFonts w:hint="eastAsia" w:hAnsi="宋体" w:cs="宋体"/>
          <w:bCs/>
          <w:color w:val="auto"/>
          <w:highlight w:val="none"/>
        </w:rPr>
        <w:t>提出质疑。对采购人、</w:t>
      </w:r>
      <w:r>
        <w:rPr>
          <w:rFonts w:hint="eastAsia" w:hAnsi="宋体" w:cs="宋体"/>
          <w:color w:val="auto"/>
          <w:highlight w:val="none"/>
        </w:rPr>
        <w:t>采购代理机构</w:t>
      </w:r>
      <w:r>
        <w:rPr>
          <w:rFonts w:hint="eastAsia" w:hAnsi="宋体" w:cs="宋体"/>
          <w:bCs/>
          <w:color w:val="auto"/>
          <w:highlight w:val="none"/>
        </w:rPr>
        <w:t>的答复不满意，或者采购人、</w:t>
      </w:r>
      <w:r>
        <w:rPr>
          <w:rFonts w:hint="eastAsia" w:hAnsi="宋体" w:cs="宋体"/>
          <w:color w:val="auto"/>
          <w:highlight w:val="none"/>
        </w:rPr>
        <w:t>采购代理机构</w:t>
      </w:r>
      <w:r>
        <w:rPr>
          <w:rFonts w:hint="eastAsia" w:hAnsi="宋体" w:cs="宋体"/>
          <w:bCs/>
          <w:color w:val="auto"/>
          <w:highlight w:val="none"/>
        </w:rPr>
        <w:t>未在规定期限内做出答复的，服务商可以在答复期满后十五个工作日内向梧州市政府采购监督管理部门提起投诉。</w:t>
      </w:r>
    </w:p>
    <w:p w14:paraId="482F0FCF">
      <w:pPr>
        <w:pStyle w:val="11"/>
        <w:spacing w:line="440" w:lineRule="exact"/>
        <w:ind w:left="2" w:firstLine="357" w:firstLineChars="170"/>
        <w:jc w:val="left"/>
        <w:rPr>
          <w:rFonts w:hint="eastAsia" w:hAnsi="宋体" w:cs="宋体"/>
          <w:color w:val="auto"/>
          <w:highlight w:val="none"/>
        </w:rPr>
      </w:pPr>
      <w:r>
        <w:rPr>
          <w:rFonts w:hint="eastAsia" w:hAnsi="宋体" w:cs="宋体"/>
          <w:color w:val="auto"/>
          <w:highlight w:val="none"/>
        </w:rPr>
        <w:t>5.2  投诉人投诉时，应当提交投诉书，并按照被投诉采购人、采购代理机构和与投诉事项有关的服务商数量提供投诉书的副本。投诉书</w:t>
      </w:r>
      <w:r>
        <w:rPr>
          <w:rFonts w:hint="eastAsia" w:hAnsi="宋体" w:cs="宋体"/>
          <w:color w:val="auto"/>
          <w:szCs w:val="21"/>
          <w:highlight w:val="none"/>
        </w:rPr>
        <w:t>应当包括下列主要内容</w:t>
      </w:r>
      <w:r>
        <w:rPr>
          <w:rFonts w:hint="eastAsia" w:hAnsi="宋体" w:cs="宋体"/>
          <w:color w:val="auto"/>
          <w:highlight w:val="none"/>
        </w:rPr>
        <w:t>（如材料中有外文资料应同时附上对应的中文译本）</w:t>
      </w:r>
      <w:r>
        <w:rPr>
          <w:rFonts w:hint="eastAsia" w:hAnsi="宋体" w:cs="宋体"/>
          <w:color w:val="auto"/>
          <w:szCs w:val="21"/>
          <w:highlight w:val="none"/>
        </w:rPr>
        <w:t>：</w:t>
      </w:r>
    </w:p>
    <w:p w14:paraId="507E50B0">
      <w:pPr>
        <w:pStyle w:val="11"/>
        <w:spacing w:line="440" w:lineRule="exact"/>
        <w:ind w:left="2" w:firstLine="716" w:firstLineChars="341"/>
        <w:jc w:val="left"/>
        <w:rPr>
          <w:rFonts w:hint="eastAsia" w:hAnsi="宋体" w:cs="宋体"/>
          <w:color w:val="auto"/>
          <w:highlight w:val="none"/>
        </w:rPr>
      </w:pPr>
      <w:r>
        <w:rPr>
          <w:rFonts w:hint="eastAsia" w:hAnsi="宋体" w:cs="宋体"/>
          <w:color w:val="auto"/>
          <w:highlight w:val="none"/>
        </w:rPr>
        <w:t>（1）投诉人和被投诉人的姓名或者名称、通讯地址、邮编、联系人及联系电话；</w:t>
      </w:r>
    </w:p>
    <w:p w14:paraId="18EA5DA3">
      <w:pPr>
        <w:pStyle w:val="11"/>
        <w:spacing w:line="440" w:lineRule="exact"/>
        <w:ind w:left="2" w:firstLine="716" w:firstLineChars="341"/>
        <w:jc w:val="left"/>
        <w:rPr>
          <w:rFonts w:hint="eastAsia" w:hAnsi="宋体" w:cs="宋体"/>
          <w:color w:val="auto"/>
          <w:highlight w:val="none"/>
        </w:rPr>
      </w:pPr>
      <w:r>
        <w:rPr>
          <w:rFonts w:hint="eastAsia" w:hAnsi="宋体" w:cs="宋体"/>
          <w:color w:val="auto"/>
          <w:highlight w:val="none"/>
        </w:rPr>
        <w:t>（2）质疑和质疑答复情况说明及相关证明材料；</w:t>
      </w:r>
    </w:p>
    <w:p w14:paraId="7216E6B1">
      <w:pPr>
        <w:pStyle w:val="11"/>
        <w:spacing w:line="440" w:lineRule="exact"/>
        <w:ind w:left="2" w:firstLine="716" w:firstLineChars="341"/>
        <w:jc w:val="left"/>
        <w:rPr>
          <w:rFonts w:hint="eastAsia" w:hAnsi="宋体" w:cs="宋体"/>
          <w:color w:val="auto"/>
          <w:highlight w:val="none"/>
        </w:rPr>
      </w:pPr>
      <w:r>
        <w:rPr>
          <w:rFonts w:hint="eastAsia" w:hAnsi="宋体" w:cs="宋体"/>
          <w:color w:val="auto"/>
          <w:highlight w:val="none"/>
        </w:rPr>
        <w:t>（3）具体、明确的投诉事项和与投诉事项相关的投诉请求；</w:t>
      </w:r>
    </w:p>
    <w:p w14:paraId="739D0225">
      <w:pPr>
        <w:pStyle w:val="11"/>
        <w:spacing w:line="440" w:lineRule="exact"/>
        <w:ind w:left="2" w:firstLine="716" w:firstLineChars="341"/>
        <w:jc w:val="left"/>
        <w:rPr>
          <w:rFonts w:hint="eastAsia" w:hAnsi="宋体" w:cs="宋体"/>
          <w:color w:val="auto"/>
          <w:highlight w:val="none"/>
        </w:rPr>
      </w:pPr>
      <w:r>
        <w:rPr>
          <w:rFonts w:hint="eastAsia" w:hAnsi="宋体" w:cs="宋体"/>
          <w:color w:val="auto"/>
          <w:highlight w:val="none"/>
        </w:rPr>
        <w:t>（4）事实依据；</w:t>
      </w:r>
    </w:p>
    <w:p w14:paraId="69682A5E">
      <w:pPr>
        <w:pStyle w:val="11"/>
        <w:spacing w:line="440" w:lineRule="exact"/>
        <w:ind w:left="2" w:firstLine="716" w:firstLineChars="341"/>
        <w:jc w:val="left"/>
        <w:rPr>
          <w:rFonts w:hint="eastAsia" w:hAnsi="宋体" w:cs="宋体"/>
          <w:color w:val="auto"/>
          <w:highlight w:val="none"/>
        </w:rPr>
      </w:pPr>
      <w:r>
        <w:rPr>
          <w:rFonts w:hint="eastAsia" w:hAnsi="宋体" w:cs="宋体"/>
          <w:color w:val="auto"/>
          <w:highlight w:val="none"/>
        </w:rPr>
        <w:t>（5）法律依据；</w:t>
      </w:r>
    </w:p>
    <w:p w14:paraId="5C2E4BC3">
      <w:pPr>
        <w:pStyle w:val="11"/>
        <w:spacing w:line="440" w:lineRule="exact"/>
        <w:ind w:left="2" w:firstLine="716" w:firstLineChars="341"/>
        <w:jc w:val="left"/>
        <w:rPr>
          <w:rFonts w:hint="eastAsia" w:hAnsi="宋体" w:cs="宋体"/>
          <w:color w:val="auto"/>
          <w:highlight w:val="none"/>
        </w:rPr>
      </w:pPr>
      <w:r>
        <w:rPr>
          <w:rFonts w:hint="eastAsia" w:hAnsi="宋体" w:cs="宋体"/>
          <w:color w:val="auto"/>
          <w:highlight w:val="none"/>
        </w:rPr>
        <w:t>（6）提起投诉的日期。</w:t>
      </w:r>
    </w:p>
    <w:p w14:paraId="771D5C17">
      <w:pPr>
        <w:pStyle w:val="11"/>
        <w:spacing w:line="440" w:lineRule="exact"/>
        <w:rPr>
          <w:rFonts w:hint="eastAsia" w:hAnsi="宋体" w:cs="宋体"/>
          <w:color w:val="auto"/>
          <w:highlight w:val="none"/>
        </w:rPr>
      </w:pPr>
      <w:r>
        <w:rPr>
          <w:rFonts w:hint="eastAsia" w:hAnsi="宋体" w:cs="宋体"/>
          <w:color w:val="auto"/>
          <w:highlight w:val="none"/>
        </w:rPr>
        <w:t xml:space="preserve">    投诉人为自然人的，应当由本人签字；投诉人为法人或者其他组织的，应当由法定代表人、主要负责人，或者其授权代表签字或者盖章，并加盖公章。</w:t>
      </w:r>
    </w:p>
    <w:p w14:paraId="3C62DFE8">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5.3  投诉人可以委托代理人办理投诉事务。代理人办理投诉事务时，除提交投诉书外，还应当提交投诉人的授权委托书，授权委托书应当载明委托代理的具体权限和事项。</w:t>
      </w:r>
    </w:p>
    <w:p w14:paraId="3834A35E">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5.4  投诉人提起投诉应当符合下列条件：</w:t>
      </w:r>
    </w:p>
    <w:p w14:paraId="566C300E">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（1）投诉人是参与所投诉政府采购活动的服务商；</w:t>
      </w:r>
    </w:p>
    <w:p w14:paraId="0F7C59F0">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3092FF4A">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（3）投诉书内容符合本章第5.2项的规定；</w:t>
      </w:r>
    </w:p>
    <w:p w14:paraId="12588F14">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6A75B9E5">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（5）属于梧州市政府采购监督管理部门管辖；</w:t>
      </w:r>
    </w:p>
    <w:p w14:paraId="416978E8">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rPr>
        <w:t>梧州市政府采购监督管理部门</w:t>
      </w:r>
      <w:r>
        <w:rPr>
          <w:rFonts w:hint="eastAsia" w:ascii="宋体" w:hAnsi="宋体" w:eastAsia="宋体" w:cs="宋体"/>
          <w:color w:val="auto"/>
          <w:highlight w:val="none"/>
        </w:rPr>
        <w:t>投诉处理；</w:t>
      </w:r>
    </w:p>
    <w:p w14:paraId="065039A5">
      <w:pPr>
        <w:spacing w:line="440" w:lineRule="exact"/>
        <w:ind w:firstLine="72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4EC02EDB">
      <w:pPr>
        <w:spacing w:line="44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5.5  梧州市政府采购监督管理部门自受理投诉之日起三十个工作日内，对投诉事项作出处理决定，并以书面形式通知投诉人、被投诉人及其他与投诉处理结果有利害关系的政府采购当事人。</w:t>
      </w:r>
    </w:p>
    <w:p w14:paraId="3DD25F13">
      <w:pPr>
        <w:spacing w:line="440" w:lineRule="exact"/>
        <w:ind w:firstLine="360"/>
        <w:rPr>
          <w:rFonts w:hint="eastAsia" w:ascii="宋体" w:hAnsi="宋体" w:eastAsia="宋体" w:cs="宋体"/>
          <w:color w:val="auto"/>
          <w:highlight w:val="none"/>
        </w:rPr>
      </w:pPr>
      <w:r>
        <w:rPr>
          <w:rFonts w:hint="eastAsia" w:ascii="宋体" w:hAnsi="宋体" w:eastAsia="宋体" w:cs="宋体"/>
          <w:color w:val="auto"/>
          <w:highlight w:val="none"/>
        </w:rPr>
        <w:t>5.6  梧州市政府采购监督管理部门在处理投诉事项期间，可以视具体情况暂停采购活动。</w:t>
      </w:r>
    </w:p>
    <w:p w14:paraId="4A963BBC">
      <w:pPr>
        <w:pStyle w:val="11"/>
        <w:spacing w:line="440" w:lineRule="exact"/>
        <w:rPr>
          <w:rFonts w:hint="eastAsia" w:hAnsi="宋体" w:cs="宋体"/>
          <w:bCs/>
          <w:color w:val="auto"/>
          <w:highlight w:val="none"/>
        </w:rPr>
      </w:pPr>
    </w:p>
    <w:p w14:paraId="007E815A">
      <w:pPr>
        <w:pStyle w:val="11"/>
        <w:jc w:val="center"/>
        <w:outlineLvl w:val="1"/>
        <w:rPr>
          <w:rFonts w:hint="eastAsia" w:hAnsi="宋体" w:cs="宋体"/>
          <w:b/>
          <w:color w:val="auto"/>
          <w:sz w:val="30"/>
          <w:szCs w:val="30"/>
          <w:highlight w:val="none"/>
        </w:rPr>
      </w:pPr>
      <w:bookmarkStart w:id="25" w:name="_Toc10145"/>
      <w:r>
        <w:rPr>
          <w:rFonts w:hint="eastAsia" w:hAnsi="宋体" w:cs="宋体"/>
          <w:b/>
          <w:color w:val="auto"/>
          <w:sz w:val="30"/>
          <w:szCs w:val="30"/>
          <w:highlight w:val="none"/>
        </w:rPr>
        <w:t>二    竞争性磋商采购文件</w:t>
      </w:r>
      <w:bookmarkEnd w:id="25"/>
    </w:p>
    <w:p w14:paraId="10351C4F">
      <w:pPr>
        <w:pStyle w:val="11"/>
        <w:spacing w:line="440" w:lineRule="exact"/>
        <w:rPr>
          <w:rFonts w:hint="eastAsia" w:hAnsi="宋体" w:cs="宋体"/>
          <w:bCs/>
          <w:color w:val="auto"/>
          <w:highlight w:val="none"/>
        </w:rPr>
      </w:pPr>
      <w:r>
        <w:rPr>
          <w:rFonts w:hint="eastAsia" w:hAnsi="宋体" w:cs="宋体"/>
          <w:bCs/>
          <w:color w:val="auto"/>
          <w:sz w:val="24"/>
          <w:highlight w:val="none"/>
        </w:rPr>
        <w:t>6.  竞争性磋商采购文件的组成</w:t>
      </w:r>
    </w:p>
    <w:p w14:paraId="608BC888">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6.1  本</w:t>
      </w:r>
      <w:r>
        <w:rPr>
          <w:rFonts w:hint="eastAsia" w:hAnsi="宋体" w:cs="宋体"/>
          <w:bCs/>
          <w:color w:val="auto"/>
          <w:highlight w:val="none"/>
        </w:rPr>
        <w:t>竞争性磋商采购文件</w:t>
      </w:r>
      <w:r>
        <w:rPr>
          <w:rFonts w:hint="eastAsia" w:hAnsi="宋体" w:cs="宋体"/>
          <w:color w:val="auto"/>
          <w:highlight w:val="none"/>
        </w:rPr>
        <w:t>包括六个章节，各章的内容如下：</w:t>
      </w:r>
    </w:p>
    <w:p w14:paraId="6D98F9D5">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第一章  公告</w:t>
      </w:r>
    </w:p>
    <w:p w14:paraId="20B5629B">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第二章  服务需求一览表</w:t>
      </w:r>
    </w:p>
    <w:p w14:paraId="6994A275">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第三章  评审方法</w:t>
      </w:r>
    </w:p>
    <w:p w14:paraId="06294DA8">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第四章  服务商须知</w:t>
      </w:r>
    </w:p>
    <w:p w14:paraId="7994CFC3">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第五章  磋商响应文件格式</w:t>
      </w:r>
    </w:p>
    <w:p w14:paraId="5CF372B6">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第六章  合同条款及格式</w:t>
      </w:r>
    </w:p>
    <w:p w14:paraId="02848829">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6.2根据本章第7.1项的规定对竞争性磋商采购文件所做的澄清、修改，构成竞争性磋商采购文件的组成部分。当竞争性磋商采购文件与竞争性磋商采购文件的澄清和修改就同一内容的表述不一致时，以最后发出的书面文件为准。</w:t>
      </w:r>
    </w:p>
    <w:p w14:paraId="316850C8">
      <w:pPr>
        <w:pStyle w:val="11"/>
        <w:spacing w:line="440" w:lineRule="exact"/>
        <w:rPr>
          <w:rFonts w:hint="eastAsia" w:hAnsi="宋体" w:cs="宋体"/>
          <w:bCs/>
          <w:color w:val="auto"/>
          <w:sz w:val="24"/>
          <w:highlight w:val="none"/>
        </w:rPr>
      </w:pPr>
      <w:r>
        <w:rPr>
          <w:rFonts w:hint="eastAsia" w:hAnsi="宋体" w:cs="宋体"/>
          <w:bCs/>
          <w:color w:val="auto"/>
          <w:sz w:val="24"/>
          <w:highlight w:val="none"/>
        </w:rPr>
        <w:t>7.  采购文件的澄清和修改</w:t>
      </w:r>
    </w:p>
    <w:p w14:paraId="09EFD1DE">
      <w:pPr>
        <w:pStyle w:val="11"/>
        <w:spacing w:after="165" w:line="440" w:lineRule="exact"/>
        <w:ind w:left="2" w:firstLine="480"/>
        <w:rPr>
          <w:rFonts w:hint="eastAsia" w:hAnsi="宋体" w:cs="宋体"/>
          <w:color w:val="auto"/>
          <w:highlight w:val="none"/>
        </w:rPr>
      </w:pPr>
      <w:r>
        <w:rPr>
          <w:rFonts w:hint="eastAsia" w:hAnsi="宋体" w:cs="宋体"/>
          <w:color w:val="auto"/>
          <w:highlight w:val="none"/>
        </w:rPr>
        <w:t>7.1  服务商应认真审阅本竞争性磋商采购文件，如有疑问，或发现其中有误或有要求不合理的，应在服务商须知前附表规定的</w:t>
      </w:r>
      <w:r>
        <w:rPr>
          <w:rFonts w:hint="eastAsia" w:hAnsi="宋体" w:cs="宋体"/>
          <w:color w:val="auto"/>
          <w:kern w:val="0"/>
          <w:szCs w:val="21"/>
          <w:highlight w:val="none"/>
        </w:rPr>
        <w:t>服务商要求澄清的截止时间</w:t>
      </w:r>
      <w:r>
        <w:rPr>
          <w:rFonts w:hint="eastAsia" w:hAnsi="宋体" w:cs="宋体"/>
          <w:color w:val="auto"/>
          <w:highlight w:val="none"/>
        </w:rPr>
        <w:t>前以书面形式要求采购人或采购代理机构对采购文件予以澄清；否则，由此产生的后果由服务商自行负责。</w:t>
      </w:r>
    </w:p>
    <w:p w14:paraId="5052E785">
      <w:pPr>
        <w:pStyle w:val="11"/>
        <w:spacing w:line="440" w:lineRule="exact"/>
        <w:ind w:left="2" w:firstLine="360"/>
        <w:rPr>
          <w:rFonts w:hint="eastAsia" w:hAnsi="宋体" w:cs="宋体"/>
          <w:color w:val="auto"/>
          <w:highlight w:val="none"/>
        </w:rPr>
      </w:pPr>
      <w:r>
        <w:rPr>
          <w:rFonts w:hint="eastAsia" w:hAnsi="宋体" w:cs="宋体"/>
          <w:color w:val="auto"/>
          <w:highlight w:val="none"/>
        </w:rPr>
        <w:t>7.2  采购人或采购代理机构必须在</w:t>
      </w:r>
      <w:r>
        <w:rPr>
          <w:rFonts w:hint="eastAsia" w:hAnsi="宋体" w:cs="宋体"/>
          <w:color w:val="auto"/>
          <w:highlight w:val="none"/>
          <w:lang w:val="en-US" w:eastAsia="zh-CN"/>
        </w:rPr>
        <w:t>磋商</w:t>
      </w:r>
      <w:r>
        <w:rPr>
          <w:rFonts w:hint="eastAsia" w:hAnsi="宋体" w:cs="宋体"/>
          <w:color w:val="auto"/>
          <w:highlight w:val="none"/>
        </w:rPr>
        <w:t>截止时间五日前，以书面形式答复服务商要求澄清的问题，并将不包含问题来源的澄清通知（在本章第2.1项规定的政府采购信息发布媒体上发布澄清公告）所有采购文件收受人，除书面澄清以外的其他澄清方式及澄清内容均无效；同时，采购代理机构在本章第2.1项规定的政府采购信息发布媒体上发布更正公告。如果澄清发出的时间距</w:t>
      </w:r>
      <w:r>
        <w:rPr>
          <w:rFonts w:hint="eastAsia" w:hAnsi="宋体" w:cs="宋体"/>
          <w:color w:val="auto"/>
          <w:highlight w:val="none"/>
          <w:lang w:val="en-US" w:eastAsia="zh-CN"/>
        </w:rPr>
        <w:t>磋商</w:t>
      </w:r>
      <w:r>
        <w:rPr>
          <w:rFonts w:hint="eastAsia" w:hAnsi="宋体" w:cs="宋体"/>
          <w:color w:val="auto"/>
          <w:highlight w:val="none"/>
        </w:rPr>
        <w:t>截止时间不足五日，则相应延长</w:t>
      </w:r>
      <w:r>
        <w:rPr>
          <w:rFonts w:hint="eastAsia" w:hAnsi="宋体" w:cs="宋体"/>
          <w:color w:val="auto"/>
          <w:highlight w:val="none"/>
          <w:lang w:eastAsia="zh-CN"/>
        </w:rPr>
        <w:t>磋商</w:t>
      </w:r>
      <w:r>
        <w:rPr>
          <w:rFonts w:hint="eastAsia" w:hAnsi="宋体" w:cs="宋体"/>
          <w:color w:val="auto"/>
          <w:highlight w:val="none"/>
        </w:rPr>
        <w:t>截止时间。</w:t>
      </w:r>
    </w:p>
    <w:p w14:paraId="1788CA29">
      <w:pPr>
        <w:pStyle w:val="11"/>
        <w:spacing w:after="165" w:line="440" w:lineRule="exact"/>
        <w:ind w:left="2" w:firstLine="480"/>
        <w:rPr>
          <w:rFonts w:hint="eastAsia" w:hAnsi="宋体" w:cs="宋体"/>
          <w:color w:val="auto"/>
          <w:highlight w:val="none"/>
        </w:rPr>
      </w:pPr>
      <w:r>
        <w:rPr>
          <w:rFonts w:hint="eastAsia" w:hAnsi="宋体" w:cs="宋体"/>
          <w:color w:val="auto"/>
          <w:highlight w:val="none"/>
        </w:rPr>
        <w:t>7.3  采购人或采购代理机构对已发出的采购文件进行必要修改的，应在</w:t>
      </w:r>
      <w:r>
        <w:rPr>
          <w:rFonts w:hint="eastAsia" w:hAnsi="宋体" w:cs="宋体"/>
          <w:color w:val="auto"/>
          <w:highlight w:val="none"/>
          <w:lang w:eastAsia="zh-CN"/>
        </w:rPr>
        <w:t>磋商</w:t>
      </w:r>
      <w:r>
        <w:rPr>
          <w:rFonts w:hint="eastAsia" w:hAnsi="宋体" w:cs="宋体"/>
          <w:color w:val="auto"/>
          <w:highlight w:val="none"/>
        </w:rPr>
        <w:t>截止时间五日前，以书面形式（在本章第2.1项规定的政府采购信息发布媒体上发布更正公告）通知所有采购文件收受人。如果修改采购文件的时间距</w:t>
      </w:r>
      <w:r>
        <w:rPr>
          <w:rFonts w:hint="eastAsia" w:hAnsi="宋体" w:cs="宋体"/>
          <w:color w:val="auto"/>
          <w:highlight w:val="none"/>
          <w:lang w:eastAsia="zh-CN"/>
        </w:rPr>
        <w:t>磋商</w:t>
      </w:r>
      <w:r>
        <w:rPr>
          <w:rFonts w:hint="eastAsia" w:hAnsi="宋体" w:cs="宋体"/>
          <w:color w:val="auto"/>
          <w:highlight w:val="none"/>
        </w:rPr>
        <w:t>截止时间不足五日，则相应延长</w:t>
      </w:r>
      <w:r>
        <w:rPr>
          <w:rFonts w:hint="eastAsia" w:hAnsi="宋体" w:cs="宋体"/>
          <w:color w:val="auto"/>
          <w:highlight w:val="none"/>
          <w:lang w:eastAsia="zh-CN"/>
        </w:rPr>
        <w:t>磋商</w:t>
      </w:r>
      <w:r>
        <w:rPr>
          <w:rFonts w:hint="eastAsia" w:hAnsi="宋体" w:cs="宋体"/>
          <w:color w:val="auto"/>
          <w:highlight w:val="none"/>
        </w:rPr>
        <w:t>截止时间。</w:t>
      </w:r>
    </w:p>
    <w:p w14:paraId="75C04F7F">
      <w:pPr>
        <w:pStyle w:val="11"/>
        <w:spacing w:line="440" w:lineRule="exact"/>
        <w:ind w:left="2" w:firstLine="360"/>
        <w:rPr>
          <w:rFonts w:hint="eastAsia" w:hAnsi="宋体" w:cs="宋体"/>
          <w:color w:val="auto"/>
          <w:highlight w:val="none"/>
        </w:rPr>
      </w:pPr>
      <w:r>
        <w:rPr>
          <w:rFonts w:hint="eastAsia" w:hAnsi="宋体" w:cs="宋体"/>
          <w:color w:val="auto"/>
          <w:highlight w:val="none"/>
        </w:rPr>
        <w:t>7.4  采购人和采购代理机构可以视采购具体情况，延长</w:t>
      </w:r>
      <w:r>
        <w:rPr>
          <w:rFonts w:hint="eastAsia" w:hAnsi="宋体" w:cs="宋体"/>
          <w:color w:val="auto"/>
          <w:highlight w:val="none"/>
          <w:lang w:eastAsia="zh-CN"/>
        </w:rPr>
        <w:t>磋商</w:t>
      </w:r>
      <w:r>
        <w:rPr>
          <w:rFonts w:hint="eastAsia" w:hAnsi="宋体" w:cs="宋体"/>
          <w:color w:val="auto"/>
          <w:highlight w:val="none"/>
        </w:rPr>
        <w:t>截止时间，但至少应当在</w:t>
      </w:r>
      <w:r>
        <w:rPr>
          <w:rFonts w:hint="eastAsia" w:hAnsi="宋体" w:cs="宋体"/>
          <w:color w:val="auto"/>
          <w:highlight w:val="none"/>
          <w:lang w:eastAsia="zh-CN"/>
        </w:rPr>
        <w:t>磋商</w:t>
      </w:r>
      <w:r>
        <w:rPr>
          <w:rFonts w:hint="eastAsia" w:hAnsi="宋体" w:cs="宋体"/>
          <w:color w:val="auto"/>
          <w:highlight w:val="none"/>
        </w:rPr>
        <w:t>截止时间一日前，将变更时间书面通知（在本章第2.1项规定的政府采购信息发布媒体上发布更正公告）所有采购文件收受人。</w:t>
      </w:r>
    </w:p>
    <w:p w14:paraId="6DB6BBB6">
      <w:pPr>
        <w:pStyle w:val="11"/>
        <w:spacing w:line="440" w:lineRule="exact"/>
        <w:ind w:left="2" w:firstLine="360"/>
        <w:rPr>
          <w:rFonts w:hint="eastAsia" w:hAnsi="宋体" w:cs="宋体"/>
          <w:b/>
          <w:bCs/>
          <w:color w:val="auto"/>
          <w:highlight w:val="none"/>
        </w:rPr>
      </w:pPr>
    </w:p>
    <w:p w14:paraId="35059234">
      <w:pPr>
        <w:pStyle w:val="11"/>
        <w:jc w:val="center"/>
        <w:outlineLvl w:val="1"/>
        <w:rPr>
          <w:rFonts w:hint="eastAsia" w:hAnsi="宋体" w:cs="宋体"/>
          <w:b/>
          <w:color w:val="auto"/>
          <w:sz w:val="30"/>
          <w:szCs w:val="30"/>
          <w:highlight w:val="none"/>
        </w:rPr>
      </w:pPr>
      <w:bookmarkStart w:id="26" w:name="_Toc26345"/>
    </w:p>
    <w:p w14:paraId="164C29A2">
      <w:pPr>
        <w:pStyle w:val="11"/>
        <w:jc w:val="center"/>
        <w:outlineLvl w:val="1"/>
        <w:rPr>
          <w:rFonts w:hint="eastAsia" w:hAnsi="宋体" w:cs="宋体"/>
          <w:b/>
          <w:color w:val="auto"/>
          <w:sz w:val="30"/>
          <w:szCs w:val="30"/>
          <w:highlight w:val="none"/>
        </w:rPr>
      </w:pPr>
      <w:r>
        <w:rPr>
          <w:rFonts w:hint="eastAsia" w:hAnsi="宋体" w:cs="宋体"/>
          <w:b/>
          <w:color w:val="auto"/>
          <w:sz w:val="30"/>
          <w:szCs w:val="30"/>
          <w:highlight w:val="none"/>
        </w:rPr>
        <w:t>三    磋商响应文件</w:t>
      </w:r>
      <w:bookmarkEnd w:id="26"/>
    </w:p>
    <w:p w14:paraId="02E5F0B7">
      <w:pPr>
        <w:pStyle w:val="11"/>
        <w:spacing w:line="440" w:lineRule="exact"/>
        <w:rPr>
          <w:rFonts w:hint="eastAsia" w:hAnsi="宋体" w:cs="宋体"/>
          <w:bCs/>
          <w:color w:val="auto"/>
          <w:sz w:val="24"/>
          <w:highlight w:val="none"/>
        </w:rPr>
      </w:pPr>
      <w:r>
        <w:rPr>
          <w:rFonts w:hint="eastAsia" w:hAnsi="宋体" w:cs="宋体"/>
          <w:bCs/>
          <w:color w:val="auto"/>
          <w:sz w:val="24"/>
          <w:highlight w:val="none"/>
        </w:rPr>
        <w:t>8.  磋商响应文件的编制</w:t>
      </w:r>
    </w:p>
    <w:p w14:paraId="4A504D2F">
      <w:pPr>
        <w:pStyle w:val="11"/>
        <w:spacing w:line="440" w:lineRule="exact"/>
        <w:ind w:left="2" w:firstLine="360"/>
        <w:rPr>
          <w:rFonts w:hint="eastAsia" w:hAnsi="宋体" w:cs="宋体"/>
          <w:color w:val="auto"/>
          <w:highlight w:val="none"/>
        </w:rPr>
      </w:pPr>
      <w:r>
        <w:rPr>
          <w:rFonts w:hint="eastAsia" w:hAnsi="宋体" w:cs="宋体"/>
          <w:color w:val="auto"/>
          <w:highlight w:val="none"/>
        </w:rPr>
        <w:t>8.1  服务商应仔细阅读采购文件，在充分了解采购的内容、货物要求和商务条款以及实质性要求和条件后，编写磋商响应文件。</w:t>
      </w:r>
    </w:p>
    <w:p w14:paraId="05ADE078">
      <w:pPr>
        <w:pStyle w:val="11"/>
        <w:spacing w:line="440" w:lineRule="exact"/>
        <w:ind w:left="2" w:firstLine="360"/>
        <w:rPr>
          <w:rFonts w:hint="eastAsia" w:hAnsi="宋体" w:cs="宋体"/>
          <w:color w:val="auto"/>
          <w:highlight w:val="none"/>
        </w:rPr>
      </w:pPr>
      <w:r>
        <w:rPr>
          <w:rFonts w:hint="eastAsia" w:hAnsi="宋体" w:cs="宋体"/>
          <w:color w:val="auto"/>
          <w:highlight w:val="none"/>
        </w:rPr>
        <w:t>8.2  对采购文件的实质性要求和条件作出响应是指服务商必须对采购文件实质性要求和条件的货物（服务）要求、商务条款及其它内容作出满足或者优于原要求和条件的承诺。</w:t>
      </w:r>
    </w:p>
    <w:p w14:paraId="7A88FE48">
      <w:pPr>
        <w:pStyle w:val="11"/>
        <w:spacing w:line="440" w:lineRule="exact"/>
        <w:ind w:left="2" w:firstLine="360"/>
        <w:rPr>
          <w:rFonts w:hint="eastAsia" w:hAnsi="宋体" w:cs="宋体"/>
          <w:color w:val="auto"/>
          <w:highlight w:val="none"/>
        </w:rPr>
      </w:pPr>
      <w:r>
        <w:rPr>
          <w:rFonts w:hint="eastAsia" w:hAnsi="宋体" w:cs="宋体"/>
          <w:color w:val="auto"/>
          <w:highlight w:val="none"/>
        </w:rPr>
        <w:t>8.3  采购文件中标注▲号的内容为实质性要求和条件。</w:t>
      </w:r>
    </w:p>
    <w:p w14:paraId="7490142D">
      <w:pPr>
        <w:pStyle w:val="11"/>
        <w:spacing w:line="440" w:lineRule="exact"/>
        <w:ind w:left="2" w:firstLine="360"/>
        <w:rPr>
          <w:rFonts w:hint="eastAsia" w:hAnsi="宋体" w:cs="宋体"/>
          <w:color w:val="auto"/>
          <w:highlight w:val="none"/>
        </w:rPr>
      </w:pPr>
      <w:r>
        <w:rPr>
          <w:rFonts w:hint="eastAsia" w:hAnsi="宋体" w:cs="宋体"/>
          <w:color w:val="auto"/>
          <w:highlight w:val="none"/>
        </w:rPr>
        <w:t>8.4  磋商响应文件应用不褪色的材料书写或打印，保证其清楚、工整，相关材料的复印件应清晰可辨认。磋商响应文件字迹潦草、表达不清、模糊无法辨认而导致非唯一理解是服务商的风险，很可能导致该</w:t>
      </w:r>
      <w:r>
        <w:rPr>
          <w:rFonts w:hint="eastAsia" w:hAnsi="宋体" w:cs="宋体"/>
          <w:color w:val="auto"/>
          <w:highlight w:val="none"/>
          <w:lang w:eastAsia="zh-CN"/>
        </w:rPr>
        <w:t>磋商</w:t>
      </w:r>
      <w:r>
        <w:rPr>
          <w:rFonts w:hint="eastAsia" w:hAnsi="宋体" w:cs="宋体"/>
          <w:color w:val="auto"/>
          <w:highlight w:val="none"/>
        </w:rPr>
        <w:t>无效。</w:t>
      </w:r>
    </w:p>
    <w:p w14:paraId="566304A6">
      <w:pPr>
        <w:pStyle w:val="11"/>
        <w:spacing w:line="440" w:lineRule="exact"/>
        <w:ind w:left="2" w:firstLine="360"/>
        <w:rPr>
          <w:rFonts w:hint="eastAsia" w:hAnsi="宋体" w:cs="宋体"/>
          <w:color w:val="auto"/>
          <w:highlight w:val="none"/>
        </w:rPr>
      </w:pPr>
      <w:r>
        <w:rPr>
          <w:rFonts w:hint="eastAsia" w:hAnsi="宋体" w:cs="宋体"/>
          <w:color w:val="auto"/>
          <w:highlight w:val="none"/>
        </w:rPr>
        <w:t>8.5  第五章“磋商响应文件格式”中规定了磋商响应文件格式的，应按相应格式要求编写。</w:t>
      </w:r>
    </w:p>
    <w:p w14:paraId="2FB6295A">
      <w:pPr>
        <w:pStyle w:val="11"/>
        <w:spacing w:line="440" w:lineRule="exact"/>
        <w:ind w:left="2" w:firstLine="360"/>
        <w:rPr>
          <w:rFonts w:hint="eastAsia" w:hAnsi="宋体" w:cs="宋体"/>
          <w:color w:val="auto"/>
          <w:highlight w:val="none"/>
        </w:rPr>
      </w:pPr>
      <w:r>
        <w:rPr>
          <w:rFonts w:hint="eastAsia" w:hAnsi="宋体" w:cs="宋体"/>
          <w:color w:val="auto"/>
          <w:highlight w:val="none"/>
        </w:rPr>
        <w:t>8.6  磋商响应文件应由服务商的法定代表人或其委托代理人在凡规定签章处逐一签字或盖章并加盖单位公章。磋商响应文件应尽量避免涂改、行间插字或删除。如果出现上述情况，改动之处应加盖单位公章或由服务商的法定代表人或其委托代理人签字或盖章确认。</w:t>
      </w:r>
    </w:p>
    <w:p w14:paraId="7A5D1B63">
      <w:pPr>
        <w:pStyle w:val="11"/>
        <w:spacing w:line="440" w:lineRule="exact"/>
        <w:ind w:left="2" w:firstLine="360"/>
        <w:rPr>
          <w:rFonts w:hint="eastAsia" w:hAnsi="宋体" w:cs="宋体"/>
          <w:color w:val="auto"/>
          <w:highlight w:val="none"/>
        </w:rPr>
      </w:pPr>
      <w:r>
        <w:rPr>
          <w:rFonts w:hint="eastAsia" w:hAnsi="宋体" w:cs="宋体"/>
          <w:color w:val="auto"/>
          <w:highlight w:val="none"/>
        </w:rPr>
        <w:t>8.7  磋商响应文件应编制目录，且页码清晰准确。</w:t>
      </w:r>
    </w:p>
    <w:p w14:paraId="60F09FEC">
      <w:pPr>
        <w:pStyle w:val="11"/>
        <w:spacing w:line="440" w:lineRule="exact"/>
        <w:ind w:firstLine="420" w:firstLineChars="200"/>
        <w:rPr>
          <w:rFonts w:hint="eastAsia" w:hAnsi="宋体" w:cs="宋体"/>
          <w:color w:val="auto"/>
          <w:highlight w:val="none"/>
        </w:rPr>
      </w:pPr>
      <w:r>
        <w:rPr>
          <w:rFonts w:hint="eastAsia" w:hAnsi="宋体" w:cs="宋体"/>
          <w:color w:val="auto"/>
          <w:highlight w:val="none"/>
        </w:rPr>
        <w:t>8.8参与电子</w:t>
      </w:r>
      <w:r>
        <w:rPr>
          <w:rFonts w:hint="eastAsia" w:hAnsi="宋体" w:cs="宋体"/>
          <w:color w:val="auto"/>
          <w:highlight w:val="none"/>
          <w:lang w:val="en-US" w:eastAsia="zh-CN"/>
        </w:rPr>
        <w:t>磋商</w:t>
      </w:r>
      <w:r>
        <w:rPr>
          <w:rFonts w:hint="eastAsia" w:hAnsi="宋体" w:cs="宋体"/>
          <w:color w:val="auto"/>
          <w:highlight w:val="none"/>
        </w:rPr>
        <w:t>的准备工作： 本项目实行全流程电子化采购，服务商通过“</w:t>
      </w:r>
      <w:r>
        <w:rPr>
          <w:rFonts w:hint="eastAsia" w:hAnsi="宋体" w:cs="宋体"/>
          <w:color w:val="auto"/>
          <w:spacing w:val="6"/>
          <w:kern w:val="48"/>
          <w:highlight w:val="none"/>
        </w:rPr>
        <w:t>广西政府采购云平台</w:t>
      </w:r>
      <w:r>
        <w:rPr>
          <w:rFonts w:hint="eastAsia" w:hAnsi="宋体" w:cs="宋体"/>
          <w:color w:val="auto"/>
          <w:highlight w:val="none"/>
        </w:rPr>
        <w:t>”参与电子</w:t>
      </w:r>
      <w:r>
        <w:rPr>
          <w:rFonts w:hint="eastAsia" w:hAnsi="宋体" w:cs="宋体"/>
          <w:color w:val="auto"/>
          <w:highlight w:val="none"/>
          <w:lang w:val="en-US" w:eastAsia="zh-CN"/>
        </w:rPr>
        <w:t>磋商</w:t>
      </w:r>
      <w:r>
        <w:rPr>
          <w:rFonts w:hint="eastAsia" w:hAnsi="宋体" w:cs="宋体"/>
          <w:color w:val="auto"/>
          <w:highlight w:val="none"/>
        </w:rPr>
        <w:t>，并应做好以下相关准备工作 ：①在“</w:t>
      </w:r>
      <w:r>
        <w:rPr>
          <w:rFonts w:hint="eastAsia" w:hAnsi="宋体" w:cs="宋体"/>
          <w:color w:val="auto"/>
          <w:spacing w:val="6"/>
          <w:kern w:val="48"/>
          <w:highlight w:val="none"/>
        </w:rPr>
        <w:t>广西政府采购云平台</w:t>
      </w:r>
      <w:r>
        <w:rPr>
          <w:rFonts w:hint="eastAsia" w:hAnsi="宋体" w:cs="宋体"/>
          <w:color w:val="auto"/>
          <w:highlight w:val="none"/>
        </w:rPr>
        <w:t>”注册成为正式服务商 (操作方法详见广西壮族自治区政府采购网— 办事服务— 办事指南)  ；②完成 CA 证书申领和绑定 (费用由服务商自行承担，办 理流程详见广西壮族自治区政府采购网— 办事服务— 下载专区，完成 CA 证书办理预计一周左右，建议服务商尽快办理)；  ③下载“广西壮族自治区全流程电子招投标项目管理系统--服务商客户端” (操作方 法详见广西壮族自治区政府采购网—办事服务—下载专区，以下称“</w:t>
      </w:r>
      <w:r>
        <w:rPr>
          <w:rFonts w:hint="eastAsia" w:hAnsi="宋体" w:cs="宋体"/>
          <w:color w:val="auto"/>
          <w:spacing w:val="6"/>
          <w:kern w:val="48"/>
          <w:highlight w:val="none"/>
        </w:rPr>
        <w:t>广西政府采购云平台</w:t>
      </w:r>
      <w:r>
        <w:rPr>
          <w:rFonts w:hint="eastAsia" w:hAnsi="宋体" w:cs="宋体"/>
          <w:color w:val="auto"/>
          <w:highlight w:val="none"/>
        </w:rPr>
        <w:t>电子投标客户端”)  并安装成功，服务商应当在响应文件提交截止时间前在“</w:t>
      </w:r>
      <w:r>
        <w:rPr>
          <w:rFonts w:hint="eastAsia" w:hAnsi="宋体" w:cs="宋体"/>
          <w:color w:val="auto"/>
          <w:spacing w:val="6"/>
          <w:kern w:val="48"/>
          <w:highlight w:val="none"/>
        </w:rPr>
        <w:t>广西政府采购云平台</w:t>
      </w:r>
      <w:r>
        <w:rPr>
          <w:rFonts w:hint="eastAsia" w:hAnsi="宋体" w:cs="宋体"/>
          <w:color w:val="auto"/>
          <w:highlight w:val="none"/>
        </w:rPr>
        <w:t>”完成的身份认证，确保能够对相关数据电文进行加密和使用电子签章 ；④自备计算机和网络设备并确保能接入互联网 (费用由服务商自行承担 ，设备确保可进行视频通话和读取</w:t>
      </w:r>
      <w:r>
        <w:rPr>
          <w:rFonts w:hint="eastAsia" w:hAnsi="宋体" w:cs="宋体"/>
          <w:color w:val="auto"/>
          <w:spacing w:val="6"/>
          <w:kern w:val="48"/>
          <w:highlight w:val="none"/>
        </w:rPr>
        <w:t>广西政府采购云平台</w:t>
      </w:r>
      <w:r>
        <w:rPr>
          <w:rFonts w:hint="eastAsia" w:hAnsi="宋体" w:cs="宋体"/>
          <w:color w:val="auto"/>
          <w:highlight w:val="none"/>
        </w:rPr>
        <w:t xml:space="preserve"> CA 证书)。因服务商未做好相关准备工作等自身原因导致无法参加本项目电子</w:t>
      </w:r>
      <w:r>
        <w:rPr>
          <w:rFonts w:hint="eastAsia" w:hAnsi="宋体" w:cs="宋体"/>
          <w:color w:val="auto"/>
          <w:highlight w:val="none"/>
          <w:lang w:val="en-US" w:eastAsia="zh-CN"/>
        </w:rPr>
        <w:t>磋商</w:t>
      </w:r>
      <w:r>
        <w:rPr>
          <w:rFonts w:hint="eastAsia" w:hAnsi="宋体" w:cs="宋体"/>
          <w:color w:val="auto"/>
          <w:highlight w:val="none"/>
        </w:rPr>
        <w:t>或</w:t>
      </w:r>
      <w:r>
        <w:rPr>
          <w:rFonts w:hint="eastAsia" w:hAnsi="宋体" w:cs="宋体"/>
          <w:color w:val="auto"/>
          <w:highlight w:val="none"/>
          <w:lang w:val="en-US" w:eastAsia="zh-CN"/>
        </w:rPr>
        <w:t>磋商</w:t>
      </w:r>
      <w:r>
        <w:rPr>
          <w:rFonts w:hint="eastAsia" w:hAnsi="宋体" w:cs="宋体"/>
          <w:color w:val="auto"/>
          <w:highlight w:val="none"/>
        </w:rPr>
        <w:t>失败的 ，造成的一切后果 ，由服务商自行承担。</w:t>
      </w:r>
    </w:p>
    <w:p w14:paraId="0A33FD6D">
      <w:pPr>
        <w:pStyle w:val="11"/>
        <w:spacing w:line="440" w:lineRule="exact"/>
        <w:rPr>
          <w:rFonts w:hint="eastAsia" w:hAnsi="宋体" w:cs="宋体"/>
          <w:bCs/>
          <w:color w:val="auto"/>
          <w:sz w:val="24"/>
          <w:highlight w:val="none"/>
        </w:rPr>
      </w:pPr>
      <w:r>
        <w:rPr>
          <w:rFonts w:hint="eastAsia" w:hAnsi="宋体" w:cs="宋体"/>
          <w:bCs/>
          <w:color w:val="auto"/>
          <w:sz w:val="24"/>
          <w:highlight w:val="none"/>
        </w:rPr>
        <w:t xml:space="preserve">9.  </w:t>
      </w:r>
      <w:r>
        <w:rPr>
          <w:rFonts w:hint="eastAsia" w:hAnsi="宋体" w:cs="宋体"/>
          <w:bCs/>
          <w:color w:val="auto"/>
          <w:sz w:val="24"/>
          <w:highlight w:val="none"/>
          <w:lang w:eastAsia="zh-CN"/>
        </w:rPr>
        <w:t>磋商</w:t>
      </w:r>
      <w:r>
        <w:rPr>
          <w:rFonts w:hint="eastAsia" w:hAnsi="宋体" w:cs="宋体"/>
          <w:bCs/>
          <w:color w:val="auto"/>
          <w:sz w:val="24"/>
          <w:highlight w:val="none"/>
        </w:rPr>
        <w:t>语言文字及计量单位</w:t>
      </w:r>
    </w:p>
    <w:p w14:paraId="078DE62A">
      <w:pPr>
        <w:pStyle w:val="11"/>
        <w:spacing w:line="440" w:lineRule="exact"/>
        <w:ind w:firstLine="360"/>
        <w:rPr>
          <w:rFonts w:hint="eastAsia" w:hAnsi="宋体" w:cs="宋体"/>
          <w:color w:val="auto"/>
          <w:highlight w:val="none"/>
        </w:rPr>
      </w:pPr>
      <w:r>
        <w:rPr>
          <w:rFonts w:hint="eastAsia" w:hAnsi="宋体" w:cs="宋体"/>
          <w:color w:val="auto"/>
          <w:highlight w:val="none"/>
        </w:rPr>
        <w:t>9.1  服务商的磋商响应文件以及服务商与采购人、采购代理机构就有关</w:t>
      </w:r>
      <w:r>
        <w:rPr>
          <w:rFonts w:hint="eastAsia" w:hAnsi="宋体" w:cs="宋体"/>
          <w:color w:val="auto"/>
          <w:highlight w:val="none"/>
          <w:lang w:eastAsia="zh-CN"/>
        </w:rPr>
        <w:t>磋商</w:t>
      </w:r>
      <w:r>
        <w:rPr>
          <w:rFonts w:hint="eastAsia" w:hAnsi="宋体" w:cs="宋体"/>
          <w:color w:val="auto"/>
          <w:highlight w:val="none"/>
        </w:rPr>
        <w:t>的所有往来函电统一使用中文（特别规定除外）。</w:t>
      </w:r>
    </w:p>
    <w:p w14:paraId="69C38923">
      <w:pPr>
        <w:pStyle w:val="11"/>
        <w:spacing w:line="440" w:lineRule="exact"/>
        <w:ind w:firstLine="360"/>
        <w:rPr>
          <w:rFonts w:hint="eastAsia" w:hAnsi="宋体" w:cs="宋体"/>
          <w:color w:val="auto"/>
          <w:highlight w:val="none"/>
        </w:rPr>
      </w:pPr>
      <w:r>
        <w:rPr>
          <w:rFonts w:hint="eastAsia" w:hAnsi="宋体" w:cs="宋体"/>
          <w:color w:val="auto"/>
          <w:highlight w:val="none"/>
        </w:rPr>
        <w:t>9.2  对不同文字文本磋商响应文件的解释发生异议的，以中文文本为准。</w:t>
      </w:r>
    </w:p>
    <w:p w14:paraId="0D70E02E">
      <w:pPr>
        <w:pStyle w:val="11"/>
        <w:spacing w:line="440" w:lineRule="exact"/>
        <w:ind w:firstLine="360"/>
        <w:rPr>
          <w:rFonts w:hint="eastAsia" w:hAnsi="宋体" w:cs="宋体"/>
          <w:color w:val="auto"/>
          <w:highlight w:val="none"/>
        </w:rPr>
      </w:pPr>
      <w:r>
        <w:rPr>
          <w:rFonts w:hint="eastAsia" w:hAnsi="宋体" w:cs="宋体"/>
          <w:color w:val="auto"/>
          <w:highlight w:val="none"/>
        </w:rPr>
        <w:t>9.3  磋商响应文件使用的计量单位除采购文件中有特殊规定外，一律使用中华人民共和国法定计量单位。</w:t>
      </w:r>
    </w:p>
    <w:p w14:paraId="3E54FDBB">
      <w:pPr>
        <w:pStyle w:val="11"/>
        <w:spacing w:line="440" w:lineRule="exact"/>
        <w:rPr>
          <w:rFonts w:hint="eastAsia" w:hAnsi="宋体" w:cs="宋体"/>
          <w:bCs/>
          <w:color w:val="auto"/>
          <w:sz w:val="24"/>
          <w:highlight w:val="none"/>
        </w:rPr>
      </w:pPr>
      <w:r>
        <w:rPr>
          <w:rFonts w:hint="eastAsia" w:hAnsi="宋体" w:cs="宋体"/>
          <w:bCs/>
          <w:color w:val="auto"/>
          <w:sz w:val="24"/>
          <w:highlight w:val="none"/>
        </w:rPr>
        <w:t>10.  磋商响应文件的组成</w:t>
      </w:r>
    </w:p>
    <w:p w14:paraId="5D96D18A">
      <w:pPr>
        <w:pStyle w:val="11"/>
        <w:spacing w:line="440" w:lineRule="exact"/>
        <w:ind w:firstLine="360"/>
        <w:rPr>
          <w:rFonts w:hint="eastAsia" w:hAnsi="宋体" w:cs="宋体"/>
          <w:color w:val="auto"/>
          <w:highlight w:val="none"/>
        </w:rPr>
      </w:pPr>
      <w:r>
        <w:rPr>
          <w:rFonts w:hint="eastAsia" w:hAnsi="宋体" w:cs="宋体"/>
          <w:color w:val="auto"/>
          <w:highlight w:val="none"/>
        </w:rPr>
        <w:t>10.1  服务商需编制的磋商响应文件包括首次报价文件、技术文件和商务文件三部分，服务商应按下列说明编写和提交。应递交的有关文件如未特别注明为原件的，可提交复印件。</w:t>
      </w:r>
    </w:p>
    <w:p w14:paraId="7DF17678">
      <w:pPr>
        <w:pStyle w:val="11"/>
        <w:spacing w:line="440" w:lineRule="exact"/>
        <w:ind w:firstLine="360"/>
        <w:rPr>
          <w:rFonts w:hint="eastAsia" w:hAnsi="宋体" w:cs="宋体"/>
          <w:color w:val="auto"/>
          <w:highlight w:val="none"/>
        </w:rPr>
      </w:pPr>
      <w:r>
        <w:rPr>
          <w:rFonts w:hint="eastAsia" w:hAnsi="宋体" w:cs="宋体"/>
          <w:color w:val="auto"/>
          <w:highlight w:val="none"/>
        </w:rPr>
        <w:t>10.1.1  首次报价文件组成要求，包括：</w:t>
      </w:r>
    </w:p>
    <w:p w14:paraId="335AC38B">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（1）磋商函：按第五章“磋商响应文件格式”提供的“磋商函（格式）”的要求填写；</w:t>
      </w:r>
    </w:p>
    <w:p w14:paraId="3C0C7F57">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（2）磋商报价表：按第五章“磋商响应文件格式”提供的“磋商报价表（格式）”的要求填写。</w:t>
      </w:r>
    </w:p>
    <w:p w14:paraId="467E1043">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（3）中小企业声明函、监狱企业的证明文件、残疾人福利性单位声明函：按第五章“磋商响应文件格式”提供的“中小企业声明函（格式）、残疾人福利性单位声明函”的要求填写。</w:t>
      </w:r>
    </w:p>
    <w:p w14:paraId="6D42A424">
      <w:pPr>
        <w:pStyle w:val="11"/>
        <w:spacing w:line="440" w:lineRule="exact"/>
        <w:ind w:firstLine="720"/>
        <w:rPr>
          <w:rFonts w:hint="eastAsia" w:hAnsi="宋体" w:cs="宋体"/>
          <w:color w:val="auto"/>
          <w:highlight w:val="none"/>
        </w:rPr>
      </w:pPr>
      <w:r>
        <w:rPr>
          <w:rFonts w:hint="eastAsia" w:hAnsi="宋体" w:cs="宋体"/>
          <w:b/>
          <w:color w:val="auto"/>
          <w:highlight w:val="none"/>
        </w:rPr>
        <w:t>其中，报价文件组成要求的第（1）～</w:t>
      </w:r>
      <w:bookmarkStart w:id="27" w:name="_Hlk118385513"/>
      <w:r>
        <w:rPr>
          <w:rFonts w:hint="eastAsia" w:hAnsi="宋体" w:cs="宋体"/>
          <w:b/>
          <w:color w:val="auto"/>
          <w:highlight w:val="none"/>
        </w:rPr>
        <w:t>（3）项</w:t>
      </w:r>
      <w:bookmarkEnd w:id="27"/>
      <w:r>
        <w:rPr>
          <w:rFonts w:hint="eastAsia" w:hAnsi="宋体" w:cs="宋体"/>
          <w:b/>
          <w:color w:val="auto"/>
          <w:highlight w:val="none"/>
        </w:rPr>
        <w:t>必须提交。</w:t>
      </w:r>
    </w:p>
    <w:p w14:paraId="309FF60F">
      <w:pPr>
        <w:pStyle w:val="11"/>
        <w:spacing w:line="440" w:lineRule="exact"/>
        <w:ind w:firstLine="360"/>
        <w:rPr>
          <w:rFonts w:hint="eastAsia" w:hAnsi="宋体" w:cs="宋体"/>
          <w:b/>
          <w:bCs/>
          <w:color w:val="auto"/>
          <w:highlight w:val="none"/>
        </w:rPr>
      </w:pPr>
      <w:r>
        <w:rPr>
          <w:rFonts w:hint="eastAsia" w:hAnsi="宋体" w:cs="宋体"/>
          <w:color w:val="auto"/>
          <w:highlight w:val="none"/>
        </w:rPr>
        <w:t>10.1.2  技术文件组成要求，包括：</w:t>
      </w:r>
    </w:p>
    <w:p w14:paraId="03AF7665">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磋商</w:t>
      </w:r>
      <w:r>
        <w:rPr>
          <w:rFonts w:hint="eastAsia" w:hAnsi="宋体" w:cs="宋体"/>
          <w:color w:val="auto"/>
          <w:highlight w:val="none"/>
        </w:rPr>
        <w:t>服务资料表：按第五章“磋商响应文件格式”提供的“</w:t>
      </w:r>
      <w:r>
        <w:rPr>
          <w:rFonts w:hint="eastAsia" w:hAnsi="宋体" w:cs="宋体"/>
          <w:color w:val="auto"/>
          <w:highlight w:val="none"/>
          <w:lang w:val="en-US" w:eastAsia="zh-CN"/>
        </w:rPr>
        <w:t>磋商</w:t>
      </w:r>
      <w:r>
        <w:rPr>
          <w:rFonts w:hint="eastAsia" w:hAnsi="宋体" w:cs="宋体"/>
          <w:color w:val="auto"/>
          <w:highlight w:val="none"/>
        </w:rPr>
        <w:t>服务资料表（格式）”的要求填写；</w:t>
      </w:r>
    </w:p>
    <w:p w14:paraId="7D5DA51A">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（2）其它：针对所</w:t>
      </w:r>
      <w:r>
        <w:rPr>
          <w:rFonts w:hint="eastAsia" w:hAnsi="宋体" w:cs="宋体"/>
          <w:color w:val="auto"/>
          <w:highlight w:val="none"/>
          <w:lang w:val="en-US" w:eastAsia="zh-CN"/>
        </w:rPr>
        <w:t>磋商</w:t>
      </w:r>
      <w:r>
        <w:rPr>
          <w:rFonts w:hint="eastAsia" w:hAnsi="宋体" w:cs="宋体"/>
          <w:color w:val="auto"/>
          <w:highlight w:val="none"/>
        </w:rPr>
        <w:t>服务（产品）的主要技术指标、参数及性能的详细说明，相关的图纸、图片，服务（产品）有效检测和鉴定证明，节能环保认证证书复印件，等等。</w:t>
      </w:r>
    </w:p>
    <w:p w14:paraId="0C93E14A">
      <w:pPr>
        <w:pStyle w:val="11"/>
        <w:spacing w:line="440" w:lineRule="exact"/>
        <w:ind w:firstLine="720"/>
        <w:rPr>
          <w:rFonts w:hint="eastAsia" w:hAnsi="宋体" w:cs="宋体"/>
          <w:b/>
          <w:color w:val="auto"/>
          <w:highlight w:val="none"/>
        </w:rPr>
      </w:pPr>
      <w:r>
        <w:rPr>
          <w:rFonts w:hint="eastAsia" w:hAnsi="宋体" w:cs="宋体"/>
          <w:b/>
          <w:color w:val="auto"/>
          <w:highlight w:val="none"/>
        </w:rPr>
        <w:t>其中，技术文件组成要求的第（1）项必须提交；技术文件要求的第（2）项如有请提交。</w:t>
      </w:r>
    </w:p>
    <w:p w14:paraId="20369DB0">
      <w:pPr>
        <w:pStyle w:val="11"/>
        <w:spacing w:line="440" w:lineRule="exact"/>
        <w:ind w:firstLine="360"/>
        <w:rPr>
          <w:rFonts w:hint="eastAsia" w:hAnsi="宋体" w:cs="宋体"/>
          <w:color w:val="auto"/>
          <w:highlight w:val="none"/>
        </w:rPr>
      </w:pPr>
      <w:r>
        <w:rPr>
          <w:rFonts w:hint="eastAsia" w:hAnsi="宋体" w:cs="宋体"/>
          <w:color w:val="auto"/>
          <w:highlight w:val="none"/>
        </w:rPr>
        <w:t>10.1.3  商务文件组成要求，包括：</w:t>
      </w:r>
      <w:r>
        <w:rPr>
          <w:rFonts w:hint="eastAsia" w:hAnsi="宋体" w:cs="宋体"/>
          <w:b/>
          <w:bCs/>
          <w:color w:val="auto"/>
          <w:highlight w:val="none"/>
        </w:rPr>
        <w:t xml:space="preserve"> </w:t>
      </w:r>
    </w:p>
    <w:p w14:paraId="6A4C3F8D">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（1）信用声明函。按第五章“磋商响应文件格式”提供的“信用声明函（格式）”的要求填写；</w:t>
      </w:r>
    </w:p>
    <w:p w14:paraId="0A2F0388">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（2）服务商资格文件：根据本章第3.2项规定的服务商应具备的特定条件提供，包括含统一社会信用代码的营业执照复印件；</w:t>
      </w:r>
    </w:p>
    <w:p w14:paraId="48A71CD2">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 xml:space="preserve">（3）法定代表人身份证明复印件：如使用第二代身份证应提交正、反面复印件，如法定代表人非中国国籍应提交护照复印件，要求证件有效并与营业执照或事业单位法人证中的法定代表人相符； </w:t>
      </w:r>
    </w:p>
    <w:p w14:paraId="4E0988C4">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（4）售后服务承诺书：按第五章“磋商响应文件格式”提供的“售后服务承诺书（格式）” 的要求填写；</w:t>
      </w:r>
    </w:p>
    <w:p w14:paraId="5ED0B74B">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（5）商务条款偏离表：按第五章“磋商响应文件格式”提供的“商务条款偏离表（格式）” 的要求填写；</w:t>
      </w:r>
    </w:p>
    <w:p w14:paraId="0814AE43">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（6）</w:t>
      </w:r>
      <w:r>
        <w:rPr>
          <w:rFonts w:hint="eastAsia" w:hAnsi="宋体" w:cs="宋体"/>
          <w:color w:val="auto"/>
          <w:highlight w:val="none"/>
          <w:lang w:val="en-US" w:eastAsia="zh-CN"/>
        </w:rPr>
        <w:t>磋商</w:t>
      </w:r>
      <w:r>
        <w:rPr>
          <w:rFonts w:hint="eastAsia" w:hAnsi="宋体" w:cs="宋体"/>
          <w:color w:val="auto"/>
          <w:highlight w:val="none"/>
        </w:rPr>
        <w:t>截止时间202</w:t>
      </w:r>
      <w:r>
        <w:rPr>
          <w:rFonts w:hint="eastAsia" w:hAnsi="宋体" w:cs="宋体"/>
          <w:color w:val="auto"/>
          <w:highlight w:val="none"/>
          <w:lang w:val="en-US" w:eastAsia="zh-CN"/>
        </w:rPr>
        <w:t>5</w:t>
      </w:r>
      <w:r>
        <w:rPr>
          <w:rFonts w:hint="eastAsia" w:hAnsi="宋体" w:cs="宋体"/>
          <w:color w:val="auto"/>
          <w:highlight w:val="none"/>
        </w:rPr>
        <w:t>年1月以来服务商连续三个月依法缴纳税费或依法免缴税费的证明复印件；无纳税记录的，应提供由</w:t>
      </w:r>
      <w:r>
        <w:rPr>
          <w:rFonts w:hint="eastAsia" w:hAnsi="宋体" w:cs="宋体"/>
          <w:color w:val="auto"/>
          <w:highlight w:val="none"/>
          <w:lang w:val="en-US" w:eastAsia="zh-CN"/>
        </w:rPr>
        <w:t>磋商</w:t>
      </w:r>
      <w:r>
        <w:rPr>
          <w:rFonts w:hint="eastAsia" w:hAnsi="宋体" w:cs="宋体"/>
          <w:color w:val="auto"/>
          <w:highlight w:val="none"/>
        </w:rPr>
        <w:t>服务商所在地主管部门出具的《依法纳税或依法免税证明》或</w:t>
      </w:r>
      <w:r>
        <w:rPr>
          <w:rFonts w:hint="eastAsia" w:hAnsi="宋体" w:cs="宋体"/>
          <w:color w:val="auto"/>
          <w:highlight w:val="none"/>
          <w:lang w:val="en-US" w:eastAsia="zh-CN"/>
        </w:rPr>
        <w:t>磋商</w:t>
      </w:r>
      <w:r>
        <w:rPr>
          <w:rFonts w:hint="eastAsia" w:hAnsi="宋体" w:cs="宋体"/>
          <w:color w:val="auto"/>
          <w:highlight w:val="none"/>
        </w:rPr>
        <w:t>服务商所在地主管部门出具有效的其他相关证明材料复印件（格式自拟）；</w:t>
      </w:r>
    </w:p>
    <w:p w14:paraId="1C6DF70A">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（7）</w:t>
      </w:r>
      <w:r>
        <w:rPr>
          <w:rFonts w:hint="eastAsia" w:hAnsi="宋体" w:cs="宋体"/>
          <w:color w:val="auto"/>
          <w:highlight w:val="none"/>
          <w:lang w:val="en-US" w:eastAsia="zh-CN"/>
        </w:rPr>
        <w:t>磋商</w:t>
      </w:r>
      <w:r>
        <w:rPr>
          <w:rFonts w:hint="eastAsia" w:hAnsi="宋体" w:cs="宋体"/>
          <w:color w:val="auto"/>
          <w:highlight w:val="none"/>
        </w:rPr>
        <w:t>截止时间202</w:t>
      </w:r>
      <w:r>
        <w:rPr>
          <w:rFonts w:hint="eastAsia" w:hAnsi="宋体" w:cs="宋体"/>
          <w:color w:val="auto"/>
          <w:highlight w:val="none"/>
          <w:lang w:val="en-US" w:eastAsia="zh-CN"/>
        </w:rPr>
        <w:t>5</w:t>
      </w:r>
      <w:r>
        <w:rPr>
          <w:rFonts w:hint="eastAsia" w:hAnsi="宋体" w:cs="宋体"/>
          <w:color w:val="auto"/>
          <w:highlight w:val="none"/>
        </w:rPr>
        <w:t>年1月以来服务商连续三个月依法缴纳社保的缴费凭证复印件，无缴费记录的，应提供由</w:t>
      </w:r>
      <w:r>
        <w:rPr>
          <w:rFonts w:hint="eastAsia" w:hAnsi="宋体" w:cs="宋体"/>
          <w:color w:val="auto"/>
          <w:highlight w:val="none"/>
          <w:lang w:val="en-US" w:eastAsia="zh-CN"/>
        </w:rPr>
        <w:t>磋商</w:t>
      </w:r>
      <w:r>
        <w:rPr>
          <w:rFonts w:hint="eastAsia" w:hAnsi="宋体" w:cs="宋体"/>
          <w:color w:val="auto"/>
          <w:highlight w:val="none"/>
        </w:rPr>
        <w:t>服务商所在地主管部门出具的《依法缴纳或依法免缴社保费证明》或</w:t>
      </w:r>
      <w:r>
        <w:rPr>
          <w:rFonts w:hint="eastAsia" w:hAnsi="宋体" w:cs="宋体"/>
          <w:color w:val="auto"/>
          <w:highlight w:val="none"/>
          <w:lang w:val="en-US" w:eastAsia="zh-CN"/>
        </w:rPr>
        <w:t>磋商</w:t>
      </w:r>
      <w:r>
        <w:rPr>
          <w:rFonts w:hint="eastAsia" w:hAnsi="宋体" w:cs="宋体"/>
          <w:color w:val="auto"/>
          <w:highlight w:val="none"/>
        </w:rPr>
        <w:t>服务商所在地主管部门出具有效的其他相关证明材料复印件，格式自拟；</w:t>
      </w:r>
    </w:p>
    <w:p w14:paraId="41AB0509">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（8）</w:t>
      </w:r>
      <w:r>
        <w:rPr>
          <w:rFonts w:hint="eastAsia" w:hAnsi="宋体" w:cs="宋体"/>
          <w:bCs/>
          <w:color w:val="auto"/>
          <w:highlight w:val="none"/>
        </w:rPr>
        <w:t>服务商提供202</w:t>
      </w:r>
      <w:r>
        <w:rPr>
          <w:rFonts w:hint="eastAsia" w:hAnsi="宋体" w:cs="宋体"/>
          <w:bCs/>
          <w:color w:val="auto"/>
          <w:highlight w:val="none"/>
          <w:lang w:val="en-US" w:eastAsia="zh-CN"/>
        </w:rPr>
        <w:t>4</w:t>
      </w:r>
      <w:r>
        <w:rPr>
          <w:rFonts w:hint="eastAsia" w:hAnsi="宋体" w:cs="宋体"/>
          <w:bCs/>
          <w:color w:val="auto"/>
          <w:highlight w:val="none"/>
        </w:rPr>
        <w:t>年财务报告（包含现金流量表，资产负债表，利润表）或银行出具的资信证明复印件</w:t>
      </w:r>
      <w:r>
        <w:rPr>
          <w:rFonts w:hint="eastAsia" w:hAnsi="宋体" w:cs="宋体"/>
          <w:color w:val="auto"/>
          <w:highlight w:val="none"/>
        </w:rPr>
        <w:t>（如为202</w:t>
      </w:r>
      <w:r>
        <w:rPr>
          <w:rFonts w:hint="eastAsia" w:hAnsi="宋体" w:cs="宋体"/>
          <w:color w:val="auto"/>
          <w:highlight w:val="none"/>
          <w:lang w:val="en-US" w:eastAsia="zh-CN"/>
        </w:rPr>
        <w:t>5</w:t>
      </w:r>
      <w:r>
        <w:rPr>
          <w:rFonts w:hint="eastAsia" w:hAnsi="宋体" w:cs="宋体"/>
          <w:color w:val="auto"/>
          <w:highlight w:val="none"/>
        </w:rPr>
        <w:t>年新成立企业，则需提供成立时间至截标时间前一个月的财务报告复印件）。</w:t>
      </w:r>
    </w:p>
    <w:p w14:paraId="58ED1245">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（9）法定代表人授权委托书：按第五章“磋商响应文件格式”提供的“法定代表人授权委托书（格式）”的要求填写；</w:t>
      </w:r>
    </w:p>
    <w:p w14:paraId="19E2BF67">
      <w:pPr>
        <w:pStyle w:val="11"/>
        <w:spacing w:line="440" w:lineRule="exact"/>
        <w:ind w:firstLine="630" w:firstLineChars="300"/>
        <w:rPr>
          <w:rFonts w:hint="eastAsia" w:hAnsi="宋体" w:cs="宋体"/>
          <w:color w:val="auto"/>
          <w:highlight w:val="none"/>
        </w:rPr>
      </w:pPr>
      <w:r>
        <w:rPr>
          <w:rFonts w:hint="eastAsia" w:hAnsi="宋体" w:cs="宋体"/>
          <w:color w:val="auto"/>
          <w:highlight w:val="none"/>
        </w:rPr>
        <w:t>（10）委托代理人身份证明复印件：如使用第二代身份证应提交正、反面复印件，如委托代理人非中国国籍应提交护照复印件，要求证件有效并与法定代表人授权委托书中的委托代理人相符；</w:t>
      </w:r>
    </w:p>
    <w:p w14:paraId="2AD5A032">
      <w:pPr>
        <w:pStyle w:val="11"/>
        <w:spacing w:line="440" w:lineRule="exact"/>
        <w:rPr>
          <w:rFonts w:hint="eastAsia" w:hAnsi="宋体" w:cs="宋体"/>
          <w:color w:val="auto"/>
          <w:highlight w:val="none"/>
        </w:rPr>
      </w:pPr>
      <w:r>
        <w:rPr>
          <w:rFonts w:hint="eastAsia" w:hAnsi="宋体" w:cs="宋体"/>
          <w:b/>
          <w:color w:val="auto"/>
          <w:highlight w:val="none"/>
        </w:rPr>
        <w:t xml:space="preserve">    商务文件中的第（1）</w:t>
      </w:r>
      <w:r>
        <w:rPr>
          <w:rFonts w:hint="eastAsia" w:hAnsi="宋体" w:cs="宋体"/>
          <w:bCs/>
          <w:color w:val="auto"/>
          <w:highlight w:val="none"/>
        </w:rPr>
        <w:t>～</w:t>
      </w:r>
      <w:r>
        <w:rPr>
          <w:rFonts w:hint="eastAsia" w:hAnsi="宋体" w:cs="宋体"/>
          <w:b/>
          <w:color w:val="auto"/>
          <w:highlight w:val="none"/>
        </w:rPr>
        <w:t>（8）项必须提交；第（9）、（10）项在委托代理时必须提交。</w:t>
      </w:r>
    </w:p>
    <w:p w14:paraId="606F6678">
      <w:pPr>
        <w:pStyle w:val="11"/>
        <w:spacing w:line="440" w:lineRule="exact"/>
        <w:ind w:firstLine="360"/>
        <w:rPr>
          <w:rFonts w:hint="eastAsia" w:hAnsi="宋体" w:cs="宋体"/>
          <w:color w:val="auto"/>
          <w:highlight w:val="none"/>
        </w:rPr>
      </w:pPr>
      <w:r>
        <w:rPr>
          <w:rFonts w:hint="eastAsia" w:hAnsi="宋体" w:cs="宋体"/>
          <w:color w:val="auto"/>
          <w:highlight w:val="none"/>
        </w:rPr>
        <w:t>10.2  服务商应编制目录，按上述顺序将首次报价文件、技术文件、商务文件统一装订成册。正副本文件一起包装。</w:t>
      </w:r>
    </w:p>
    <w:p w14:paraId="2CBAEE4D">
      <w:pPr>
        <w:pStyle w:val="11"/>
        <w:spacing w:line="440" w:lineRule="exact"/>
        <w:rPr>
          <w:rFonts w:hint="eastAsia" w:hAnsi="宋体" w:cs="宋体"/>
          <w:bCs/>
          <w:color w:val="auto"/>
          <w:sz w:val="24"/>
          <w:highlight w:val="none"/>
        </w:rPr>
      </w:pPr>
      <w:r>
        <w:rPr>
          <w:rFonts w:hint="eastAsia" w:hAnsi="宋体" w:cs="宋体"/>
          <w:bCs/>
          <w:color w:val="auto"/>
          <w:sz w:val="24"/>
          <w:highlight w:val="none"/>
        </w:rPr>
        <w:t xml:space="preserve">11.  </w:t>
      </w:r>
      <w:r>
        <w:rPr>
          <w:rFonts w:hint="eastAsia" w:hAnsi="宋体" w:cs="宋体"/>
          <w:bCs/>
          <w:color w:val="auto"/>
          <w:sz w:val="24"/>
          <w:highlight w:val="none"/>
          <w:lang w:eastAsia="zh-CN"/>
        </w:rPr>
        <w:t>磋商</w:t>
      </w:r>
      <w:r>
        <w:rPr>
          <w:rFonts w:hint="eastAsia" w:hAnsi="宋体" w:cs="宋体"/>
          <w:bCs/>
          <w:color w:val="auto"/>
          <w:sz w:val="24"/>
          <w:highlight w:val="none"/>
        </w:rPr>
        <w:t>报价</w:t>
      </w:r>
    </w:p>
    <w:p w14:paraId="1A54B83F">
      <w:pPr>
        <w:pStyle w:val="11"/>
        <w:spacing w:line="440" w:lineRule="exact"/>
        <w:ind w:firstLine="360"/>
        <w:rPr>
          <w:rFonts w:hint="eastAsia" w:hAnsi="宋体" w:cs="宋体"/>
          <w:color w:val="auto"/>
          <w:highlight w:val="none"/>
        </w:rPr>
      </w:pPr>
      <w:r>
        <w:rPr>
          <w:rFonts w:hint="eastAsia" w:hAnsi="宋体" w:cs="宋体"/>
          <w:color w:val="auto"/>
          <w:highlight w:val="none"/>
        </w:rPr>
        <w:t>11.1  服务商应以人民币报价。</w:t>
      </w:r>
    </w:p>
    <w:p w14:paraId="3F2D0C2C">
      <w:pPr>
        <w:pStyle w:val="11"/>
        <w:spacing w:line="440" w:lineRule="exact"/>
        <w:ind w:firstLine="360"/>
        <w:rPr>
          <w:rFonts w:hint="eastAsia" w:hAnsi="宋体" w:cs="宋体"/>
          <w:color w:val="auto"/>
          <w:highlight w:val="none"/>
        </w:rPr>
      </w:pPr>
      <w:r>
        <w:rPr>
          <w:rFonts w:hint="eastAsia" w:hAnsi="宋体" w:cs="宋体"/>
          <w:color w:val="auto"/>
          <w:highlight w:val="none"/>
        </w:rPr>
        <w:t>11.2  服务商须就第二章“服务需求一览表”中的</w:t>
      </w:r>
      <w:r>
        <w:rPr>
          <w:rFonts w:hint="eastAsia" w:hAnsi="宋体" w:cs="宋体"/>
          <w:b/>
          <w:color w:val="auto"/>
          <w:highlight w:val="none"/>
        </w:rPr>
        <w:t>所有服务内容报出完整且唯一报价，附带有条件的报价将不予接受。</w:t>
      </w:r>
    </w:p>
    <w:p w14:paraId="3E38D22B">
      <w:pPr>
        <w:pStyle w:val="11"/>
        <w:spacing w:line="440" w:lineRule="exact"/>
        <w:ind w:firstLine="360"/>
        <w:rPr>
          <w:rFonts w:hint="eastAsia" w:hAnsi="宋体" w:cs="宋体"/>
          <w:color w:val="auto"/>
          <w:highlight w:val="none"/>
        </w:rPr>
      </w:pPr>
      <w:r>
        <w:rPr>
          <w:rFonts w:hint="eastAsia" w:hAnsi="宋体" w:cs="宋体"/>
          <w:color w:val="auto"/>
          <w:highlight w:val="none"/>
        </w:rPr>
        <w:t xml:space="preserve">11.3  </w:t>
      </w:r>
      <w:r>
        <w:rPr>
          <w:rFonts w:hint="eastAsia" w:hAnsi="宋体" w:cs="宋体"/>
          <w:color w:val="auto"/>
          <w:highlight w:val="none"/>
          <w:lang w:eastAsia="zh-CN"/>
        </w:rPr>
        <w:t>磋商</w:t>
      </w:r>
      <w:r>
        <w:rPr>
          <w:rFonts w:hint="eastAsia" w:hAnsi="宋体" w:cs="宋体"/>
          <w:color w:val="auto"/>
          <w:highlight w:val="none"/>
        </w:rPr>
        <w:t>报价为采购人指定服务的价格，其组成部分详见第二章“服务需求一览表”。采购人不再向成交服务商支付其</w:t>
      </w:r>
      <w:r>
        <w:rPr>
          <w:rFonts w:hint="eastAsia" w:hAnsi="宋体" w:cs="宋体"/>
          <w:color w:val="auto"/>
          <w:highlight w:val="none"/>
          <w:lang w:eastAsia="zh-CN"/>
        </w:rPr>
        <w:t>磋商</w:t>
      </w:r>
      <w:r>
        <w:rPr>
          <w:rFonts w:hint="eastAsia" w:hAnsi="宋体" w:cs="宋体"/>
          <w:color w:val="auto"/>
          <w:highlight w:val="none"/>
        </w:rPr>
        <w:t>报价之外的任何费用。</w:t>
      </w:r>
    </w:p>
    <w:p w14:paraId="24E3A1D3">
      <w:pPr>
        <w:pStyle w:val="11"/>
        <w:spacing w:line="440" w:lineRule="exact"/>
        <w:ind w:firstLine="360"/>
        <w:rPr>
          <w:rFonts w:hint="eastAsia" w:hAnsi="宋体" w:cs="宋体"/>
          <w:color w:val="auto"/>
          <w:highlight w:val="none"/>
        </w:rPr>
      </w:pPr>
      <w:r>
        <w:rPr>
          <w:rFonts w:hint="eastAsia" w:hAnsi="宋体" w:cs="宋体"/>
          <w:color w:val="auto"/>
          <w:highlight w:val="none"/>
        </w:rPr>
        <w:t>11.4  本项目的采购代理服务费，见服务商须知前附表。</w:t>
      </w:r>
    </w:p>
    <w:p w14:paraId="4BC3EC33">
      <w:pPr>
        <w:pStyle w:val="11"/>
        <w:spacing w:line="440" w:lineRule="exact"/>
        <w:ind w:firstLine="360"/>
        <w:rPr>
          <w:rFonts w:hint="eastAsia" w:hAnsi="宋体" w:cs="宋体"/>
          <w:color w:val="auto"/>
          <w:highlight w:val="none"/>
        </w:rPr>
      </w:pPr>
      <w:r>
        <w:rPr>
          <w:rFonts w:hint="eastAsia" w:hAnsi="宋体" w:cs="宋体"/>
          <w:color w:val="auto"/>
          <w:highlight w:val="none"/>
        </w:rPr>
        <w:t>11.5  不论</w:t>
      </w:r>
      <w:r>
        <w:rPr>
          <w:rFonts w:hint="eastAsia" w:hAnsi="宋体" w:cs="宋体"/>
          <w:color w:val="auto"/>
          <w:highlight w:val="none"/>
          <w:lang w:eastAsia="zh-CN"/>
        </w:rPr>
        <w:t>磋商</w:t>
      </w:r>
      <w:r>
        <w:rPr>
          <w:rFonts w:hint="eastAsia" w:hAnsi="宋体" w:cs="宋体"/>
          <w:color w:val="auto"/>
          <w:highlight w:val="none"/>
        </w:rPr>
        <w:t>结果如何，服务商均应自行承担与编制和递交磋商响应文件有关的全部费用。</w:t>
      </w:r>
    </w:p>
    <w:p w14:paraId="3649447C">
      <w:pPr>
        <w:pStyle w:val="11"/>
        <w:spacing w:line="440" w:lineRule="exact"/>
        <w:rPr>
          <w:rFonts w:hint="eastAsia" w:hAnsi="宋体" w:cs="宋体"/>
          <w:bCs/>
          <w:color w:val="auto"/>
          <w:sz w:val="24"/>
          <w:highlight w:val="none"/>
        </w:rPr>
      </w:pPr>
      <w:r>
        <w:rPr>
          <w:rFonts w:hint="eastAsia" w:hAnsi="宋体" w:cs="宋体"/>
          <w:bCs/>
          <w:color w:val="auto"/>
          <w:sz w:val="24"/>
          <w:highlight w:val="none"/>
        </w:rPr>
        <w:t xml:space="preserve">12.  </w:t>
      </w:r>
      <w:r>
        <w:rPr>
          <w:rFonts w:hint="eastAsia" w:hAnsi="宋体" w:cs="宋体"/>
          <w:bCs/>
          <w:color w:val="auto"/>
          <w:sz w:val="24"/>
          <w:highlight w:val="none"/>
          <w:lang w:eastAsia="zh-CN"/>
        </w:rPr>
        <w:t>磋商</w:t>
      </w:r>
      <w:r>
        <w:rPr>
          <w:rFonts w:hint="eastAsia" w:hAnsi="宋体" w:cs="宋体"/>
          <w:bCs/>
          <w:color w:val="auto"/>
          <w:sz w:val="24"/>
          <w:highlight w:val="none"/>
        </w:rPr>
        <w:t>有效期</w:t>
      </w:r>
    </w:p>
    <w:p w14:paraId="33D5085D">
      <w:pPr>
        <w:pStyle w:val="11"/>
        <w:spacing w:line="440" w:lineRule="exact"/>
        <w:ind w:firstLine="360"/>
        <w:rPr>
          <w:rFonts w:hint="eastAsia" w:hAnsi="宋体" w:cs="宋体"/>
          <w:bCs/>
          <w:color w:val="auto"/>
          <w:sz w:val="24"/>
          <w:highlight w:val="none"/>
        </w:rPr>
      </w:pPr>
      <w:r>
        <w:rPr>
          <w:rFonts w:hint="eastAsia" w:hAnsi="宋体" w:cs="宋体"/>
          <w:color w:val="auto"/>
          <w:highlight w:val="none"/>
        </w:rPr>
        <w:t>12.1  在服务商须知前附表规定的</w:t>
      </w:r>
      <w:r>
        <w:rPr>
          <w:rFonts w:hint="eastAsia" w:hAnsi="宋体" w:cs="宋体"/>
          <w:color w:val="auto"/>
          <w:highlight w:val="none"/>
          <w:lang w:eastAsia="zh-CN"/>
        </w:rPr>
        <w:t>磋商</w:t>
      </w:r>
      <w:r>
        <w:rPr>
          <w:rFonts w:hint="eastAsia" w:hAnsi="宋体" w:cs="宋体"/>
          <w:color w:val="auto"/>
          <w:highlight w:val="none"/>
        </w:rPr>
        <w:t>有效期内，服务商不得要求撤销或修改其磋商响应文件。</w:t>
      </w:r>
    </w:p>
    <w:p w14:paraId="0EAE9DEC">
      <w:pPr>
        <w:pStyle w:val="11"/>
        <w:spacing w:line="440" w:lineRule="exact"/>
        <w:ind w:firstLine="360"/>
        <w:rPr>
          <w:rFonts w:hint="eastAsia" w:hAnsi="宋体" w:cs="宋体"/>
          <w:color w:val="auto"/>
          <w:highlight w:val="none"/>
        </w:rPr>
      </w:pPr>
      <w:r>
        <w:rPr>
          <w:rFonts w:hint="eastAsia" w:hAnsi="宋体" w:cs="宋体"/>
          <w:color w:val="auto"/>
          <w:highlight w:val="none"/>
        </w:rPr>
        <w:t>12.2  在特殊情况下，采购人或采购代理机构可与服务商协商延长</w:t>
      </w:r>
      <w:r>
        <w:rPr>
          <w:rFonts w:hint="eastAsia" w:hAnsi="宋体" w:cs="宋体"/>
          <w:color w:val="auto"/>
          <w:highlight w:val="none"/>
          <w:lang w:eastAsia="zh-CN"/>
        </w:rPr>
        <w:t>磋商</w:t>
      </w:r>
      <w:r>
        <w:rPr>
          <w:rFonts w:hint="eastAsia" w:hAnsi="宋体" w:cs="宋体"/>
          <w:color w:val="auto"/>
          <w:highlight w:val="none"/>
        </w:rPr>
        <w:t>有效期，这种要求与答复均应使用书面形式。服务商同意延长的，不得要求或被允许修改或撤销其磋商响应文件；服务商拒绝延长的，其</w:t>
      </w:r>
      <w:r>
        <w:rPr>
          <w:rFonts w:hint="eastAsia" w:hAnsi="宋体" w:cs="宋体"/>
          <w:color w:val="auto"/>
          <w:highlight w:val="none"/>
          <w:lang w:eastAsia="zh-CN"/>
        </w:rPr>
        <w:t>磋商</w:t>
      </w:r>
      <w:r>
        <w:rPr>
          <w:rFonts w:hint="eastAsia" w:hAnsi="宋体" w:cs="宋体"/>
          <w:color w:val="auto"/>
          <w:highlight w:val="none"/>
        </w:rPr>
        <w:t>在超过原有效期后失效。</w:t>
      </w:r>
    </w:p>
    <w:p w14:paraId="5BED1ACF">
      <w:pPr>
        <w:pStyle w:val="11"/>
        <w:spacing w:line="440" w:lineRule="exact"/>
        <w:rPr>
          <w:rFonts w:hint="eastAsia" w:hAnsi="宋体" w:cs="宋体"/>
          <w:bCs/>
          <w:color w:val="auto"/>
          <w:sz w:val="24"/>
          <w:highlight w:val="none"/>
        </w:rPr>
      </w:pPr>
      <w:r>
        <w:rPr>
          <w:rFonts w:hint="eastAsia" w:hAnsi="宋体" w:cs="宋体"/>
          <w:bCs/>
          <w:color w:val="auto"/>
          <w:sz w:val="24"/>
          <w:highlight w:val="none"/>
        </w:rPr>
        <w:t xml:space="preserve">13.  </w:t>
      </w:r>
      <w:r>
        <w:rPr>
          <w:rFonts w:hint="eastAsia" w:hAnsi="宋体" w:cs="宋体"/>
          <w:bCs/>
          <w:color w:val="auto"/>
          <w:sz w:val="24"/>
          <w:highlight w:val="none"/>
          <w:lang w:eastAsia="zh-CN"/>
        </w:rPr>
        <w:t>磋商</w:t>
      </w:r>
      <w:r>
        <w:rPr>
          <w:rFonts w:hint="eastAsia" w:hAnsi="宋体" w:cs="宋体"/>
          <w:bCs/>
          <w:color w:val="auto"/>
          <w:sz w:val="24"/>
          <w:highlight w:val="none"/>
        </w:rPr>
        <w:t>保证金</w:t>
      </w:r>
    </w:p>
    <w:p w14:paraId="322A5A41">
      <w:pPr>
        <w:pStyle w:val="11"/>
        <w:tabs>
          <w:tab w:val="left" w:pos="0"/>
        </w:tabs>
        <w:spacing w:line="440" w:lineRule="exact"/>
        <w:ind w:firstLine="359" w:firstLineChars="171"/>
        <w:rPr>
          <w:rFonts w:hint="eastAsia" w:hAnsi="宋体" w:cs="宋体"/>
          <w:color w:val="auto"/>
          <w:highlight w:val="none"/>
        </w:rPr>
      </w:pPr>
      <w:r>
        <w:rPr>
          <w:rFonts w:hint="eastAsia" w:hAnsi="宋体" w:cs="宋体"/>
          <w:color w:val="auto"/>
          <w:highlight w:val="none"/>
        </w:rPr>
        <w:t>13.1  本项目无需缴纳</w:t>
      </w:r>
      <w:r>
        <w:rPr>
          <w:rFonts w:hint="eastAsia" w:hAnsi="宋体" w:cs="宋体"/>
          <w:color w:val="auto"/>
          <w:highlight w:val="none"/>
          <w:lang w:eastAsia="zh-CN"/>
        </w:rPr>
        <w:t>磋商</w:t>
      </w:r>
      <w:r>
        <w:rPr>
          <w:rFonts w:hint="eastAsia" w:hAnsi="宋体" w:cs="宋体"/>
          <w:color w:val="auto"/>
          <w:highlight w:val="none"/>
        </w:rPr>
        <w:t>保证金。</w:t>
      </w:r>
    </w:p>
    <w:p w14:paraId="1DD54E66">
      <w:pPr>
        <w:pStyle w:val="11"/>
        <w:spacing w:line="440" w:lineRule="exact"/>
        <w:jc w:val="center"/>
        <w:rPr>
          <w:rFonts w:hint="eastAsia" w:hAnsi="宋体" w:cs="宋体"/>
          <w:b/>
          <w:bCs/>
          <w:color w:val="auto"/>
          <w:highlight w:val="none"/>
        </w:rPr>
      </w:pPr>
    </w:p>
    <w:p w14:paraId="1B2D7048">
      <w:pPr>
        <w:pStyle w:val="11"/>
        <w:jc w:val="center"/>
        <w:outlineLvl w:val="1"/>
        <w:rPr>
          <w:rFonts w:hint="eastAsia" w:hAnsi="宋体" w:eastAsia="宋体" w:cs="宋体"/>
          <w:b/>
          <w:color w:val="auto"/>
          <w:sz w:val="30"/>
          <w:szCs w:val="30"/>
          <w:highlight w:val="none"/>
          <w:lang w:eastAsia="zh-CN"/>
        </w:rPr>
      </w:pPr>
      <w:bookmarkStart w:id="28" w:name="_Toc25531"/>
      <w:r>
        <w:rPr>
          <w:rFonts w:hint="eastAsia" w:hAnsi="宋体" w:cs="宋体"/>
          <w:b/>
          <w:color w:val="auto"/>
          <w:sz w:val="30"/>
          <w:szCs w:val="30"/>
          <w:highlight w:val="none"/>
        </w:rPr>
        <w:t xml:space="preserve">四    </w:t>
      </w:r>
      <w:bookmarkEnd w:id="28"/>
      <w:r>
        <w:rPr>
          <w:rFonts w:hint="eastAsia" w:hAnsi="宋体" w:cs="宋体"/>
          <w:b/>
          <w:color w:val="auto"/>
          <w:sz w:val="30"/>
          <w:szCs w:val="30"/>
          <w:highlight w:val="none"/>
          <w:lang w:eastAsia="zh-CN"/>
        </w:rPr>
        <w:t>磋商</w:t>
      </w:r>
    </w:p>
    <w:p w14:paraId="393929BD">
      <w:pPr>
        <w:spacing w:line="440" w:lineRule="exac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14.  电子响应文件的制作、加密</w:t>
      </w:r>
    </w:p>
    <w:p w14:paraId="6102F83F">
      <w:pPr>
        <w:spacing w:line="440" w:lineRule="exact"/>
        <w:ind w:firstLine="359" w:firstLineChars="171"/>
        <w:rPr>
          <w:rFonts w:hint="eastAsia" w:ascii="宋体" w:hAnsi="宋体" w:eastAsia="宋体" w:cs="宋体"/>
          <w:color w:val="auto"/>
          <w:szCs w:val="20"/>
          <w:highlight w:val="none"/>
        </w:rPr>
      </w:pPr>
      <w:r>
        <w:rPr>
          <w:rFonts w:hint="eastAsia" w:ascii="宋体" w:hAnsi="宋体" w:eastAsia="宋体" w:cs="宋体"/>
          <w:color w:val="auto"/>
          <w:szCs w:val="20"/>
          <w:highlight w:val="none"/>
        </w:rPr>
        <w:t>14.1  1 服务商制作电子响应文件前，应登陆“</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”进行“申请获取采购文件”操作，否则，有可能导致无法在线编制响应文件并参与磋商，其不利后果由服务商自行承担。</w:t>
      </w:r>
    </w:p>
    <w:p w14:paraId="49FA78C1">
      <w:pPr>
        <w:spacing w:line="440" w:lineRule="exact"/>
        <w:ind w:firstLine="359" w:firstLineChars="171"/>
        <w:rPr>
          <w:rFonts w:hint="eastAsia" w:ascii="宋体" w:hAnsi="宋体" w:eastAsia="宋体" w:cs="宋体"/>
          <w:color w:val="auto"/>
          <w:szCs w:val="20"/>
          <w:highlight w:val="none"/>
        </w:rPr>
      </w:pPr>
      <w:r>
        <w:rPr>
          <w:rFonts w:hint="eastAsia" w:ascii="宋体" w:hAnsi="宋体" w:eastAsia="宋体" w:cs="宋体"/>
          <w:color w:val="auto"/>
          <w:szCs w:val="20"/>
          <w:highlight w:val="none"/>
        </w:rPr>
        <w:t>2 服务商下载或获取竞争性磋商文件后，登录“</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电子投标客户端” ，按照本磋商文件规定的响应文件格式、顺序以及“</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”的要求，通过“</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电子投标客户端”编制电子响应文件。</w:t>
      </w:r>
    </w:p>
    <w:p w14:paraId="28F76539">
      <w:pPr>
        <w:spacing w:line="440" w:lineRule="exact"/>
        <w:ind w:firstLine="359" w:firstLineChars="171"/>
        <w:rPr>
          <w:rFonts w:hint="eastAsia" w:ascii="宋体" w:hAnsi="宋体" w:eastAsia="宋体" w:cs="宋体"/>
          <w:color w:val="auto"/>
          <w:szCs w:val="20"/>
          <w:highlight w:val="none"/>
        </w:rPr>
      </w:pPr>
      <w:r>
        <w:rPr>
          <w:rFonts w:hint="eastAsia" w:ascii="宋体" w:hAnsi="宋体" w:eastAsia="宋体" w:cs="宋体"/>
          <w:color w:val="auto"/>
          <w:szCs w:val="20"/>
          <w:highlight w:val="none"/>
        </w:rPr>
        <w:t>3 若竞争性磋商文件中有专门标注的某关联点，并要求服务商在电子投标系统中作出响应的，服务商应进行响应并关联定位，以便评审小组在评审时点击评分项可直接定位到该评分项内容；如对竞争性磋商文件的某项要求，服务商的电子响应文件未能关联定位提供相应的内容与其对应，或者在响应文件其它内容中进行描述，导致磋商小组 无法查询，做出对服务商不利的评审，相关后果由服务商自行承担。</w:t>
      </w:r>
    </w:p>
    <w:p w14:paraId="35F2FEC5">
      <w:pPr>
        <w:spacing w:line="440" w:lineRule="exact"/>
        <w:ind w:firstLine="359" w:firstLineChars="171"/>
        <w:rPr>
          <w:rFonts w:hint="eastAsia" w:ascii="宋体" w:hAnsi="宋体" w:eastAsia="宋体" w:cs="宋体"/>
          <w:color w:val="auto"/>
          <w:szCs w:val="20"/>
          <w:highlight w:val="none"/>
        </w:rPr>
      </w:pPr>
      <w:r>
        <w:rPr>
          <w:rFonts w:hint="eastAsia" w:ascii="宋体" w:hAnsi="宋体" w:eastAsia="宋体" w:cs="宋体"/>
          <w:color w:val="auto"/>
          <w:szCs w:val="20"/>
          <w:highlight w:val="none"/>
        </w:rPr>
        <w:t>4 电子响应文件不得涂改，若有修改错漏处，须由法定代表人 (负责人、 自然人) 或授权委托代理人通过“</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电子投标客户端”采用</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个人 CA 证书签章，没有办理</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个人 CA 证书签章的，在响应文件中响应位置手写签字后扫描或者拍照做成 PDF的格式上传。 因响应文件字迹潦草、表达不清、内容不完整、编排混乱导致响应文件被误读、漏读，或者在按竞争性磋商文件规定的部位查找不到相关内容的，其不利后果由服务商自行承担。</w:t>
      </w:r>
    </w:p>
    <w:p w14:paraId="462494D9">
      <w:pPr>
        <w:spacing w:line="440" w:lineRule="exact"/>
        <w:ind w:firstLine="359" w:firstLineChars="171"/>
        <w:rPr>
          <w:rFonts w:hint="eastAsia" w:ascii="宋体" w:hAnsi="宋体" w:eastAsia="宋体" w:cs="宋体"/>
          <w:color w:val="auto"/>
          <w:szCs w:val="20"/>
          <w:highlight w:val="none"/>
        </w:rPr>
      </w:pPr>
      <w:r>
        <w:rPr>
          <w:rFonts w:hint="eastAsia" w:ascii="宋体" w:hAnsi="宋体" w:eastAsia="宋体" w:cs="宋体"/>
          <w:color w:val="auto"/>
          <w:szCs w:val="20"/>
          <w:highlight w:val="none"/>
        </w:rPr>
        <w:t>5 服务商编制、生成电子响应文件后应当加密响应文件 。服务商未按规定编制并加密的响应文件，“</w:t>
      </w:r>
      <w:r>
        <w:rPr>
          <w:rFonts w:hint="eastAsia" w:ascii="宋体" w:hAnsi="宋体" w:eastAsia="宋体" w:cs="宋体"/>
          <w:color w:val="auto"/>
          <w:spacing w:val="6"/>
          <w:kern w:val="48"/>
          <w:highlight w:val="none"/>
        </w:rPr>
        <w:t>广西政府采购云平台</w:t>
      </w:r>
      <w:r>
        <w:rPr>
          <w:rFonts w:hint="eastAsia" w:ascii="宋体" w:hAnsi="宋体" w:eastAsia="宋体" w:cs="宋体"/>
          <w:color w:val="auto"/>
          <w:szCs w:val="20"/>
          <w:highlight w:val="none"/>
        </w:rPr>
        <w:t>”将予以拒收。</w:t>
      </w:r>
    </w:p>
    <w:p w14:paraId="046F150A">
      <w:pPr>
        <w:spacing w:line="440" w:lineRule="exac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15.  磋商响应文件的递交</w:t>
      </w:r>
    </w:p>
    <w:p w14:paraId="3486C9B2">
      <w:pPr>
        <w:spacing w:line="440" w:lineRule="exact"/>
        <w:ind w:firstLine="360"/>
        <w:rPr>
          <w:rFonts w:hint="eastAsia" w:ascii="宋体" w:hAnsi="宋体" w:eastAsia="宋体" w:cs="宋体"/>
          <w:color w:val="auto"/>
          <w:szCs w:val="20"/>
          <w:highlight w:val="none"/>
        </w:rPr>
      </w:pPr>
      <w:r>
        <w:rPr>
          <w:rFonts w:hint="eastAsia" w:ascii="宋体" w:hAnsi="宋体" w:eastAsia="宋体" w:cs="宋体"/>
          <w:color w:val="auto"/>
          <w:szCs w:val="20"/>
          <w:highlight w:val="none"/>
        </w:rPr>
        <w:t>15.1  服务商</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截止时间：见服务商须知前附表。</w:t>
      </w:r>
    </w:p>
    <w:p w14:paraId="31F479D2">
      <w:pPr>
        <w:spacing w:line="440" w:lineRule="exact"/>
        <w:ind w:firstLine="360"/>
        <w:rPr>
          <w:rFonts w:hint="eastAsia" w:ascii="宋体" w:hAnsi="宋体" w:eastAsia="宋体" w:cs="宋体"/>
          <w:color w:val="auto"/>
          <w:szCs w:val="20"/>
          <w:highlight w:val="none"/>
        </w:rPr>
      </w:pPr>
      <w:r>
        <w:rPr>
          <w:rFonts w:hint="eastAsia" w:ascii="宋体" w:hAnsi="宋体" w:eastAsia="宋体" w:cs="宋体"/>
          <w:color w:val="auto"/>
          <w:szCs w:val="20"/>
          <w:highlight w:val="none"/>
        </w:rPr>
        <w:t>15.2  服务商递交磋商响应文件地点：见服务商须知前附表。</w:t>
      </w:r>
    </w:p>
    <w:p w14:paraId="0AF2440F">
      <w:pPr>
        <w:spacing w:line="440" w:lineRule="exact"/>
        <w:ind w:firstLine="360"/>
        <w:rPr>
          <w:rFonts w:hint="eastAsia" w:ascii="宋体" w:hAnsi="宋体" w:eastAsia="宋体" w:cs="宋体"/>
          <w:color w:val="auto"/>
          <w:szCs w:val="20"/>
          <w:highlight w:val="none"/>
        </w:rPr>
      </w:pPr>
      <w:r>
        <w:rPr>
          <w:rFonts w:hint="eastAsia" w:ascii="宋体" w:hAnsi="宋体" w:eastAsia="宋体" w:cs="宋体"/>
          <w:color w:val="auto"/>
          <w:szCs w:val="20"/>
          <w:highlight w:val="none"/>
        </w:rPr>
        <w:t>15.3  响应文件的解密：见服务商须知前附表。</w:t>
      </w:r>
    </w:p>
    <w:p w14:paraId="0B29B3F7">
      <w:pPr>
        <w:spacing w:line="440" w:lineRule="exact"/>
        <w:ind w:firstLine="360"/>
        <w:rPr>
          <w:rFonts w:hint="eastAsia" w:ascii="宋体" w:hAnsi="宋体" w:eastAsia="宋体" w:cs="宋体"/>
          <w:color w:val="auto"/>
          <w:szCs w:val="20"/>
          <w:highlight w:val="none"/>
        </w:rPr>
      </w:pPr>
      <w:r>
        <w:rPr>
          <w:rFonts w:hint="eastAsia" w:ascii="宋体" w:hAnsi="宋体" w:eastAsia="宋体" w:cs="宋体"/>
          <w:color w:val="auto"/>
          <w:szCs w:val="20"/>
          <w:highlight w:val="none"/>
        </w:rPr>
        <w:t>15.4 其他要求：无。</w:t>
      </w:r>
    </w:p>
    <w:p w14:paraId="59E9CD44">
      <w:pPr>
        <w:pStyle w:val="11"/>
        <w:spacing w:line="440" w:lineRule="exact"/>
        <w:jc w:val="center"/>
        <w:rPr>
          <w:rFonts w:hint="eastAsia" w:hAnsi="宋体" w:cs="宋体"/>
          <w:color w:val="auto"/>
          <w:highlight w:val="none"/>
        </w:rPr>
      </w:pPr>
    </w:p>
    <w:p w14:paraId="6FDF9708">
      <w:pPr>
        <w:pStyle w:val="9"/>
        <w:rPr>
          <w:rFonts w:hint="eastAsia" w:ascii="宋体" w:hAnsi="宋体" w:eastAsia="宋体" w:cs="宋体"/>
          <w:color w:val="auto"/>
          <w:highlight w:val="none"/>
        </w:rPr>
      </w:pPr>
    </w:p>
    <w:p w14:paraId="6FB20EEE">
      <w:pPr>
        <w:pStyle w:val="11"/>
        <w:jc w:val="center"/>
        <w:outlineLvl w:val="1"/>
        <w:rPr>
          <w:rFonts w:hint="eastAsia" w:hAnsi="宋体" w:cs="宋体"/>
          <w:b/>
          <w:color w:val="auto"/>
          <w:sz w:val="30"/>
          <w:szCs w:val="30"/>
          <w:highlight w:val="none"/>
        </w:rPr>
      </w:pPr>
      <w:bookmarkStart w:id="29" w:name="_Toc7220"/>
      <w:r>
        <w:rPr>
          <w:rFonts w:hint="eastAsia" w:hAnsi="宋体" w:cs="宋体"/>
          <w:b/>
          <w:color w:val="auto"/>
          <w:sz w:val="30"/>
          <w:szCs w:val="30"/>
          <w:highlight w:val="none"/>
        </w:rPr>
        <w:t>五    评审与磋商</w:t>
      </w:r>
      <w:bookmarkEnd w:id="29"/>
    </w:p>
    <w:p w14:paraId="1CF3B893">
      <w:pPr>
        <w:pStyle w:val="11"/>
        <w:spacing w:line="440" w:lineRule="exact"/>
        <w:rPr>
          <w:rFonts w:hint="eastAsia" w:hAnsi="宋体" w:cs="宋体"/>
          <w:bCs/>
          <w:color w:val="auto"/>
          <w:sz w:val="24"/>
          <w:highlight w:val="none"/>
        </w:rPr>
      </w:pPr>
      <w:r>
        <w:rPr>
          <w:rFonts w:hint="eastAsia" w:hAnsi="宋体" w:cs="宋体"/>
          <w:bCs/>
          <w:color w:val="auto"/>
          <w:sz w:val="24"/>
          <w:highlight w:val="none"/>
        </w:rPr>
        <w:t>16.  截标</w:t>
      </w:r>
    </w:p>
    <w:p w14:paraId="4CFC9979">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16.1  采购代理机构将在本章第15.1项规定的</w:t>
      </w:r>
      <w:r>
        <w:rPr>
          <w:rFonts w:hint="eastAsia" w:hAnsi="宋体" w:cs="宋体"/>
          <w:color w:val="auto"/>
          <w:highlight w:val="none"/>
          <w:lang w:eastAsia="zh-CN"/>
        </w:rPr>
        <w:t>磋商</w:t>
      </w:r>
      <w:r>
        <w:rPr>
          <w:rFonts w:hint="eastAsia" w:hAnsi="宋体" w:cs="宋体"/>
          <w:color w:val="auto"/>
          <w:highlight w:val="none"/>
        </w:rPr>
        <w:t>截止时间和服务商须知前附表规定的地点截标，服务商应当在响应文件提交截止时间前，将生成的电子响应文件 上传提交至“</w:t>
      </w:r>
      <w:r>
        <w:rPr>
          <w:rFonts w:hint="eastAsia" w:hAnsi="宋体" w:cs="宋体"/>
          <w:color w:val="auto"/>
          <w:spacing w:val="6"/>
          <w:kern w:val="48"/>
          <w:highlight w:val="none"/>
        </w:rPr>
        <w:t>广西政府采购云平台</w:t>
      </w:r>
      <w:r>
        <w:rPr>
          <w:rFonts w:hint="eastAsia" w:hAnsi="宋体" w:cs="宋体"/>
          <w:color w:val="auto"/>
          <w:highlight w:val="none"/>
        </w:rPr>
        <w:t>” 。响应文件提交截止时间前可以补充、修改或撤回电子响应文件 ，补充、修改电子响应文件的，应当先行撤回 原文件，补充 、修改后重新传输提交 。在响应文件提交截止时间后的响应文件有效期内，服务商不得撤回其响应文件 。响应文件提交截止时间前未成功将电子响应文件上传“</w:t>
      </w:r>
      <w:r>
        <w:rPr>
          <w:rFonts w:hint="eastAsia" w:hAnsi="宋体" w:cs="宋体"/>
          <w:color w:val="auto"/>
          <w:spacing w:val="6"/>
          <w:kern w:val="48"/>
          <w:highlight w:val="none"/>
        </w:rPr>
        <w:t>广西政府采购云平台</w:t>
      </w:r>
      <w:r>
        <w:rPr>
          <w:rFonts w:hint="eastAsia" w:hAnsi="宋体" w:cs="宋体"/>
          <w:color w:val="auto"/>
          <w:highlight w:val="none"/>
        </w:rPr>
        <w:t>”的，视为未提交响应文件。</w:t>
      </w:r>
    </w:p>
    <w:p w14:paraId="11988808">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16.2  截标后由采购人或采购代理机构对服务商进行信用查询。</w:t>
      </w:r>
    </w:p>
    <w:p w14:paraId="23A762EA">
      <w:pPr>
        <w:snapToGrid w:val="0"/>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查询渠道：“信用中国”网站(www.creditchina.gov.cn) 、中国政府采购网(www.ccgp.gov.cn)</w:t>
      </w:r>
    </w:p>
    <w:p w14:paraId="678A73D6">
      <w:pPr>
        <w:snapToGrid w:val="0"/>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查询截止时点：磋商截止时间</w:t>
      </w:r>
    </w:p>
    <w:p w14:paraId="458AC7DC">
      <w:pPr>
        <w:snapToGrid w:val="0"/>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查询记录和证据留存方式：在查询网站中直接打印查询记录，打印材料作为评审资料保存。</w:t>
      </w:r>
    </w:p>
    <w:p w14:paraId="78222B12">
      <w:pPr>
        <w:snapToGrid w:val="0"/>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服务商，将拒绝其参与政府采购活动。</w:t>
      </w:r>
    </w:p>
    <w:p w14:paraId="51DB3DCF">
      <w:pPr>
        <w:snapToGrid w:val="0"/>
        <w:spacing w:line="440" w:lineRule="exact"/>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两个以上的自然人、法人或者其他组织组成一个联合体，以一个服务商的身份共同参加政府采购活动的，应当对所有联合体成员进行信用记录查询，联合体成员存在不良信用记录的，视同联合体存在不良信用记录。</w:t>
      </w:r>
    </w:p>
    <w:p w14:paraId="62DF1A2B">
      <w:pPr>
        <w:pStyle w:val="11"/>
        <w:spacing w:line="440" w:lineRule="exact"/>
        <w:rPr>
          <w:rFonts w:hint="eastAsia" w:hAnsi="宋体" w:cs="宋体"/>
          <w:bCs/>
          <w:color w:val="auto"/>
          <w:sz w:val="24"/>
          <w:highlight w:val="none"/>
        </w:rPr>
      </w:pPr>
      <w:r>
        <w:rPr>
          <w:rFonts w:hint="eastAsia" w:hAnsi="宋体" w:cs="宋体"/>
          <w:bCs/>
          <w:color w:val="auto"/>
          <w:sz w:val="24"/>
          <w:highlight w:val="none"/>
        </w:rPr>
        <w:t>17.  评审与磋商</w:t>
      </w:r>
    </w:p>
    <w:p w14:paraId="23FBDA03">
      <w:pPr>
        <w:pStyle w:val="11"/>
        <w:spacing w:line="440" w:lineRule="exact"/>
        <w:ind w:firstLine="360"/>
        <w:rPr>
          <w:rFonts w:hint="eastAsia" w:hAnsi="宋体" w:cs="宋体"/>
          <w:color w:val="auto"/>
          <w:highlight w:val="none"/>
        </w:rPr>
      </w:pPr>
      <w:r>
        <w:rPr>
          <w:rFonts w:hint="eastAsia" w:hAnsi="宋体" w:cs="宋体"/>
          <w:color w:val="auto"/>
          <w:highlight w:val="none"/>
        </w:rPr>
        <w:t>17.1  磋商小组：评审与磋商活动由依法组建的磋商小组负责。磋商小组由采购人代表和有关技术、经济等方面的专家组成。采购人或采购代理机构根据本项目的特点，从财政部门设立的政府采购评审专家库及采购人依法推荐专家中，通过随机方式抽取专家。</w:t>
      </w:r>
    </w:p>
    <w:p w14:paraId="0FE75845">
      <w:pPr>
        <w:pStyle w:val="11"/>
        <w:spacing w:line="440" w:lineRule="exact"/>
        <w:ind w:firstLine="360"/>
        <w:rPr>
          <w:rFonts w:hint="eastAsia" w:hAnsi="宋体" w:cs="宋体"/>
          <w:color w:val="auto"/>
          <w:highlight w:val="none"/>
        </w:rPr>
      </w:pPr>
      <w:r>
        <w:rPr>
          <w:rFonts w:hint="eastAsia" w:hAnsi="宋体" w:cs="宋体"/>
          <w:color w:val="auto"/>
          <w:highlight w:val="none"/>
        </w:rPr>
        <w:t>17.2  评审原则：评审活动遵循公平、公正、科学和择优的原则。</w:t>
      </w:r>
    </w:p>
    <w:p w14:paraId="393204DE">
      <w:pPr>
        <w:pStyle w:val="11"/>
        <w:spacing w:line="440" w:lineRule="exact"/>
        <w:ind w:firstLine="360"/>
        <w:rPr>
          <w:rFonts w:hint="eastAsia" w:hAnsi="宋体" w:cs="宋体"/>
          <w:color w:val="auto"/>
          <w:highlight w:val="none"/>
        </w:rPr>
      </w:pPr>
      <w:r>
        <w:rPr>
          <w:rFonts w:hint="eastAsia" w:hAnsi="宋体" w:cs="宋体"/>
          <w:color w:val="auto"/>
          <w:highlight w:val="none"/>
        </w:rPr>
        <w:t>17.3  评审方法：磋商小组按照服务商须知前附表和第三章“评审方法”规定的方法、评审因素和标准对磋商响应文件进行评审。在评审中，不得改变第三章“评审办法”规定的方法、评审因素和标准；第三章“评审办法”没有规定的方法、评审因素和标准，不作为评审依据。</w:t>
      </w:r>
    </w:p>
    <w:p w14:paraId="4EF17C29">
      <w:pPr>
        <w:pStyle w:val="11"/>
        <w:spacing w:line="440" w:lineRule="exact"/>
        <w:ind w:firstLine="360"/>
        <w:rPr>
          <w:rFonts w:hint="eastAsia" w:hAnsi="宋体" w:cs="宋体"/>
          <w:bCs/>
          <w:color w:val="auto"/>
          <w:highlight w:val="none"/>
        </w:rPr>
      </w:pPr>
      <w:r>
        <w:rPr>
          <w:rFonts w:hint="eastAsia" w:hAnsi="宋体" w:cs="宋体"/>
          <w:color w:val="auto"/>
          <w:highlight w:val="none"/>
        </w:rPr>
        <w:t xml:space="preserve">17.4  </w:t>
      </w:r>
      <w:r>
        <w:rPr>
          <w:rFonts w:hint="eastAsia" w:hAnsi="宋体" w:cs="宋体"/>
          <w:bCs/>
          <w:color w:val="auto"/>
          <w:highlight w:val="none"/>
        </w:rPr>
        <w:t>评审程序：</w:t>
      </w:r>
    </w:p>
    <w:p w14:paraId="2134FDA0">
      <w:pPr>
        <w:pStyle w:val="11"/>
        <w:spacing w:line="440" w:lineRule="exact"/>
        <w:ind w:firstLine="360"/>
        <w:rPr>
          <w:rFonts w:hint="eastAsia" w:hAnsi="宋体" w:cs="宋体"/>
          <w:bCs/>
          <w:color w:val="auto"/>
          <w:highlight w:val="none"/>
        </w:rPr>
      </w:pPr>
      <w:r>
        <w:rPr>
          <w:rFonts w:hint="eastAsia" w:hAnsi="宋体" w:cs="宋体"/>
          <w:bCs/>
          <w:color w:val="auto"/>
          <w:highlight w:val="none"/>
        </w:rPr>
        <w:t>17.4.1  采购代理机构项目负责人宣读评审现场纪律要求，集中管理通讯工具，询问在场人员是否申请回避；</w:t>
      </w:r>
    </w:p>
    <w:p w14:paraId="08F2969B">
      <w:pPr>
        <w:pStyle w:val="11"/>
        <w:spacing w:line="440" w:lineRule="exact"/>
        <w:ind w:firstLine="360"/>
        <w:rPr>
          <w:rFonts w:hint="eastAsia" w:hAnsi="宋体" w:cs="宋体"/>
          <w:bCs/>
          <w:color w:val="auto"/>
          <w:highlight w:val="none"/>
        </w:rPr>
      </w:pPr>
      <w:r>
        <w:rPr>
          <w:rFonts w:hint="eastAsia" w:hAnsi="宋体" w:cs="宋体"/>
          <w:bCs/>
          <w:color w:val="auto"/>
          <w:highlight w:val="none"/>
        </w:rPr>
        <w:t>17.4.2  采购代理机构项目负责人介绍项目概况及磋商小组组成情况（但不得发表影响评审的倾向性、歧视性言论），推选磋商小组组长（原则上采购人不得担任磋商小组组长）；磋商小组在磋商响应文件拆封前对磋商响应文件做密封性检查，并签字确认；</w:t>
      </w:r>
    </w:p>
    <w:p w14:paraId="5D88639E">
      <w:pPr>
        <w:pStyle w:val="11"/>
        <w:spacing w:line="440" w:lineRule="exact"/>
        <w:ind w:firstLine="360"/>
        <w:rPr>
          <w:rFonts w:hint="eastAsia" w:hAnsi="宋体" w:cs="宋体"/>
          <w:bCs/>
          <w:color w:val="auto"/>
          <w:highlight w:val="none"/>
        </w:rPr>
      </w:pPr>
      <w:r>
        <w:rPr>
          <w:rFonts w:hint="eastAsia" w:hAnsi="宋体" w:cs="宋体"/>
          <w:bCs/>
          <w:color w:val="auto"/>
          <w:highlight w:val="none"/>
        </w:rPr>
        <w:t>17.4.3  磋商小组按分工开展评审工作：</w:t>
      </w:r>
    </w:p>
    <w:p w14:paraId="54627DC9">
      <w:pPr>
        <w:pStyle w:val="11"/>
        <w:spacing w:line="440" w:lineRule="exact"/>
        <w:ind w:firstLine="720"/>
        <w:rPr>
          <w:rFonts w:hint="eastAsia" w:hAnsi="宋体" w:cs="宋体"/>
          <w:color w:val="auto"/>
          <w:highlight w:val="none"/>
        </w:rPr>
      </w:pPr>
      <w:r>
        <w:rPr>
          <w:rFonts w:hint="eastAsia" w:hAnsi="宋体" w:cs="宋体"/>
          <w:color w:val="auto"/>
          <w:highlight w:val="none"/>
        </w:rPr>
        <w:t>（1）磋商响应文件初审。初审分为资格性检查和符合性检查。</w:t>
      </w:r>
    </w:p>
    <w:p w14:paraId="61807C9B">
      <w:pPr>
        <w:pStyle w:val="11"/>
        <w:spacing w:line="440" w:lineRule="exact"/>
        <w:ind w:firstLine="720"/>
        <w:rPr>
          <w:rFonts w:hint="eastAsia" w:hAnsi="宋体" w:cs="宋体"/>
          <w:color w:val="auto"/>
          <w:highlight w:val="none"/>
        </w:rPr>
      </w:pPr>
      <w:r>
        <w:rPr>
          <w:rFonts w:hint="eastAsia" w:hAnsi="宋体" w:cs="宋体"/>
          <w:color w:val="auto"/>
          <w:highlight w:val="none"/>
        </w:rPr>
        <w:t>资格性检查：依据法律法规和采购文件的规定，对磋商响应文件中的资格证明等进行审查，以确定磋商服务商是否具备磋商资格。</w:t>
      </w:r>
    </w:p>
    <w:p w14:paraId="1939386D">
      <w:pPr>
        <w:pStyle w:val="11"/>
        <w:spacing w:line="440" w:lineRule="exact"/>
        <w:ind w:firstLine="720"/>
        <w:rPr>
          <w:rFonts w:hint="eastAsia" w:hAnsi="宋体" w:cs="宋体"/>
          <w:color w:val="auto"/>
          <w:highlight w:val="none"/>
        </w:rPr>
      </w:pPr>
      <w:r>
        <w:rPr>
          <w:rFonts w:hint="eastAsia" w:hAnsi="宋体" w:cs="宋体"/>
          <w:color w:val="auto"/>
          <w:highlight w:val="none"/>
        </w:rPr>
        <w:t>符合性检查：依据采购文件的规定，从磋商响应文件的有效性、完整性和对采购文件的响应程度进行审查，以确定是否对采购文件的实质性要求和条件作出响应。</w:t>
      </w:r>
    </w:p>
    <w:p w14:paraId="43367993">
      <w:pPr>
        <w:pStyle w:val="11"/>
        <w:spacing w:line="440" w:lineRule="exact"/>
        <w:ind w:firstLine="718" w:firstLineChars="342"/>
        <w:rPr>
          <w:rFonts w:hint="eastAsia" w:hAnsi="宋体" w:cs="宋体"/>
          <w:color w:val="auto"/>
          <w:szCs w:val="22"/>
          <w:highlight w:val="none"/>
        </w:rPr>
      </w:pPr>
      <w:r>
        <w:rPr>
          <w:rFonts w:hint="eastAsia" w:hAnsi="宋体" w:cs="宋体"/>
          <w:bCs/>
          <w:color w:val="auto"/>
          <w:highlight w:val="none"/>
        </w:rPr>
        <w:t>★（1）</w:t>
      </w:r>
      <w:r>
        <w:rPr>
          <w:rFonts w:hint="eastAsia" w:hAnsi="宋体" w:cs="宋体"/>
          <w:color w:val="auto"/>
          <w:highlight w:val="none"/>
        </w:rPr>
        <w:t>有</w:t>
      </w:r>
      <w:r>
        <w:rPr>
          <w:rFonts w:hint="eastAsia" w:hAnsi="宋体" w:cs="宋体"/>
          <w:color w:val="auto"/>
          <w:szCs w:val="22"/>
          <w:highlight w:val="none"/>
        </w:rPr>
        <w:t>下列情形之一的视为服务商相互串通</w:t>
      </w:r>
      <w:r>
        <w:rPr>
          <w:rFonts w:hint="eastAsia" w:hAnsi="宋体" w:cs="宋体"/>
          <w:color w:val="auto"/>
          <w:szCs w:val="22"/>
          <w:highlight w:val="none"/>
          <w:lang w:eastAsia="zh-CN"/>
        </w:rPr>
        <w:t>磋商</w:t>
      </w:r>
      <w:r>
        <w:rPr>
          <w:rFonts w:hint="eastAsia" w:hAnsi="宋体" w:cs="宋体"/>
          <w:color w:val="auto"/>
          <w:szCs w:val="22"/>
          <w:highlight w:val="none"/>
        </w:rPr>
        <w:t>，</w:t>
      </w:r>
      <w:r>
        <w:rPr>
          <w:rFonts w:hint="eastAsia" w:hAnsi="宋体" w:cs="宋体"/>
          <w:color w:val="auto"/>
          <w:szCs w:val="22"/>
          <w:highlight w:val="none"/>
          <w:lang w:eastAsia="zh-CN"/>
        </w:rPr>
        <w:t>磋商</w:t>
      </w:r>
      <w:r>
        <w:rPr>
          <w:rFonts w:hint="eastAsia" w:hAnsi="宋体" w:cs="宋体"/>
          <w:color w:val="auto"/>
          <w:szCs w:val="22"/>
          <w:highlight w:val="none"/>
        </w:rPr>
        <w:t>文件将被视为无效。</w:t>
      </w:r>
    </w:p>
    <w:p w14:paraId="1BE2DD4A">
      <w:pPr>
        <w:widowControl/>
        <w:spacing w:line="440" w:lineRule="exact"/>
        <w:ind w:firstLine="640"/>
        <w:jc w:val="left"/>
        <w:rPr>
          <w:rFonts w:hint="eastAsia" w:ascii="宋体" w:hAnsi="宋体" w:eastAsia="宋体" w:cs="宋体"/>
          <w:color w:val="auto"/>
          <w:szCs w:val="22"/>
          <w:highlight w:val="none"/>
        </w:rPr>
      </w:pPr>
      <w:r>
        <w:rPr>
          <w:rFonts w:hint="eastAsia" w:ascii="宋体" w:hAnsi="宋体" w:eastAsia="宋体" w:cs="宋体"/>
          <w:color w:val="auto"/>
          <w:highlight w:val="none"/>
        </w:rPr>
        <w:t>①不同服务商的</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文件由同一单位或者个人编制；</w:t>
      </w:r>
    </w:p>
    <w:p w14:paraId="69500E09">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②不同服务商委托同一单位或者个人办理</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事宜；</w:t>
      </w:r>
    </w:p>
    <w:p w14:paraId="3F376B47">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③不同的服务商的</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文件载明的项目管理员为同一个人；</w:t>
      </w:r>
    </w:p>
    <w:p w14:paraId="4C1B4DDF">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④不同服务商的</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文件异常一致或</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报价呈规律性差异；</w:t>
      </w:r>
    </w:p>
    <w:p w14:paraId="4E873E00">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⑤不同服务商的</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文件相互混装；</w:t>
      </w:r>
    </w:p>
    <w:p w14:paraId="3562659C">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关联服务商不得参加同一合同项下政府采购活动，否则</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文件将被视为无效</w:t>
      </w:r>
    </w:p>
    <w:p w14:paraId="1AE0E2D2">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①单位负责人为同一人或者存在直接控股、管理关系的不同的服务商，不得参加同一合同项下的政府采购活动；</w:t>
      </w:r>
    </w:p>
    <w:p w14:paraId="406A6144">
      <w:pPr>
        <w:widowControl/>
        <w:spacing w:line="440" w:lineRule="exact"/>
        <w:ind w:firstLine="640"/>
        <w:jc w:val="left"/>
        <w:rPr>
          <w:rFonts w:hint="eastAsia" w:ascii="宋体" w:hAnsi="宋体" w:eastAsia="宋体" w:cs="宋体"/>
          <w:color w:val="auto"/>
          <w:highlight w:val="none"/>
        </w:rPr>
      </w:pPr>
      <w:r>
        <w:rPr>
          <w:rFonts w:hint="eastAsia" w:ascii="宋体" w:hAnsi="宋体" w:eastAsia="宋体" w:cs="宋体"/>
          <w:color w:val="auto"/>
          <w:highlight w:val="none"/>
        </w:rPr>
        <w:t>②生产厂商授权给服务商后自己不得参加同一合同项下的政府采购活动；生产厂商对同一品牌同一型号的货物，仅能委托一个代理商参加</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w:t>
      </w:r>
    </w:p>
    <w:p w14:paraId="4C223269">
      <w:pPr>
        <w:pStyle w:val="11"/>
        <w:spacing w:line="440" w:lineRule="exact"/>
        <w:ind w:firstLine="720"/>
        <w:rPr>
          <w:rFonts w:hint="eastAsia" w:hAnsi="宋体" w:cs="宋体"/>
          <w:color w:val="auto"/>
          <w:highlight w:val="none"/>
        </w:rPr>
      </w:pPr>
      <w:r>
        <w:rPr>
          <w:rFonts w:hint="eastAsia" w:hAnsi="宋体" w:cs="宋体"/>
          <w:color w:val="auto"/>
          <w:highlight w:val="none"/>
        </w:rPr>
        <w:t>（2）澄清有关问题。对磋商响应文件中含义不明确、同类问题表述不一致或者有明显文字和计算错误的内容，磋商小组可以书面形式（应当由磋商小组专家签字）要求服务商作出必要的澄清、说明或者纠正。服务商的澄清、说明或者纠正应当采用书面形式，由法定代表人或其委托代理人签字或盖章确认，且不得超出磋商响应文件的范围或者改变磋商响应文件的实质性内容。该澄清、说明或者纠正是磋商响应文件的组成部分。</w:t>
      </w:r>
    </w:p>
    <w:p w14:paraId="56F4D5A3">
      <w:pPr>
        <w:pStyle w:val="11"/>
        <w:spacing w:line="440" w:lineRule="exact"/>
        <w:ind w:firstLine="720"/>
        <w:rPr>
          <w:rFonts w:hint="eastAsia" w:hAnsi="宋体" w:cs="宋体"/>
          <w:color w:val="auto"/>
          <w:szCs w:val="21"/>
          <w:highlight w:val="none"/>
        </w:rPr>
      </w:pPr>
      <w:r>
        <w:rPr>
          <w:rFonts w:hint="eastAsia" w:hAnsi="宋体" w:cs="宋体"/>
          <w:color w:val="auto"/>
          <w:highlight w:val="none"/>
        </w:rPr>
        <w:t>（3）磋商文件修正。</w:t>
      </w:r>
      <w:r>
        <w:rPr>
          <w:rFonts w:hint="eastAsia" w:hAnsi="宋体" w:cs="宋体"/>
          <w:color w:val="auto"/>
          <w:szCs w:val="21"/>
          <w:highlight w:val="none"/>
        </w:rPr>
        <w:t>磋商小组根据与服务商磋商情况可能实质性变动的内容包括采购需求中的技术、服务要求。实质性变动的内容，须经采购人代表确认。对磋商文件作出的实质性变动是磋商文件的有效组成部分，磋商小组应当及时以书面形式同时通知所有参加磋商的服务商。服务商应当按照磋商文件的变动情况和磋商小组的要求重新提交响应文件，并由其法定代表人或授权代表签字或者加盖公章。由授权代表签字的，应当附法定代表人授权书。逾时不交的，视同放弃磋商。修正文件与响应文件同具法律效力。</w:t>
      </w:r>
    </w:p>
    <w:p w14:paraId="09B4B2D9">
      <w:pPr>
        <w:pStyle w:val="11"/>
        <w:spacing w:line="440" w:lineRule="exact"/>
        <w:ind w:firstLine="720"/>
        <w:rPr>
          <w:rFonts w:hint="eastAsia" w:hAnsi="宋体" w:cs="宋体"/>
          <w:color w:val="auto"/>
          <w:szCs w:val="21"/>
          <w:highlight w:val="none"/>
        </w:rPr>
      </w:pPr>
      <w:r>
        <w:rPr>
          <w:rFonts w:hint="eastAsia" w:hAnsi="宋体" w:cs="宋体"/>
          <w:color w:val="auto"/>
          <w:highlight w:val="none"/>
        </w:rPr>
        <w:t>（4）</w:t>
      </w:r>
      <w:r>
        <w:rPr>
          <w:rFonts w:hint="eastAsia" w:hAnsi="宋体" w:cs="宋体"/>
          <w:color w:val="auto"/>
          <w:szCs w:val="21"/>
          <w:highlight w:val="none"/>
        </w:rPr>
        <w:t>最后报价</w:t>
      </w:r>
      <w:r>
        <w:rPr>
          <w:rFonts w:hint="eastAsia" w:hAnsi="宋体" w:cs="宋体"/>
          <w:color w:val="auto"/>
          <w:highlight w:val="none"/>
        </w:rPr>
        <w:t>。</w:t>
      </w:r>
      <w:r>
        <w:rPr>
          <w:rFonts w:hint="eastAsia" w:hAnsi="宋体" w:cs="宋体"/>
          <w:color w:val="auto"/>
          <w:szCs w:val="21"/>
          <w:highlight w:val="none"/>
        </w:rPr>
        <w:t>磋商小组只要求商务评审和技术（服务）评审合格的磋商服务商在规定的时间内进行最后报价，密封递交磋商小组。最后提交报价的服务商不少于二家。</w:t>
      </w:r>
    </w:p>
    <w:p w14:paraId="743DE022">
      <w:pPr>
        <w:pStyle w:val="11"/>
        <w:spacing w:line="440" w:lineRule="exact"/>
        <w:ind w:firstLine="720"/>
        <w:rPr>
          <w:rFonts w:hint="eastAsia" w:hAnsi="宋体" w:cs="宋体"/>
          <w:color w:val="auto"/>
          <w:highlight w:val="none"/>
        </w:rPr>
      </w:pPr>
      <w:r>
        <w:rPr>
          <w:rFonts w:hint="eastAsia" w:hAnsi="宋体" w:cs="宋体"/>
          <w:color w:val="auto"/>
          <w:szCs w:val="21"/>
          <w:highlight w:val="none"/>
        </w:rPr>
        <w:t>（5）</w:t>
      </w:r>
      <w:r>
        <w:rPr>
          <w:rFonts w:hint="eastAsia" w:hAnsi="宋体" w:cs="宋体"/>
          <w:color w:val="auto"/>
          <w:highlight w:val="none"/>
        </w:rPr>
        <w:t>比较与评价。按采购文件中规定的评审方法和标准，对资格性检查和符合性检查合格的</w:t>
      </w:r>
      <w:r>
        <w:rPr>
          <w:rFonts w:hint="eastAsia" w:hAnsi="宋体" w:cs="宋体"/>
          <w:color w:val="auto"/>
          <w:highlight w:val="none"/>
          <w:lang w:eastAsia="zh-CN"/>
        </w:rPr>
        <w:t>磋商</w:t>
      </w:r>
      <w:r>
        <w:rPr>
          <w:rFonts w:hint="eastAsia" w:hAnsi="宋体" w:cs="宋体"/>
          <w:color w:val="auto"/>
          <w:highlight w:val="none"/>
        </w:rPr>
        <w:t>文件进行商务和技术评估，综合比较与评价。</w:t>
      </w:r>
    </w:p>
    <w:p w14:paraId="04CC6620">
      <w:pPr>
        <w:pStyle w:val="11"/>
        <w:spacing w:line="440" w:lineRule="exact"/>
        <w:ind w:firstLine="720"/>
        <w:rPr>
          <w:rFonts w:hint="eastAsia" w:hAnsi="宋体" w:cs="宋体"/>
          <w:color w:val="auto"/>
          <w:highlight w:val="none"/>
        </w:rPr>
      </w:pPr>
      <w:r>
        <w:rPr>
          <w:rFonts w:hint="eastAsia" w:hAnsi="宋体" w:cs="宋体"/>
          <w:color w:val="auto"/>
          <w:highlight w:val="none"/>
        </w:rPr>
        <w:t>（6）编写评审报告，并确定成交服务商名单</w:t>
      </w:r>
    </w:p>
    <w:p w14:paraId="30769126">
      <w:pPr>
        <w:pStyle w:val="11"/>
        <w:spacing w:line="440" w:lineRule="exact"/>
        <w:ind w:firstLine="360"/>
        <w:rPr>
          <w:rFonts w:hint="eastAsia" w:hAnsi="宋体" w:cs="宋体"/>
          <w:bCs/>
          <w:color w:val="auto"/>
          <w:highlight w:val="none"/>
        </w:rPr>
      </w:pPr>
      <w:r>
        <w:rPr>
          <w:rFonts w:hint="eastAsia" w:hAnsi="宋体" w:cs="宋体"/>
          <w:color w:val="auto"/>
          <w:highlight w:val="none"/>
        </w:rPr>
        <w:t>17.4.4  整个现场评审过程中，采购代理机构应严格按照采购文件既定的程序组织评委评审，针对评委作出的评分、评审结论现场认真进行核对和复核，如有错漏，应及时请当事评委进行校正。</w:t>
      </w:r>
    </w:p>
    <w:p w14:paraId="4FAB2922">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 xml:space="preserve">17.5  </w:t>
      </w:r>
      <w:r>
        <w:rPr>
          <w:rFonts w:hint="eastAsia" w:hAnsi="宋体" w:cs="宋体"/>
          <w:color w:val="auto"/>
          <w:szCs w:val="21"/>
          <w:highlight w:val="none"/>
        </w:rPr>
        <w:t>响应服务商的最后报价均超过了政府采购预算，采购人不能支付的，磋商活动终止；终止后，采购人需要采取调整采购预算或项目配置标准等，或采取其他采购方式的，应当在采购活动开始前获得财政部门批准。</w:t>
      </w:r>
    </w:p>
    <w:p w14:paraId="7455DE61">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17.6  评审过程的保密。</w:t>
      </w:r>
      <w:r>
        <w:rPr>
          <w:rFonts w:hint="eastAsia" w:hAnsi="宋体" w:cs="宋体"/>
          <w:color w:val="auto"/>
          <w:szCs w:val="21"/>
          <w:highlight w:val="none"/>
        </w:rPr>
        <w:t>磋商小组所有成员集中与单一服务商分别进行磋商。</w:t>
      </w:r>
      <w:r>
        <w:rPr>
          <w:rFonts w:hint="eastAsia" w:hAnsi="宋体" w:cs="宋体"/>
          <w:color w:val="auto"/>
          <w:highlight w:val="none"/>
        </w:rPr>
        <w:t>磋商小组成员和参与评审的有关工作人员不得透露对磋商响应文件的评审和比较、成交候选人的推荐情况以及与评审有关的其他情况。</w:t>
      </w:r>
    </w:p>
    <w:p w14:paraId="1D41380F">
      <w:pPr>
        <w:pStyle w:val="11"/>
        <w:spacing w:line="440" w:lineRule="exact"/>
        <w:rPr>
          <w:rFonts w:hint="eastAsia" w:hAnsi="宋体" w:cs="宋体"/>
          <w:bCs/>
          <w:color w:val="auto"/>
          <w:sz w:val="24"/>
          <w:highlight w:val="none"/>
        </w:rPr>
      </w:pPr>
      <w:r>
        <w:rPr>
          <w:rFonts w:hint="eastAsia" w:hAnsi="宋体" w:cs="宋体"/>
          <w:bCs/>
          <w:color w:val="auto"/>
          <w:sz w:val="24"/>
          <w:highlight w:val="none"/>
        </w:rPr>
        <w:t>18.  磋商响应文件的修正</w:t>
      </w:r>
    </w:p>
    <w:p w14:paraId="6A1064FF">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18.1  如果出现计算或表达上的错误，修正的原则如下：</w:t>
      </w:r>
    </w:p>
    <w:p w14:paraId="11FF8AC4">
      <w:pPr>
        <w:pStyle w:val="11"/>
        <w:spacing w:line="440" w:lineRule="exact"/>
        <w:ind w:firstLine="720"/>
        <w:rPr>
          <w:rFonts w:hint="eastAsia" w:hAnsi="宋体" w:cs="宋体"/>
          <w:bCs/>
          <w:color w:val="auto"/>
          <w:sz w:val="24"/>
          <w:highlight w:val="none"/>
        </w:rPr>
      </w:pPr>
      <w:r>
        <w:rPr>
          <w:rFonts w:hint="eastAsia" w:hAnsi="宋体" w:cs="宋体"/>
          <w:color w:val="auto"/>
          <w:highlight w:val="none"/>
        </w:rPr>
        <w:t>（1）磋商响应文件中磋商函内容与磋商报价表中明细表内容不一致的，以磋商函为准；</w:t>
      </w:r>
    </w:p>
    <w:p w14:paraId="137B4BE9">
      <w:pPr>
        <w:pStyle w:val="11"/>
        <w:spacing w:line="440" w:lineRule="exact"/>
        <w:ind w:firstLine="720"/>
        <w:rPr>
          <w:rFonts w:hint="eastAsia" w:hAnsi="宋体" w:cs="宋体"/>
          <w:bCs/>
          <w:color w:val="auto"/>
          <w:sz w:val="24"/>
          <w:highlight w:val="none"/>
        </w:rPr>
      </w:pPr>
      <w:r>
        <w:rPr>
          <w:rFonts w:hint="eastAsia" w:hAnsi="宋体" w:cs="宋体"/>
          <w:color w:val="auto"/>
          <w:highlight w:val="none"/>
        </w:rPr>
        <w:t>（2）磋商响应文件的大写金额和小写金额不一致的，以大写金额为准；</w:t>
      </w:r>
    </w:p>
    <w:p w14:paraId="7C1BE0CA">
      <w:pPr>
        <w:pStyle w:val="11"/>
        <w:spacing w:line="440" w:lineRule="exact"/>
        <w:ind w:firstLine="720"/>
        <w:rPr>
          <w:rFonts w:hint="eastAsia" w:hAnsi="宋体" w:cs="宋体"/>
          <w:bCs/>
          <w:color w:val="auto"/>
          <w:sz w:val="24"/>
          <w:highlight w:val="none"/>
        </w:rPr>
      </w:pPr>
      <w:r>
        <w:rPr>
          <w:rFonts w:hint="eastAsia" w:hAnsi="宋体" w:cs="宋体"/>
          <w:color w:val="auto"/>
          <w:highlight w:val="none"/>
        </w:rPr>
        <w:t>（3）总价金额与按单价汇总金额不一致的，以单价金额计算结果为准；</w:t>
      </w:r>
    </w:p>
    <w:p w14:paraId="548B9998">
      <w:pPr>
        <w:pStyle w:val="11"/>
        <w:spacing w:line="440" w:lineRule="exact"/>
        <w:ind w:firstLine="720"/>
        <w:rPr>
          <w:rFonts w:hint="eastAsia" w:hAnsi="宋体" w:cs="宋体"/>
          <w:bCs/>
          <w:color w:val="auto"/>
          <w:sz w:val="24"/>
          <w:highlight w:val="none"/>
        </w:rPr>
      </w:pPr>
      <w:r>
        <w:rPr>
          <w:rFonts w:hint="eastAsia" w:hAnsi="宋体" w:cs="宋体"/>
          <w:color w:val="auto"/>
          <w:highlight w:val="none"/>
        </w:rPr>
        <w:t>（4）单价金额小数点有明显错位的，应以总价为准，并修改单价。</w:t>
      </w:r>
    </w:p>
    <w:p w14:paraId="0A9051EF">
      <w:pPr>
        <w:pStyle w:val="11"/>
        <w:spacing w:line="440" w:lineRule="exact"/>
        <w:ind w:firstLine="360"/>
        <w:rPr>
          <w:rFonts w:hint="eastAsia" w:hAnsi="宋体" w:cs="宋体"/>
          <w:color w:val="auto"/>
          <w:highlight w:val="none"/>
        </w:rPr>
      </w:pPr>
      <w:r>
        <w:rPr>
          <w:rFonts w:hint="eastAsia" w:hAnsi="宋体" w:cs="宋体"/>
          <w:color w:val="auto"/>
          <w:highlight w:val="none"/>
        </w:rPr>
        <w:t>18.2  按上述修正原则修正后的</w:t>
      </w:r>
      <w:r>
        <w:rPr>
          <w:rFonts w:hint="eastAsia" w:hAnsi="宋体" w:cs="宋体"/>
          <w:color w:val="auto"/>
          <w:highlight w:val="none"/>
          <w:lang w:eastAsia="zh-CN"/>
        </w:rPr>
        <w:t>磋商</w:t>
      </w:r>
      <w:r>
        <w:rPr>
          <w:rFonts w:hint="eastAsia" w:hAnsi="宋体" w:cs="宋体"/>
          <w:color w:val="auto"/>
          <w:highlight w:val="none"/>
        </w:rPr>
        <w:t>报价经服务商书面确认后对服务商具有约束力。，服务商不确认的，其</w:t>
      </w:r>
      <w:r>
        <w:rPr>
          <w:rFonts w:hint="eastAsia" w:hAnsi="宋体" w:cs="宋体"/>
          <w:color w:val="auto"/>
          <w:highlight w:val="none"/>
          <w:lang w:eastAsia="zh-CN"/>
        </w:rPr>
        <w:t>磋商</w:t>
      </w:r>
      <w:r>
        <w:rPr>
          <w:rFonts w:hint="eastAsia" w:hAnsi="宋体" w:cs="宋体"/>
          <w:color w:val="auto"/>
          <w:highlight w:val="none"/>
        </w:rPr>
        <w:t>无效。</w:t>
      </w:r>
    </w:p>
    <w:p w14:paraId="5DA3FF03">
      <w:pPr>
        <w:pStyle w:val="11"/>
        <w:spacing w:line="440" w:lineRule="exact"/>
        <w:rPr>
          <w:rFonts w:hint="eastAsia" w:hAnsi="宋体" w:cs="宋体"/>
          <w:b/>
          <w:bCs/>
          <w:color w:val="auto"/>
          <w:sz w:val="24"/>
          <w:highlight w:val="none"/>
        </w:rPr>
      </w:pPr>
      <w:r>
        <w:rPr>
          <w:rFonts w:hint="eastAsia" w:hAnsi="宋体" w:cs="宋体"/>
          <w:b/>
          <w:bCs/>
          <w:color w:val="auto"/>
          <w:sz w:val="24"/>
          <w:highlight w:val="none"/>
        </w:rPr>
        <w:t>19.  拒绝接收</w:t>
      </w:r>
    </w:p>
    <w:p w14:paraId="777AF0FA">
      <w:pPr>
        <w:pStyle w:val="11"/>
        <w:spacing w:line="440" w:lineRule="exact"/>
        <w:ind w:firstLine="720"/>
        <w:rPr>
          <w:rFonts w:hint="eastAsia" w:hAnsi="宋体" w:cs="宋体"/>
          <w:color w:val="auto"/>
          <w:highlight w:val="none"/>
        </w:rPr>
      </w:pPr>
      <w:r>
        <w:rPr>
          <w:rFonts w:hint="eastAsia" w:hAnsi="宋体" w:cs="宋体"/>
          <w:color w:val="auto"/>
          <w:highlight w:val="none"/>
        </w:rPr>
        <w:t>19.1  服务商未在本章第15.1项规定的时间之前将磋商响应文件送达至本章第15.2项指定地点的，采购代理机构应当拒绝接收该服务商的磋商响应文件。</w:t>
      </w:r>
    </w:p>
    <w:p w14:paraId="427B8D53">
      <w:pPr>
        <w:pStyle w:val="11"/>
        <w:spacing w:line="440" w:lineRule="exact"/>
        <w:ind w:firstLine="720"/>
        <w:rPr>
          <w:rFonts w:hint="eastAsia" w:hAnsi="宋体" w:cs="宋体"/>
          <w:color w:val="auto"/>
          <w:highlight w:val="none"/>
        </w:rPr>
      </w:pPr>
      <w:r>
        <w:rPr>
          <w:rFonts w:hint="eastAsia" w:hAnsi="宋体" w:cs="宋体"/>
          <w:color w:val="auto"/>
          <w:highlight w:val="none"/>
        </w:rPr>
        <w:t>19.2  服务商未在本章第15.3项规定的时间之前将</w:t>
      </w:r>
      <w:r>
        <w:rPr>
          <w:rFonts w:hint="eastAsia" w:hAnsi="宋体" w:cs="宋体"/>
          <w:color w:val="auto"/>
          <w:highlight w:val="none"/>
          <w:lang w:eastAsia="zh-CN"/>
        </w:rPr>
        <w:t>磋商</w:t>
      </w:r>
      <w:r>
        <w:rPr>
          <w:rFonts w:hint="eastAsia" w:hAnsi="宋体" w:cs="宋体"/>
          <w:color w:val="auto"/>
          <w:highlight w:val="none"/>
        </w:rPr>
        <w:t>样品送达至本章第15.4项指定地点的，采购代理机构应当拒绝接收该服务商的</w:t>
      </w:r>
      <w:r>
        <w:rPr>
          <w:rFonts w:hint="eastAsia" w:hAnsi="宋体" w:cs="宋体"/>
          <w:color w:val="auto"/>
          <w:highlight w:val="none"/>
          <w:lang w:eastAsia="zh-CN"/>
        </w:rPr>
        <w:t>磋商</w:t>
      </w:r>
      <w:r>
        <w:rPr>
          <w:rFonts w:hint="eastAsia" w:hAnsi="宋体" w:cs="宋体"/>
          <w:color w:val="auto"/>
          <w:highlight w:val="none"/>
        </w:rPr>
        <w:t>样品。</w:t>
      </w:r>
    </w:p>
    <w:p w14:paraId="18E96F37">
      <w:pPr>
        <w:pStyle w:val="11"/>
        <w:spacing w:line="440" w:lineRule="exact"/>
        <w:rPr>
          <w:rFonts w:hint="eastAsia" w:hAnsi="宋体" w:eastAsia="宋体" w:cs="宋体"/>
          <w:b/>
          <w:bCs/>
          <w:color w:val="auto"/>
          <w:sz w:val="24"/>
          <w:highlight w:val="none"/>
          <w:lang w:eastAsia="zh-CN"/>
        </w:rPr>
      </w:pPr>
      <w:r>
        <w:rPr>
          <w:rFonts w:hint="eastAsia" w:hAnsi="宋体" w:cs="宋体"/>
          <w:b/>
          <w:bCs/>
          <w:color w:val="auto"/>
          <w:sz w:val="24"/>
          <w:highlight w:val="none"/>
        </w:rPr>
        <w:t>20.  无效</w:t>
      </w:r>
      <w:r>
        <w:rPr>
          <w:rFonts w:hint="eastAsia" w:hAnsi="宋体" w:cs="宋体"/>
          <w:b/>
          <w:bCs/>
          <w:color w:val="auto"/>
          <w:sz w:val="24"/>
          <w:highlight w:val="none"/>
          <w:lang w:eastAsia="zh-CN"/>
        </w:rPr>
        <w:t>磋商</w:t>
      </w:r>
    </w:p>
    <w:p w14:paraId="4E5C3E16">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20.1  属下列情形之一的，服务商的</w:t>
      </w:r>
      <w:r>
        <w:rPr>
          <w:rFonts w:hint="eastAsia" w:hAnsi="宋体" w:cs="宋体"/>
          <w:color w:val="auto"/>
          <w:highlight w:val="none"/>
          <w:lang w:eastAsia="zh-CN"/>
        </w:rPr>
        <w:t>磋商</w:t>
      </w:r>
      <w:r>
        <w:rPr>
          <w:rFonts w:hint="eastAsia" w:hAnsi="宋体" w:cs="宋体"/>
          <w:color w:val="auto"/>
          <w:highlight w:val="none"/>
        </w:rPr>
        <w:t>无效：</w:t>
      </w:r>
    </w:p>
    <w:p w14:paraId="43C6B92B">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（1）服务商不具备本章第3项规定的服务商资格要求的；</w:t>
      </w:r>
    </w:p>
    <w:p w14:paraId="39BA8508">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 xml:space="preserve">（2）磋商响应文件未按本章第8.8项的规定标识或未按规定的正、副本数量递交的； </w:t>
      </w:r>
    </w:p>
    <w:p w14:paraId="438E58A6">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（3）磋商响应文件未按本章第10.1项的规定编写和提交的；</w:t>
      </w:r>
    </w:p>
    <w:p w14:paraId="46EBC2DA">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（4）</w:t>
      </w:r>
      <w:r>
        <w:rPr>
          <w:rFonts w:hint="eastAsia" w:hAnsi="宋体" w:cs="宋体"/>
          <w:color w:val="auto"/>
          <w:highlight w:val="none"/>
          <w:lang w:eastAsia="zh-CN"/>
        </w:rPr>
        <w:t>磋商</w:t>
      </w:r>
      <w:r>
        <w:rPr>
          <w:rFonts w:hint="eastAsia" w:hAnsi="宋体" w:cs="宋体"/>
          <w:color w:val="auto"/>
          <w:highlight w:val="none"/>
        </w:rPr>
        <w:t>报价不符合本章第11项规定的或超过采购预算的；</w:t>
      </w:r>
    </w:p>
    <w:p w14:paraId="5D9F0A46">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（5）磋商响应文件不符合本章第14.1项规定的；</w:t>
      </w:r>
    </w:p>
    <w:p w14:paraId="3959FA8B">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（6）服务商出现本章第18.2项所述情形的；</w:t>
      </w:r>
    </w:p>
    <w:p w14:paraId="4BED7B8A">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（7）磋商响应文件未对采购文件提出的要求和条件作出实质性响应的；</w:t>
      </w:r>
    </w:p>
    <w:p w14:paraId="70A93D30">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（8）磋商响应文件附有采购需求以外的条件使磋商小组认为不能接受的；</w:t>
      </w:r>
    </w:p>
    <w:p w14:paraId="279D5566">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（90）服务商在</w:t>
      </w:r>
      <w:r>
        <w:rPr>
          <w:rFonts w:hint="eastAsia" w:hAnsi="宋体" w:cs="宋体"/>
          <w:color w:val="auto"/>
          <w:highlight w:val="none"/>
          <w:lang w:eastAsia="zh-CN"/>
        </w:rPr>
        <w:t>磋商</w:t>
      </w:r>
      <w:r>
        <w:rPr>
          <w:rFonts w:hint="eastAsia" w:hAnsi="宋体" w:cs="宋体"/>
          <w:color w:val="auto"/>
          <w:highlight w:val="none"/>
        </w:rPr>
        <w:t>过程中提供虚假材料的；</w:t>
      </w:r>
    </w:p>
    <w:p w14:paraId="59E1E060">
      <w:pPr>
        <w:pStyle w:val="11"/>
        <w:spacing w:line="440" w:lineRule="exact"/>
        <w:ind w:firstLine="718" w:firstLineChars="342"/>
        <w:rPr>
          <w:rFonts w:hint="eastAsia" w:hAnsi="宋体" w:cs="宋体"/>
          <w:color w:val="auto"/>
          <w:highlight w:val="none"/>
        </w:rPr>
      </w:pPr>
      <w:r>
        <w:rPr>
          <w:rFonts w:hint="eastAsia" w:hAnsi="宋体" w:cs="宋体"/>
          <w:color w:val="auto"/>
          <w:highlight w:val="none"/>
        </w:rPr>
        <w:t xml:space="preserve">（10）磋商响应文件含有违反国家法律、法规的内容。 </w:t>
      </w:r>
    </w:p>
    <w:p w14:paraId="4969B72A">
      <w:pPr>
        <w:pStyle w:val="11"/>
        <w:spacing w:line="440" w:lineRule="exact"/>
        <w:rPr>
          <w:rFonts w:hint="eastAsia" w:hAnsi="宋体" w:cs="宋体"/>
          <w:b/>
          <w:bCs/>
          <w:color w:val="auto"/>
          <w:sz w:val="24"/>
          <w:highlight w:val="none"/>
        </w:rPr>
      </w:pPr>
      <w:r>
        <w:rPr>
          <w:rFonts w:hint="eastAsia" w:hAnsi="宋体" w:cs="宋体"/>
          <w:b/>
          <w:bCs/>
          <w:color w:val="auto"/>
          <w:sz w:val="24"/>
          <w:highlight w:val="none"/>
        </w:rPr>
        <w:t>21.  废标</w:t>
      </w:r>
    </w:p>
    <w:p w14:paraId="77A49C7F">
      <w:pPr>
        <w:pStyle w:val="11"/>
        <w:spacing w:line="440" w:lineRule="exact"/>
        <w:ind w:firstLine="359" w:firstLineChars="171"/>
        <w:rPr>
          <w:rFonts w:hint="eastAsia" w:hAnsi="宋体" w:cs="宋体"/>
          <w:color w:val="auto"/>
          <w:highlight w:val="none"/>
        </w:rPr>
      </w:pPr>
      <w:r>
        <w:rPr>
          <w:rFonts w:hint="eastAsia" w:hAnsi="宋体" w:cs="宋体"/>
          <w:color w:val="auto"/>
          <w:highlight w:val="none"/>
        </w:rPr>
        <w:t>21.1  在采购过程中，出现下列情形之一的，予以废标：</w:t>
      </w:r>
    </w:p>
    <w:p w14:paraId="0114B6F7">
      <w:pPr>
        <w:pStyle w:val="11"/>
        <w:spacing w:line="440" w:lineRule="exact"/>
        <w:ind w:firstLine="720"/>
        <w:rPr>
          <w:rFonts w:hint="eastAsia" w:hAnsi="宋体" w:cs="宋体"/>
          <w:color w:val="auto"/>
          <w:highlight w:val="none"/>
        </w:rPr>
      </w:pPr>
      <w:r>
        <w:rPr>
          <w:rFonts w:hint="eastAsia" w:hAnsi="宋体" w:cs="宋体"/>
          <w:color w:val="auto"/>
          <w:highlight w:val="none"/>
        </w:rPr>
        <w:t>（1）符合资格条件的服务商不足三家或者对采购文件作实质响应的服务商不足两家的；</w:t>
      </w:r>
    </w:p>
    <w:p w14:paraId="12BBDAE7">
      <w:pPr>
        <w:pStyle w:val="11"/>
        <w:spacing w:line="440" w:lineRule="exact"/>
        <w:ind w:firstLine="826" w:firstLineChars="392"/>
        <w:rPr>
          <w:rFonts w:hint="eastAsia" w:hAnsi="宋体" w:cs="宋体"/>
          <w:b/>
          <w:color w:val="auto"/>
          <w:highlight w:val="none"/>
        </w:rPr>
      </w:pPr>
      <w:r>
        <w:rPr>
          <w:rFonts w:hint="eastAsia" w:hAnsi="宋体" w:cs="宋体"/>
          <w:b/>
          <w:color w:val="auto"/>
          <w:highlight w:val="none"/>
        </w:rPr>
        <w:t>有效</w:t>
      </w:r>
      <w:r>
        <w:rPr>
          <w:rFonts w:hint="eastAsia" w:hAnsi="宋体" w:cs="宋体"/>
          <w:b/>
          <w:color w:val="auto"/>
          <w:highlight w:val="none"/>
          <w:lang w:eastAsia="zh-CN"/>
        </w:rPr>
        <w:t>磋商</w:t>
      </w:r>
      <w:r>
        <w:rPr>
          <w:rFonts w:hint="eastAsia" w:hAnsi="宋体" w:cs="宋体"/>
          <w:b/>
          <w:color w:val="auto"/>
          <w:highlight w:val="none"/>
        </w:rPr>
        <w:t>服务商数量计算：</w:t>
      </w:r>
    </w:p>
    <w:p w14:paraId="4BC99A19">
      <w:pPr>
        <w:pStyle w:val="11"/>
        <w:spacing w:line="440" w:lineRule="exact"/>
        <w:ind w:firstLine="823" w:firstLineChars="392"/>
        <w:rPr>
          <w:rFonts w:hint="eastAsia" w:hAnsi="宋体" w:cs="宋体"/>
          <w:color w:val="auto"/>
          <w:highlight w:val="none"/>
        </w:rPr>
      </w:pPr>
      <w:r>
        <w:rPr>
          <w:rFonts w:hint="eastAsia" w:hAnsi="宋体" w:cs="宋体"/>
          <w:color w:val="auto"/>
          <w:highlight w:val="none"/>
        </w:rPr>
        <w:t>①采用最低评标价法的采购项目，提供相同品牌产品的不同服务商参加同一合同项下</w:t>
      </w:r>
      <w:r>
        <w:rPr>
          <w:rFonts w:hint="eastAsia" w:hAnsi="宋体" w:cs="宋体"/>
          <w:color w:val="auto"/>
          <w:highlight w:val="none"/>
          <w:lang w:eastAsia="zh-CN"/>
        </w:rPr>
        <w:t>磋商</w:t>
      </w:r>
      <w:r>
        <w:rPr>
          <w:rFonts w:hint="eastAsia" w:hAnsi="宋体" w:cs="宋体"/>
          <w:color w:val="auto"/>
          <w:highlight w:val="none"/>
        </w:rPr>
        <w:t>的，以其中通过资格审查、符合性审查且报价最低的参加评标；报价相同的，由评标委员会采取随机抽取的方式确定一个参加评标的服务商，其他</w:t>
      </w:r>
      <w:r>
        <w:rPr>
          <w:rFonts w:hint="eastAsia" w:hAnsi="宋体" w:cs="宋体"/>
          <w:color w:val="auto"/>
          <w:highlight w:val="none"/>
          <w:lang w:eastAsia="zh-CN"/>
        </w:rPr>
        <w:t>磋商</w:t>
      </w:r>
      <w:r>
        <w:rPr>
          <w:rFonts w:hint="eastAsia" w:hAnsi="宋体" w:cs="宋体"/>
          <w:color w:val="auto"/>
          <w:highlight w:val="none"/>
        </w:rPr>
        <w:t>无效。</w:t>
      </w:r>
    </w:p>
    <w:p w14:paraId="10298FAF">
      <w:pPr>
        <w:pStyle w:val="11"/>
        <w:spacing w:line="440" w:lineRule="exact"/>
        <w:ind w:firstLine="823" w:firstLineChars="392"/>
        <w:rPr>
          <w:rFonts w:hint="eastAsia" w:hAnsi="宋体" w:cs="宋体"/>
          <w:color w:val="auto"/>
          <w:highlight w:val="none"/>
        </w:rPr>
      </w:pPr>
      <w:r>
        <w:rPr>
          <w:rFonts w:hint="eastAsia" w:hAnsi="宋体" w:cs="宋体"/>
          <w:color w:val="auto"/>
          <w:highlight w:val="none"/>
        </w:rPr>
        <w:t>②使用综合评分法的采购项目，提供相同品牌产品且通过资格审查、符合性审查的不同服务商参加同一合同项下</w:t>
      </w:r>
      <w:r>
        <w:rPr>
          <w:rFonts w:hint="eastAsia" w:hAnsi="宋体" w:cs="宋体"/>
          <w:color w:val="auto"/>
          <w:highlight w:val="none"/>
          <w:lang w:eastAsia="zh-CN"/>
        </w:rPr>
        <w:t>磋商</w:t>
      </w:r>
      <w:r>
        <w:rPr>
          <w:rFonts w:hint="eastAsia" w:hAnsi="宋体" w:cs="宋体"/>
          <w:color w:val="auto"/>
          <w:highlight w:val="none"/>
        </w:rPr>
        <w:t>的，按一家服务商计算，评审后得分最高的同品牌服务商获得中标人推荐资格；评审得分相同的，由评标委员会采取随机抽取的方式确定一个服务商获得中标人推荐资格，其他同品牌服务商不作为中标候选人。</w:t>
      </w:r>
    </w:p>
    <w:p w14:paraId="2579D93C">
      <w:pPr>
        <w:pStyle w:val="11"/>
        <w:spacing w:line="440" w:lineRule="exact"/>
        <w:ind w:firstLine="823" w:firstLineChars="392"/>
        <w:rPr>
          <w:rFonts w:hint="eastAsia" w:hAnsi="宋体" w:cs="宋体"/>
          <w:color w:val="auto"/>
          <w:highlight w:val="none"/>
        </w:rPr>
      </w:pPr>
      <w:r>
        <w:rPr>
          <w:rFonts w:hint="eastAsia" w:hAnsi="宋体" w:cs="宋体"/>
          <w:color w:val="auto"/>
          <w:highlight w:val="none"/>
        </w:rPr>
        <w:t>③非单一产品采购项目，采购人应当根据采购项目技术构成、产品价格比重等合理确定核心产品，并在采购文件中载明。多家服务商提供的核心产品品牌相同的，按上述规定处理。</w:t>
      </w:r>
    </w:p>
    <w:p w14:paraId="4E8F902A">
      <w:pPr>
        <w:pStyle w:val="11"/>
        <w:spacing w:line="440" w:lineRule="exact"/>
        <w:ind w:firstLine="720"/>
        <w:rPr>
          <w:rFonts w:hint="eastAsia" w:hAnsi="宋体" w:cs="宋体"/>
          <w:bCs/>
          <w:color w:val="auto"/>
          <w:sz w:val="24"/>
          <w:highlight w:val="none"/>
        </w:rPr>
      </w:pPr>
      <w:r>
        <w:rPr>
          <w:rFonts w:hint="eastAsia" w:hAnsi="宋体" w:cs="宋体"/>
          <w:color w:val="auto"/>
          <w:highlight w:val="none"/>
        </w:rPr>
        <w:t>（2）出现影响采购公正的违法、违规行为的；</w:t>
      </w:r>
    </w:p>
    <w:p w14:paraId="749A6C07">
      <w:pPr>
        <w:pStyle w:val="11"/>
        <w:spacing w:line="440" w:lineRule="exact"/>
        <w:ind w:firstLine="720"/>
        <w:rPr>
          <w:rFonts w:hint="eastAsia" w:hAnsi="宋体" w:cs="宋体"/>
          <w:color w:val="auto"/>
          <w:highlight w:val="none"/>
        </w:rPr>
      </w:pPr>
      <w:r>
        <w:rPr>
          <w:rFonts w:hint="eastAsia" w:hAnsi="宋体" w:cs="宋体"/>
          <w:color w:val="auto"/>
          <w:highlight w:val="none"/>
        </w:rPr>
        <w:t>（3）服务商的报价均超过了采购预算，采购人不能支付的；</w:t>
      </w:r>
    </w:p>
    <w:p w14:paraId="632F4167">
      <w:pPr>
        <w:pStyle w:val="11"/>
        <w:spacing w:line="440" w:lineRule="exact"/>
        <w:ind w:firstLine="720"/>
        <w:rPr>
          <w:rFonts w:hint="eastAsia" w:hAnsi="宋体" w:cs="宋体"/>
          <w:color w:val="auto"/>
          <w:highlight w:val="none"/>
        </w:rPr>
      </w:pPr>
      <w:r>
        <w:rPr>
          <w:rFonts w:hint="eastAsia" w:hAnsi="宋体" w:cs="宋体"/>
          <w:color w:val="auto"/>
          <w:highlight w:val="none"/>
        </w:rPr>
        <w:t>（4）因重大变故，采购任务取消的。</w:t>
      </w:r>
    </w:p>
    <w:p w14:paraId="26ECE5CF">
      <w:pPr>
        <w:pStyle w:val="11"/>
        <w:spacing w:line="440" w:lineRule="exact"/>
        <w:ind w:firstLine="411" w:firstLineChars="196"/>
        <w:rPr>
          <w:rFonts w:hint="eastAsia" w:hAnsi="宋体" w:cs="宋体"/>
          <w:color w:val="auto"/>
          <w:highlight w:val="none"/>
        </w:rPr>
      </w:pPr>
      <w:r>
        <w:rPr>
          <w:rFonts w:hint="eastAsia" w:hAnsi="宋体" w:cs="宋体"/>
          <w:color w:val="auto"/>
          <w:highlight w:val="none"/>
        </w:rPr>
        <w:t>21.2  废标后，采购代理机构将在本章第2.1项规定的政府采购信息发布媒体上公告废标理由，不再另行通知。</w:t>
      </w:r>
    </w:p>
    <w:p w14:paraId="6939046C">
      <w:pPr>
        <w:pStyle w:val="11"/>
        <w:spacing w:line="440" w:lineRule="exact"/>
        <w:jc w:val="center"/>
        <w:rPr>
          <w:rFonts w:hint="eastAsia" w:hAnsi="宋体" w:cs="宋体"/>
          <w:b/>
          <w:bCs/>
          <w:color w:val="auto"/>
          <w:highlight w:val="none"/>
        </w:rPr>
      </w:pPr>
    </w:p>
    <w:p w14:paraId="4B6B955A">
      <w:pPr>
        <w:pStyle w:val="11"/>
        <w:jc w:val="center"/>
        <w:outlineLvl w:val="1"/>
        <w:rPr>
          <w:rFonts w:hint="eastAsia" w:hAnsi="宋体" w:cs="宋体"/>
          <w:b/>
          <w:color w:val="auto"/>
          <w:sz w:val="30"/>
          <w:szCs w:val="30"/>
          <w:highlight w:val="none"/>
        </w:rPr>
      </w:pPr>
      <w:bookmarkStart w:id="30" w:name="_Toc2348"/>
      <w:r>
        <w:rPr>
          <w:rFonts w:hint="eastAsia" w:hAnsi="宋体" w:cs="宋体"/>
          <w:b/>
          <w:color w:val="auto"/>
          <w:sz w:val="30"/>
          <w:szCs w:val="30"/>
          <w:highlight w:val="none"/>
        </w:rPr>
        <w:t>六    合同授予</w:t>
      </w:r>
      <w:bookmarkEnd w:id="30"/>
    </w:p>
    <w:p w14:paraId="794D69AB">
      <w:pPr>
        <w:pStyle w:val="11"/>
        <w:spacing w:line="440" w:lineRule="exact"/>
        <w:rPr>
          <w:rFonts w:hint="eastAsia" w:hAnsi="宋体" w:cs="宋体"/>
          <w:bCs/>
          <w:color w:val="auto"/>
          <w:sz w:val="24"/>
          <w:highlight w:val="none"/>
        </w:rPr>
      </w:pPr>
      <w:r>
        <w:rPr>
          <w:rFonts w:hint="eastAsia" w:hAnsi="宋体" w:cs="宋体"/>
          <w:bCs/>
          <w:color w:val="auto"/>
          <w:sz w:val="24"/>
          <w:highlight w:val="none"/>
        </w:rPr>
        <w:t>22.  成交服务商的确定</w:t>
      </w:r>
    </w:p>
    <w:p w14:paraId="29DBCC5E">
      <w:pPr>
        <w:spacing w:line="440" w:lineRule="exact"/>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22.1  磋商小组按第三章“评审方法”的规定</w:t>
      </w:r>
      <w:r>
        <w:rPr>
          <w:rFonts w:hint="eastAsia" w:ascii="宋体" w:hAnsi="宋体" w:eastAsia="宋体" w:cs="宋体"/>
          <w:color w:val="auto"/>
          <w:highlight w:val="none"/>
        </w:rPr>
        <w:t>排列成交候选服务商顺序，并依照次序确定成交服务商。</w:t>
      </w:r>
    </w:p>
    <w:p w14:paraId="703C06BD">
      <w:pPr>
        <w:pStyle w:val="11"/>
        <w:spacing w:line="440" w:lineRule="exact"/>
        <w:rPr>
          <w:rFonts w:hint="eastAsia" w:hAnsi="宋体" w:cs="宋体"/>
          <w:bCs/>
          <w:color w:val="auto"/>
          <w:sz w:val="24"/>
          <w:highlight w:val="none"/>
        </w:rPr>
      </w:pPr>
      <w:r>
        <w:rPr>
          <w:rFonts w:hint="eastAsia" w:hAnsi="宋体" w:cs="宋体"/>
          <w:bCs/>
          <w:color w:val="auto"/>
          <w:sz w:val="24"/>
          <w:highlight w:val="none"/>
        </w:rPr>
        <w:t>23.  成交通知书</w:t>
      </w:r>
    </w:p>
    <w:p w14:paraId="49DB83A2">
      <w:pPr>
        <w:pStyle w:val="11"/>
        <w:spacing w:line="440" w:lineRule="exact"/>
        <w:ind w:firstLine="360"/>
        <w:rPr>
          <w:rFonts w:hint="eastAsia" w:hAnsi="宋体" w:cs="宋体"/>
          <w:color w:val="auto"/>
          <w:kern w:val="0"/>
          <w:szCs w:val="21"/>
          <w:highlight w:val="none"/>
        </w:rPr>
      </w:pPr>
      <w:r>
        <w:rPr>
          <w:rFonts w:hint="eastAsia" w:hAnsi="宋体" w:cs="宋体"/>
          <w:color w:val="auto"/>
          <w:highlight w:val="none"/>
        </w:rPr>
        <w:t xml:space="preserve">23.1  </w:t>
      </w:r>
      <w:r>
        <w:rPr>
          <w:rFonts w:hint="eastAsia" w:hAnsi="宋体" w:cs="宋体"/>
          <w:color w:val="auto"/>
          <w:kern w:val="0"/>
          <w:szCs w:val="21"/>
          <w:highlight w:val="none"/>
        </w:rPr>
        <w:t>成交服务商确定后，成交结果由采购代理机构于五个工作日内在本章第2项规定的政府采购信息发布媒体上公告，同时向成交服务商发出成交通知书。</w:t>
      </w:r>
    </w:p>
    <w:p w14:paraId="0555CB2D">
      <w:pPr>
        <w:pStyle w:val="11"/>
        <w:spacing w:line="440" w:lineRule="exact"/>
        <w:ind w:firstLine="360"/>
        <w:rPr>
          <w:rFonts w:hint="eastAsia" w:hAnsi="宋体" w:cs="宋体"/>
          <w:color w:val="auto"/>
          <w:kern w:val="0"/>
          <w:szCs w:val="21"/>
          <w:highlight w:val="none"/>
        </w:rPr>
      </w:pPr>
      <w:r>
        <w:rPr>
          <w:rFonts w:hint="eastAsia" w:hAnsi="宋体" w:cs="宋体"/>
          <w:color w:val="auto"/>
          <w:kern w:val="0"/>
          <w:szCs w:val="21"/>
          <w:highlight w:val="none"/>
        </w:rPr>
        <w:t>23.2  成交通知书对采购人和成交服务商具有同等法律效力。成交通知书发出后，采购人改变成交结果，或者成交服务商放弃成交，应当承担相应的法律责任。</w:t>
      </w:r>
    </w:p>
    <w:p w14:paraId="47603159">
      <w:pPr>
        <w:pStyle w:val="11"/>
        <w:spacing w:line="440" w:lineRule="exact"/>
        <w:rPr>
          <w:rFonts w:hint="eastAsia" w:hAnsi="宋体" w:cs="宋体"/>
          <w:bCs/>
          <w:color w:val="auto"/>
          <w:sz w:val="24"/>
          <w:highlight w:val="none"/>
        </w:rPr>
      </w:pPr>
      <w:r>
        <w:rPr>
          <w:rFonts w:hint="eastAsia" w:hAnsi="宋体" w:cs="宋体"/>
          <w:bCs/>
          <w:color w:val="auto"/>
          <w:sz w:val="24"/>
          <w:highlight w:val="none"/>
        </w:rPr>
        <w:t>24.  磋商响应文件及</w:t>
      </w:r>
      <w:r>
        <w:rPr>
          <w:rFonts w:hint="eastAsia" w:hAnsi="宋体" w:cs="宋体"/>
          <w:bCs/>
          <w:color w:val="auto"/>
          <w:sz w:val="24"/>
          <w:highlight w:val="none"/>
          <w:lang w:eastAsia="zh-CN"/>
        </w:rPr>
        <w:t>磋商</w:t>
      </w:r>
      <w:r>
        <w:rPr>
          <w:rFonts w:hint="eastAsia" w:hAnsi="宋体" w:cs="宋体"/>
          <w:bCs/>
          <w:color w:val="auto"/>
          <w:sz w:val="24"/>
          <w:highlight w:val="none"/>
        </w:rPr>
        <w:t>样品的退回</w:t>
      </w:r>
    </w:p>
    <w:p w14:paraId="5051FF6B">
      <w:pPr>
        <w:pStyle w:val="11"/>
        <w:spacing w:line="440" w:lineRule="exact"/>
        <w:ind w:firstLine="360"/>
        <w:rPr>
          <w:rFonts w:hint="eastAsia" w:hAnsi="宋体" w:cs="宋体"/>
          <w:color w:val="auto"/>
          <w:highlight w:val="none"/>
        </w:rPr>
      </w:pPr>
      <w:r>
        <w:rPr>
          <w:rFonts w:hint="eastAsia" w:hAnsi="宋体" w:cs="宋体"/>
          <w:color w:val="auto"/>
          <w:highlight w:val="none"/>
        </w:rPr>
        <w:t>24.1  采购人及采购代理机构无义务向未成交服务商解释其未成交原因和退回磋商响应文件。</w:t>
      </w:r>
    </w:p>
    <w:p w14:paraId="74C08EC6">
      <w:pPr>
        <w:pStyle w:val="11"/>
        <w:spacing w:line="440" w:lineRule="exact"/>
        <w:ind w:firstLine="360"/>
        <w:rPr>
          <w:rFonts w:hint="eastAsia" w:hAnsi="宋体" w:cs="宋体"/>
          <w:color w:val="auto"/>
          <w:highlight w:val="none"/>
        </w:rPr>
      </w:pPr>
      <w:r>
        <w:rPr>
          <w:rFonts w:hint="eastAsia" w:hAnsi="宋体" w:cs="宋体"/>
          <w:color w:val="auto"/>
          <w:highlight w:val="none"/>
        </w:rPr>
        <w:t>24.2  中标服务商的</w:t>
      </w:r>
      <w:r>
        <w:rPr>
          <w:rFonts w:hint="eastAsia" w:hAnsi="宋体" w:cs="宋体"/>
          <w:color w:val="auto"/>
          <w:highlight w:val="none"/>
          <w:lang w:eastAsia="zh-CN"/>
        </w:rPr>
        <w:t>磋商</w:t>
      </w:r>
      <w:r>
        <w:rPr>
          <w:rFonts w:hint="eastAsia" w:hAnsi="宋体" w:cs="宋体"/>
          <w:color w:val="auto"/>
          <w:highlight w:val="none"/>
        </w:rPr>
        <w:t>样品由采购人进行保管、封存，并作为履约验收的参考，验收后由采购人退回。未中标服务商的</w:t>
      </w:r>
      <w:r>
        <w:rPr>
          <w:rFonts w:hint="eastAsia" w:hAnsi="宋体" w:cs="宋体"/>
          <w:color w:val="auto"/>
          <w:highlight w:val="none"/>
          <w:lang w:eastAsia="zh-CN"/>
        </w:rPr>
        <w:t>磋商</w:t>
      </w:r>
      <w:r>
        <w:rPr>
          <w:rFonts w:hint="eastAsia" w:hAnsi="宋体" w:cs="宋体"/>
          <w:color w:val="auto"/>
          <w:highlight w:val="none"/>
        </w:rPr>
        <w:t>样品由服务商在中标结果公布后2个工作日内领回，否则按无主物品处理。</w:t>
      </w:r>
    </w:p>
    <w:p w14:paraId="1A323925">
      <w:pPr>
        <w:pStyle w:val="11"/>
        <w:spacing w:line="440" w:lineRule="exact"/>
        <w:rPr>
          <w:rFonts w:hint="eastAsia" w:hAnsi="宋体" w:cs="宋体"/>
          <w:bCs/>
          <w:color w:val="auto"/>
          <w:sz w:val="24"/>
          <w:highlight w:val="none"/>
        </w:rPr>
      </w:pPr>
      <w:r>
        <w:rPr>
          <w:rFonts w:hint="eastAsia" w:hAnsi="宋体" w:cs="宋体"/>
          <w:bCs/>
          <w:color w:val="auto"/>
          <w:sz w:val="24"/>
          <w:highlight w:val="none"/>
        </w:rPr>
        <w:t>25.   签订合同</w:t>
      </w:r>
    </w:p>
    <w:p w14:paraId="13C6F39F">
      <w:pPr>
        <w:pStyle w:val="11"/>
        <w:spacing w:line="440" w:lineRule="exact"/>
        <w:ind w:firstLine="420" w:firstLineChars="200"/>
        <w:rPr>
          <w:rFonts w:hint="eastAsia" w:hAnsi="宋体" w:cs="宋体"/>
          <w:color w:val="auto"/>
          <w:highlight w:val="none"/>
        </w:rPr>
      </w:pPr>
      <w:r>
        <w:rPr>
          <w:rFonts w:hint="eastAsia" w:hAnsi="宋体" w:cs="宋体"/>
          <w:color w:val="auto"/>
          <w:highlight w:val="none"/>
        </w:rPr>
        <w:t>25.1  采购人和成交服务商应当在第二章“服务需求一览表”中商务条款要求载明的合同签订期内，根据采购文件、成交服务商的</w:t>
      </w:r>
      <w:r>
        <w:rPr>
          <w:rFonts w:hint="eastAsia" w:hAnsi="宋体" w:cs="宋体"/>
          <w:color w:val="auto"/>
          <w:highlight w:val="none"/>
          <w:lang w:eastAsia="zh-CN"/>
        </w:rPr>
        <w:t>磋商</w:t>
      </w:r>
      <w:r>
        <w:rPr>
          <w:rFonts w:hint="eastAsia" w:hAnsi="宋体" w:cs="宋体"/>
          <w:color w:val="auto"/>
          <w:highlight w:val="none"/>
        </w:rPr>
        <w:t>文件及有关澄清承诺书的要求按第五章“合同条款及格式”订立书面合同。联合体</w:t>
      </w:r>
      <w:r>
        <w:rPr>
          <w:rFonts w:hint="eastAsia" w:hAnsi="宋体" w:cs="宋体"/>
          <w:color w:val="auto"/>
          <w:highlight w:val="none"/>
          <w:lang w:eastAsia="zh-CN"/>
        </w:rPr>
        <w:t>磋商</w:t>
      </w:r>
      <w:r>
        <w:rPr>
          <w:rFonts w:hint="eastAsia" w:hAnsi="宋体" w:cs="宋体"/>
          <w:color w:val="auto"/>
          <w:highlight w:val="none"/>
        </w:rPr>
        <w:t>的，联合体各方应当共同与采购人签订采购合同，均应在合同的签章处签章，就采购合同约定的事项对采购人承担连带责任。</w:t>
      </w:r>
    </w:p>
    <w:p w14:paraId="527CD08F">
      <w:pPr>
        <w:pStyle w:val="11"/>
        <w:spacing w:line="440" w:lineRule="exact"/>
        <w:ind w:firstLine="420" w:firstLineChars="200"/>
        <w:rPr>
          <w:rFonts w:hint="eastAsia" w:hAnsi="宋体" w:cs="宋体"/>
          <w:color w:val="auto"/>
          <w:highlight w:val="none"/>
        </w:rPr>
      </w:pPr>
      <w:r>
        <w:rPr>
          <w:rFonts w:hint="eastAsia" w:hAnsi="宋体" w:cs="宋体"/>
          <w:color w:val="auto"/>
          <w:highlight w:val="none"/>
        </w:rPr>
        <w:t>25.2政府采购合同签订应当采用政府采购合同格式文本，合同应内容完整、盖章齐全；项目合同的各要素和内容应与采购文件、成交服务商的承诺、成交通知书等的内容一致；合同附件齐全；多页合同每页应顺序标出页码并盖骑缝章。</w:t>
      </w:r>
    </w:p>
    <w:p w14:paraId="1959E7D3">
      <w:pPr>
        <w:pStyle w:val="11"/>
        <w:spacing w:line="440" w:lineRule="exact"/>
        <w:ind w:firstLine="360"/>
        <w:rPr>
          <w:rFonts w:hint="eastAsia" w:hAnsi="宋体" w:cs="宋体"/>
          <w:color w:val="auto"/>
          <w:highlight w:val="none"/>
        </w:rPr>
      </w:pPr>
      <w:r>
        <w:rPr>
          <w:rFonts w:hint="eastAsia" w:hAnsi="宋体" w:cs="宋体"/>
          <w:color w:val="auto"/>
          <w:highlight w:val="none"/>
        </w:rPr>
        <w:t>25.3政府采购合同自签订之日起2个工作日内，由采购人或采购代理机构将政府采购合同在省级以上人民政府财政部门指定的媒体上公告并备案，但政府采购合同中涉及国家秘密、商业秘密的内容除外。</w:t>
      </w:r>
    </w:p>
    <w:p w14:paraId="291F5661">
      <w:pPr>
        <w:pStyle w:val="11"/>
        <w:spacing w:line="440" w:lineRule="exact"/>
        <w:ind w:firstLine="360"/>
        <w:rPr>
          <w:rFonts w:hint="eastAsia" w:hAnsi="宋体" w:cs="宋体"/>
          <w:color w:val="auto"/>
          <w:highlight w:val="none"/>
        </w:rPr>
      </w:pPr>
      <w:r>
        <w:rPr>
          <w:rFonts w:hint="eastAsia" w:hAnsi="宋体" w:cs="宋体"/>
          <w:color w:val="auto"/>
          <w:highlight w:val="none"/>
        </w:rPr>
        <w:t>25.4  成交通知书发出后，成交人有以下情形的：</w:t>
      </w:r>
    </w:p>
    <w:p w14:paraId="3241A114">
      <w:pPr>
        <w:pStyle w:val="11"/>
        <w:spacing w:line="440" w:lineRule="exact"/>
        <w:ind w:firstLine="420" w:firstLineChars="200"/>
        <w:rPr>
          <w:rFonts w:hint="eastAsia" w:hAnsi="宋体" w:cs="宋体"/>
          <w:color w:val="auto"/>
          <w:highlight w:val="none"/>
        </w:rPr>
      </w:pPr>
      <w:r>
        <w:rPr>
          <w:rFonts w:hint="eastAsia" w:hAnsi="宋体" w:cs="宋体"/>
          <w:color w:val="auto"/>
          <w:highlight w:val="none"/>
        </w:rPr>
        <w:t>（1）成交人无正当理由不与采购人或者采购代理机构按规定的时间、地点签订合同的。</w:t>
      </w:r>
    </w:p>
    <w:p w14:paraId="1ACD4DF1">
      <w:pPr>
        <w:pStyle w:val="11"/>
        <w:spacing w:line="440" w:lineRule="exact"/>
        <w:ind w:firstLine="420" w:firstLineChars="200"/>
        <w:rPr>
          <w:rFonts w:hint="eastAsia" w:hAnsi="宋体" w:cs="宋体"/>
          <w:color w:val="auto"/>
          <w:highlight w:val="none"/>
        </w:rPr>
      </w:pPr>
      <w:r>
        <w:rPr>
          <w:rFonts w:hint="eastAsia" w:hAnsi="宋体" w:cs="宋体"/>
          <w:color w:val="auto"/>
          <w:highlight w:val="none"/>
        </w:rPr>
        <w:t>（2）成交后与采购人签订对采购文件和</w:t>
      </w:r>
      <w:r>
        <w:rPr>
          <w:rFonts w:hint="eastAsia" w:hAnsi="宋体" w:cs="宋体"/>
          <w:color w:val="auto"/>
          <w:highlight w:val="none"/>
          <w:lang w:eastAsia="zh-CN"/>
        </w:rPr>
        <w:t>磋商</w:t>
      </w:r>
      <w:r>
        <w:rPr>
          <w:rFonts w:hint="eastAsia" w:hAnsi="宋体" w:cs="宋体"/>
          <w:color w:val="auto"/>
          <w:highlight w:val="none"/>
        </w:rPr>
        <w:t>文件作了实质性修改的合同，或与采购人私下订立背离合同实质性内容的协议的。</w:t>
      </w:r>
    </w:p>
    <w:p w14:paraId="5133C994">
      <w:pPr>
        <w:pStyle w:val="11"/>
        <w:spacing w:line="440" w:lineRule="exact"/>
        <w:ind w:firstLine="420" w:firstLineChars="200"/>
        <w:rPr>
          <w:rFonts w:hint="eastAsia" w:hAnsi="宋体" w:cs="宋体"/>
          <w:color w:val="auto"/>
          <w:highlight w:val="none"/>
        </w:rPr>
      </w:pPr>
      <w:r>
        <w:rPr>
          <w:rFonts w:hint="eastAsia" w:hAnsi="宋体" w:cs="宋体"/>
          <w:color w:val="auto"/>
          <w:highlight w:val="none"/>
        </w:rPr>
        <w:t>（3）将成交项目转让给他人，或者在</w:t>
      </w:r>
      <w:r>
        <w:rPr>
          <w:rFonts w:hint="eastAsia" w:hAnsi="宋体" w:cs="宋体"/>
          <w:color w:val="auto"/>
          <w:highlight w:val="none"/>
          <w:lang w:eastAsia="zh-CN"/>
        </w:rPr>
        <w:t>磋商</w:t>
      </w:r>
      <w:r>
        <w:rPr>
          <w:rFonts w:hint="eastAsia" w:hAnsi="宋体" w:cs="宋体"/>
          <w:color w:val="auto"/>
          <w:highlight w:val="none"/>
        </w:rPr>
        <w:t>文件中未说明，且未经采购人或采购代理机构同意，将成交项目分包给他人的。</w:t>
      </w:r>
    </w:p>
    <w:p w14:paraId="4AC900FE">
      <w:pPr>
        <w:pStyle w:val="11"/>
        <w:spacing w:line="440" w:lineRule="exact"/>
        <w:ind w:firstLine="360"/>
        <w:rPr>
          <w:rFonts w:hint="eastAsia" w:hAnsi="宋体" w:cs="宋体"/>
          <w:color w:val="auto"/>
          <w:highlight w:val="none"/>
        </w:rPr>
      </w:pPr>
      <w:r>
        <w:rPr>
          <w:rFonts w:hint="eastAsia" w:hAnsi="宋体" w:cs="宋体"/>
          <w:color w:val="auto"/>
          <w:highlight w:val="none"/>
        </w:rPr>
        <w:t>采购人可追究成交服务商承担相应的法律责任。如采购人无正当理由拒签合同的，给成交服务商造成损失的，成交服务商可追究采购人承担相应的法律责任。</w:t>
      </w:r>
    </w:p>
    <w:p w14:paraId="1C37DC07">
      <w:pPr>
        <w:pStyle w:val="11"/>
        <w:spacing w:line="440" w:lineRule="exact"/>
        <w:ind w:firstLine="315" w:firstLineChars="150"/>
        <w:rPr>
          <w:rFonts w:hint="eastAsia" w:hAnsi="宋体" w:cs="宋体"/>
          <w:color w:val="auto"/>
          <w:highlight w:val="none"/>
        </w:rPr>
      </w:pPr>
      <w:r>
        <w:rPr>
          <w:rFonts w:hint="eastAsia" w:hAnsi="宋体" w:cs="宋体"/>
          <w:color w:val="auto"/>
          <w:szCs w:val="28"/>
          <w:highlight w:val="none"/>
        </w:rPr>
        <w:t>25.5  采购人在签订合同之前有权要求成交服务商提供本项目采购文件要求的资料原件进行核查，成交服务商不得拒绝。如成交服务商拒绝提供，则自行承担由此产生的后果。</w:t>
      </w:r>
    </w:p>
    <w:p w14:paraId="2600C486">
      <w:pPr>
        <w:pStyle w:val="11"/>
        <w:spacing w:line="440" w:lineRule="exact"/>
        <w:ind w:firstLine="360"/>
        <w:rPr>
          <w:rFonts w:hint="eastAsia" w:hAnsi="宋体" w:cs="宋体"/>
          <w:color w:val="auto"/>
          <w:highlight w:val="none"/>
        </w:rPr>
      </w:pPr>
      <w:r>
        <w:rPr>
          <w:rFonts w:hint="eastAsia" w:hAnsi="宋体" w:cs="宋体"/>
          <w:color w:val="auto"/>
          <w:highlight w:val="none"/>
        </w:rPr>
        <w:t>25.6  成交服务商因不可抗力或者自身原因不能履行政府采购合同的，如仍在</w:t>
      </w:r>
      <w:r>
        <w:rPr>
          <w:rFonts w:hint="eastAsia" w:hAnsi="宋体" w:cs="宋体"/>
          <w:color w:val="auto"/>
          <w:highlight w:val="none"/>
          <w:lang w:eastAsia="zh-CN"/>
        </w:rPr>
        <w:t>磋商</w:t>
      </w:r>
      <w:r>
        <w:rPr>
          <w:rFonts w:hint="eastAsia" w:hAnsi="宋体" w:cs="宋体"/>
          <w:color w:val="auto"/>
          <w:highlight w:val="none"/>
        </w:rPr>
        <w:t>有效期内，采购人可以与排位在成交服务商之后第一位的成交候选服务商签订政府采购合同，以此类推。</w:t>
      </w:r>
    </w:p>
    <w:p w14:paraId="06800334">
      <w:pPr>
        <w:pStyle w:val="11"/>
        <w:spacing w:line="440" w:lineRule="exact"/>
        <w:jc w:val="center"/>
        <w:rPr>
          <w:rFonts w:hint="eastAsia" w:hAnsi="宋体" w:cs="宋体"/>
          <w:color w:val="auto"/>
          <w:highlight w:val="none"/>
        </w:rPr>
      </w:pPr>
    </w:p>
    <w:p w14:paraId="7807900B">
      <w:pPr>
        <w:pStyle w:val="11"/>
        <w:jc w:val="center"/>
        <w:outlineLvl w:val="1"/>
        <w:rPr>
          <w:rFonts w:hint="eastAsia" w:hAnsi="宋体" w:cs="宋体"/>
          <w:b/>
          <w:color w:val="auto"/>
          <w:sz w:val="30"/>
          <w:szCs w:val="30"/>
          <w:highlight w:val="none"/>
        </w:rPr>
      </w:pPr>
      <w:bookmarkStart w:id="31" w:name="_Toc21901"/>
      <w:r>
        <w:rPr>
          <w:rFonts w:hint="eastAsia" w:hAnsi="宋体" w:cs="宋体"/>
          <w:b/>
          <w:color w:val="auto"/>
          <w:sz w:val="30"/>
          <w:szCs w:val="30"/>
          <w:highlight w:val="none"/>
        </w:rPr>
        <w:t>七    其他事项</w:t>
      </w:r>
      <w:bookmarkEnd w:id="31"/>
    </w:p>
    <w:p w14:paraId="552DF200">
      <w:pPr>
        <w:pStyle w:val="11"/>
        <w:spacing w:line="440" w:lineRule="exact"/>
        <w:rPr>
          <w:rFonts w:hint="eastAsia" w:hAnsi="宋体" w:cs="宋体"/>
          <w:bCs/>
          <w:color w:val="auto"/>
          <w:sz w:val="24"/>
          <w:highlight w:val="none"/>
        </w:rPr>
      </w:pPr>
      <w:r>
        <w:rPr>
          <w:rFonts w:hint="eastAsia" w:hAnsi="宋体" w:cs="宋体"/>
          <w:bCs/>
          <w:color w:val="auto"/>
          <w:sz w:val="24"/>
          <w:highlight w:val="none"/>
        </w:rPr>
        <w:t>26.  解释权</w:t>
      </w:r>
    </w:p>
    <w:p w14:paraId="5EA9DB84">
      <w:pPr>
        <w:pStyle w:val="11"/>
        <w:spacing w:line="440" w:lineRule="exact"/>
        <w:ind w:firstLine="360"/>
        <w:jc w:val="left"/>
        <w:rPr>
          <w:rFonts w:hint="eastAsia" w:hAnsi="宋体" w:cs="宋体"/>
          <w:color w:val="auto"/>
          <w:highlight w:val="none"/>
        </w:rPr>
      </w:pPr>
      <w:r>
        <w:rPr>
          <w:rFonts w:hint="eastAsia" w:hAnsi="宋体" w:cs="宋体"/>
          <w:color w:val="auto"/>
          <w:highlight w:val="none"/>
        </w:rPr>
        <w:t>26.1  本采购文件根据《中华人民共和国政府采购法》及相关法律法规编制，解释权属采购代理机构。</w:t>
      </w:r>
    </w:p>
    <w:p w14:paraId="355737E9">
      <w:pPr>
        <w:pStyle w:val="11"/>
        <w:spacing w:line="440" w:lineRule="exact"/>
        <w:jc w:val="left"/>
        <w:rPr>
          <w:rFonts w:hint="eastAsia" w:hAnsi="宋体" w:cs="宋体"/>
          <w:color w:val="auto"/>
          <w:sz w:val="24"/>
          <w:highlight w:val="none"/>
        </w:rPr>
      </w:pPr>
      <w:r>
        <w:rPr>
          <w:rFonts w:hint="eastAsia" w:hAnsi="宋体" w:cs="宋体"/>
          <w:color w:val="auto"/>
          <w:sz w:val="24"/>
          <w:highlight w:val="none"/>
        </w:rPr>
        <w:t>27.  需要补充的其他内容</w:t>
      </w:r>
    </w:p>
    <w:p w14:paraId="6E08C121">
      <w:pPr>
        <w:pStyle w:val="11"/>
        <w:spacing w:line="440" w:lineRule="exact"/>
        <w:ind w:firstLine="360"/>
        <w:jc w:val="left"/>
        <w:rPr>
          <w:rFonts w:hint="eastAsia" w:hAnsi="宋体" w:cs="宋体"/>
          <w:color w:val="auto"/>
          <w:highlight w:val="none"/>
        </w:rPr>
      </w:pPr>
      <w:r>
        <w:rPr>
          <w:rFonts w:hint="eastAsia" w:hAnsi="宋体" w:cs="宋体"/>
          <w:color w:val="auto"/>
          <w:highlight w:val="none"/>
        </w:rPr>
        <w:t>27.1  需要补充的其他内容：见服务商须知前附表。</w:t>
      </w:r>
    </w:p>
    <w:p w14:paraId="60E606DF">
      <w:pPr>
        <w:pStyle w:val="11"/>
        <w:jc w:val="center"/>
        <w:outlineLvl w:val="0"/>
        <w:rPr>
          <w:rFonts w:hint="eastAsia" w:hAnsi="宋体" w:cs="宋体"/>
          <w:color w:val="auto"/>
          <w:highlight w:val="none"/>
        </w:rPr>
      </w:pPr>
      <w:r>
        <w:rPr>
          <w:rFonts w:hint="eastAsia" w:hAnsi="宋体" w:cs="宋体"/>
          <w:color w:val="auto"/>
          <w:highlight w:val="none"/>
        </w:rPr>
        <w:br w:type="page"/>
      </w:r>
      <w:bookmarkStart w:id="32" w:name="_Toc213325924"/>
      <w:bookmarkStart w:id="33" w:name="_Toc29507"/>
      <w:bookmarkStart w:id="34" w:name="_Toc213206175"/>
      <w:r>
        <w:rPr>
          <w:rFonts w:hint="eastAsia" w:hAnsi="宋体" w:cs="宋体"/>
          <w:b/>
          <w:color w:val="auto"/>
          <w:sz w:val="36"/>
          <w:highlight w:val="none"/>
        </w:rPr>
        <w:t>第五章  磋商响应文件格式</w:t>
      </w:r>
      <w:bookmarkEnd w:id="32"/>
      <w:bookmarkEnd w:id="33"/>
      <w:bookmarkEnd w:id="34"/>
      <w:bookmarkStart w:id="35" w:name="_Toc139966427"/>
      <w:bookmarkStart w:id="36" w:name="_Toc139967211"/>
    </w:p>
    <w:p w14:paraId="73A28AD3">
      <w:pPr>
        <w:pStyle w:val="11"/>
        <w:spacing w:line="500" w:lineRule="exact"/>
        <w:rPr>
          <w:rFonts w:hint="eastAsia" w:hAnsi="宋体" w:cs="宋体"/>
          <w:b/>
          <w:color w:val="auto"/>
          <w:highlight w:val="none"/>
        </w:rPr>
      </w:pPr>
      <w:r>
        <w:rPr>
          <w:rFonts w:hint="eastAsia" w:hAnsi="宋体" w:cs="宋体"/>
          <w:b/>
          <w:color w:val="auto"/>
          <w:highlight w:val="none"/>
        </w:rPr>
        <w:t>格式1：</w:t>
      </w:r>
    </w:p>
    <w:p w14:paraId="3DB4BD7C">
      <w:pPr>
        <w:pStyle w:val="11"/>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磋商函（格式）</w:t>
      </w:r>
    </w:p>
    <w:p w14:paraId="59D60933">
      <w:pPr>
        <w:pStyle w:val="11"/>
        <w:spacing w:line="500" w:lineRule="exact"/>
        <w:rPr>
          <w:rFonts w:hint="eastAsia" w:hAnsi="宋体" w:cs="宋体"/>
          <w:color w:val="auto"/>
          <w:sz w:val="32"/>
          <w:highlight w:val="none"/>
        </w:rPr>
      </w:pPr>
    </w:p>
    <w:p w14:paraId="032BCA7D">
      <w:pPr>
        <w:pStyle w:val="11"/>
        <w:spacing w:line="440" w:lineRule="exact"/>
        <w:ind w:firstLine="435"/>
        <w:rPr>
          <w:rFonts w:hint="eastAsia" w:hAnsi="宋体" w:cs="宋体"/>
          <w:color w:val="auto"/>
          <w:highlight w:val="none"/>
        </w:rPr>
      </w:pPr>
      <w:r>
        <w:rPr>
          <w:rFonts w:hint="eastAsia" w:hAnsi="宋体" w:cs="宋体"/>
          <w:color w:val="auto"/>
          <w:highlight w:val="none"/>
        </w:rPr>
        <w:t>致：（采购代理机构名称）</w:t>
      </w:r>
    </w:p>
    <w:p w14:paraId="4203D289">
      <w:pPr>
        <w:pStyle w:val="11"/>
        <w:spacing w:line="440" w:lineRule="exact"/>
        <w:ind w:firstLine="435"/>
        <w:rPr>
          <w:rFonts w:hint="eastAsia" w:hAnsi="宋体" w:cs="宋体"/>
          <w:color w:val="auto"/>
          <w:highlight w:val="none"/>
        </w:rPr>
      </w:pPr>
    </w:p>
    <w:p w14:paraId="27B0A34C">
      <w:pPr>
        <w:pStyle w:val="11"/>
        <w:spacing w:line="440" w:lineRule="exact"/>
        <w:ind w:firstLine="482"/>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（项目名称）       </w:t>
      </w:r>
      <w:r>
        <w:rPr>
          <w:rFonts w:hint="eastAsia" w:hAnsi="宋体" w:cs="宋体"/>
          <w:color w:val="auto"/>
          <w:highlight w:val="none"/>
        </w:rPr>
        <w:t xml:space="preserve">项目（项目编号：        ）的采购文件的全部内容，现正式递交下述文件参加贵方组织的本次政府采购活动： </w:t>
      </w:r>
    </w:p>
    <w:p w14:paraId="3E7556B4">
      <w:pPr>
        <w:pStyle w:val="11"/>
        <w:spacing w:line="440" w:lineRule="exact"/>
        <w:ind w:firstLine="482"/>
        <w:rPr>
          <w:rFonts w:hint="eastAsia" w:hAnsi="宋体" w:cs="宋体"/>
          <w:color w:val="auto"/>
          <w:highlight w:val="none"/>
        </w:rPr>
      </w:pPr>
      <w:r>
        <w:rPr>
          <w:rFonts w:hint="eastAsia" w:hAnsi="宋体" w:cs="宋体"/>
          <w:color w:val="auto"/>
          <w:highlight w:val="none"/>
        </w:rPr>
        <w:t>一、磋商响应文件（包含按服务商须知第10.1.1项、第10.1.2项、第10.1.3项要求提交的全部文件）；</w:t>
      </w:r>
    </w:p>
    <w:p w14:paraId="368C04CB">
      <w:pPr>
        <w:pStyle w:val="11"/>
        <w:spacing w:line="440" w:lineRule="exact"/>
        <w:ind w:firstLine="482"/>
        <w:rPr>
          <w:rFonts w:hint="eastAsia" w:hAnsi="宋体" w:cs="宋体"/>
          <w:color w:val="auto"/>
          <w:highlight w:val="none"/>
        </w:rPr>
      </w:pPr>
      <w:r>
        <w:rPr>
          <w:rFonts w:hint="eastAsia" w:hAnsi="宋体" w:cs="宋体"/>
          <w:color w:val="auto"/>
          <w:highlight w:val="none"/>
        </w:rPr>
        <w:t>据此函，签字人兹宣布同意如下：</w:t>
      </w:r>
    </w:p>
    <w:p w14:paraId="34A0AB93">
      <w:pPr>
        <w:pStyle w:val="11"/>
        <w:spacing w:line="500" w:lineRule="exact"/>
        <w:ind w:firstLine="420"/>
        <w:rPr>
          <w:rFonts w:hint="eastAsia" w:hAnsi="宋体" w:cs="宋体"/>
          <w:color w:val="auto"/>
          <w:spacing w:val="10"/>
          <w:highlight w:val="none"/>
          <w:u w:val="single"/>
        </w:rPr>
      </w:pPr>
      <w:r>
        <w:rPr>
          <w:rFonts w:hint="eastAsia" w:hAnsi="宋体" w:cs="宋体"/>
          <w:color w:val="auto"/>
          <w:highlight w:val="none"/>
        </w:rPr>
        <w:t>1、我方根据招标文件采购项目服务内容及要求作出投标总报价为</w:t>
      </w:r>
      <w:r>
        <w:rPr>
          <w:rFonts w:hint="eastAsia" w:hAnsi="宋体" w:cs="宋体"/>
          <w:color w:val="auto"/>
          <w:spacing w:val="10"/>
          <w:highlight w:val="none"/>
        </w:rPr>
        <w:t>（</w:t>
      </w:r>
      <w:r>
        <w:rPr>
          <w:rFonts w:hint="eastAsia" w:hAnsi="宋体" w:cs="宋体"/>
          <w:color w:val="auto"/>
          <w:highlight w:val="none"/>
        </w:rPr>
        <w:t>人民币</w:t>
      </w:r>
      <w:r>
        <w:rPr>
          <w:rFonts w:hint="eastAsia" w:hAnsi="宋体" w:cs="宋体"/>
          <w:color w:val="auto"/>
          <w:spacing w:val="10"/>
          <w:highlight w:val="none"/>
        </w:rPr>
        <w:t>）</w:t>
      </w:r>
      <w:r>
        <w:rPr>
          <w:rFonts w:hint="eastAsia" w:hAnsi="宋体" w:cs="宋体"/>
          <w:color w:val="auto"/>
          <w:highlight w:val="none"/>
        </w:rPr>
        <w:t>：</w:t>
      </w:r>
    </w:p>
    <w:p w14:paraId="12E2F95A">
      <w:pPr>
        <w:pStyle w:val="11"/>
        <w:spacing w:line="500" w:lineRule="exact"/>
        <w:ind w:firstLine="420"/>
        <w:rPr>
          <w:rFonts w:hint="eastAsia" w:hAnsi="宋体" w:cs="宋体"/>
          <w:color w:val="auto"/>
          <w:spacing w:val="10"/>
          <w:sz w:val="32"/>
          <w:highlight w:val="none"/>
        </w:rPr>
      </w:pPr>
      <w:r>
        <w:rPr>
          <w:rFonts w:hint="eastAsia" w:hAnsi="宋体" w:cs="宋体"/>
          <w:color w:val="auto"/>
          <w:spacing w:val="10"/>
          <w:highlight w:val="none"/>
        </w:rPr>
        <w:t>（￥</w:t>
      </w:r>
      <w:r>
        <w:rPr>
          <w:rFonts w:hint="eastAsia" w:hAnsi="宋体" w:cs="宋体"/>
          <w:color w:val="auto"/>
          <w:spacing w:val="10"/>
          <w:highlight w:val="none"/>
          <w:u w:val="single"/>
        </w:rPr>
        <w:t xml:space="preserve">              </w:t>
      </w:r>
      <w:r>
        <w:rPr>
          <w:rFonts w:hint="eastAsia" w:hAnsi="宋体" w:cs="宋体"/>
          <w:color w:val="auto"/>
          <w:spacing w:val="10"/>
          <w:highlight w:val="none"/>
        </w:rPr>
        <w:t>），承诺服务期：</w:t>
      </w:r>
      <w:r>
        <w:rPr>
          <w:rFonts w:hint="eastAsia" w:hAnsi="宋体" w:cs="宋体"/>
          <w:color w:val="auto"/>
          <w:spacing w:val="10"/>
          <w:highlight w:val="none"/>
          <w:u w:val="single"/>
        </w:rPr>
        <w:t xml:space="preserve">                 </w:t>
      </w:r>
      <w:r>
        <w:rPr>
          <w:rFonts w:hint="eastAsia" w:hAnsi="宋体" w:cs="宋体"/>
          <w:color w:val="auto"/>
          <w:spacing w:val="10"/>
          <w:highlight w:val="none"/>
        </w:rPr>
        <w:t>。</w:t>
      </w:r>
    </w:p>
    <w:p w14:paraId="2884A818">
      <w:pPr>
        <w:pStyle w:val="11"/>
        <w:spacing w:line="440" w:lineRule="exact"/>
        <w:ind w:firstLine="482"/>
        <w:rPr>
          <w:rFonts w:hint="eastAsia" w:hAnsi="宋体" w:cs="宋体"/>
          <w:color w:val="auto"/>
          <w:highlight w:val="none"/>
        </w:rPr>
      </w:pPr>
      <w:r>
        <w:rPr>
          <w:rFonts w:hint="eastAsia" w:hAnsi="宋体" w:cs="宋体"/>
          <w:color w:val="auto"/>
          <w:highlight w:val="none"/>
        </w:rPr>
        <w:t>2、我方同意自本项目采购文件“服务商须知”第15.1项规定的</w:t>
      </w:r>
      <w:r>
        <w:rPr>
          <w:rFonts w:hint="eastAsia" w:hAnsi="宋体" w:cs="宋体"/>
          <w:color w:val="auto"/>
          <w:highlight w:val="none"/>
          <w:lang w:eastAsia="zh-CN"/>
        </w:rPr>
        <w:t>磋商</w:t>
      </w:r>
      <w:r>
        <w:rPr>
          <w:rFonts w:hint="eastAsia" w:hAnsi="宋体" w:cs="宋体"/>
          <w:color w:val="auto"/>
          <w:highlight w:val="none"/>
        </w:rPr>
        <w:t>截止时间起遵循本磋商函，并承诺在“服务商须知”第12.1项规定的</w:t>
      </w:r>
      <w:r>
        <w:rPr>
          <w:rFonts w:hint="eastAsia" w:hAnsi="宋体" w:cs="宋体"/>
          <w:color w:val="auto"/>
          <w:highlight w:val="none"/>
          <w:lang w:eastAsia="zh-CN"/>
        </w:rPr>
        <w:t>磋商</w:t>
      </w:r>
      <w:r>
        <w:rPr>
          <w:rFonts w:hint="eastAsia" w:hAnsi="宋体" w:cs="宋体"/>
          <w:color w:val="auto"/>
          <w:highlight w:val="none"/>
        </w:rPr>
        <w:t>有效期内不修改、撤销磋商响应文件。</w:t>
      </w:r>
    </w:p>
    <w:p w14:paraId="0431759E">
      <w:pPr>
        <w:pStyle w:val="11"/>
        <w:spacing w:line="440" w:lineRule="exact"/>
        <w:ind w:firstLine="482"/>
        <w:rPr>
          <w:rFonts w:hint="eastAsia" w:hAnsi="宋体" w:cs="宋体"/>
          <w:color w:val="auto"/>
          <w:highlight w:val="none"/>
        </w:rPr>
      </w:pPr>
      <w:r>
        <w:rPr>
          <w:rFonts w:hint="eastAsia" w:hAnsi="宋体" w:cs="宋体"/>
          <w:color w:val="auto"/>
          <w:highlight w:val="none"/>
        </w:rPr>
        <w:t>3、我方在此声明，所递交的磋商响应文件及有关资料内容完整、真实和准确。</w:t>
      </w:r>
    </w:p>
    <w:p w14:paraId="7879DA27">
      <w:pPr>
        <w:pStyle w:val="11"/>
        <w:spacing w:line="360" w:lineRule="exact"/>
        <w:ind w:firstLine="420" w:firstLineChars="200"/>
        <w:rPr>
          <w:rFonts w:hint="eastAsia" w:hAnsi="宋体" w:cs="宋体"/>
          <w:color w:val="auto"/>
          <w:highlight w:val="none"/>
        </w:rPr>
      </w:pPr>
      <w:r>
        <w:rPr>
          <w:rFonts w:hint="eastAsia" w:hAnsi="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4、我方承诺未被列入失信被执行人、重大税收违法案件当事人名单、政府采购严重违法失信行为记录名单，并已经具备《中华人民共和国政府采购法》中规定的参加政府采购活动的服务商应当具备的条件：</w:t>
      </w:r>
    </w:p>
    <w:p w14:paraId="75B30D5D">
      <w:pPr>
        <w:pStyle w:val="11"/>
        <w:numPr>
          <w:ilvl w:val="0"/>
          <w:numId w:val="15"/>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7114AB15">
      <w:pPr>
        <w:pStyle w:val="11"/>
        <w:numPr>
          <w:ilvl w:val="0"/>
          <w:numId w:val="15"/>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40F44009">
      <w:pPr>
        <w:pStyle w:val="11"/>
        <w:numPr>
          <w:ilvl w:val="0"/>
          <w:numId w:val="15"/>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75497966">
      <w:pPr>
        <w:pStyle w:val="11"/>
        <w:numPr>
          <w:ilvl w:val="0"/>
          <w:numId w:val="15"/>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1EC33FFC">
      <w:pPr>
        <w:pStyle w:val="11"/>
        <w:numPr>
          <w:ilvl w:val="0"/>
          <w:numId w:val="15"/>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437A58D3">
      <w:pPr>
        <w:pStyle w:val="11"/>
        <w:numPr>
          <w:ilvl w:val="0"/>
          <w:numId w:val="15"/>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47AE6BEC">
      <w:pPr>
        <w:pStyle w:val="11"/>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w:t>
      </w:r>
      <w:r>
        <w:rPr>
          <w:rFonts w:hint="eastAsia" w:hAnsi="宋体" w:cs="宋体"/>
          <w:color w:val="auto"/>
          <w:szCs w:val="21"/>
          <w:highlight w:val="none"/>
          <w:lang w:eastAsia="zh-CN"/>
        </w:rPr>
        <w:t>磋商</w:t>
      </w:r>
      <w:r>
        <w:rPr>
          <w:rFonts w:hint="eastAsia" w:hAnsi="宋体" w:cs="宋体"/>
          <w:color w:val="auto"/>
          <w:szCs w:val="21"/>
          <w:highlight w:val="none"/>
        </w:rPr>
        <w:t>（包括资格条件和所投产品）均符合国家有关强制规定。</w:t>
      </w:r>
    </w:p>
    <w:p w14:paraId="096F0B56">
      <w:pPr>
        <w:pStyle w:val="11"/>
        <w:spacing w:line="440" w:lineRule="exact"/>
        <w:ind w:firstLine="482"/>
        <w:rPr>
          <w:rFonts w:hint="eastAsia" w:hAnsi="宋体" w:cs="宋体"/>
          <w:color w:val="auto"/>
          <w:highlight w:val="none"/>
        </w:rPr>
      </w:pPr>
      <w:r>
        <w:rPr>
          <w:rFonts w:hint="eastAsia" w:hAnsi="宋体" w:cs="宋体"/>
          <w:color w:val="auto"/>
          <w:highlight w:val="none"/>
        </w:rPr>
        <w:t>6、如我方成交，我方承诺在收到成交通知书后，在成交通知书规定的期限内，根据采购文件、我方的磋商响应文件及有关澄清承诺书的要求按第六章“合同条款及格式”与采购人订立书面合同，并按照合同约定承担完成合同的责任和义务。</w:t>
      </w:r>
    </w:p>
    <w:p w14:paraId="0412AA7A">
      <w:pPr>
        <w:pStyle w:val="11"/>
        <w:spacing w:line="440" w:lineRule="exact"/>
        <w:ind w:firstLine="482"/>
        <w:rPr>
          <w:rFonts w:hint="eastAsia" w:hAnsi="宋体" w:cs="宋体"/>
          <w:color w:val="auto"/>
          <w:highlight w:val="none"/>
        </w:rPr>
      </w:pPr>
      <w:r>
        <w:rPr>
          <w:rFonts w:hint="eastAsia" w:hAnsi="宋体" w:cs="宋体"/>
          <w:color w:val="auto"/>
          <w:highlight w:val="none"/>
        </w:rPr>
        <w:t>7、我方已详细审核采购文件，我方知道必须放弃提出含糊不清或误解问题的权利。</w:t>
      </w:r>
    </w:p>
    <w:p w14:paraId="5B22C1B1">
      <w:pPr>
        <w:pStyle w:val="11"/>
        <w:spacing w:line="440" w:lineRule="exact"/>
        <w:ind w:firstLine="482"/>
        <w:rPr>
          <w:rFonts w:hint="eastAsia" w:hAnsi="宋体" w:cs="宋体"/>
          <w:color w:val="auto"/>
          <w:highlight w:val="none"/>
        </w:rPr>
      </w:pPr>
      <w:r>
        <w:rPr>
          <w:rFonts w:hint="eastAsia" w:hAnsi="宋体" w:cs="宋体"/>
          <w:color w:val="auto"/>
          <w:highlight w:val="none"/>
        </w:rPr>
        <w:t>8、我方同意应贵方要求提供与本</w:t>
      </w:r>
      <w:r>
        <w:rPr>
          <w:rFonts w:hint="eastAsia" w:hAnsi="宋体" w:cs="宋体"/>
          <w:color w:val="auto"/>
          <w:highlight w:val="none"/>
          <w:lang w:eastAsia="zh-CN"/>
        </w:rPr>
        <w:t>磋商</w:t>
      </w:r>
      <w:r>
        <w:rPr>
          <w:rFonts w:hint="eastAsia" w:hAnsi="宋体" w:cs="宋体"/>
          <w:color w:val="auto"/>
          <w:highlight w:val="none"/>
        </w:rPr>
        <w:t>有关的任何数据或资料。若贵方需要，我方愿意提供我方作出的一切承诺的证明材料。</w:t>
      </w:r>
    </w:p>
    <w:p w14:paraId="5F6D860E">
      <w:pPr>
        <w:pStyle w:val="11"/>
        <w:spacing w:line="440" w:lineRule="exact"/>
        <w:ind w:firstLine="482"/>
        <w:rPr>
          <w:rFonts w:hint="eastAsia" w:hAnsi="宋体" w:cs="宋体"/>
          <w:color w:val="auto"/>
          <w:highlight w:val="none"/>
        </w:rPr>
      </w:pPr>
      <w:r>
        <w:rPr>
          <w:rFonts w:hint="eastAsia" w:hAnsi="宋体" w:cs="宋体"/>
          <w:color w:val="auto"/>
          <w:highlight w:val="none"/>
        </w:rPr>
        <w:t>9、我方完全理解贵方不一定接受</w:t>
      </w:r>
      <w:r>
        <w:rPr>
          <w:rFonts w:hint="eastAsia" w:hAnsi="宋体" w:cs="宋体"/>
          <w:color w:val="auto"/>
          <w:highlight w:val="none"/>
          <w:lang w:eastAsia="zh-CN"/>
        </w:rPr>
        <w:t>磋商</w:t>
      </w:r>
      <w:r>
        <w:rPr>
          <w:rFonts w:hint="eastAsia" w:hAnsi="宋体" w:cs="宋体"/>
          <w:color w:val="auto"/>
          <w:highlight w:val="none"/>
        </w:rPr>
        <w:t>报价最低的服务商为成交服务商的行为。</w:t>
      </w:r>
    </w:p>
    <w:p w14:paraId="07BCB05D">
      <w:pPr>
        <w:pStyle w:val="11"/>
        <w:spacing w:line="440" w:lineRule="exact"/>
        <w:ind w:firstLine="482"/>
        <w:rPr>
          <w:rFonts w:hint="eastAsia" w:hAnsi="宋体" w:cs="宋体"/>
          <w:color w:val="auto"/>
          <w:highlight w:val="none"/>
        </w:rPr>
      </w:pPr>
      <w:r>
        <w:rPr>
          <w:rFonts w:hint="eastAsia" w:hAnsi="宋体" w:cs="宋体"/>
          <w:color w:val="auto"/>
          <w:highlight w:val="none"/>
        </w:rPr>
        <w:t>10、我方将严格遵守《中华人民共和国政府采购法》第七十七条的规定，即服务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C69B20">
      <w:pPr>
        <w:pStyle w:val="11"/>
        <w:numPr>
          <w:ilvl w:val="0"/>
          <w:numId w:val="16"/>
        </w:numPr>
        <w:spacing w:line="440" w:lineRule="exact"/>
        <w:rPr>
          <w:rFonts w:hint="eastAsia" w:hAnsi="宋体" w:cs="宋体"/>
          <w:color w:val="auto"/>
          <w:highlight w:val="none"/>
        </w:rPr>
      </w:pPr>
      <w:r>
        <w:rPr>
          <w:rFonts w:hint="eastAsia" w:hAnsi="宋体" w:cs="宋体"/>
          <w:color w:val="auto"/>
          <w:highlight w:val="none"/>
        </w:rPr>
        <w:t>提供虚假材料谋取成交的；</w:t>
      </w:r>
    </w:p>
    <w:p w14:paraId="1A3A156F">
      <w:pPr>
        <w:pStyle w:val="11"/>
        <w:numPr>
          <w:ilvl w:val="0"/>
          <w:numId w:val="16"/>
        </w:numPr>
        <w:spacing w:line="440" w:lineRule="exact"/>
        <w:rPr>
          <w:rFonts w:hint="eastAsia" w:hAnsi="宋体" w:cs="宋体"/>
          <w:color w:val="auto"/>
          <w:highlight w:val="none"/>
        </w:rPr>
      </w:pPr>
      <w:r>
        <w:rPr>
          <w:rFonts w:hint="eastAsia" w:hAnsi="宋体" w:cs="宋体"/>
          <w:color w:val="auto"/>
          <w:highlight w:val="none"/>
        </w:rPr>
        <w:t>采取不正当手段诋毁、排挤其他服务商的；</w:t>
      </w:r>
    </w:p>
    <w:p w14:paraId="41551213">
      <w:pPr>
        <w:pStyle w:val="11"/>
        <w:numPr>
          <w:ilvl w:val="0"/>
          <w:numId w:val="16"/>
        </w:numPr>
        <w:spacing w:line="440" w:lineRule="exact"/>
        <w:rPr>
          <w:rFonts w:hint="eastAsia" w:hAnsi="宋体" w:cs="宋体"/>
          <w:color w:val="auto"/>
          <w:highlight w:val="none"/>
        </w:rPr>
      </w:pPr>
      <w:r>
        <w:rPr>
          <w:rFonts w:hint="eastAsia" w:hAnsi="宋体" w:cs="宋体"/>
          <w:color w:val="auto"/>
          <w:highlight w:val="none"/>
        </w:rPr>
        <w:t>与采购人、其他服务商或者采购代理机构恶意串通的；</w:t>
      </w:r>
    </w:p>
    <w:p w14:paraId="77A33911">
      <w:pPr>
        <w:pStyle w:val="11"/>
        <w:numPr>
          <w:ilvl w:val="0"/>
          <w:numId w:val="16"/>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4BD13D08">
      <w:pPr>
        <w:pStyle w:val="11"/>
        <w:spacing w:line="440" w:lineRule="exact"/>
        <w:ind w:firstLine="420" w:firstLineChars="200"/>
        <w:rPr>
          <w:rFonts w:hint="eastAsia" w:hAnsi="宋体" w:cs="宋体"/>
          <w:color w:val="auto"/>
          <w:highlight w:val="none"/>
        </w:rPr>
      </w:pPr>
      <w:r>
        <w:rPr>
          <w:rFonts w:hint="eastAsia" w:hAnsi="宋体" w:cs="宋体"/>
          <w:color w:val="auto"/>
          <w:highlight w:val="none"/>
        </w:rPr>
        <w:t>（5）  拒绝有关部门监督检查或提供虚假情况的。</w:t>
      </w:r>
    </w:p>
    <w:p w14:paraId="351F3F7D">
      <w:pPr>
        <w:pStyle w:val="11"/>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0AD36140">
      <w:pPr>
        <w:pStyle w:val="11"/>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6A46889F">
      <w:pPr>
        <w:pStyle w:val="11"/>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2EF43AB1">
      <w:pPr>
        <w:pStyle w:val="11"/>
        <w:spacing w:line="360" w:lineRule="auto"/>
        <w:ind w:firstLine="420"/>
        <w:rPr>
          <w:rFonts w:hint="eastAsia" w:hAnsi="宋体" w:cs="宋体"/>
          <w:color w:val="auto"/>
          <w:highlight w:val="none"/>
          <w:u w:val="single"/>
        </w:rPr>
      </w:pPr>
      <w:r>
        <w:rPr>
          <w:rFonts w:hint="eastAsia" w:hAnsi="宋体" w:cs="宋体"/>
          <w:color w:val="auto"/>
          <w:highlight w:val="none"/>
        </w:rPr>
        <w:t>服务商：</w:t>
      </w:r>
      <w:r>
        <w:rPr>
          <w:rFonts w:hint="eastAsia" w:hAnsi="宋体" w:cs="宋体"/>
          <w:color w:val="auto"/>
          <w:highlight w:val="none"/>
          <w:u w:val="single"/>
        </w:rPr>
        <w:t xml:space="preserve">                                         </w:t>
      </w:r>
      <w:r>
        <w:rPr>
          <w:rFonts w:hint="eastAsia" w:hAnsi="宋体" w:cs="宋体"/>
          <w:color w:val="auto"/>
          <w:highlight w:val="none"/>
        </w:rPr>
        <w:t>（盖单位公章）</w:t>
      </w:r>
    </w:p>
    <w:p w14:paraId="6A7C6699">
      <w:pPr>
        <w:pStyle w:val="11"/>
        <w:spacing w:line="360" w:lineRule="auto"/>
        <w:ind w:firstLine="420"/>
        <w:rPr>
          <w:rFonts w:hint="eastAsia" w:hAnsi="宋体" w:cs="宋体"/>
          <w:color w:val="auto"/>
          <w:highlight w:val="none"/>
        </w:rPr>
      </w:pPr>
      <w:r>
        <w:rPr>
          <w:rFonts w:hint="eastAsia" w:hAnsi="宋体" w:cs="宋体"/>
          <w:color w:val="auto"/>
          <w:highlight w:val="none"/>
        </w:rPr>
        <w:t>法定代表人或其委托代理人：</w:t>
      </w:r>
      <w:r>
        <w:rPr>
          <w:rFonts w:hint="eastAsia" w:hAnsi="宋体" w:cs="宋体"/>
          <w:color w:val="auto"/>
          <w:highlight w:val="none"/>
          <w:u w:val="single"/>
        </w:rPr>
        <w:t xml:space="preserve">                       </w:t>
      </w:r>
      <w:r>
        <w:rPr>
          <w:rFonts w:hint="eastAsia" w:hAnsi="宋体" w:cs="宋体"/>
          <w:color w:val="auto"/>
          <w:highlight w:val="none"/>
        </w:rPr>
        <w:t>（签字或盖章）</w:t>
      </w:r>
    </w:p>
    <w:p w14:paraId="4178F4AB">
      <w:pPr>
        <w:pStyle w:val="11"/>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584F0BFA">
      <w:pPr>
        <w:pStyle w:val="11"/>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6B8B5713">
      <w:pPr>
        <w:pStyle w:val="11"/>
        <w:spacing w:line="360" w:lineRule="auto"/>
        <w:ind w:firstLine="420"/>
        <w:rPr>
          <w:rFonts w:hint="eastAsia" w:hAnsi="宋体" w:cs="宋体"/>
          <w:color w:val="auto"/>
          <w:highlight w:val="none"/>
        </w:rPr>
      </w:pPr>
      <w:r>
        <w:rPr>
          <w:rFonts w:hint="eastAsia" w:hAnsi="宋体" w:cs="宋体"/>
          <w:color w:val="auto"/>
          <w:highlight w:val="none"/>
        </w:rPr>
        <w:t>邮箱：</w:t>
      </w:r>
      <w:r>
        <w:rPr>
          <w:rFonts w:hint="eastAsia" w:hAnsi="宋体" w:cs="宋体"/>
          <w:color w:val="auto"/>
          <w:highlight w:val="none"/>
          <w:u w:val="single"/>
        </w:rPr>
        <w:t>　　　　　　　　　　　　　　　　　　　　　　　　　　　　</w:t>
      </w:r>
    </w:p>
    <w:p w14:paraId="5B986B43">
      <w:pPr>
        <w:pStyle w:val="11"/>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0157D0D2">
      <w:pPr>
        <w:pStyle w:val="11"/>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20F2B5D9">
      <w:pPr>
        <w:pStyle w:val="11"/>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A370A18">
      <w:pPr>
        <w:pStyle w:val="11"/>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4C8B0BE7">
      <w:pPr>
        <w:pStyle w:val="11"/>
        <w:spacing w:line="360" w:lineRule="auto"/>
        <w:ind w:firstLine="420"/>
        <w:rPr>
          <w:rFonts w:hint="eastAsia" w:hAnsi="宋体" w:cs="宋体"/>
          <w:color w:val="auto"/>
          <w:highlight w:val="none"/>
          <w:u w:val="single"/>
        </w:rPr>
      </w:pPr>
      <w:r>
        <w:rPr>
          <w:rFonts w:hint="eastAsia" w:hAnsi="宋体" w:cs="宋体"/>
          <w:bCs/>
          <w:color w:val="auto"/>
          <w:highlight w:val="none"/>
          <w:u w:val="single"/>
        </w:rPr>
        <w:t xml:space="preserve">    </w:t>
      </w:r>
      <w:r>
        <w:rPr>
          <w:rFonts w:hint="eastAsia" w:hAnsi="宋体" w:cs="宋体"/>
          <w:bCs/>
          <w:color w:val="auto"/>
          <w:szCs w:val="21"/>
          <w:highlight w:val="none"/>
        </w:rPr>
        <w:t>年</w:t>
      </w:r>
      <w:r>
        <w:rPr>
          <w:rFonts w:hint="eastAsia" w:hAnsi="宋体" w:cs="宋体"/>
          <w:bCs/>
          <w:color w:val="auto"/>
          <w:highlight w:val="none"/>
          <w:u w:val="single"/>
        </w:rPr>
        <w:t xml:space="preserve">    </w:t>
      </w:r>
      <w:r>
        <w:rPr>
          <w:rFonts w:hint="eastAsia" w:hAnsi="宋体" w:cs="宋体"/>
          <w:bCs/>
          <w:color w:val="auto"/>
          <w:szCs w:val="21"/>
          <w:highlight w:val="none"/>
        </w:rPr>
        <w:t>月</w:t>
      </w:r>
      <w:r>
        <w:rPr>
          <w:rFonts w:hint="eastAsia" w:hAnsi="宋体" w:cs="宋体"/>
          <w:bCs/>
          <w:color w:val="auto"/>
          <w:highlight w:val="none"/>
          <w:u w:val="single"/>
        </w:rPr>
        <w:t xml:space="preserve">    </w:t>
      </w:r>
      <w:r>
        <w:rPr>
          <w:rFonts w:hint="eastAsia" w:hAnsi="宋体" w:cs="宋体"/>
          <w:bCs/>
          <w:color w:val="auto"/>
          <w:szCs w:val="21"/>
          <w:highlight w:val="none"/>
        </w:rPr>
        <w:t>日</w:t>
      </w:r>
      <w:r>
        <w:rPr>
          <w:rFonts w:hint="eastAsia" w:hAnsi="宋体" w:cs="宋体"/>
          <w:b/>
          <w:bCs/>
          <w:color w:val="auto"/>
          <w:highlight w:val="none"/>
        </w:rPr>
        <w:br w:type="page"/>
      </w:r>
      <w:r>
        <w:rPr>
          <w:rFonts w:hint="eastAsia" w:hAnsi="宋体" w:cs="宋体"/>
          <w:b/>
          <w:color w:val="auto"/>
          <w:highlight w:val="none"/>
        </w:rPr>
        <w:t>格式2：</w:t>
      </w:r>
    </w:p>
    <w:p w14:paraId="0D548290">
      <w:pPr>
        <w:pStyle w:val="11"/>
        <w:spacing w:line="500" w:lineRule="exact"/>
        <w:jc w:val="center"/>
        <w:rPr>
          <w:rFonts w:hint="eastAsia" w:hAnsi="宋体" w:cs="宋体"/>
          <w:b/>
          <w:bCs/>
          <w:color w:val="auto"/>
          <w:sz w:val="44"/>
          <w:szCs w:val="44"/>
          <w:highlight w:val="none"/>
        </w:rPr>
      </w:pPr>
      <w:r>
        <w:rPr>
          <w:rFonts w:hint="eastAsia" w:hAnsi="宋体" w:cs="宋体"/>
          <w:b/>
          <w:bCs/>
          <w:color w:val="auto"/>
          <w:sz w:val="44"/>
          <w:szCs w:val="44"/>
          <w:highlight w:val="none"/>
        </w:rPr>
        <w:t>磋 商 报 价 表</w:t>
      </w:r>
    </w:p>
    <w:p w14:paraId="7E217DD0">
      <w:pPr>
        <w:pStyle w:val="11"/>
        <w:spacing w:line="500" w:lineRule="exact"/>
        <w:jc w:val="center"/>
        <w:rPr>
          <w:rFonts w:hint="eastAsia" w:hAnsi="宋体" w:cs="宋体"/>
          <w:b/>
          <w:bCs/>
          <w:color w:val="auto"/>
          <w:sz w:val="30"/>
          <w:szCs w:val="30"/>
          <w:highlight w:val="none"/>
        </w:rPr>
      </w:pPr>
    </w:p>
    <w:p w14:paraId="65E49AE8">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分标（如有）：</w:t>
      </w:r>
      <w:r>
        <w:rPr>
          <w:rFonts w:hint="eastAsia" w:ascii="宋体" w:hAnsi="宋体" w:eastAsia="宋体" w:cs="宋体"/>
          <w:color w:val="auto"/>
          <w:sz w:val="24"/>
          <w:highlight w:val="none"/>
          <w:u w:val="single"/>
        </w:rPr>
        <w:t xml:space="preserve">            </w:t>
      </w:r>
    </w:p>
    <w:p w14:paraId="0E17AA59">
      <w:pPr>
        <w:pStyle w:val="11"/>
        <w:spacing w:line="500" w:lineRule="exact"/>
        <w:rPr>
          <w:rFonts w:hint="eastAsia" w:hAnsi="宋体" w:cs="宋体"/>
          <w:color w:val="auto"/>
          <w:sz w:val="24"/>
          <w:szCs w:val="24"/>
          <w:highlight w:val="none"/>
        </w:rPr>
      </w:pPr>
      <w:r>
        <w:rPr>
          <w:rFonts w:hint="eastAsia" w:hAnsi="宋体" w:cs="宋体"/>
          <w:color w:val="auto"/>
          <w:sz w:val="24"/>
          <w:szCs w:val="24"/>
          <w:highlight w:val="none"/>
        </w:rPr>
        <w:t>供应商名称：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CEED9AC">
      <w:pPr>
        <w:pStyle w:val="11"/>
        <w:spacing w:line="500" w:lineRule="exact"/>
        <w:rPr>
          <w:rFonts w:hint="eastAsia" w:hAnsi="宋体" w:cs="宋体"/>
          <w:color w:val="auto"/>
          <w:sz w:val="24"/>
          <w:szCs w:val="24"/>
          <w:highlight w:val="none"/>
        </w:rPr>
      </w:pPr>
    </w:p>
    <w:p w14:paraId="32215DF2">
      <w:pPr>
        <w:pStyle w:val="11"/>
        <w:spacing w:line="500" w:lineRule="exact"/>
        <w:rPr>
          <w:rFonts w:hint="eastAsia" w:hAnsi="宋体" w:cs="宋体"/>
          <w:b/>
          <w:bCs/>
          <w:color w:val="auto"/>
          <w:sz w:val="30"/>
          <w:szCs w:val="30"/>
          <w:highlight w:val="none"/>
        </w:rPr>
      </w:pPr>
      <w:r>
        <w:rPr>
          <w:rFonts w:hint="eastAsia" w:hAnsi="宋体" w:cs="宋体"/>
          <w:color w:val="auto"/>
          <w:sz w:val="24"/>
          <w:szCs w:val="24"/>
          <w:highlight w:val="none"/>
        </w:rPr>
        <w:t xml:space="preserve">     </w:t>
      </w:r>
    </w:p>
    <w:tbl>
      <w:tblPr>
        <w:tblStyle w:val="24"/>
        <w:tblW w:w="928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619"/>
        <w:gridCol w:w="1439"/>
        <w:gridCol w:w="1620"/>
        <w:gridCol w:w="1259"/>
        <w:gridCol w:w="1259"/>
        <w:gridCol w:w="1445"/>
      </w:tblGrid>
      <w:tr w14:paraId="20FE7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648" w:type="dxa"/>
            <w:shd w:val="clear" w:color="auto" w:fill="auto"/>
            <w:noWrap/>
            <w:textDirection w:val="tbRlV"/>
            <w:vAlign w:val="center"/>
          </w:tcPr>
          <w:p w14:paraId="451DEB2D">
            <w:pPr>
              <w:widowControl/>
              <w:kinsoku w:val="0"/>
              <w:autoSpaceDE w:val="0"/>
              <w:autoSpaceDN w:val="0"/>
              <w:adjustRightInd w:val="0"/>
              <w:snapToGrid w:val="0"/>
              <w:spacing w:before="167" w:line="211" w:lineRule="auto"/>
              <w:ind w:left="183"/>
              <w:jc w:val="center"/>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spacing w:val="-15"/>
                <w:kern w:val="0"/>
                <w:szCs w:val="21"/>
                <w:highlight w:val="none"/>
              </w:rPr>
              <w:t>序</w:t>
            </w:r>
            <w:r>
              <w:rPr>
                <w:rFonts w:hint="eastAsia" w:ascii="宋体" w:hAnsi="宋体" w:eastAsia="宋体" w:cs="宋体"/>
                <w:snapToGrid w:val="0"/>
                <w:color w:val="auto"/>
                <w:spacing w:val="-13"/>
                <w:kern w:val="0"/>
                <w:szCs w:val="21"/>
                <w:highlight w:val="none"/>
              </w:rPr>
              <w:t xml:space="preserve"> 号</w:t>
            </w:r>
          </w:p>
        </w:tc>
        <w:tc>
          <w:tcPr>
            <w:tcW w:w="1619" w:type="dxa"/>
            <w:shd w:val="clear" w:color="auto" w:fill="auto"/>
            <w:noWrap/>
            <w:vAlign w:val="center"/>
          </w:tcPr>
          <w:p w14:paraId="27D3E428">
            <w:pPr>
              <w:widowControl/>
              <w:kinsoku w:val="0"/>
              <w:autoSpaceDE w:val="0"/>
              <w:autoSpaceDN w:val="0"/>
              <w:adjustRightInd w:val="0"/>
              <w:snapToGrid w:val="0"/>
              <w:spacing w:before="183" w:line="256" w:lineRule="auto"/>
              <w:ind w:left="703" w:right="178" w:hanging="522"/>
              <w:jc w:val="center"/>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spacing w:val="-1"/>
                <w:kern w:val="0"/>
                <w:szCs w:val="21"/>
                <w:highlight w:val="none"/>
              </w:rPr>
              <w:t>服务名</w:t>
            </w:r>
            <w:r>
              <w:rPr>
                <w:rFonts w:hint="eastAsia" w:ascii="宋体" w:hAnsi="宋体" w:eastAsia="宋体" w:cs="宋体"/>
                <w:snapToGrid w:val="0"/>
                <w:color w:val="auto"/>
                <w:kern w:val="0"/>
                <w:szCs w:val="21"/>
                <w:highlight w:val="none"/>
              </w:rPr>
              <w:t>称</w:t>
            </w:r>
          </w:p>
        </w:tc>
        <w:tc>
          <w:tcPr>
            <w:tcW w:w="1439" w:type="dxa"/>
            <w:shd w:val="clear" w:color="auto" w:fill="auto"/>
            <w:noWrap/>
            <w:vAlign w:val="center"/>
          </w:tcPr>
          <w:p w14:paraId="06E49EF6">
            <w:pPr>
              <w:widowControl/>
              <w:kinsoku w:val="0"/>
              <w:autoSpaceDE w:val="0"/>
              <w:autoSpaceDN w:val="0"/>
              <w:adjustRightInd w:val="0"/>
              <w:snapToGrid w:val="0"/>
              <w:spacing w:before="68" w:line="221" w:lineRule="auto"/>
              <w:ind w:left="304" w:firstLine="210" w:firstLineChars="100"/>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620" w:type="dxa"/>
            <w:shd w:val="clear" w:color="auto" w:fill="auto"/>
            <w:noWrap/>
            <w:vAlign w:val="center"/>
          </w:tcPr>
          <w:p w14:paraId="0BB30156">
            <w:pPr>
              <w:widowControl/>
              <w:kinsoku w:val="0"/>
              <w:autoSpaceDE w:val="0"/>
              <w:autoSpaceDN w:val="0"/>
              <w:adjustRightInd w:val="0"/>
              <w:snapToGrid w:val="0"/>
              <w:spacing w:line="249" w:lineRule="auto"/>
              <w:jc w:val="center"/>
              <w:textAlignment w:val="baseline"/>
              <w:rPr>
                <w:rFonts w:hint="eastAsia" w:ascii="宋体" w:hAnsi="宋体" w:eastAsia="宋体" w:cs="宋体"/>
                <w:snapToGrid w:val="0"/>
                <w:color w:val="auto"/>
                <w:kern w:val="0"/>
                <w:szCs w:val="21"/>
                <w:highlight w:val="none"/>
              </w:rPr>
            </w:pPr>
          </w:p>
          <w:p w14:paraId="6D46FC08">
            <w:pPr>
              <w:widowControl/>
              <w:kinsoku w:val="0"/>
              <w:autoSpaceDE w:val="0"/>
              <w:autoSpaceDN w:val="0"/>
              <w:adjustRightInd w:val="0"/>
              <w:snapToGrid w:val="0"/>
              <w:spacing w:before="68" w:line="221" w:lineRule="auto"/>
              <w:ind w:left="289" w:firstLine="206" w:firstLineChars="100"/>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spacing w:val="-2"/>
                <w:kern w:val="0"/>
                <w:szCs w:val="21"/>
                <w:highlight w:val="none"/>
              </w:rPr>
              <w:t>单位</w:t>
            </w:r>
          </w:p>
        </w:tc>
        <w:tc>
          <w:tcPr>
            <w:tcW w:w="1259" w:type="dxa"/>
            <w:shd w:val="clear" w:color="auto" w:fill="auto"/>
            <w:noWrap/>
            <w:vAlign w:val="center"/>
          </w:tcPr>
          <w:p w14:paraId="573FBD29">
            <w:pPr>
              <w:widowControl/>
              <w:kinsoku w:val="0"/>
              <w:autoSpaceDE w:val="0"/>
              <w:autoSpaceDN w:val="0"/>
              <w:adjustRightInd w:val="0"/>
              <w:snapToGrid w:val="0"/>
              <w:spacing w:before="68" w:line="219" w:lineRule="auto"/>
              <w:jc w:val="center"/>
              <w:textAlignment w:val="baseline"/>
              <w:rPr>
                <w:rFonts w:hint="eastAsia" w:ascii="宋体" w:hAnsi="宋体" w:eastAsia="宋体" w:cs="宋体"/>
                <w:snapToGrid w:val="0"/>
                <w:color w:val="auto"/>
                <w:spacing w:val="-2"/>
                <w:kern w:val="0"/>
                <w:szCs w:val="21"/>
                <w:highlight w:val="none"/>
              </w:rPr>
            </w:pPr>
            <w:r>
              <w:rPr>
                <w:rFonts w:hint="eastAsia" w:ascii="宋体" w:hAnsi="宋体" w:eastAsia="宋体" w:cs="宋体"/>
                <w:snapToGrid w:val="0"/>
                <w:color w:val="auto"/>
                <w:spacing w:val="-2"/>
                <w:kern w:val="0"/>
                <w:szCs w:val="21"/>
                <w:highlight w:val="none"/>
              </w:rPr>
              <w:t>单价</w:t>
            </w:r>
          </w:p>
        </w:tc>
        <w:tc>
          <w:tcPr>
            <w:tcW w:w="1259" w:type="dxa"/>
            <w:shd w:val="clear" w:color="auto" w:fill="auto"/>
            <w:noWrap/>
            <w:vAlign w:val="center"/>
          </w:tcPr>
          <w:p w14:paraId="4348AA48">
            <w:pPr>
              <w:widowControl/>
              <w:kinsoku w:val="0"/>
              <w:autoSpaceDE w:val="0"/>
              <w:autoSpaceDN w:val="0"/>
              <w:adjustRightInd w:val="0"/>
              <w:snapToGrid w:val="0"/>
              <w:spacing w:line="250" w:lineRule="auto"/>
              <w:jc w:val="center"/>
              <w:textAlignment w:val="baseline"/>
              <w:rPr>
                <w:rFonts w:hint="eastAsia" w:ascii="宋体" w:hAnsi="宋体" w:eastAsia="宋体" w:cs="宋体"/>
                <w:snapToGrid w:val="0"/>
                <w:color w:val="auto"/>
                <w:kern w:val="0"/>
                <w:szCs w:val="21"/>
                <w:highlight w:val="none"/>
              </w:rPr>
            </w:pPr>
          </w:p>
          <w:p w14:paraId="55B96492">
            <w:pPr>
              <w:widowControl/>
              <w:kinsoku w:val="0"/>
              <w:autoSpaceDE w:val="0"/>
              <w:autoSpaceDN w:val="0"/>
              <w:adjustRightInd w:val="0"/>
              <w:snapToGrid w:val="0"/>
              <w:spacing w:before="68" w:line="219" w:lineRule="auto"/>
              <w:jc w:val="center"/>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spacing w:val="-2"/>
                <w:kern w:val="0"/>
                <w:szCs w:val="21"/>
                <w:highlight w:val="none"/>
              </w:rPr>
              <w:t>总价（元）</w:t>
            </w:r>
          </w:p>
        </w:tc>
        <w:tc>
          <w:tcPr>
            <w:tcW w:w="1445" w:type="dxa"/>
            <w:shd w:val="clear" w:color="auto" w:fill="auto"/>
            <w:noWrap/>
            <w:vAlign w:val="center"/>
          </w:tcPr>
          <w:p w14:paraId="44541BC4">
            <w:pPr>
              <w:widowControl/>
              <w:kinsoku w:val="0"/>
              <w:autoSpaceDE w:val="0"/>
              <w:autoSpaceDN w:val="0"/>
              <w:adjustRightInd w:val="0"/>
              <w:snapToGrid w:val="0"/>
              <w:spacing w:line="250" w:lineRule="auto"/>
              <w:jc w:val="center"/>
              <w:textAlignment w:val="baseline"/>
              <w:rPr>
                <w:rFonts w:hint="eastAsia" w:ascii="宋体" w:hAnsi="宋体" w:eastAsia="宋体" w:cs="宋体"/>
                <w:snapToGrid w:val="0"/>
                <w:color w:val="auto"/>
                <w:kern w:val="0"/>
                <w:szCs w:val="21"/>
                <w:highlight w:val="none"/>
              </w:rPr>
            </w:pPr>
          </w:p>
          <w:p w14:paraId="69BA092A">
            <w:pPr>
              <w:widowControl/>
              <w:kinsoku w:val="0"/>
              <w:autoSpaceDE w:val="0"/>
              <w:autoSpaceDN w:val="0"/>
              <w:adjustRightInd w:val="0"/>
              <w:snapToGrid w:val="0"/>
              <w:spacing w:before="68" w:line="222" w:lineRule="auto"/>
              <w:ind w:left="517"/>
              <w:jc w:val="center"/>
              <w:textAlignment w:val="baseline"/>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spacing w:val="-3"/>
                <w:kern w:val="0"/>
                <w:szCs w:val="21"/>
                <w:highlight w:val="none"/>
              </w:rPr>
              <w:t>备</w:t>
            </w:r>
            <w:r>
              <w:rPr>
                <w:rFonts w:hint="eastAsia" w:ascii="宋体" w:hAnsi="宋体" w:eastAsia="宋体" w:cs="宋体"/>
                <w:snapToGrid w:val="0"/>
                <w:color w:val="auto"/>
                <w:spacing w:val="-2"/>
                <w:kern w:val="0"/>
                <w:szCs w:val="21"/>
                <w:highlight w:val="none"/>
              </w:rPr>
              <w:t>注</w:t>
            </w:r>
          </w:p>
        </w:tc>
      </w:tr>
      <w:tr w14:paraId="3054C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48" w:type="dxa"/>
            <w:shd w:val="clear" w:color="auto" w:fill="auto"/>
            <w:noWrap/>
          </w:tcPr>
          <w:p w14:paraId="5E2A30DE">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619" w:type="dxa"/>
            <w:shd w:val="clear" w:color="auto" w:fill="auto"/>
            <w:noWrap/>
          </w:tcPr>
          <w:p w14:paraId="13A1AEDC">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439" w:type="dxa"/>
            <w:shd w:val="clear" w:color="auto" w:fill="auto"/>
            <w:noWrap/>
          </w:tcPr>
          <w:p w14:paraId="3CBDEB37">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620" w:type="dxa"/>
            <w:shd w:val="clear" w:color="auto" w:fill="auto"/>
            <w:noWrap/>
          </w:tcPr>
          <w:p w14:paraId="5CF566C9">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259" w:type="dxa"/>
            <w:shd w:val="clear" w:color="auto" w:fill="auto"/>
            <w:noWrap/>
          </w:tcPr>
          <w:p w14:paraId="4D7503A3">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259" w:type="dxa"/>
            <w:shd w:val="clear" w:color="auto" w:fill="auto"/>
            <w:noWrap/>
          </w:tcPr>
          <w:p w14:paraId="1D195D28">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445" w:type="dxa"/>
            <w:shd w:val="clear" w:color="auto" w:fill="auto"/>
            <w:noWrap/>
          </w:tcPr>
          <w:p w14:paraId="7117924F">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r>
      <w:tr w14:paraId="35E24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648" w:type="dxa"/>
            <w:shd w:val="clear" w:color="auto" w:fill="auto"/>
            <w:noWrap/>
          </w:tcPr>
          <w:p w14:paraId="3F1D3F84">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619" w:type="dxa"/>
            <w:shd w:val="clear" w:color="auto" w:fill="auto"/>
            <w:noWrap/>
          </w:tcPr>
          <w:p w14:paraId="601A8192">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439" w:type="dxa"/>
            <w:shd w:val="clear" w:color="auto" w:fill="auto"/>
            <w:noWrap/>
          </w:tcPr>
          <w:p w14:paraId="73E996FA">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620" w:type="dxa"/>
            <w:shd w:val="clear" w:color="auto" w:fill="auto"/>
            <w:noWrap/>
          </w:tcPr>
          <w:p w14:paraId="6351E5F6">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259" w:type="dxa"/>
            <w:shd w:val="clear" w:color="auto" w:fill="auto"/>
            <w:noWrap/>
          </w:tcPr>
          <w:p w14:paraId="57EFF2FF">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259" w:type="dxa"/>
            <w:shd w:val="clear" w:color="auto" w:fill="auto"/>
            <w:noWrap/>
          </w:tcPr>
          <w:p w14:paraId="2B49F84E">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c>
          <w:tcPr>
            <w:tcW w:w="1445" w:type="dxa"/>
            <w:shd w:val="clear" w:color="auto" w:fill="auto"/>
            <w:noWrap/>
          </w:tcPr>
          <w:p w14:paraId="4FC78FBE">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r>
      <w:tr w14:paraId="6997D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289" w:type="dxa"/>
            <w:gridSpan w:val="7"/>
            <w:shd w:val="clear" w:color="auto" w:fill="auto"/>
            <w:noWrap/>
          </w:tcPr>
          <w:p w14:paraId="45375A1A">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7887C98">
            <w:pPr>
              <w:pStyle w:val="9"/>
              <w:rPr>
                <w:rFonts w:hint="eastAsia" w:ascii="宋体" w:hAnsi="宋体" w:eastAsia="宋体" w:cs="宋体"/>
                <w:color w:val="auto"/>
                <w:highlight w:val="none"/>
              </w:rPr>
            </w:pPr>
            <w:r>
              <w:rPr>
                <w:rFonts w:hint="eastAsia" w:ascii="宋体" w:hAnsi="宋体" w:eastAsia="宋体" w:cs="宋体"/>
                <w:color w:val="auto"/>
                <w:sz w:val="24"/>
                <w:highlight w:val="none"/>
              </w:rPr>
              <w:t>服务期限：</w:t>
            </w:r>
          </w:p>
          <w:p w14:paraId="4A20DBAA">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Cs w:val="21"/>
                <w:highlight w:val="none"/>
              </w:rPr>
            </w:pPr>
          </w:p>
        </w:tc>
      </w:tr>
    </w:tbl>
    <w:p w14:paraId="0189A885">
      <w:pPr>
        <w:pStyle w:val="11"/>
        <w:spacing w:line="500" w:lineRule="exact"/>
        <w:rPr>
          <w:rFonts w:hint="eastAsia" w:hAnsi="宋体" w:cs="宋体"/>
          <w:b/>
          <w:bCs/>
          <w:color w:val="auto"/>
          <w:sz w:val="30"/>
          <w:szCs w:val="30"/>
          <w:highlight w:val="none"/>
        </w:rPr>
      </w:pPr>
    </w:p>
    <w:p w14:paraId="19129CE8">
      <w:pPr>
        <w:pStyle w:val="11"/>
        <w:spacing w:line="500" w:lineRule="exact"/>
        <w:jc w:val="center"/>
        <w:rPr>
          <w:rFonts w:hint="eastAsia" w:hAnsi="宋体" w:cs="宋体"/>
          <w:b/>
          <w:bCs/>
          <w:color w:val="auto"/>
          <w:sz w:val="30"/>
          <w:szCs w:val="30"/>
          <w:highlight w:val="none"/>
        </w:rPr>
      </w:pPr>
    </w:p>
    <w:p w14:paraId="7A1A38A9">
      <w:pPr>
        <w:pStyle w:val="11"/>
        <w:rPr>
          <w:rFonts w:hint="eastAsia" w:hAnsi="宋体" w:cs="宋体"/>
          <w:b/>
          <w:color w:val="auto"/>
          <w:highlight w:val="none"/>
        </w:rPr>
      </w:pPr>
    </w:p>
    <w:p w14:paraId="5AFCA291">
      <w:pPr>
        <w:pStyle w:val="11"/>
        <w:rPr>
          <w:rFonts w:hint="eastAsia" w:hAnsi="宋体" w:cs="宋体"/>
          <w:b/>
          <w:color w:val="auto"/>
          <w:highlight w:val="none"/>
        </w:rPr>
      </w:pPr>
    </w:p>
    <w:p w14:paraId="28F57DF4">
      <w:pPr>
        <w:pStyle w:val="11"/>
        <w:rPr>
          <w:rFonts w:hint="eastAsia" w:hAnsi="宋体" w:cs="宋体"/>
          <w:b/>
          <w:color w:val="auto"/>
          <w:highlight w:val="none"/>
        </w:rPr>
      </w:pPr>
    </w:p>
    <w:p w14:paraId="6CEDB4FB">
      <w:pPr>
        <w:pStyle w:val="11"/>
        <w:rPr>
          <w:rFonts w:hint="eastAsia" w:hAnsi="宋体" w:cs="宋体"/>
          <w:b/>
          <w:color w:val="auto"/>
          <w:highlight w:val="none"/>
        </w:rPr>
      </w:pPr>
    </w:p>
    <w:p w14:paraId="7644FBFD">
      <w:pPr>
        <w:pStyle w:val="11"/>
        <w:rPr>
          <w:rFonts w:hint="eastAsia" w:hAnsi="宋体" w:cs="宋体"/>
          <w:b/>
          <w:color w:val="auto"/>
          <w:highlight w:val="none"/>
        </w:rPr>
      </w:pPr>
    </w:p>
    <w:p w14:paraId="4F840E06">
      <w:pPr>
        <w:pStyle w:val="11"/>
        <w:rPr>
          <w:rFonts w:hint="eastAsia" w:hAnsi="宋体" w:cs="宋体"/>
          <w:b/>
          <w:color w:val="auto"/>
          <w:highlight w:val="none"/>
        </w:rPr>
      </w:pPr>
    </w:p>
    <w:p w14:paraId="181AD26D">
      <w:pPr>
        <w:pStyle w:val="11"/>
        <w:rPr>
          <w:rFonts w:hint="eastAsia" w:hAnsi="宋体" w:cs="宋体"/>
          <w:b/>
          <w:color w:val="auto"/>
          <w:highlight w:val="none"/>
        </w:rPr>
      </w:pPr>
    </w:p>
    <w:p w14:paraId="580755B2">
      <w:pPr>
        <w:pStyle w:val="11"/>
        <w:rPr>
          <w:rFonts w:hint="eastAsia" w:hAnsi="宋体" w:cs="宋体"/>
          <w:b/>
          <w:color w:val="auto"/>
          <w:highlight w:val="none"/>
        </w:rPr>
      </w:pPr>
    </w:p>
    <w:p w14:paraId="2C6F6D0D">
      <w:pPr>
        <w:pStyle w:val="11"/>
        <w:rPr>
          <w:rFonts w:hint="eastAsia" w:hAnsi="宋体" w:cs="宋体"/>
          <w:b/>
          <w:color w:val="auto"/>
          <w:highlight w:val="none"/>
        </w:rPr>
      </w:pPr>
    </w:p>
    <w:p w14:paraId="49B747F7">
      <w:pPr>
        <w:pStyle w:val="11"/>
        <w:rPr>
          <w:rFonts w:hint="eastAsia" w:hAnsi="宋体" w:cs="宋体"/>
          <w:b/>
          <w:color w:val="auto"/>
          <w:highlight w:val="none"/>
        </w:rPr>
      </w:pPr>
    </w:p>
    <w:p w14:paraId="1750AA12">
      <w:pPr>
        <w:pStyle w:val="11"/>
        <w:rPr>
          <w:rFonts w:hint="eastAsia" w:hAnsi="宋体" w:cs="宋体"/>
          <w:b/>
          <w:color w:val="auto"/>
          <w:highlight w:val="none"/>
        </w:rPr>
      </w:pPr>
    </w:p>
    <w:p w14:paraId="0C993821">
      <w:pPr>
        <w:pStyle w:val="11"/>
        <w:rPr>
          <w:rFonts w:hint="eastAsia" w:hAnsi="宋体" w:cs="宋体"/>
          <w:b/>
          <w:color w:val="auto"/>
          <w:highlight w:val="none"/>
        </w:rPr>
      </w:pPr>
    </w:p>
    <w:p w14:paraId="6D0AF751">
      <w:pPr>
        <w:pStyle w:val="11"/>
        <w:rPr>
          <w:rFonts w:hint="eastAsia" w:hAnsi="宋体" w:cs="宋体"/>
          <w:b/>
          <w:color w:val="auto"/>
          <w:highlight w:val="none"/>
        </w:rPr>
      </w:pPr>
    </w:p>
    <w:p w14:paraId="58BEDA81">
      <w:pPr>
        <w:pStyle w:val="11"/>
        <w:rPr>
          <w:rFonts w:hint="eastAsia" w:hAnsi="宋体" w:cs="宋体"/>
          <w:b/>
          <w:color w:val="auto"/>
          <w:highlight w:val="none"/>
        </w:rPr>
      </w:pPr>
    </w:p>
    <w:p w14:paraId="2CD17F46">
      <w:pPr>
        <w:pStyle w:val="11"/>
        <w:rPr>
          <w:rFonts w:hint="eastAsia" w:hAnsi="宋体" w:cs="宋体"/>
          <w:b/>
          <w:color w:val="auto"/>
          <w:highlight w:val="none"/>
        </w:rPr>
      </w:pPr>
    </w:p>
    <w:p w14:paraId="7C0C764B">
      <w:pPr>
        <w:pStyle w:val="11"/>
        <w:rPr>
          <w:rFonts w:hint="eastAsia" w:hAnsi="宋体" w:cs="宋体"/>
          <w:b/>
          <w:color w:val="auto"/>
          <w:highlight w:val="none"/>
        </w:rPr>
      </w:pPr>
    </w:p>
    <w:p w14:paraId="05232199">
      <w:pPr>
        <w:pStyle w:val="11"/>
        <w:rPr>
          <w:rFonts w:hint="eastAsia" w:hAnsi="宋体" w:cs="宋体"/>
          <w:b/>
          <w:color w:val="auto"/>
          <w:highlight w:val="none"/>
        </w:rPr>
      </w:pPr>
    </w:p>
    <w:p w14:paraId="2FCC91EC">
      <w:pPr>
        <w:pStyle w:val="9"/>
        <w:rPr>
          <w:rFonts w:hint="eastAsia" w:ascii="宋体" w:hAnsi="宋体" w:eastAsia="宋体" w:cs="宋体"/>
          <w:color w:val="auto"/>
          <w:highlight w:val="none"/>
        </w:rPr>
      </w:pPr>
    </w:p>
    <w:p w14:paraId="5606CC12">
      <w:pPr>
        <w:pStyle w:val="11"/>
        <w:rPr>
          <w:rFonts w:hint="eastAsia" w:hAnsi="宋体" w:cs="宋体"/>
          <w:color w:val="auto"/>
          <w:highlight w:val="none"/>
        </w:rPr>
      </w:pPr>
      <w:r>
        <w:rPr>
          <w:rFonts w:hint="eastAsia" w:hAnsi="宋体" w:cs="宋体"/>
          <w:b/>
          <w:color w:val="auto"/>
          <w:highlight w:val="none"/>
        </w:rPr>
        <w:t>格式3：</w:t>
      </w:r>
      <w:r>
        <w:rPr>
          <w:rFonts w:hint="eastAsia" w:hAnsi="宋体" w:cs="宋体"/>
          <w:color w:val="auto"/>
          <w:highlight w:val="none"/>
        </w:rPr>
        <w:t xml:space="preserve"> </w:t>
      </w:r>
    </w:p>
    <w:p w14:paraId="5DCFB75D">
      <w:pPr>
        <w:pStyle w:val="11"/>
        <w:jc w:val="center"/>
        <w:rPr>
          <w:rFonts w:hint="eastAsia" w:hAnsi="宋体" w:cs="宋体"/>
          <w:color w:val="auto"/>
          <w:highlight w:val="none"/>
        </w:rPr>
      </w:pPr>
    </w:p>
    <w:p w14:paraId="04BA490D">
      <w:pPr>
        <w:pStyle w:val="11"/>
        <w:jc w:val="center"/>
        <w:rPr>
          <w:rFonts w:hint="eastAsia" w:hAnsi="宋体" w:cs="宋体"/>
          <w:b/>
          <w:color w:val="auto"/>
          <w:sz w:val="30"/>
          <w:szCs w:val="30"/>
          <w:highlight w:val="none"/>
        </w:rPr>
      </w:pPr>
      <w:r>
        <w:rPr>
          <w:rFonts w:hint="eastAsia" w:hAnsi="宋体" w:cs="宋体"/>
          <w:b/>
          <w:color w:val="auto"/>
          <w:sz w:val="30"/>
          <w:szCs w:val="30"/>
          <w:highlight w:val="none"/>
        </w:rPr>
        <w:t>中小企业声明函（工程、服务）</w:t>
      </w:r>
    </w:p>
    <w:p w14:paraId="7991182A">
      <w:pPr>
        <w:spacing w:line="360" w:lineRule="auto"/>
        <w:ind w:firstLine="55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本公司（联合体）郑重声明，本公司（联合体）参加</w:t>
      </w:r>
      <w:r>
        <w:rPr>
          <w:rFonts w:hint="eastAsia" w:ascii="宋体" w:hAnsi="宋体" w:eastAsia="宋体" w:cs="宋体"/>
          <w:color w:val="auto"/>
          <w:kern w:val="0"/>
          <w:szCs w:val="21"/>
          <w:highlight w:val="none"/>
          <w:u w:val="single"/>
        </w:rPr>
        <w:t>（单位名称）</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58F60C">
      <w:pPr>
        <w:spacing w:line="360" w:lineRule="auto"/>
        <w:ind w:firstLine="55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Cs w:val="21"/>
          <w:highlight w:val="none"/>
        </w:rPr>
        <w:t>；</w:t>
      </w:r>
    </w:p>
    <w:p w14:paraId="45E40EB0">
      <w:pPr>
        <w:spacing w:line="360" w:lineRule="auto"/>
        <w:ind w:firstLine="55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 </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Cs w:val="21"/>
          <w:highlight w:val="none"/>
        </w:rPr>
        <w:t>；</w:t>
      </w:r>
    </w:p>
    <w:p w14:paraId="59145818">
      <w:pPr>
        <w:spacing w:line="360" w:lineRule="auto"/>
        <w:ind w:firstLine="55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 </w:t>
      </w:r>
    </w:p>
    <w:p w14:paraId="7C84689B">
      <w:pPr>
        <w:spacing w:line="360" w:lineRule="auto"/>
        <w:ind w:firstLine="55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以上企业，不属于大企业的分支机构，不存在控股股东为大企业的情形，也不存在与大企业的负责人为同一人的情形。</w:t>
      </w:r>
    </w:p>
    <w:p w14:paraId="7EAE04FB">
      <w:pPr>
        <w:spacing w:line="360" w:lineRule="auto"/>
        <w:ind w:firstLine="55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本企业对上述声明内容的真实性负责。如有虚假，将依法承担相应责任。</w:t>
      </w:r>
    </w:p>
    <w:p w14:paraId="750208FE">
      <w:pPr>
        <w:spacing w:line="360" w:lineRule="auto"/>
        <w:ind w:firstLine="354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企业名称（盖章）： </w:t>
      </w:r>
    </w:p>
    <w:p w14:paraId="6A1FE332">
      <w:pPr>
        <w:spacing w:line="360" w:lineRule="auto"/>
        <w:ind w:firstLine="354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日 期： </w:t>
      </w:r>
    </w:p>
    <w:p w14:paraId="645BD6CB">
      <w:pPr>
        <w:ind w:firstLine="552"/>
        <w:rPr>
          <w:rFonts w:hint="eastAsia" w:ascii="宋体" w:hAnsi="宋体" w:eastAsia="宋体" w:cs="宋体"/>
          <w:color w:val="auto"/>
          <w:kern w:val="0"/>
          <w:szCs w:val="21"/>
          <w:highlight w:val="none"/>
        </w:rPr>
      </w:pPr>
    </w:p>
    <w:p w14:paraId="324C1D96">
      <w:pPr>
        <w:pStyle w:val="11"/>
        <w:spacing w:line="500" w:lineRule="exact"/>
        <w:rPr>
          <w:rFonts w:hint="eastAsia" w:hAnsi="宋体" w:cs="宋体"/>
          <w:b/>
          <w:color w:val="auto"/>
          <w:sz w:val="24"/>
          <w:highlight w:val="none"/>
        </w:rPr>
      </w:pPr>
      <w:r>
        <w:rPr>
          <w:rFonts w:hint="eastAsia" w:hAnsi="宋体" w:cs="宋体"/>
          <w:color w:val="auto"/>
          <w:kern w:val="0"/>
          <w:szCs w:val="21"/>
          <w:highlight w:val="none"/>
        </w:rPr>
        <w:t>1从业人员、营业收入、资产总额填报上一年度数据，无上一年度数据的新成立企业可不填报。</w:t>
      </w:r>
      <w:r>
        <w:rPr>
          <w:rFonts w:hint="eastAsia" w:hAnsi="宋体" w:cs="宋体"/>
          <w:color w:val="auto"/>
          <w:szCs w:val="21"/>
          <w:highlight w:val="none"/>
        </w:rPr>
        <w:br w:type="page"/>
      </w:r>
      <w:r>
        <w:rPr>
          <w:rFonts w:hint="eastAsia" w:hAnsi="宋体" w:cs="宋体"/>
          <w:b/>
          <w:color w:val="auto"/>
          <w:sz w:val="24"/>
          <w:highlight w:val="none"/>
        </w:rPr>
        <w:t>监狱企业的证明文件</w:t>
      </w:r>
    </w:p>
    <w:p w14:paraId="2D17D64A">
      <w:pPr>
        <w:snapToGrid w:val="0"/>
        <w:spacing w:before="50" w:after="165" w:afterLines="50" w:line="400" w:lineRule="exact"/>
        <w:jc w:val="left"/>
        <w:rPr>
          <w:rFonts w:hint="eastAsia" w:ascii="宋体" w:hAnsi="宋体" w:eastAsia="宋体" w:cs="宋体"/>
          <w:b/>
          <w:color w:val="auto"/>
          <w:sz w:val="24"/>
          <w:highlight w:val="none"/>
        </w:rPr>
      </w:pPr>
      <w:bookmarkStart w:id="37" w:name="OLE_LINK14"/>
      <w:bookmarkStart w:id="38" w:name="OLE_LINK13"/>
      <w:r>
        <w:rPr>
          <w:rFonts w:hint="eastAsia" w:ascii="宋体" w:hAnsi="宋体" w:eastAsia="宋体" w:cs="宋体"/>
          <w:b/>
          <w:color w:val="auto"/>
          <w:sz w:val="24"/>
          <w:highlight w:val="none"/>
        </w:rPr>
        <w:t>残疾人福利性单位声明函（格式）：</w:t>
      </w:r>
    </w:p>
    <w:p w14:paraId="0684A3B6">
      <w:pPr>
        <w:spacing w:line="588"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残疾人福利性单位声明函</w:t>
      </w:r>
    </w:p>
    <w:bookmarkEnd w:id="37"/>
    <w:bookmarkEnd w:id="38"/>
    <w:p w14:paraId="298933E4">
      <w:pPr>
        <w:spacing w:line="588" w:lineRule="exact"/>
        <w:rPr>
          <w:rFonts w:hint="eastAsia" w:ascii="宋体" w:hAnsi="宋体" w:eastAsia="宋体" w:cs="宋体"/>
          <w:color w:val="auto"/>
          <w:spacing w:val="6"/>
          <w:sz w:val="24"/>
          <w:highlight w:val="none"/>
        </w:rPr>
      </w:pPr>
    </w:p>
    <w:p w14:paraId="0F988334">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EE1F68">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1237B77E">
      <w:pPr>
        <w:spacing w:line="588" w:lineRule="exact"/>
        <w:ind w:firstLine="504" w:firstLineChars="200"/>
        <w:rPr>
          <w:rFonts w:hint="eastAsia" w:ascii="宋体" w:hAnsi="宋体" w:eastAsia="宋体" w:cs="宋体"/>
          <w:color w:val="auto"/>
          <w:spacing w:val="6"/>
          <w:sz w:val="24"/>
          <w:highlight w:val="none"/>
        </w:rPr>
      </w:pPr>
    </w:p>
    <w:p w14:paraId="7E872706">
      <w:pPr>
        <w:spacing w:line="588" w:lineRule="exact"/>
        <w:ind w:firstLine="504" w:firstLineChars="200"/>
        <w:rPr>
          <w:rFonts w:hint="eastAsia" w:ascii="宋体" w:hAnsi="宋体" w:eastAsia="宋体" w:cs="宋体"/>
          <w:color w:val="auto"/>
          <w:spacing w:val="6"/>
          <w:sz w:val="24"/>
          <w:highlight w:val="none"/>
        </w:rPr>
      </w:pPr>
    </w:p>
    <w:p w14:paraId="21F1119C">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14:paraId="383D4E09">
      <w:pPr>
        <w:tabs>
          <w:tab w:val="left" w:pos="4860"/>
        </w:tabs>
        <w:spacing w:line="588" w:lineRule="exact"/>
        <w:ind w:right="1560" w:firstLine="504" w:firstLineChars="200"/>
        <w:jc w:val="center"/>
        <w:rPr>
          <w:rFonts w:hint="eastAsia" w:ascii="宋体" w:hAnsi="宋体" w:eastAsia="宋体" w:cs="宋体"/>
          <w:b/>
          <w:color w:val="auto"/>
          <w:szCs w:val="21"/>
          <w:highlight w:val="none"/>
        </w:rPr>
      </w:pPr>
      <w:r>
        <w:rPr>
          <w:rFonts w:hint="eastAsia" w:ascii="宋体" w:hAnsi="宋体" w:eastAsia="宋体" w:cs="宋体"/>
          <w:color w:val="auto"/>
          <w:spacing w:val="6"/>
          <w:sz w:val="24"/>
          <w:highlight w:val="none"/>
        </w:rPr>
        <w:t xml:space="preserve">       日  期：</w:t>
      </w:r>
    </w:p>
    <w:p w14:paraId="22E78A3C">
      <w:pPr>
        <w:widowControl/>
        <w:jc w:val="left"/>
        <w:rPr>
          <w:rFonts w:hint="eastAsia" w:ascii="宋体" w:hAnsi="宋体" w:eastAsia="宋体" w:cs="宋体"/>
          <w:b/>
          <w:color w:val="auto"/>
          <w:kern w:val="0"/>
          <w:sz w:val="18"/>
          <w:szCs w:val="18"/>
          <w:highlight w:val="none"/>
        </w:rPr>
      </w:pPr>
    </w:p>
    <w:p w14:paraId="27AEE6E8">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备注：享受政府采购支持政策的残疾人福利性单位应当同时满足以下条件：</w:t>
      </w:r>
    </w:p>
    <w:p w14:paraId="7BDD1437">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（一）安置的残疾人占本单位在职职工人数的比例不低于25%（含25%），并且安置的残疾人人数不少于10人（含10人）；</w:t>
      </w:r>
    </w:p>
    <w:p w14:paraId="6B5D7C30">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（二）依法与安置的每位残疾人签订了一年以上（含一年）的劳动合同或服务协议；</w:t>
      </w:r>
    </w:p>
    <w:p w14:paraId="7C72212A">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（三）为安置的每位残疾人按月足额缴纳了基本养老保险、基本医疗保险、失业保险、工伤保险和生育保险等社会保险费；</w:t>
      </w:r>
    </w:p>
    <w:p w14:paraId="416F3F78">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（四）通过银行等金融机构向安置的每位残疾人，按月支付了不低于单位所在区县适用的经省级人民政府批准的月最低工资标准的工资；</w:t>
      </w:r>
    </w:p>
    <w:p w14:paraId="63E2B822">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（五）提供本单位制造的货物、承担的工程或者服务（以下简称产品），或者提供其他残疾人福利性单位制造的货物（不包括使用非残疾人福利性单位注册商标的货物）。</w:t>
      </w:r>
    </w:p>
    <w:p w14:paraId="0BBECC84">
      <w:pPr>
        <w:widowControl/>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B8A777">
      <w:pPr>
        <w:pStyle w:val="11"/>
        <w:spacing w:line="360" w:lineRule="auto"/>
        <w:rPr>
          <w:rFonts w:hint="eastAsia" w:hAnsi="宋体" w:cs="宋体"/>
          <w:color w:val="auto"/>
          <w:szCs w:val="21"/>
          <w:highlight w:val="none"/>
        </w:rPr>
      </w:pPr>
      <w:r>
        <w:rPr>
          <w:rFonts w:hint="eastAsia" w:hAnsi="宋体" w:cs="宋体"/>
          <w:color w:val="auto"/>
          <w:highlight w:val="none"/>
          <w:u w:val="single"/>
        </w:rPr>
        <w:br w:type="page"/>
      </w:r>
      <w:r>
        <w:rPr>
          <w:rFonts w:hint="eastAsia" w:hAnsi="宋体" w:cs="宋体"/>
          <w:b/>
          <w:color w:val="auto"/>
          <w:highlight w:val="none"/>
        </w:rPr>
        <w:t>格式4：</w:t>
      </w:r>
    </w:p>
    <w:p w14:paraId="13FD4CF6">
      <w:pPr>
        <w:pStyle w:val="11"/>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lang w:eastAsia="zh-CN"/>
        </w:rPr>
        <w:t>磋商</w:t>
      </w:r>
      <w:r>
        <w:rPr>
          <w:rFonts w:hint="eastAsia" w:hAnsi="宋体" w:cs="宋体"/>
          <w:b/>
          <w:bCs/>
          <w:color w:val="auto"/>
          <w:sz w:val="30"/>
          <w:szCs w:val="30"/>
          <w:highlight w:val="none"/>
        </w:rPr>
        <w:t>服务资料表（格式）</w:t>
      </w:r>
    </w:p>
    <w:p w14:paraId="777E2CD7">
      <w:pPr>
        <w:pStyle w:val="11"/>
        <w:spacing w:line="600" w:lineRule="exact"/>
        <w:ind w:firstLine="444" w:firstLineChars="200"/>
        <w:rPr>
          <w:rFonts w:hint="eastAsia" w:hAnsi="宋体" w:cs="宋体"/>
          <w:color w:val="auto"/>
          <w:spacing w:val="6"/>
          <w:szCs w:val="21"/>
          <w:highlight w:val="none"/>
        </w:rPr>
      </w:pPr>
    </w:p>
    <w:p w14:paraId="3E8B2C24">
      <w:pPr>
        <w:pStyle w:val="11"/>
        <w:spacing w:line="600" w:lineRule="exact"/>
        <w:ind w:firstLine="444" w:firstLineChars="200"/>
        <w:rPr>
          <w:rFonts w:hint="eastAsia" w:hAnsi="宋体" w:cs="宋体"/>
          <w:color w:val="auto"/>
          <w:spacing w:val="6"/>
          <w:szCs w:val="21"/>
          <w:highlight w:val="none"/>
        </w:rPr>
      </w:pPr>
      <w:r>
        <w:rPr>
          <w:rFonts w:hint="eastAsia" w:hAnsi="宋体" w:cs="宋体"/>
          <w:color w:val="auto"/>
          <w:spacing w:val="6"/>
          <w:szCs w:val="21"/>
          <w:highlight w:val="none"/>
        </w:rPr>
        <w:t>请根据所</w:t>
      </w:r>
      <w:r>
        <w:rPr>
          <w:rFonts w:hint="eastAsia" w:hAnsi="宋体" w:cs="宋体"/>
          <w:color w:val="auto"/>
          <w:spacing w:val="6"/>
          <w:szCs w:val="21"/>
          <w:highlight w:val="none"/>
          <w:lang w:eastAsia="zh-CN"/>
        </w:rPr>
        <w:t>磋商</w:t>
      </w:r>
      <w:r>
        <w:rPr>
          <w:rFonts w:hint="eastAsia" w:hAnsi="宋体" w:cs="宋体"/>
          <w:color w:val="auto"/>
          <w:spacing w:val="6"/>
          <w:szCs w:val="21"/>
          <w:highlight w:val="none"/>
        </w:rPr>
        <w:t>服务的实际技术参数，逐条对应本项目采购文件第二章“服务需求一览表”中的服务内容及要求详细填写相应的具体内容。“偏离说明”一栏应当选择“正偏离”、“负偏离”或“无偏离”进行填写。</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310"/>
        <w:gridCol w:w="1516"/>
        <w:gridCol w:w="2729"/>
        <w:gridCol w:w="1349"/>
      </w:tblGrid>
      <w:tr w14:paraId="319B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80" w:type="dxa"/>
            <w:vMerge w:val="restart"/>
            <w:tcBorders>
              <w:top w:val="single" w:color="auto" w:sz="4" w:space="0"/>
              <w:left w:val="single" w:color="auto" w:sz="4" w:space="0"/>
              <w:bottom w:val="single" w:color="auto" w:sz="4" w:space="0"/>
              <w:right w:val="single" w:color="auto" w:sz="4" w:space="0"/>
            </w:tcBorders>
            <w:noWrap/>
            <w:vAlign w:val="center"/>
          </w:tcPr>
          <w:p w14:paraId="7C293A9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14:paraId="54BA9B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采购文件需求</w:t>
            </w:r>
          </w:p>
        </w:tc>
        <w:tc>
          <w:tcPr>
            <w:tcW w:w="4245" w:type="dxa"/>
            <w:gridSpan w:val="2"/>
            <w:tcBorders>
              <w:top w:val="single" w:color="auto" w:sz="4" w:space="0"/>
              <w:left w:val="single" w:color="auto" w:sz="4" w:space="0"/>
              <w:bottom w:val="single" w:color="auto" w:sz="4" w:space="0"/>
              <w:right w:val="single" w:color="auto" w:sz="4" w:space="0"/>
            </w:tcBorders>
            <w:noWrap/>
            <w:vAlign w:val="center"/>
          </w:tcPr>
          <w:p w14:paraId="15EEA6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文件承诺</w:t>
            </w:r>
          </w:p>
        </w:tc>
        <w:tc>
          <w:tcPr>
            <w:tcW w:w="1349" w:type="dxa"/>
            <w:vMerge w:val="restart"/>
            <w:tcBorders>
              <w:top w:val="single" w:color="auto" w:sz="4" w:space="0"/>
              <w:left w:val="single" w:color="auto" w:sz="4" w:space="0"/>
              <w:bottom w:val="single" w:color="auto" w:sz="4" w:space="0"/>
              <w:right w:val="single" w:color="auto" w:sz="4" w:space="0"/>
            </w:tcBorders>
            <w:noWrap/>
            <w:vAlign w:val="center"/>
          </w:tcPr>
          <w:p w14:paraId="7F8879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5DD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ign w:val="center"/>
          </w:tcPr>
          <w:p w14:paraId="3285A96B">
            <w:pPr>
              <w:widowControl/>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CC1472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ign w:val="center"/>
          </w:tcPr>
          <w:p w14:paraId="2DD4C3B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noWrap/>
            <w:vAlign w:val="center"/>
          </w:tcPr>
          <w:p w14:paraId="566453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729" w:type="dxa"/>
            <w:tcBorders>
              <w:top w:val="single" w:color="auto" w:sz="4" w:space="0"/>
              <w:left w:val="single" w:color="auto" w:sz="4" w:space="0"/>
              <w:bottom w:val="single" w:color="auto" w:sz="4" w:space="0"/>
              <w:right w:val="single" w:color="auto" w:sz="4" w:space="0"/>
            </w:tcBorders>
            <w:noWrap/>
            <w:vAlign w:val="center"/>
          </w:tcPr>
          <w:p w14:paraId="61E5A0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1349" w:type="dxa"/>
            <w:vMerge w:val="continue"/>
            <w:tcBorders>
              <w:top w:val="single" w:color="auto" w:sz="4" w:space="0"/>
              <w:left w:val="single" w:color="auto" w:sz="4" w:space="0"/>
              <w:bottom w:val="single" w:color="auto" w:sz="4" w:space="0"/>
              <w:right w:val="single" w:color="auto" w:sz="4" w:space="0"/>
            </w:tcBorders>
            <w:noWrap/>
            <w:vAlign w:val="center"/>
          </w:tcPr>
          <w:p w14:paraId="415430B3">
            <w:pPr>
              <w:widowControl/>
              <w:jc w:val="left"/>
              <w:rPr>
                <w:rFonts w:hint="eastAsia" w:ascii="宋体" w:hAnsi="宋体" w:eastAsia="宋体" w:cs="宋体"/>
                <w:color w:val="auto"/>
                <w:szCs w:val="21"/>
                <w:highlight w:val="none"/>
              </w:rPr>
            </w:pPr>
          </w:p>
        </w:tc>
      </w:tr>
      <w:tr w14:paraId="5999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20F3A7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3E7E7EE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15D625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361D13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AA407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1BE597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6E79D9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29" w:type="dxa"/>
            <w:tcBorders>
              <w:top w:val="single" w:color="auto" w:sz="4" w:space="0"/>
              <w:left w:val="single" w:color="auto" w:sz="4" w:space="0"/>
              <w:bottom w:val="single" w:color="auto" w:sz="4" w:space="0"/>
              <w:right w:val="single" w:color="auto" w:sz="4" w:space="0"/>
            </w:tcBorders>
            <w:noWrap/>
            <w:vAlign w:val="center"/>
          </w:tcPr>
          <w:p w14:paraId="53AA5AC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6A2E2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978A9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F8D0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49" w:type="dxa"/>
            <w:tcBorders>
              <w:top w:val="single" w:color="auto" w:sz="4" w:space="0"/>
              <w:left w:val="single" w:color="auto" w:sz="4" w:space="0"/>
              <w:bottom w:val="single" w:color="auto" w:sz="4" w:space="0"/>
              <w:right w:val="single" w:color="auto" w:sz="4" w:space="0"/>
            </w:tcBorders>
            <w:noWrap/>
            <w:vAlign w:val="center"/>
          </w:tcPr>
          <w:p w14:paraId="0852552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46EB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670A96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1C4686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589C86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7E986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4DCC3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43255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5A139D0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29" w:type="dxa"/>
            <w:tcBorders>
              <w:top w:val="single" w:color="auto" w:sz="4" w:space="0"/>
              <w:left w:val="single" w:color="auto" w:sz="4" w:space="0"/>
              <w:bottom w:val="single" w:color="auto" w:sz="4" w:space="0"/>
              <w:right w:val="single" w:color="auto" w:sz="4" w:space="0"/>
            </w:tcBorders>
            <w:noWrap/>
            <w:vAlign w:val="center"/>
          </w:tcPr>
          <w:p w14:paraId="3D7AF3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0EC86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CE8B1C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5F810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49" w:type="dxa"/>
            <w:tcBorders>
              <w:top w:val="single" w:color="auto" w:sz="4" w:space="0"/>
              <w:left w:val="single" w:color="auto" w:sz="4" w:space="0"/>
              <w:bottom w:val="single" w:color="auto" w:sz="4" w:space="0"/>
              <w:right w:val="single" w:color="auto" w:sz="4" w:space="0"/>
            </w:tcBorders>
            <w:noWrap/>
            <w:vAlign w:val="center"/>
          </w:tcPr>
          <w:p w14:paraId="188BD1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4880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515002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057B2484">
            <w:pPr>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60347F8B">
            <w:pPr>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590DDC0C">
            <w:pPr>
              <w:rPr>
                <w:rFonts w:hint="eastAsia" w:ascii="宋体" w:hAnsi="宋体" w:eastAsia="宋体" w:cs="宋体"/>
                <w:color w:val="auto"/>
                <w:szCs w:val="21"/>
                <w:highlight w:val="none"/>
              </w:rPr>
            </w:pPr>
          </w:p>
        </w:tc>
        <w:tc>
          <w:tcPr>
            <w:tcW w:w="2729" w:type="dxa"/>
            <w:tcBorders>
              <w:top w:val="single" w:color="auto" w:sz="4" w:space="0"/>
              <w:left w:val="single" w:color="auto" w:sz="4" w:space="0"/>
              <w:bottom w:val="single" w:color="auto" w:sz="4" w:space="0"/>
              <w:right w:val="single" w:color="auto" w:sz="4" w:space="0"/>
            </w:tcBorders>
            <w:noWrap/>
            <w:vAlign w:val="center"/>
          </w:tcPr>
          <w:p w14:paraId="03BFAF6D">
            <w:pPr>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ign w:val="center"/>
          </w:tcPr>
          <w:p w14:paraId="6BB98DC2">
            <w:pPr>
              <w:rPr>
                <w:rFonts w:hint="eastAsia" w:ascii="宋体" w:hAnsi="宋体" w:eastAsia="宋体" w:cs="宋体"/>
                <w:color w:val="auto"/>
                <w:szCs w:val="21"/>
                <w:highlight w:val="none"/>
              </w:rPr>
            </w:pPr>
          </w:p>
        </w:tc>
      </w:tr>
      <w:tr w14:paraId="047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44" w:type="dxa"/>
            <w:gridSpan w:val="6"/>
            <w:tcBorders>
              <w:top w:val="single" w:color="auto" w:sz="4" w:space="0"/>
              <w:left w:val="single" w:color="auto" w:sz="4" w:space="0"/>
              <w:bottom w:val="single" w:color="auto" w:sz="4" w:space="0"/>
              <w:right w:val="single" w:color="auto" w:sz="4" w:space="0"/>
            </w:tcBorders>
            <w:noWrap/>
            <w:vAlign w:val="center"/>
          </w:tcPr>
          <w:p w14:paraId="7D6E1DBF">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DBF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44" w:type="dxa"/>
            <w:gridSpan w:val="6"/>
            <w:tcBorders>
              <w:top w:val="single" w:color="auto" w:sz="4" w:space="0"/>
              <w:left w:val="single" w:color="auto" w:sz="4" w:space="0"/>
              <w:bottom w:val="single" w:color="auto" w:sz="4" w:space="0"/>
              <w:right w:val="single" w:color="auto" w:sz="4" w:space="0"/>
            </w:tcBorders>
            <w:noWrap/>
            <w:vAlign w:val="center"/>
          </w:tcPr>
          <w:p w14:paraId="10CE19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服务商（盖单位公章）：</w:t>
            </w:r>
          </w:p>
        </w:tc>
      </w:tr>
      <w:tr w14:paraId="5A20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44" w:type="dxa"/>
            <w:gridSpan w:val="6"/>
            <w:tcBorders>
              <w:top w:val="single" w:color="auto" w:sz="4" w:space="0"/>
              <w:left w:val="single" w:color="auto" w:sz="4" w:space="0"/>
              <w:bottom w:val="single" w:color="auto" w:sz="4" w:space="0"/>
              <w:right w:val="single" w:color="auto" w:sz="4" w:space="0"/>
            </w:tcBorders>
            <w:noWrap/>
            <w:vAlign w:val="center"/>
          </w:tcPr>
          <w:p w14:paraId="485403C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法定代表人或其委托代理人（签字或盖章）：</w:t>
            </w:r>
          </w:p>
        </w:tc>
      </w:tr>
    </w:tbl>
    <w:p w14:paraId="3417EFE2">
      <w:pPr>
        <w:pStyle w:val="11"/>
        <w:spacing w:line="400" w:lineRule="exact"/>
        <w:rPr>
          <w:rFonts w:hint="eastAsia" w:hAnsi="宋体" w:cs="宋体"/>
          <w:color w:val="auto"/>
          <w:szCs w:val="21"/>
          <w:highlight w:val="none"/>
        </w:rPr>
      </w:pPr>
      <w:r>
        <w:rPr>
          <w:rFonts w:hint="eastAsia" w:hAnsi="宋体" w:cs="宋体"/>
          <w:color w:val="auto"/>
          <w:szCs w:val="21"/>
          <w:highlight w:val="none"/>
        </w:rPr>
        <w:t>注：</w:t>
      </w:r>
    </w:p>
    <w:p w14:paraId="155A75E3">
      <w:pPr>
        <w:pStyle w:val="11"/>
        <w:spacing w:line="400" w:lineRule="exact"/>
        <w:rPr>
          <w:rFonts w:hint="eastAsia" w:hAnsi="宋体" w:cs="宋体"/>
          <w:bCs/>
          <w:color w:val="auto"/>
          <w:szCs w:val="21"/>
          <w:highlight w:val="none"/>
        </w:rPr>
      </w:pPr>
      <w:r>
        <w:rPr>
          <w:rFonts w:hint="eastAsia" w:hAnsi="宋体" w:cs="宋体"/>
          <w:bCs/>
          <w:color w:val="auto"/>
          <w:szCs w:val="21"/>
          <w:highlight w:val="none"/>
        </w:rPr>
        <w:t>（1）表格内容均需按要求填写并盖章，不得留空，否则按</w:t>
      </w:r>
      <w:r>
        <w:rPr>
          <w:rFonts w:hint="eastAsia" w:hAnsi="宋体" w:cs="宋体"/>
          <w:bCs/>
          <w:color w:val="auto"/>
          <w:szCs w:val="21"/>
          <w:highlight w:val="none"/>
          <w:lang w:eastAsia="zh-CN"/>
        </w:rPr>
        <w:t>磋商</w:t>
      </w:r>
      <w:r>
        <w:rPr>
          <w:rFonts w:hint="eastAsia" w:hAnsi="宋体" w:cs="宋体"/>
          <w:bCs/>
          <w:color w:val="auto"/>
          <w:szCs w:val="21"/>
          <w:highlight w:val="none"/>
        </w:rPr>
        <w:t>无效处理。</w:t>
      </w:r>
    </w:p>
    <w:p w14:paraId="4A695590">
      <w:pPr>
        <w:pStyle w:val="11"/>
        <w:rPr>
          <w:rFonts w:hint="eastAsia" w:hAnsi="宋体" w:cs="宋体"/>
          <w:bCs/>
          <w:color w:val="auto"/>
          <w:szCs w:val="21"/>
          <w:highlight w:val="none"/>
        </w:rPr>
      </w:pPr>
      <w:r>
        <w:rPr>
          <w:rFonts w:hint="eastAsia" w:hAnsi="宋体" w:cs="宋体"/>
          <w:bCs/>
          <w:color w:val="auto"/>
          <w:szCs w:val="21"/>
          <w:highlight w:val="none"/>
        </w:rPr>
        <w:t>（2）当</w:t>
      </w:r>
      <w:r>
        <w:rPr>
          <w:rFonts w:hint="eastAsia" w:hAnsi="宋体" w:cs="宋体"/>
          <w:bCs/>
          <w:color w:val="auto"/>
          <w:szCs w:val="21"/>
          <w:highlight w:val="none"/>
          <w:lang w:eastAsia="zh-CN"/>
        </w:rPr>
        <w:t>磋商</w:t>
      </w:r>
      <w:r>
        <w:rPr>
          <w:rFonts w:hint="eastAsia" w:hAnsi="宋体" w:cs="宋体"/>
          <w:bCs/>
          <w:color w:val="auto"/>
          <w:szCs w:val="21"/>
          <w:highlight w:val="none"/>
        </w:rPr>
        <w:t>文件的服务内容低于采购文件要求时，服务商应当如实写明“负偏离”，否则视为虚假应标。</w:t>
      </w:r>
    </w:p>
    <w:p w14:paraId="460455D2">
      <w:pPr>
        <w:pStyle w:val="11"/>
        <w:rPr>
          <w:rFonts w:hint="eastAsia" w:hAnsi="宋体" w:cs="宋体"/>
          <w:color w:val="auto"/>
          <w:highlight w:val="none"/>
          <w:u w:val="thick"/>
        </w:rPr>
      </w:pPr>
    </w:p>
    <w:p w14:paraId="2F5D3155">
      <w:pPr>
        <w:pStyle w:val="11"/>
        <w:rPr>
          <w:rFonts w:hint="eastAsia" w:hAnsi="宋体" w:cs="宋体"/>
          <w:color w:val="auto"/>
          <w:highlight w:val="none"/>
          <w:u w:val="thick"/>
        </w:rPr>
      </w:pPr>
    </w:p>
    <w:p w14:paraId="253A4DC4">
      <w:pPr>
        <w:pStyle w:val="11"/>
        <w:rPr>
          <w:rFonts w:hint="eastAsia" w:hAnsi="宋体" w:cs="宋体"/>
          <w:color w:val="auto"/>
          <w:highlight w:val="none"/>
          <w:u w:val="thick"/>
        </w:rPr>
      </w:pPr>
    </w:p>
    <w:p w14:paraId="48C62168">
      <w:pPr>
        <w:pStyle w:val="11"/>
        <w:rPr>
          <w:rFonts w:hint="eastAsia" w:hAnsi="宋体" w:cs="宋体"/>
          <w:color w:val="auto"/>
          <w:highlight w:val="none"/>
          <w:u w:val="thick"/>
        </w:rPr>
      </w:pPr>
    </w:p>
    <w:p w14:paraId="73FC7E60">
      <w:pPr>
        <w:pStyle w:val="11"/>
        <w:rPr>
          <w:rFonts w:hint="eastAsia" w:hAnsi="宋体" w:cs="宋体"/>
          <w:color w:val="auto"/>
          <w:highlight w:val="none"/>
          <w:u w:val="thick"/>
        </w:rPr>
      </w:pPr>
    </w:p>
    <w:p w14:paraId="388922C9">
      <w:pPr>
        <w:pStyle w:val="11"/>
        <w:rPr>
          <w:rFonts w:hint="eastAsia" w:hAnsi="宋体" w:cs="宋体"/>
          <w:color w:val="auto"/>
          <w:highlight w:val="none"/>
          <w:u w:val="thick"/>
        </w:rPr>
      </w:pPr>
    </w:p>
    <w:p w14:paraId="000840E1">
      <w:pPr>
        <w:pStyle w:val="11"/>
        <w:rPr>
          <w:rFonts w:hint="eastAsia" w:hAnsi="宋体" w:cs="宋体"/>
          <w:color w:val="auto"/>
          <w:highlight w:val="none"/>
          <w:u w:val="thick"/>
        </w:rPr>
      </w:pPr>
    </w:p>
    <w:p w14:paraId="57ADB2A1">
      <w:pPr>
        <w:pStyle w:val="11"/>
        <w:spacing w:line="600" w:lineRule="exact"/>
        <w:rPr>
          <w:rFonts w:hint="eastAsia" w:hAnsi="宋体" w:cs="宋体"/>
          <w:color w:val="auto"/>
          <w:highlight w:val="none"/>
        </w:rPr>
      </w:pPr>
      <w:r>
        <w:rPr>
          <w:rFonts w:hint="eastAsia" w:hAnsi="宋体" w:cs="宋体"/>
          <w:b/>
          <w:color w:val="auto"/>
          <w:highlight w:val="none"/>
        </w:rPr>
        <w:t>格式5：</w:t>
      </w:r>
    </w:p>
    <w:p w14:paraId="3DAAC1DA">
      <w:pPr>
        <w:pStyle w:val="11"/>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售后服务承诺书（格式）</w:t>
      </w:r>
    </w:p>
    <w:p w14:paraId="5ADB96DE">
      <w:pPr>
        <w:pStyle w:val="11"/>
        <w:jc w:val="center"/>
        <w:rPr>
          <w:rFonts w:hint="eastAsia" w:hAnsi="宋体" w:cs="宋体"/>
          <w:color w:val="auto"/>
          <w:highlight w:val="none"/>
        </w:rPr>
      </w:pPr>
    </w:p>
    <w:p w14:paraId="3537B836">
      <w:pPr>
        <w:pStyle w:val="11"/>
        <w:jc w:val="center"/>
        <w:rPr>
          <w:rFonts w:hint="eastAsia" w:hAnsi="宋体" w:cs="宋体"/>
          <w:color w:val="auto"/>
          <w:highlight w:val="none"/>
        </w:rPr>
      </w:pPr>
      <w:r>
        <w:rPr>
          <w:rFonts w:hint="eastAsia" w:hAnsi="宋体" w:cs="宋体"/>
          <w:color w:val="auto"/>
          <w:highlight w:val="none"/>
        </w:rPr>
        <w:t>(由服务商按本项目采购文件第二章“服务需求一览表”中要求的自行填写。)</w:t>
      </w:r>
    </w:p>
    <w:p w14:paraId="35A2C93B">
      <w:pPr>
        <w:pStyle w:val="11"/>
        <w:rPr>
          <w:rFonts w:hint="eastAsia" w:hAnsi="宋体" w:cs="宋体"/>
          <w:color w:val="auto"/>
          <w:highlight w:val="none"/>
        </w:rPr>
      </w:pPr>
    </w:p>
    <w:p w14:paraId="410EBF90">
      <w:pPr>
        <w:pStyle w:val="11"/>
        <w:rPr>
          <w:rFonts w:hint="eastAsia" w:hAnsi="宋体" w:cs="宋体"/>
          <w:color w:val="auto"/>
          <w:highlight w:val="none"/>
        </w:rPr>
      </w:pPr>
    </w:p>
    <w:p w14:paraId="6DD7DD10">
      <w:pPr>
        <w:pStyle w:val="11"/>
        <w:rPr>
          <w:rFonts w:hint="eastAsia" w:hAnsi="宋体" w:cs="宋体"/>
          <w:color w:val="auto"/>
          <w:highlight w:val="none"/>
        </w:rPr>
      </w:pPr>
    </w:p>
    <w:p w14:paraId="0D48A248">
      <w:pPr>
        <w:pStyle w:val="11"/>
        <w:rPr>
          <w:rFonts w:hint="eastAsia" w:hAnsi="宋体" w:cs="宋体"/>
          <w:color w:val="auto"/>
          <w:highlight w:val="none"/>
        </w:rPr>
      </w:pPr>
    </w:p>
    <w:p w14:paraId="36865430">
      <w:pPr>
        <w:pStyle w:val="11"/>
        <w:rPr>
          <w:rFonts w:hint="eastAsia" w:hAnsi="宋体" w:cs="宋体"/>
          <w:color w:val="auto"/>
          <w:highlight w:val="none"/>
        </w:rPr>
      </w:pPr>
    </w:p>
    <w:p w14:paraId="5A587979">
      <w:pPr>
        <w:pStyle w:val="11"/>
        <w:rPr>
          <w:rFonts w:hint="eastAsia" w:hAnsi="宋体" w:cs="宋体"/>
          <w:color w:val="auto"/>
          <w:highlight w:val="none"/>
        </w:rPr>
      </w:pPr>
    </w:p>
    <w:p w14:paraId="0F38EE1A">
      <w:pPr>
        <w:pStyle w:val="11"/>
        <w:rPr>
          <w:rFonts w:hint="eastAsia" w:hAnsi="宋体" w:cs="宋体"/>
          <w:color w:val="auto"/>
          <w:highlight w:val="none"/>
        </w:rPr>
      </w:pPr>
    </w:p>
    <w:p w14:paraId="16131871">
      <w:pPr>
        <w:pStyle w:val="11"/>
        <w:rPr>
          <w:rFonts w:hint="eastAsia" w:hAnsi="宋体" w:cs="宋体"/>
          <w:color w:val="auto"/>
          <w:highlight w:val="none"/>
        </w:rPr>
      </w:pPr>
    </w:p>
    <w:p w14:paraId="759D54FB">
      <w:pPr>
        <w:pStyle w:val="11"/>
        <w:rPr>
          <w:rFonts w:hint="eastAsia" w:hAnsi="宋体" w:cs="宋体"/>
          <w:color w:val="auto"/>
          <w:highlight w:val="none"/>
        </w:rPr>
      </w:pPr>
    </w:p>
    <w:p w14:paraId="2FD20849">
      <w:pPr>
        <w:pStyle w:val="11"/>
        <w:rPr>
          <w:rFonts w:hint="eastAsia" w:hAnsi="宋体" w:cs="宋体"/>
          <w:color w:val="auto"/>
          <w:highlight w:val="none"/>
        </w:rPr>
      </w:pPr>
    </w:p>
    <w:p w14:paraId="2794AFF6">
      <w:pPr>
        <w:pStyle w:val="11"/>
        <w:rPr>
          <w:rFonts w:hint="eastAsia" w:hAnsi="宋体" w:cs="宋体"/>
          <w:color w:val="auto"/>
          <w:highlight w:val="none"/>
        </w:rPr>
      </w:pPr>
    </w:p>
    <w:p w14:paraId="0E2F493C">
      <w:pPr>
        <w:pStyle w:val="11"/>
        <w:rPr>
          <w:rFonts w:hint="eastAsia" w:hAnsi="宋体" w:cs="宋体"/>
          <w:color w:val="auto"/>
          <w:highlight w:val="none"/>
        </w:rPr>
      </w:pPr>
    </w:p>
    <w:p w14:paraId="4719469B">
      <w:pPr>
        <w:pStyle w:val="11"/>
        <w:rPr>
          <w:rFonts w:hint="eastAsia" w:hAnsi="宋体" w:cs="宋体"/>
          <w:color w:val="auto"/>
          <w:highlight w:val="none"/>
        </w:rPr>
      </w:pPr>
    </w:p>
    <w:p w14:paraId="2FB690E9">
      <w:pPr>
        <w:pStyle w:val="11"/>
        <w:rPr>
          <w:rFonts w:hint="eastAsia" w:hAnsi="宋体" w:cs="宋体"/>
          <w:color w:val="auto"/>
          <w:highlight w:val="none"/>
        </w:rPr>
      </w:pPr>
    </w:p>
    <w:p w14:paraId="09E20401">
      <w:pPr>
        <w:pStyle w:val="11"/>
        <w:rPr>
          <w:rFonts w:hint="eastAsia" w:hAnsi="宋体" w:cs="宋体"/>
          <w:color w:val="auto"/>
          <w:highlight w:val="none"/>
        </w:rPr>
      </w:pPr>
    </w:p>
    <w:p w14:paraId="3EC0472C">
      <w:pPr>
        <w:pStyle w:val="11"/>
        <w:rPr>
          <w:rFonts w:hint="eastAsia" w:hAnsi="宋体" w:cs="宋体"/>
          <w:color w:val="auto"/>
          <w:highlight w:val="none"/>
        </w:rPr>
      </w:pPr>
    </w:p>
    <w:p w14:paraId="71772E49">
      <w:pPr>
        <w:pStyle w:val="11"/>
        <w:rPr>
          <w:rFonts w:hint="eastAsia" w:hAnsi="宋体" w:cs="宋体"/>
          <w:color w:val="auto"/>
          <w:highlight w:val="none"/>
        </w:rPr>
      </w:pPr>
    </w:p>
    <w:p w14:paraId="0437956B">
      <w:pPr>
        <w:pStyle w:val="11"/>
        <w:rPr>
          <w:rFonts w:hint="eastAsia" w:hAnsi="宋体" w:cs="宋体"/>
          <w:color w:val="auto"/>
          <w:highlight w:val="none"/>
        </w:rPr>
      </w:pPr>
    </w:p>
    <w:p w14:paraId="636BD6C0">
      <w:pPr>
        <w:pStyle w:val="11"/>
        <w:rPr>
          <w:rFonts w:hint="eastAsia" w:hAnsi="宋体" w:cs="宋体"/>
          <w:color w:val="auto"/>
          <w:highlight w:val="none"/>
        </w:rPr>
      </w:pPr>
    </w:p>
    <w:p w14:paraId="3B1A7C63">
      <w:pPr>
        <w:pStyle w:val="11"/>
        <w:rPr>
          <w:rFonts w:hint="eastAsia" w:hAnsi="宋体" w:cs="宋体"/>
          <w:color w:val="auto"/>
          <w:highlight w:val="none"/>
        </w:rPr>
      </w:pPr>
    </w:p>
    <w:p w14:paraId="0222A661">
      <w:pPr>
        <w:pStyle w:val="11"/>
        <w:rPr>
          <w:rFonts w:hint="eastAsia" w:hAnsi="宋体" w:cs="宋体"/>
          <w:color w:val="auto"/>
          <w:highlight w:val="none"/>
        </w:rPr>
      </w:pPr>
    </w:p>
    <w:p w14:paraId="06558480">
      <w:pPr>
        <w:pStyle w:val="11"/>
        <w:rPr>
          <w:rFonts w:hint="eastAsia" w:hAnsi="宋体" w:cs="宋体"/>
          <w:color w:val="auto"/>
          <w:highlight w:val="none"/>
        </w:rPr>
      </w:pPr>
    </w:p>
    <w:p w14:paraId="19C8CAE4">
      <w:pPr>
        <w:pStyle w:val="11"/>
        <w:rPr>
          <w:rFonts w:hint="eastAsia" w:hAnsi="宋体" w:cs="宋体"/>
          <w:color w:val="auto"/>
          <w:highlight w:val="none"/>
        </w:rPr>
      </w:pPr>
    </w:p>
    <w:p w14:paraId="471C53A0">
      <w:pPr>
        <w:pStyle w:val="11"/>
        <w:rPr>
          <w:rFonts w:hint="eastAsia" w:hAnsi="宋体" w:cs="宋体"/>
          <w:color w:val="auto"/>
          <w:highlight w:val="none"/>
        </w:rPr>
      </w:pPr>
    </w:p>
    <w:p w14:paraId="24C104AB">
      <w:pPr>
        <w:pStyle w:val="11"/>
        <w:rPr>
          <w:rFonts w:hint="eastAsia" w:hAnsi="宋体" w:cs="宋体"/>
          <w:color w:val="auto"/>
          <w:highlight w:val="none"/>
        </w:rPr>
      </w:pPr>
    </w:p>
    <w:p w14:paraId="1BDCE6B2">
      <w:pPr>
        <w:pStyle w:val="11"/>
        <w:rPr>
          <w:rFonts w:hint="eastAsia" w:hAnsi="宋体" w:cs="宋体"/>
          <w:color w:val="auto"/>
          <w:highlight w:val="none"/>
        </w:rPr>
      </w:pPr>
    </w:p>
    <w:p w14:paraId="048AF496">
      <w:pPr>
        <w:pStyle w:val="11"/>
        <w:rPr>
          <w:rFonts w:hint="eastAsia" w:hAnsi="宋体" w:cs="宋体"/>
          <w:color w:val="auto"/>
          <w:highlight w:val="none"/>
        </w:rPr>
      </w:pPr>
    </w:p>
    <w:p w14:paraId="61D5E1A0">
      <w:pPr>
        <w:pStyle w:val="11"/>
        <w:rPr>
          <w:rFonts w:hint="eastAsia" w:hAnsi="宋体" w:cs="宋体"/>
          <w:color w:val="auto"/>
          <w:highlight w:val="none"/>
        </w:rPr>
      </w:pPr>
    </w:p>
    <w:p w14:paraId="653DADBC">
      <w:pPr>
        <w:pStyle w:val="11"/>
        <w:spacing w:line="600" w:lineRule="exact"/>
        <w:rPr>
          <w:rFonts w:hint="eastAsia" w:hAnsi="宋体" w:cs="宋体"/>
          <w:color w:val="auto"/>
          <w:highlight w:val="none"/>
          <w:u w:val="single"/>
        </w:rPr>
      </w:pPr>
      <w:r>
        <w:rPr>
          <w:rFonts w:hint="eastAsia" w:hAnsi="宋体" w:cs="宋体"/>
          <w:color w:val="auto"/>
          <w:highlight w:val="none"/>
        </w:rPr>
        <w:t>服务商（盖单位公章）：</w:t>
      </w:r>
      <w:r>
        <w:rPr>
          <w:rFonts w:hint="eastAsia" w:hAnsi="宋体" w:cs="宋体"/>
          <w:color w:val="auto"/>
          <w:highlight w:val="none"/>
          <w:u w:val="single"/>
        </w:rPr>
        <w:t xml:space="preserve">                                    </w:t>
      </w:r>
    </w:p>
    <w:p w14:paraId="0A3EF3BF">
      <w:pPr>
        <w:pStyle w:val="11"/>
        <w:spacing w:line="600" w:lineRule="exact"/>
        <w:rPr>
          <w:rFonts w:hint="eastAsia" w:hAnsi="宋体" w:cs="宋体"/>
          <w:color w:val="auto"/>
          <w:highlight w:val="none"/>
          <w:u w:val="single"/>
        </w:rPr>
      </w:pPr>
    </w:p>
    <w:p w14:paraId="2C198FD3">
      <w:pPr>
        <w:pStyle w:val="11"/>
        <w:spacing w:line="600" w:lineRule="exact"/>
        <w:rPr>
          <w:rFonts w:hint="eastAsia" w:hAnsi="宋体" w:cs="宋体"/>
          <w:color w:val="auto"/>
          <w:highlight w:val="none"/>
          <w:u w:val="single"/>
        </w:rPr>
      </w:pPr>
      <w:r>
        <w:rPr>
          <w:rFonts w:hint="eastAsia" w:hAnsi="宋体" w:cs="宋体"/>
          <w:color w:val="auto"/>
          <w:highlight w:val="none"/>
        </w:rPr>
        <w:t>法定代表人或其委托代理人（签字或盖章）：</w:t>
      </w:r>
      <w:r>
        <w:rPr>
          <w:rFonts w:hint="eastAsia" w:hAnsi="宋体" w:cs="宋体"/>
          <w:color w:val="auto"/>
          <w:highlight w:val="none"/>
          <w:u w:val="single"/>
        </w:rPr>
        <w:t xml:space="preserve">                  </w:t>
      </w:r>
    </w:p>
    <w:p w14:paraId="6BAF5649">
      <w:pPr>
        <w:pStyle w:val="11"/>
        <w:spacing w:line="600" w:lineRule="exact"/>
        <w:rPr>
          <w:rFonts w:hint="eastAsia" w:hAnsi="宋体" w:cs="宋体"/>
          <w:color w:val="auto"/>
          <w:highlight w:val="none"/>
        </w:rPr>
      </w:pPr>
      <w:r>
        <w:rPr>
          <w:rFonts w:hint="eastAsia" w:hAnsi="宋体" w:cs="宋体"/>
          <w:b/>
          <w:bCs/>
          <w:color w:val="auto"/>
          <w:sz w:val="30"/>
          <w:highlight w:val="none"/>
        </w:rPr>
        <w:br w:type="page"/>
      </w:r>
      <w:r>
        <w:rPr>
          <w:rFonts w:hint="eastAsia" w:hAnsi="宋体" w:cs="宋体"/>
          <w:b/>
          <w:color w:val="auto"/>
          <w:highlight w:val="none"/>
        </w:rPr>
        <w:t>格式6：</w:t>
      </w:r>
    </w:p>
    <w:p w14:paraId="408E170B">
      <w:pPr>
        <w:pStyle w:val="11"/>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商务条款偏离表（格式）</w:t>
      </w:r>
    </w:p>
    <w:p w14:paraId="2616E9D3">
      <w:pPr>
        <w:pStyle w:val="11"/>
        <w:spacing w:line="400" w:lineRule="exact"/>
        <w:ind w:firstLine="420" w:firstLineChars="200"/>
        <w:rPr>
          <w:rFonts w:hint="eastAsia" w:hAnsi="宋体" w:cs="宋体"/>
          <w:color w:val="auto"/>
          <w:highlight w:val="none"/>
        </w:rPr>
      </w:pPr>
      <w:r>
        <w:rPr>
          <w:rFonts w:hint="eastAsia" w:hAnsi="宋体" w:cs="宋体"/>
          <w:color w:val="auto"/>
          <w:highlight w:val="none"/>
        </w:rPr>
        <w:t>请逐条对应本项目磋商文件第二章“货物（服务）需求一览表”中“商务条款”的要求，详细填写相应的具体内容。“偏离说明”一栏应当选择“正偏离”、“负偏离”或“无偏离”进行填写。</w:t>
      </w:r>
    </w:p>
    <w:p w14:paraId="5814FB8C">
      <w:pPr>
        <w:pStyle w:val="11"/>
        <w:ind w:firstLine="640" w:firstLineChars="200"/>
        <w:rPr>
          <w:rFonts w:hint="eastAsia" w:hAnsi="宋体" w:cs="宋体"/>
          <w:color w:val="auto"/>
          <w:sz w:val="32"/>
          <w:szCs w:val="32"/>
          <w:highlight w:val="none"/>
        </w:rPr>
      </w:pPr>
    </w:p>
    <w:tbl>
      <w:tblPr>
        <w:tblStyle w:val="24"/>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14:paraId="5740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tcBorders>
              <w:top w:val="single" w:color="auto" w:sz="4" w:space="0"/>
              <w:left w:val="single" w:color="auto" w:sz="4" w:space="0"/>
              <w:bottom w:val="single" w:color="auto" w:sz="4" w:space="0"/>
              <w:right w:val="single" w:color="auto" w:sz="4" w:space="0"/>
            </w:tcBorders>
            <w:noWrap/>
            <w:vAlign w:val="center"/>
          </w:tcPr>
          <w:p w14:paraId="38031708">
            <w:pPr>
              <w:pStyle w:val="11"/>
              <w:spacing w:line="340" w:lineRule="exact"/>
              <w:jc w:val="center"/>
              <w:rPr>
                <w:rFonts w:hint="eastAsia" w:hAnsi="宋体" w:cs="宋体"/>
                <w:color w:val="auto"/>
                <w:szCs w:val="21"/>
                <w:highlight w:val="none"/>
              </w:rPr>
            </w:pPr>
            <w:r>
              <w:rPr>
                <w:rFonts w:hint="eastAsia" w:hAnsi="宋体" w:cs="宋体"/>
                <w:color w:val="auto"/>
                <w:szCs w:val="21"/>
                <w:highlight w:val="none"/>
              </w:rPr>
              <w:t>项号</w:t>
            </w:r>
          </w:p>
        </w:tc>
        <w:tc>
          <w:tcPr>
            <w:tcW w:w="4071" w:type="dxa"/>
            <w:tcBorders>
              <w:top w:val="single" w:color="auto" w:sz="4" w:space="0"/>
              <w:left w:val="single" w:color="auto" w:sz="4" w:space="0"/>
              <w:bottom w:val="single" w:color="auto" w:sz="4" w:space="0"/>
              <w:right w:val="single" w:color="auto" w:sz="4" w:space="0"/>
            </w:tcBorders>
            <w:noWrap/>
            <w:vAlign w:val="center"/>
          </w:tcPr>
          <w:p w14:paraId="69975A55">
            <w:pPr>
              <w:pStyle w:val="11"/>
              <w:spacing w:line="340" w:lineRule="exact"/>
              <w:jc w:val="center"/>
              <w:rPr>
                <w:rFonts w:hint="eastAsia" w:hAnsi="宋体" w:cs="宋体"/>
                <w:color w:val="auto"/>
                <w:szCs w:val="21"/>
                <w:highlight w:val="none"/>
              </w:rPr>
            </w:pPr>
            <w:r>
              <w:rPr>
                <w:rFonts w:hint="eastAsia" w:hAnsi="宋体" w:cs="宋体"/>
                <w:color w:val="auto"/>
                <w:szCs w:val="21"/>
                <w:highlight w:val="none"/>
              </w:rPr>
              <w:t>采购文件的商务需求</w:t>
            </w:r>
          </w:p>
        </w:tc>
        <w:tc>
          <w:tcPr>
            <w:tcW w:w="3720" w:type="dxa"/>
            <w:tcBorders>
              <w:top w:val="single" w:color="auto" w:sz="4" w:space="0"/>
              <w:left w:val="single" w:color="auto" w:sz="4" w:space="0"/>
              <w:bottom w:val="single" w:color="auto" w:sz="4" w:space="0"/>
              <w:right w:val="single" w:color="auto" w:sz="4" w:space="0"/>
            </w:tcBorders>
            <w:noWrap/>
            <w:vAlign w:val="center"/>
          </w:tcPr>
          <w:p w14:paraId="6E715335">
            <w:pPr>
              <w:pStyle w:val="11"/>
              <w:spacing w:line="340" w:lineRule="exact"/>
              <w:jc w:val="center"/>
              <w:rPr>
                <w:rFonts w:hint="eastAsia" w:hAnsi="宋体" w:cs="宋体"/>
                <w:color w:val="auto"/>
                <w:szCs w:val="21"/>
                <w:highlight w:val="none"/>
              </w:rPr>
            </w:pPr>
            <w:r>
              <w:rPr>
                <w:rFonts w:hint="eastAsia" w:hAnsi="宋体" w:cs="宋体"/>
                <w:color w:val="auto"/>
                <w:szCs w:val="21"/>
                <w:highlight w:val="none"/>
                <w:lang w:eastAsia="zh-CN"/>
              </w:rPr>
              <w:t>磋商</w:t>
            </w:r>
            <w:r>
              <w:rPr>
                <w:rFonts w:hint="eastAsia" w:hAnsi="宋体" w:cs="宋体"/>
                <w:color w:val="auto"/>
                <w:szCs w:val="21"/>
                <w:highlight w:val="none"/>
              </w:rPr>
              <w:t>文件承诺的商务条款</w:t>
            </w:r>
          </w:p>
        </w:tc>
        <w:tc>
          <w:tcPr>
            <w:tcW w:w="1320" w:type="dxa"/>
            <w:tcBorders>
              <w:top w:val="single" w:color="auto" w:sz="4" w:space="0"/>
              <w:left w:val="single" w:color="auto" w:sz="4" w:space="0"/>
              <w:bottom w:val="single" w:color="auto" w:sz="4" w:space="0"/>
              <w:right w:val="single" w:color="auto" w:sz="4" w:space="0"/>
            </w:tcBorders>
            <w:noWrap/>
            <w:vAlign w:val="center"/>
          </w:tcPr>
          <w:p w14:paraId="0C91FA6A">
            <w:pPr>
              <w:pStyle w:val="11"/>
              <w:spacing w:line="340" w:lineRule="exact"/>
              <w:jc w:val="center"/>
              <w:rPr>
                <w:rFonts w:hint="eastAsia" w:hAnsi="宋体" w:cs="宋体"/>
                <w:color w:val="auto"/>
                <w:szCs w:val="21"/>
                <w:highlight w:val="none"/>
              </w:rPr>
            </w:pPr>
            <w:r>
              <w:rPr>
                <w:rFonts w:hint="eastAsia" w:hAnsi="宋体" w:cs="宋体"/>
                <w:color w:val="auto"/>
                <w:szCs w:val="21"/>
                <w:highlight w:val="none"/>
              </w:rPr>
              <w:t>偏离说明</w:t>
            </w:r>
          </w:p>
        </w:tc>
      </w:tr>
      <w:tr w14:paraId="5D74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tcPr>
          <w:p w14:paraId="5C9D0352">
            <w:pPr>
              <w:pStyle w:val="11"/>
              <w:spacing w:line="340" w:lineRule="exact"/>
              <w:rPr>
                <w:rFonts w:hint="eastAsia" w:hAnsi="宋体" w:cs="宋体"/>
                <w:color w:val="auto"/>
                <w:szCs w:val="21"/>
                <w:highlight w:val="none"/>
              </w:rPr>
            </w:pPr>
            <w:r>
              <w:rPr>
                <w:rFonts w:hint="eastAsia" w:hAnsi="宋体" w:cs="宋体"/>
                <w:color w:val="auto"/>
                <w:szCs w:val="21"/>
                <w:highlight w:val="none"/>
              </w:rPr>
              <w:t>一</w:t>
            </w:r>
          </w:p>
        </w:tc>
        <w:tc>
          <w:tcPr>
            <w:tcW w:w="4071" w:type="dxa"/>
            <w:tcBorders>
              <w:top w:val="single" w:color="auto" w:sz="4" w:space="0"/>
              <w:left w:val="single" w:color="auto" w:sz="4" w:space="0"/>
              <w:bottom w:val="single" w:color="auto" w:sz="4" w:space="0"/>
              <w:right w:val="single" w:color="auto" w:sz="4" w:space="0"/>
            </w:tcBorders>
            <w:noWrap/>
          </w:tcPr>
          <w:p w14:paraId="0E95505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1389EA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42B669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00B038C">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noWrap/>
          </w:tcPr>
          <w:p w14:paraId="5193EC2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2D742E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72F3EC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A878F50">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noWrap/>
          </w:tcPr>
          <w:p w14:paraId="7D91CD0C">
            <w:pPr>
              <w:pStyle w:val="11"/>
              <w:spacing w:line="300" w:lineRule="exact"/>
              <w:rPr>
                <w:rFonts w:hint="eastAsia" w:hAnsi="宋体" w:cs="宋体"/>
                <w:color w:val="auto"/>
                <w:szCs w:val="21"/>
                <w:highlight w:val="none"/>
              </w:rPr>
            </w:pPr>
            <w:r>
              <w:rPr>
                <w:rFonts w:hint="eastAsia" w:hAnsi="宋体" w:cs="宋体"/>
                <w:color w:val="auto"/>
                <w:szCs w:val="21"/>
                <w:highlight w:val="none"/>
              </w:rPr>
              <w:t>正偏离（负偏离或无偏离）</w:t>
            </w:r>
          </w:p>
        </w:tc>
      </w:tr>
      <w:tr w14:paraId="7080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tcPr>
          <w:p w14:paraId="4D41FDA7">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noWrap/>
          </w:tcPr>
          <w:p w14:paraId="77ACCDA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596AC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0627E0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D88D62A">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noWrap/>
          </w:tcPr>
          <w:p w14:paraId="558CCF0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5EEAA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00C75C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9103CBE">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noWrap/>
          </w:tcPr>
          <w:p w14:paraId="7EF74E37">
            <w:pPr>
              <w:pStyle w:val="11"/>
              <w:spacing w:line="300" w:lineRule="exact"/>
              <w:rPr>
                <w:rFonts w:hint="eastAsia" w:hAnsi="宋体" w:cs="宋体"/>
                <w:color w:val="auto"/>
                <w:szCs w:val="21"/>
                <w:highlight w:val="none"/>
              </w:rPr>
            </w:pPr>
            <w:r>
              <w:rPr>
                <w:rFonts w:hint="eastAsia" w:hAnsi="宋体" w:cs="宋体"/>
                <w:color w:val="auto"/>
                <w:szCs w:val="21"/>
                <w:highlight w:val="none"/>
              </w:rPr>
              <w:t>正偏离（负偏离或无偏离）</w:t>
            </w:r>
          </w:p>
        </w:tc>
      </w:tr>
      <w:tr w14:paraId="261A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tcPr>
          <w:p w14:paraId="0F6B64B4">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noWrap/>
          </w:tcPr>
          <w:p w14:paraId="26031001">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3720" w:type="dxa"/>
            <w:tcBorders>
              <w:top w:val="single" w:color="auto" w:sz="4" w:space="0"/>
              <w:left w:val="single" w:color="auto" w:sz="4" w:space="0"/>
              <w:bottom w:val="single" w:color="auto" w:sz="4" w:space="0"/>
              <w:right w:val="single" w:color="auto" w:sz="4" w:space="0"/>
            </w:tcBorders>
            <w:noWrap/>
          </w:tcPr>
          <w:p w14:paraId="5E89BC32">
            <w:pPr>
              <w:pStyle w:val="11"/>
              <w:spacing w:line="340" w:lineRule="exact"/>
              <w:rPr>
                <w:rFonts w:hint="eastAsia" w:hAnsi="宋体" w:cs="宋体"/>
                <w:color w:val="auto"/>
                <w:szCs w:val="21"/>
                <w:highlight w:val="none"/>
              </w:rPr>
            </w:pPr>
            <w:r>
              <w:rPr>
                <w:rFonts w:hint="eastAsia" w:hAnsi="宋体" w:cs="宋体"/>
                <w:color w:val="auto"/>
                <w:szCs w:val="21"/>
                <w:highlight w:val="none"/>
              </w:rPr>
              <w:t>...</w:t>
            </w:r>
          </w:p>
        </w:tc>
        <w:tc>
          <w:tcPr>
            <w:tcW w:w="1320" w:type="dxa"/>
            <w:tcBorders>
              <w:top w:val="single" w:color="auto" w:sz="4" w:space="0"/>
              <w:left w:val="single" w:color="auto" w:sz="4" w:space="0"/>
              <w:bottom w:val="single" w:color="auto" w:sz="4" w:space="0"/>
              <w:right w:val="single" w:color="auto" w:sz="4" w:space="0"/>
            </w:tcBorders>
            <w:noWrap/>
          </w:tcPr>
          <w:p w14:paraId="6505AF17">
            <w:pPr>
              <w:pStyle w:val="11"/>
              <w:spacing w:line="300" w:lineRule="exact"/>
              <w:rPr>
                <w:rFonts w:hint="eastAsia" w:hAnsi="宋体" w:cs="宋体"/>
                <w:color w:val="auto"/>
                <w:szCs w:val="21"/>
                <w:highlight w:val="none"/>
              </w:rPr>
            </w:pPr>
            <w:r>
              <w:rPr>
                <w:rFonts w:hint="eastAsia" w:hAnsi="宋体" w:cs="宋体"/>
                <w:color w:val="auto"/>
                <w:szCs w:val="21"/>
                <w:highlight w:val="none"/>
              </w:rPr>
              <w:t>...</w:t>
            </w:r>
          </w:p>
        </w:tc>
      </w:tr>
      <w:tr w14:paraId="585B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28" w:type="dxa"/>
            <w:gridSpan w:val="4"/>
            <w:tcBorders>
              <w:top w:val="single" w:color="auto" w:sz="4" w:space="0"/>
              <w:left w:val="single" w:color="auto" w:sz="4" w:space="0"/>
              <w:bottom w:val="single" w:color="auto" w:sz="4" w:space="0"/>
              <w:right w:val="single" w:color="auto" w:sz="4" w:space="0"/>
            </w:tcBorders>
            <w:noWrap/>
          </w:tcPr>
          <w:p w14:paraId="73CB4679">
            <w:pPr>
              <w:pStyle w:val="11"/>
              <w:spacing w:line="340" w:lineRule="exact"/>
              <w:rPr>
                <w:rFonts w:hint="eastAsia" w:hAnsi="宋体" w:cs="宋体"/>
                <w:color w:val="auto"/>
                <w:szCs w:val="21"/>
                <w:highlight w:val="none"/>
              </w:rPr>
            </w:pPr>
            <w:r>
              <w:rPr>
                <w:rFonts w:hint="eastAsia" w:hAnsi="宋体" w:cs="宋体"/>
                <w:color w:val="auto"/>
                <w:szCs w:val="21"/>
                <w:highlight w:val="none"/>
              </w:rPr>
              <w:t>服务商（盖单位公章）：</w:t>
            </w:r>
          </w:p>
        </w:tc>
      </w:tr>
      <w:tr w14:paraId="1CD2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28" w:type="dxa"/>
            <w:gridSpan w:val="4"/>
            <w:tcBorders>
              <w:top w:val="single" w:color="auto" w:sz="4" w:space="0"/>
              <w:left w:val="single" w:color="auto" w:sz="4" w:space="0"/>
              <w:bottom w:val="single" w:color="auto" w:sz="4" w:space="0"/>
              <w:right w:val="single" w:color="auto" w:sz="4" w:space="0"/>
            </w:tcBorders>
            <w:noWrap/>
          </w:tcPr>
          <w:p w14:paraId="4C881D20">
            <w:pPr>
              <w:pStyle w:val="11"/>
              <w:spacing w:line="360" w:lineRule="exact"/>
              <w:rPr>
                <w:rFonts w:hint="eastAsia" w:hAnsi="宋体" w:cs="宋体"/>
                <w:color w:val="auto"/>
                <w:szCs w:val="21"/>
                <w:highlight w:val="none"/>
              </w:rPr>
            </w:pPr>
            <w:r>
              <w:rPr>
                <w:rFonts w:hint="eastAsia" w:hAnsi="宋体" w:cs="宋体"/>
                <w:color w:val="auto"/>
                <w:szCs w:val="21"/>
                <w:highlight w:val="none"/>
              </w:rPr>
              <w:t>法定代表人或其委托代理人（签字或盖章）：</w:t>
            </w:r>
          </w:p>
        </w:tc>
      </w:tr>
    </w:tbl>
    <w:p w14:paraId="4724F334">
      <w:pPr>
        <w:pStyle w:val="11"/>
        <w:rPr>
          <w:rFonts w:hint="eastAsia" w:hAnsi="宋体" w:cs="宋体"/>
          <w:color w:val="auto"/>
          <w:szCs w:val="21"/>
          <w:highlight w:val="none"/>
        </w:rPr>
      </w:pPr>
    </w:p>
    <w:p w14:paraId="6F92E91B">
      <w:pPr>
        <w:pStyle w:val="11"/>
        <w:rPr>
          <w:rFonts w:hint="eastAsia" w:hAnsi="宋体" w:cs="宋体"/>
          <w:color w:val="auto"/>
          <w:szCs w:val="21"/>
          <w:highlight w:val="none"/>
        </w:rPr>
      </w:pPr>
      <w:r>
        <w:rPr>
          <w:rFonts w:hint="eastAsia" w:hAnsi="宋体" w:cs="宋体"/>
          <w:color w:val="auto"/>
          <w:szCs w:val="21"/>
          <w:highlight w:val="none"/>
        </w:rPr>
        <w:t>注：（1）表格内容均需按要求填写并盖章，不得留空，否则按</w:t>
      </w:r>
      <w:r>
        <w:rPr>
          <w:rFonts w:hint="eastAsia" w:hAnsi="宋体" w:cs="宋体"/>
          <w:color w:val="auto"/>
          <w:szCs w:val="21"/>
          <w:highlight w:val="none"/>
          <w:lang w:eastAsia="zh-CN"/>
        </w:rPr>
        <w:t>磋商</w:t>
      </w:r>
      <w:r>
        <w:rPr>
          <w:rFonts w:hint="eastAsia" w:hAnsi="宋体" w:cs="宋体"/>
          <w:color w:val="auto"/>
          <w:szCs w:val="21"/>
          <w:highlight w:val="none"/>
        </w:rPr>
        <w:t>无效处理。</w:t>
      </w:r>
    </w:p>
    <w:p w14:paraId="72059B21">
      <w:pPr>
        <w:pStyle w:val="11"/>
        <w:spacing w:line="600" w:lineRule="exact"/>
        <w:ind w:firstLine="315" w:firstLineChars="150"/>
        <w:rPr>
          <w:rFonts w:hint="eastAsia" w:hAnsi="宋体" w:cs="宋体"/>
          <w:color w:val="auto"/>
          <w:szCs w:val="21"/>
          <w:highlight w:val="none"/>
        </w:rPr>
      </w:pPr>
      <w:r>
        <w:rPr>
          <w:rFonts w:hint="eastAsia" w:hAnsi="宋体" w:cs="宋体"/>
          <w:color w:val="auto"/>
          <w:szCs w:val="21"/>
          <w:highlight w:val="none"/>
        </w:rPr>
        <w:t>（2）当</w:t>
      </w:r>
      <w:r>
        <w:rPr>
          <w:rFonts w:hint="eastAsia" w:hAnsi="宋体" w:cs="宋体"/>
          <w:color w:val="auto"/>
          <w:szCs w:val="21"/>
          <w:highlight w:val="none"/>
          <w:lang w:eastAsia="zh-CN"/>
        </w:rPr>
        <w:t>磋商</w:t>
      </w:r>
      <w:r>
        <w:rPr>
          <w:rFonts w:hint="eastAsia" w:hAnsi="宋体" w:cs="宋体"/>
          <w:color w:val="auto"/>
          <w:szCs w:val="21"/>
          <w:highlight w:val="none"/>
        </w:rPr>
        <w:t>文件的技术参数或商务内容低于采购文件要求时，服务商应当如实写明“负偏离”，否则视为虚假应标。</w:t>
      </w:r>
    </w:p>
    <w:p w14:paraId="5C1D3799">
      <w:pPr>
        <w:pStyle w:val="11"/>
        <w:spacing w:line="600" w:lineRule="exact"/>
        <w:ind w:firstLine="315" w:firstLineChars="150"/>
        <w:rPr>
          <w:rFonts w:hint="eastAsia" w:hAnsi="宋体" w:cs="宋体"/>
          <w:color w:val="auto"/>
          <w:highlight w:val="none"/>
        </w:rPr>
      </w:pPr>
      <w:r>
        <w:rPr>
          <w:rFonts w:hint="eastAsia" w:hAnsi="宋体" w:cs="宋体"/>
          <w:color w:val="auto"/>
          <w:szCs w:val="21"/>
          <w:highlight w:val="none"/>
        </w:rPr>
        <w:t>（3）需附上商务条款要求必须提供的资料。</w:t>
      </w:r>
      <w:r>
        <w:rPr>
          <w:rFonts w:hint="eastAsia" w:hAnsi="宋体" w:cs="宋体"/>
          <w:b/>
          <w:color w:val="auto"/>
          <w:sz w:val="32"/>
          <w:highlight w:val="none"/>
        </w:rPr>
        <w:br w:type="page"/>
      </w:r>
      <w:r>
        <w:rPr>
          <w:rFonts w:hint="eastAsia" w:hAnsi="宋体" w:cs="宋体"/>
          <w:b/>
          <w:color w:val="auto"/>
          <w:highlight w:val="none"/>
        </w:rPr>
        <w:t>格式7：</w:t>
      </w:r>
    </w:p>
    <w:p w14:paraId="67EAD719">
      <w:pPr>
        <w:pStyle w:val="11"/>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法定代表人授权委托书（格式）</w:t>
      </w:r>
    </w:p>
    <w:p w14:paraId="374AD737">
      <w:pPr>
        <w:pStyle w:val="11"/>
        <w:spacing w:line="500" w:lineRule="exact"/>
        <w:ind w:firstLine="420" w:firstLineChars="200"/>
        <w:rPr>
          <w:rFonts w:hint="eastAsia" w:hAnsi="宋体" w:cs="宋体"/>
          <w:color w:val="auto"/>
          <w:highlight w:val="none"/>
          <w:u w:val="single"/>
        </w:rPr>
      </w:pPr>
    </w:p>
    <w:p w14:paraId="4D2F197E">
      <w:pPr>
        <w:pStyle w:val="11"/>
        <w:spacing w:line="360" w:lineRule="auto"/>
        <w:ind w:firstLine="435"/>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2F1DFAD">
      <w:pPr>
        <w:pStyle w:val="11"/>
        <w:spacing w:line="360" w:lineRule="auto"/>
        <w:ind w:firstLine="435"/>
        <w:rPr>
          <w:rFonts w:hint="eastAsia" w:hAnsi="宋体" w:cs="宋体"/>
          <w:color w:val="auto"/>
          <w:highlight w:val="none"/>
        </w:rPr>
      </w:pPr>
    </w:p>
    <w:p w14:paraId="341EAEB7">
      <w:pPr>
        <w:pStyle w:val="11"/>
        <w:spacing w:line="360" w:lineRule="auto"/>
        <w:ind w:firstLine="435"/>
        <w:rPr>
          <w:rFonts w:hint="eastAsia"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（姓名）    </w:t>
      </w:r>
      <w:r>
        <w:rPr>
          <w:rFonts w:hint="eastAsia" w:hAnsi="宋体" w:cs="宋体"/>
          <w:color w:val="auto"/>
          <w:highlight w:val="none"/>
        </w:rPr>
        <w:t>系</w:t>
      </w:r>
      <w:r>
        <w:rPr>
          <w:rFonts w:hint="eastAsia" w:hAnsi="宋体" w:cs="宋体"/>
          <w:color w:val="auto"/>
          <w:highlight w:val="none"/>
          <w:u w:val="single"/>
        </w:rPr>
        <w:t xml:space="preserve">     （服务商名称）     </w:t>
      </w:r>
      <w:r>
        <w:rPr>
          <w:rFonts w:hint="eastAsia" w:hAnsi="宋体" w:cs="宋体"/>
          <w:color w:val="auto"/>
          <w:highlight w:val="none"/>
        </w:rPr>
        <w:t>的法定代表人，现授权我单位在职正式员工</w:t>
      </w:r>
      <w:r>
        <w:rPr>
          <w:rFonts w:hint="eastAsia" w:hAnsi="宋体" w:cs="宋体"/>
          <w:color w:val="auto"/>
          <w:highlight w:val="none"/>
          <w:u w:val="single"/>
        </w:rPr>
        <w:t xml:space="preserve">    （姓名和职务）    </w:t>
      </w:r>
      <w:r>
        <w:rPr>
          <w:rFonts w:hint="eastAsia" w:hAnsi="宋体" w:cs="宋体"/>
          <w:color w:val="auto"/>
          <w:highlight w:val="none"/>
        </w:rPr>
        <w:t>为我方代理人。代理人根据授权，以我方名义签署、澄清、说明、补正、递交、撤回、修改贵方组织的</w:t>
      </w:r>
      <w:r>
        <w:rPr>
          <w:rFonts w:hint="eastAsia" w:hAnsi="宋体" w:cs="宋体"/>
          <w:color w:val="auto"/>
          <w:highlight w:val="none"/>
          <w:u w:val="single"/>
        </w:rPr>
        <w:t xml:space="preserve">   （项目名称）     </w:t>
      </w:r>
      <w:r>
        <w:rPr>
          <w:rFonts w:hint="eastAsia" w:hAnsi="宋体" w:cs="宋体"/>
          <w:color w:val="auto"/>
          <w:highlight w:val="none"/>
        </w:rPr>
        <w:t>（项目编号：</w:t>
      </w:r>
      <w:r>
        <w:rPr>
          <w:rFonts w:hint="eastAsia" w:hAnsi="宋体" w:cs="宋体"/>
          <w:color w:val="auto"/>
          <w:highlight w:val="none"/>
          <w:u w:val="single"/>
        </w:rPr>
        <w:t xml:space="preserve">           </w:t>
      </w:r>
      <w:r>
        <w:rPr>
          <w:rFonts w:hint="eastAsia" w:hAnsi="宋体" w:cs="宋体"/>
          <w:color w:val="auto"/>
          <w:highlight w:val="none"/>
        </w:rPr>
        <w:t>）项目的磋商响应文件、签订合同和处理一切有关事宜，其法律后果由我方承担。</w:t>
      </w:r>
    </w:p>
    <w:p w14:paraId="1821652B">
      <w:pPr>
        <w:pStyle w:val="11"/>
        <w:spacing w:line="360" w:lineRule="auto"/>
        <w:ind w:firstLine="435"/>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5432EF6C">
      <w:pPr>
        <w:pStyle w:val="11"/>
        <w:spacing w:line="360" w:lineRule="auto"/>
        <w:ind w:firstLine="420"/>
        <w:rPr>
          <w:rFonts w:hint="eastAsia" w:hAnsi="宋体" w:cs="宋体"/>
          <w:color w:val="auto"/>
          <w:highlight w:val="none"/>
        </w:rPr>
      </w:pPr>
      <w:r>
        <w:rPr>
          <w:rFonts w:hint="eastAsia" w:hAnsi="宋体" w:cs="宋体"/>
          <w:color w:val="auto"/>
          <w:highlight w:val="none"/>
        </w:rPr>
        <w:t>代理人无转委托权。</w:t>
      </w:r>
    </w:p>
    <w:p w14:paraId="4117E30B">
      <w:pPr>
        <w:pStyle w:val="11"/>
        <w:spacing w:line="360" w:lineRule="auto"/>
        <w:ind w:firstLine="420"/>
        <w:rPr>
          <w:rFonts w:hint="eastAsia" w:hAnsi="宋体" w:cs="宋体"/>
          <w:color w:val="auto"/>
          <w:highlight w:val="none"/>
        </w:rPr>
      </w:pPr>
    </w:p>
    <w:p w14:paraId="4C6DEA8C">
      <w:pPr>
        <w:pStyle w:val="11"/>
        <w:spacing w:line="360" w:lineRule="auto"/>
        <w:ind w:firstLine="420"/>
        <w:rPr>
          <w:rFonts w:hint="eastAsia" w:hAnsi="宋体" w:cs="宋体"/>
          <w:color w:val="auto"/>
          <w:highlight w:val="none"/>
          <w:u w:val="single"/>
        </w:rPr>
      </w:pPr>
      <w:r>
        <w:rPr>
          <w:rFonts w:hint="eastAsia" w:hAnsi="宋体" w:cs="宋体"/>
          <w:color w:val="auto"/>
          <w:highlight w:val="none"/>
        </w:rPr>
        <w:t>服务商（盖单位公章）：</w:t>
      </w:r>
      <w:r>
        <w:rPr>
          <w:rFonts w:hint="eastAsia" w:hAnsi="宋体" w:cs="宋体"/>
          <w:color w:val="auto"/>
          <w:highlight w:val="none"/>
          <w:u w:val="single"/>
        </w:rPr>
        <w:t xml:space="preserve">                                    </w:t>
      </w:r>
    </w:p>
    <w:p w14:paraId="2FCBD6A0">
      <w:pPr>
        <w:pStyle w:val="11"/>
        <w:spacing w:line="360" w:lineRule="auto"/>
        <w:ind w:firstLine="420"/>
        <w:rPr>
          <w:rFonts w:hint="eastAsia" w:hAnsi="宋体" w:cs="宋体"/>
          <w:color w:val="auto"/>
          <w:highlight w:val="none"/>
          <w:u w:val="single"/>
        </w:rPr>
      </w:pPr>
      <w:r>
        <w:rPr>
          <w:rFonts w:hint="eastAsia" w:hAnsi="宋体" w:cs="宋体"/>
          <w:color w:val="auto"/>
          <w:highlight w:val="none"/>
        </w:rPr>
        <w:t>法定代表人（签字或盖章）：</w:t>
      </w:r>
      <w:r>
        <w:rPr>
          <w:rFonts w:hint="eastAsia" w:hAnsi="宋体" w:cs="宋体"/>
          <w:color w:val="auto"/>
          <w:highlight w:val="none"/>
          <w:u w:val="single"/>
        </w:rPr>
        <w:t xml:space="preserve">                                </w:t>
      </w:r>
    </w:p>
    <w:p w14:paraId="39F582D4">
      <w:pPr>
        <w:pStyle w:val="11"/>
        <w:spacing w:line="360" w:lineRule="auto"/>
        <w:ind w:firstLine="420"/>
        <w:rPr>
          <w:rFonts w:hint="eastAsia"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1AA8DC87">
      <w:pPr>
        <w:pStyle w:val="11"/>
        <w:spacing w:line="360" w:lineRule="auto"/>
        <w:ind w:firstLine="420" w:firstLineChars="200"/>
        <w:rPr>
          <w:rFonts w:hint="eastAsia" w:hAnsi="宋体" w:cs="宋体"/>
          <w:color w:val="auto"/>
          <w:highlight w:val="none"/>
        </w:rPr>
      </w:pPr>
      <w:r>
        <w:rPr>
          <w:rFonts w:hint="eastAsia" w:hAnsi="宋体" w:cs="宋体"/>
          <w:color w:val="auto"/>
          <w:highlight w:val="none"/>
        </w:rPr>
        <w:t>委托代理人（签字或盖章）：</w:t>
      </w:r>
      <w:r>
        <w:rPr>
          <w:rFonts w:hint="eastAsia" w:hAnsi="宋体" w:cs="宋体"/>
          <w:color w:val="auto"/>
          <w:highlight w:val="none"/>
          <w:u w:val="single"/>
        </w:rPr>
        <w:t xml:space="preserve">                                </w:t>
      </w:r>
    </w:p>
    <w:p w14:paraId="5B20F4E4">
      <w:pPr>
        <w:pStyle w:val="11"/>
        <w:spacing w:line="360" w:lineRule="auto"/>
        <w:ind w:firstLine="420"/>
        <w:rPr>
          <w:rFonts w:hint="eastAsia"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1A5FC478">
      <w:pPr>
        <w:pStyle w:val="11"/>
        <w:spacing w:line="360" w:lineRule="auto"/>
        <w:rPr>
          <w:rFonts w:hint="eastAsia" w:hAnsi="宋体" w:cs="宋体"/>
          <w:color w:val="auto"/>
          <w:highlight w:val="none"/>
        </w:rPr>
      </w:pPr>
      <w:r>
        <w:rPr>
          <w:rFonts w:hint="eastAsia" w:hAnsi="宋体" w:cs="宋体"/>
          <w:color w:val="auto"/>
          <w:highlight w:val="none"/>
        </w:rPr>
        <w:br w:type="page"/>
      </w:r>
      <w:r>
        <w:rPr>
          <w:rFonts w:hint="eastAsia" w:hAnsi="宋体" w:cs="宋体"/>
          <w:b/>
          <w:color w:val="auto"/>
          <w:highlight w:val="none"/>
        </w:rPr>
        <w:t>格式8：</w:t>
      </w:r>
    </w:p>
    <w:p w14:paraId="6700E9D0">
      <w:pPr>
        <w:pStyle w:val="11"/>
        <w:jc w:val="center"/>
        <w:rPr>
          <w:rFonts w:hint="eastAsia" w:hAnsi="宋体" w:cs="宋体"/>
          <w:color w:val="auto"/>
          <w:highlight w:val="none"/>
        </w:rPr>
      </w:pPr>
      <w:r>
        <w:rPr>
          <w:rFonts w:hint="eastAsia" w:hAnsi="宋体" w:cs="宋体"/>
          <w:b/>
          <w:bCs/>
          <w:color w:val="auto"/>
          <w:sz w:val="30"/>
          <w:szCs w:val="30"/>
          <w:highlight w:val="none"/>
        </w:rPr>
        <w:t>联合体协议书（格式）</w:t>
      </w:r>
    </w:p>
    <w:p w14:paraId="2916AF93">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　　</w:t>
      </w:r>
      <w:r>
        <w:rPr>
          <w:rFonts w:hint="eastAsia" w:ascii="宋体" w:hAnsi="宋体" w:eastAsia="宋体" w:cs="宋体"/>
          <w:color w:val="auto"/>
          <w:kern w:val="0"/>
          <w:szCs w:val="21"/>
          <w:highlight w:val="none"/>
        </w:rPr>
        <w:t xml:space="preserve">     </w:t>
      </w:r>
    </w:p>
    <w:p w14:paraId="665A5A2A">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（采购代理机构名称）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。现就联合体</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事宜订立如下协议：</w:t>
      </w:r>
    </w:p>
    <w:p w14:paraId="3341ED34">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（某成员单位名称）为联合体名称牵头人。</w:t>
      </w:r>
    </w:p>
    <w:p w14:paraId="0335A59B">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采购项目磋商响应文件编制和合同谈判活动，并代表联合体提交和接收相关的资料、信息及指示，并处理与之有关的一切事务，负责合同实施阶段的主办、组织和协调工作。</w:t>
      </w:r>
    </w:p>
    <w:p w14:paraId="3C1EEA40">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3、联合体将严格按照采购文件的各项要求，递交磋商响应文件，履行合同，并对外承担连带责任。</w:t>
      </w:r>
    </w:p>
    <w:p w14:paraId="090D62E9">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1983DF7">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5、本协议书自签署之日起生效，合同履行完毕后自动失效。</w:t>
      </w:r>
    </w:p>
    <w:p w14:paraId="288E04D9">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14:paraId="6B5CC3AF">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p>
    <w:p w14:paraId="60CBFC0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注：本协议书由委托代理人签字的，应附法定代表人授权委托书。</w:t>
      </w:r>
    </w:p>
    <w:p w14:paraId="0C9037F1">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p>
    <w:p w14:paraId="13BED027">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1A44131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（签字或盖章）</w:t>
      </w:r>
    </w:p>
    <w:p w14:paraId="409DA95B">
      <w:pPr>
        <w:autoSpaceDE w:val="0"/>
        <w:autoSpaceDN w:val="0"/>
        <w:adjustRightInd w:val="0"/>
        <w:spacing w:line="360" w:lineRule="auto"/>
        <w:jc w:val="left"/>
        <w:rPr>
          <w:rFonts w:hint="eastAsia" w:ascii="宋体" w:hAnsi="宋体" w:eastAsia="宋体" w:cs="宋体"/>
          <w:color w:val="auto"/>
          <w:kern w:val="0"/>
          <w:szCs w:val="21"/>
          <w:highlight w:val="none"/>
        </w:rPr>
      </w:pPr>
    </w:p>
    <w:p w14:paraId="7B76EAE3">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1C1DF6B6">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（签字或盖章）</w:t>
      </w:r>
    </w:p>
    <w:p w14:paraId="448E5B7D">
      <w:pPr>
        <w:autoSpaceDE w:val="0"/>
        <w:autoSpaceDN w:val="0"/>
        <w:adjustRightInd w:val="0"/>
        <w:spacing w:line="360" w:lineRule="auto"/>
        <w:jc w:val="left"/>
        <w:rPr>
          <w:rFonts w:hint="eastAsia" w:ascii="宋体" w:hAnsi="宋体" w:eastAsia="宋体" w:cs="宋体"/>
          <w:color w:val="auto"/>
          <w:kern w:val="0"/>
          <w:szCs w:val="21"/>
          <w:highlight w:val="none"/>
        </w:rPr>
      </w:pPr>
    </w:p>
    <w:p w14:paraId="2458AD2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78F80D87">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（签字或盖章）</w:t>
      </w:r>
    </w:p>
    <w:p w14:paraId="5F2BFC1C">
      <w:pPr>
        <w:pStyle w:val="11"/>
        <w:rPr>
          <w:rFonts w:hint="eastAsia" w:hAnsi="宋体" w:cs="宋体"/>
          <w:color w:val="auto"/>
          <w:highlight w:val="none"/>
        </w:rPr>
      </w:pPr>
      <w:r>
        <w:rPr>
          <w:rFonts w:hint="eastAsia" w:hAnsi="宋体" w:cs="宋体"/>
          <w:color w:val="auto"/>
          <w:highlight w:val="none"/>
        </w:rPr>
        <w:t>......</w:t>
      </w:r>
    </w:p>
    <w:p w14:paraId="3573B8FB">
      <w:pPr>
        <w:pStyle w:val="11"/>
        <w:spacing w:line="360" w:lineRule="auto"/>
        <w:ind w:firstLine="420"/>
        <w:jc w:val="right"/>
        <w:rPr>
          <w:rFonts w:hint="eastAsia" w:hAnsi="宋体" w:cs="宋体"/>
          <w:bCs/>
          <w:color w:val="auto"/>
          <w:szCs w:val="21"/>
          <w:highlight w:val="none"/>
        </w:rPr>
      </w:pPr>
      <w:r>
        <w:rPr>
          <w:rFonts w:hint="eastAsia" w:hAnsi="宋体" w:cs="宋体"/>
          <w:bCs/>
          <w:color w:val="auto"/>
          <w:highlight w:val="none"/>
          <w:u w:val="single"/>
        </w:rPr>
        <w:t xml:space="preserve">    </w:t>
      </w:r>
      <w:r>
        <w:rPr>
          <w:rFonts w:hint="eastAsia" w:hAnsi="宋体" w:cs="宋体"/>
          <w:bCs/>
          <w:color w:val="auto"/>
          <w:szCs w:val="21"/>
          <w:highlight w:val="none"/>
        </w:rPr>
        <w:t>年</w:t>
      </w:r>
      <w:r>
        <w:rPr>
          <w:rFonts w:hint="eastAsia" w:hAnsi="宋体" w:cs="宋体"/>
          <w:bCs/>
          <w:color w:val="auto"/>
          <w:highlight w:val="none"/>
          <w:u w:val="single"/>
        </w:rPr>
        <w:t xml:space="preserve">    </w:t>
      </w:r>
      <w:r>
        <w:rPr>
          <w:rFonts w:hint="eastAsia" w:hAnsi="宋体" w:cs="宋体"/>
          <w:bCs/>
          <w:color w:val="auto"/>
          <w:szCs w:val="21"/>
          <w:highlight w:val="none"/>
        </w:rPr>
        <w:t>月</w:t>
      </w:r>
      <w:r>
        <w:rPr>
          <w:rFonts w:hint="eastAsia" w:hAnsi="宋体" w:cs="宋体"/>
          <w:bCs/>
          <w:color w:val="auto"/>
          <w:highlight w:val="none"/>
          <w:u w:val="single"/>
        </w:rPr>
        <w:t xml:space="preserve">    </w:t>
      </w:r>
      <w:r>
        <w:rPr>
          <w:rFonts w:hint="eastAsia" w:hAnsi="宋体" w:cs="宋体"/>
          <w:bCs/>
          <w:color w:val="auto"/>
          <w:szCs w:val="21"/>
          <w:highlight w:val="none"/>
        </w:rPr>
        <w:t>日</w:t>
      </w:r>
    </w:p>
    <w:p w14:paraId="338C43DC">
      <w:pPr>
        <w:pStyle w:val="11"/>
        <w:spacing w:line="360" w:lineRule="auto"/>
        <w:rPr>
          <w:rFonts w:hint="eastAsia" w:hAnsi="宋体" w:cs="宋体"/>
          <w:color w:val="auto"/>
          <w:highlight w:val="none"/>
        </w:rPr>
      </w:pPr>
      <w:r>
        <w:rPr>
          <w:rFonts w:hint="eastAsia" w:hAnsi="宋体" w:cs="宋体"/>
          <w:bCs/>
          <w:color w:val="auto"/>
          <w:szCs w:val="21"/>
          <w:highlight w:val="none"/>
        </w:rPr>
        <w:br w:type="page"/>
      </w:r>
      <w:r>
        <w:rPr>
          <w:rFonts w:hint="eastAsia" w:hAnsi="宋体" w:cs="宋体"/>
          <w:b/>
          <w:color w:val="auto"/>
          <w:highlight w:val="none"/>
        </w:rPr>
        <w:t>格式9：</w:t>
      </w:r>
    </w:p>
    <w:p w14:paraId="27141E1F">
      <w:pPr>
        <w:pStyle w:val="11"/>
        <w:spacing w:line="360" w:lineRule="auto"/>
        <w:ind w:firstLine="420"/>
        <w:jc w:val="right"/>
        <w:rPr>
          <w:rFonts w:hint="eastAsia" w:hAnsi="宋体" w:cs="宋体"/>
          <w:bCs/>
          <w:color w:val="auto"/>
          <w:szCs w:val="21"/>
          <w:highlight w:val="none"/>
        </w:rPr>
      </w:pPr>
    </w:p>
    <w:p w14:paraId="49D464E0">
      <w:pPr>
        <w:pStyle w:val="11"/>
        <w:jc w:val="center"/>
        <w:rPr>
          <w:rFonts w:hint="eastAsia" w:hAnsi="宋体" w:cs="宋体"/>
          <w:b/>
          <w:color w:val="auto"/>
          <w:sz w:val="30"/>
          <w:szCs w:val="30"/>
          <w:highlight w:val="none"/>
        </w:rPr>
      </w:pPr>
      <w:r>
        <w:rPr>
          <w:rFonts w:hint="eastAsia" w:hAnsi="宋体" w:cs="宋体"/>
          <w:b/>
          <w:color w:val="auto"/>
          <w:sz w:val="30"/>
          <w:szCs w:val="30"/>
          <w:highlight w:val="none"/>
        </w:rPr>
        <w:t>信用声明函（格式）</w:t>
      </w:r>
    </w:p>
    <w:p w14:paraId="742EC881">
      <w:pPr>
        <w:pStyle w:val="11"/>
        <w:jc w:val="center"/>
        <w:rPr>
          <w:rFonts w:hint="eastAsia" w:hAnsi="宋体" w:cs="宋体"/>
          <w:b/>
          <w:color w:val="auto"/>
          <w:sz w:val="30"/>
          <w:szCs w:val="30"/>
          <w:highlight w:val="none"/>
        </w:rPr>
      </w:pPr>
    </w:p>
    <w:p w14:paraId="41CEE29E">
      <w:pPr>
        <w:tabs>
          <w:tab w:val="left" w:pos="720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致：_</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38D894A6">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我方愿意参加贵方组织的_</w:t>
      </w:r>
      <w:r>
        <w:rPr>
          <w:rFonts w:hint="eastAsia" w:ascii="宋体" w:hAnsi="宋体" w:eastAsia="宋体" w:cs="宋体"/>
          <w:color w:val="auto"/>
          <w:highlight w:val="none"/>
          <w:u w:val="single"/>
        </w:rPr>
        <w:t xml:space="preserve">     (项目名称)     _     _</w:t>
      </w:r>
      <w:r>
        <w:rPr>
          <w:rFonts w:hint="eastAsia" w:ascii="宋体" w:hAnsi="宋体" w:eastAsia="宋体" w:cs="宋体"/>
          <w:color w:val="auto"/>
          <w:highlight w:val="none"/>
        </w:rPr>
        <w:t>_（项目编号：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，为便于贵方公正、择优地确定中标人及其</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服务成果和服务，我方就本次</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有关事项郑重声明如下：</w:t>
      </w:r>
    </w:p>
    <w:p w14:paraId="67CB888E">
      <w:pPr>
        <w:tabs>
          <w:tab w:val="left" w:pos="7200"/>
        </w:tabs>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 经查询，在“信用中国”和“中国政府采购网”网站我方未被列入失信被执行人、重大税收违法案件当事人名单、政府采购严重违法失信行为记录名单。</w:t>
      </w:r>
    </w:p>
    <w:p w14:paraId="0642B124">
      <w:pPr>
        <w:tabs>
          <w:tab w:val="left" w:pos="720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以上事项如有虚假或隐瞒，我方愿意承担一切后果，并不再寻求任何旨在减轻或免除法律责任的辩解。</w:t>
      </w:r>
    </w:p>
    <w:p w14:paraId="479267BA">
      <w:pPr>
        <w:tabs>
          <w:tab w:val="left" w:pos="7200"/>
        </w:tabs>
        <w:spacing w:line="360" w:lineRule="auto"/>
        <w:ind w:firstLine="835" w:firstLineChars="398"/>
        <w:rPr>
          <w:rFonts w:hint="eastAsia" w:ascii="宋体" w:hAnsi="宋体" w:eastAsia="宋体" w:cs="宋体"/>
          <w:color w:val="auto"/>
          <w:highlight w:val="none"/>
        </w:rPr>
      </w:pPr>
    </w:p>
    <w:p w14:paraId="56A22682">
      <w:pPr>
        <w:tabs>
          <w:tab w:val="left" w:pos="7200"/>
        </w:tabs>
        <w:spacing w:line="360" w:lineRule="auto"/>
        <w:ind w:firstLine="835" w:firstLineChars="398"/>
        <w:rPr>
          <w:rFonts w:hint="eastAsia" w:ascii="宋体" w:hAnsi="宋体" w:eastAsia="宋体" w:cs="宋体"/>
          <w:color w:val="auto"/>
          <w:highlight w:val="none"/>
        </w:rPr>
      </w:pPr>
    </w:p>
    <w:p w14:paraId="25AC1E32">
      <w:pPr>
        <w:spacing w:line="440" w:lineRule="exact"/>
        <w:ind w:firstLine="420" w:firstLineChars="200"/>
        <w:jc w:val="left"/>
        <w:rPr>
          <w:rFonts w:hint="eastAsia" w:ascii="宋体" w:hAnsi="宋体" w:eastAsia="宋体" w:cs="宋体"/>
          <w:color w:val="auto"/>
          <w:highlight w:val="none"/>
        </w:rPr>
      </w:pPr>
    </w:p>
    <w:p w14:paraId="570F3D41">
      <w:pPr>
        <w:spacing w:line="440" w:lineRule="exact"/>
        <w:ind w:firstLine="420" w:firstLineChars="200"/>
        <w:jc w:val="left"/>
        <w:rPr>
          <w:rFonts w:hint="eastAsia" w:ascii="宋体" w:hAnsi="宋体" w:eastAsia="宋体" w:cs="宋体"/>
          <w:color w:val="auto"/>
          <w:highlight w:val="none"/>
        </w:rPr>
      </w:pPr>
    </w:p>
    <w:p w14:paraId="7EADBF53">
      <w:pPr>
        <w:tabs>
          <w:tab w:val="left" w:pos="7200"/>
        </w:tabs>
        <w:spacing w:line="360" w:lineRule="auto"/>
        <w:ind w:firstLine="839" w:firstLineChars="398"/>
        <w:rPr>
          <w:rFonts w:hint="eastAsia" w:ascii="宋体" w:hAnsi="宋体" w:eastAsia="宋体" w:cs="宋体"/>
          <w:b/>
          <w:color w:val="auto"/>
          <w:highlight w:val="none"/>
          <w:u w:val="single"/>
        </w:rPr>
      </w:pPr>
      <w:r>
        <w:rPr>
          <w:rFonts w:hint="eastAsia" w:ascii="宋体" w:hAnsi="宋体" w:eastAsia="宋体" w:cs="宋体"/>
          <w:b/>
          <w:color w:val="auto"/>
          <w:highlight w:val="none"/>
        </w:rPr>
        <w:t xml:space="preserve">                                  法定代表人或委托代理人签字：</w:t>
      </w:r>
      <w:r>
        <w:rPr>
          <w:rFonts w:hint="eastAsia" w:ascii="宋体" w:hAnsi="宋体" w:eastAsia="宋体" w:cs="宋体"/>
          <w:b/>
          <w:color w:val="auto"/>
          <w:highlight w:val="none"/>
          <w:u w:val="single"/>
        </w:rPr>
        <w:t xml:space="preserve">             </w:t>
      </w:r>
    </w:p>
    <w:p w14:paraId="6A91D5C0">
      <w:pPr>
        <w:tabs>
          <w:tab w:val="left" w:pos="7200"/>
        </w:tabs>
        <w:spacing w:line="360" w:lineRule="auto"/>
        <w:ind w:firstLine="4100" w:firstLineChars="1945"/>
        <w:rPr>
          <w:rFonts w:hint="eastAsia" w:ascii="宋体" w:hAnsi="宋体" w:eastAsia="宋体" w:cs="宋体"/>
          <w:b/>
          <w:color w:val="auto"/>
          <w:highlight w:val="none"/>
        </w:rPr>
      </w:pPr>
      <w:r>
        <w:rPr>
          <w:rFonts w:hint="eastAsia" w:ascii="宋体" w:hAnsi="宋体" w:eastAsia="宋体" w:cs="宋体"/>
          <w:b/>
          <w:color w:val="auto"/>
          <w:highlight w:val="none"/>
        </w:rPr>
        <w:t xml:space="preserve">        服务商（盖章）：</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w:t>
      </w:r>
    </w:p>
    <w:p w14:paraId="77C217AA">
      <w:pPr>
        <w:pStyle w:val="11"/>
        <w:spacing w:line="360" w:lineRule="auto"/>
        <w:ind w:firstLine="420"/>
        <w:jc w:val="right"/>
        <w:rPr>
          <w:rFonts w:hint="eastAsia" w:hAnsi="宋体" w:cs="宋体"/>
          <w:b/>
          <w:color w:val="auto"/>
          <w:kern w:val="0"/>
          <w:highlight w:val="none"/>
        </w:rPr>
      </w:pPr>
      <w:r>
        <w:rPr>
          <w:rFonts w:hint="eastAsia" w:hAnsi="宋体" w:cs="宋体"/>
          <w:b/>
          <w:color w:val="auto"/>
          <w:kern w:val="0"/>
          <w:highlight w:val="none"/>
        </w:rPr>
        <w:t xml:space="preserve">                                               年    月    日</w:t>
      </w:r>
    </w:p>
    <w:p w14:paraId="6C12CAB1">
      <w:pPr>
        <w:pStyle w:val="11"/>
        <w:spacing w:line="360" w:lineRule="auto"/>
        <w:ind w:firstLine="420"/>
        <w:jc w:val="right"/>
        <w:rPr>
          <w:rFonts w:hint="eastAsia" w:hAnsi="宋体" w:cs="宋体"/>
          <w:b/>
          <w:color w:val="auto"/>
          <w:sz w:val="36"/>
          <w:szCs w:val="36"/>
          <w:highlight w:val="none"/>
        </w:rPr>
      </w:pPr>
      <w:r>
        <w:rPr>
          <w:rFonts w:hint="eastAsia" w:hAnsi="宋体" w:cs="宋体"/>
          <w:bCs/>
          <w:color w:val="auto"/>
          <w:szCs w:val="21"/>
          <w:highlight w:val="none"/>
        </w:rPr>
        <w:br w:type="page"/>
      </w:r>
      <w:bookmarkStart w:id="39" w:name="_Toc213325925"/>
      <w:bookmarkStart w:id="40" w:name="_Toc213206176"/>
    </w:p>
    <w:p w14:paraId="27F6E4E9">
      <w:pPr>
        <w:pStyle w:val="11"/>
        <w:spacing w:line="600" w:lineRule="exact"/>
        <w:jc w:val="center"/>
        <w:outlineLvl w:val="0"/>
        <w:rPr>
          <w:rFonts w:hint="eastAsia" w:hAnsi="宋体" w:cs="宋体"/>
          <w:color w:val="auto"/>
          <w:highlight w:val="none"/>
          <w:u w:val="single"/>
        </w:rPr>
      </w:pPr>
      <w:bookmarkStart w:id="41" w:name="_Toc7042"/>
      <w:r>
        <w:rPr>
          <w:rFonts w:hint="eastAsia" w:hAnsi="宋体" w:cs="宋体"/>
          <w:b/>
          <w:color w:val="auto"/>
          <w:sz w:val="36"/>
          <w:szCs w:val="36"/>
          <w:highlight w:val="none"/>
        </w:rPr>
        <w:t>第六章  合同条款及格式</w:t>
      </w:r>
      <w:bookmarkEnd w:id="35"/>
      <w:bookmarkEnd w:id="36"/>
      <w:bookmarkEnd w:id="39"/>
      <w:bookmarkEnd w:id="40"/>
      <w:bookmarkEnd w:id="41"/>
    </w:p>
    <w:p w14:paraId="45B874D1">
      <w:pPr>
        <w:pStyle w:val="11"/>
        <w:spacing w:line="340" w:lineRule="exact"/>
        <w:ind w:firstLine="420"/>
        <w:rPr>
          <w:rFonts w:hint="eastAsia" w:hAnsi="宋体" w:cs="宋体"/>
          <w:color w:val="auto"/>
          <w:highlight w:val="none"/>
        </w:rPr>
      </w:pPr>
    </w:p>
    <w:p w14:paraId="00C8DFA8">
      <w:pPr>
        <w:spacing w:line="520" w:lineRule="exact"/>
        <w:ind w:right="105"/>
        <w:jc w:val="left"/>
        <w:rPr>
          <w:rFonts w:hint="eastAsia" w:ascii="宋体" w:hAnsi="宋体" w:cs="宋体"/>
          <w:b/>
          <w:bCs/>
          <w:color w:val="auto"/>
          <w:szCs w:val="21"/>
          <w:highlight w:val="none"/>
        </w:rPr>
      </w:pPr>
      <w:r>
        <w:rPr>
          <w:rFonts w:hint="eastAsia" w:ascii="宋体" w:hAnsi="宋体" w:cs="宋体"/>
          <w:b/>
          <w:bCs/>
          <w:color w:val="auto"/>
          <w:szCs w:val="21"/>
          <w:highlight w:val="none"/>
        </w:rPr>
        <w:t>项目编号:</w:t>
      </w:r>
    </w:p>
    <w:p w14:paraId="31534919">
      <w:pPr>
        <w:wordWrap w:val="0"/>
        <w:spacing w:line="5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p w14:paraId="6FC91BBF">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 xml:space="preserve">合同签订地点： </w:t>
      </w:r>
    </w:p>
    <w:p w14:paraId="54504235">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合同签订日期：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928B0B1">
      <w:pPr>
        <w:spacing w:line="520" w:lineRule="exact"/>
        <w:rPr>
          <w:rFonts w:hint="eastAsia" w:ascii="宋体" w:hAnsi="宋体" w:cs="宋体"/>
          <w:color w:val="auto"/>
          <w:szCs w:val="21"/>
          <w:highlight w:val="none"/>
        </w:rPr>
      </w:pPr>
    </w:p>
    <w:p w14:paraId="6281AC2F">
      <w:pPr>
        <w:spacing w:line="520" w:lineRule="exact"/>
        <w:rPr>
          <w:rFonts w:hint="eastAsia" w:ascii="宋体" w:hAnsi="宋体" w:cs="宋体"/>
          <w:color w:val="auto"/>
          <w:szCs w:val="21"/>
          <w:highlight w:val="none"/>
        </w:rPr>
      </w:pPr>
      <w:r>
        <w:rPr>
          <w:rFonts w:hint="eastAsia" w:ascii="宋体" w:hAnsi="宋体" w:cs="宋体"/>
          <w:color w:val="auto"/>
          <w:szCs w:val="21"/>
          <w:highlight w:val="none"/>
        </w:rPr>
        <w:t>甲方（采购人）：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梧州市红十字会医院</w:t>
      </w:r>
      <w:r>
        <w:rPr>
          <w:rFonts w:hint="eastAsia" w:ascii="宋体" w:hAnsi="宋体" w:cs="宋体"/>
          <w:color w:val="auto"/>
          <w:szCs w:val="21"/>
          <w:highlight w:val="none"/>
          <w:u w:val="single"/>
        </w:rPr>
        <w:t xml:space="preserve"> </w:t>
      </w:r>
    </w:p>
    <w:p w14:paraId="45DCC199">
      <w:pPr>
        <w:spacing w:line="520" w:lineRule="exact"/>
        <w:rPr>
          <w:rFonts w:hint="eastAsia" w:ascii="宋体" w:hAnsi="宋体" w:cs="宋体"/>
          <w:color w:val="auto"/>
          <w:szCs w:val="21"/>
          <w:highlight w:val="none"/>
          <w:u w:val="single"/>
        </w:rPr>
      </w:pPr>
      <w:r>
        <w:rPr>
          <w:rFonts w:hint="eastAsia" w:ascii="宋体" w:hAnsi="宋体" w:cs="宋体"/>
          <w:color w:val="auto"/>
          <w:szCs w:val="21"/>
          <w:highlight w:val="none"/>
        </w:rPr>
        <w:t>乙方（成交供应商）：</w:t>
      </w:r>
      <w:r>
        <w:rPr>
          <w:rFonts w:hint="eastAsia" w:ascii="宋体" w:hAnsi="宋体" w:cs="宋体"/>
          <w:color w:val="auto"/>
          <w:szCs w:val="21"/>
          <w:highlight w:val="none"/>
          <w:u w:val="single"/>
        </w:rPr>
        <w:t xml:space="preserve">               </w:t>
      </w:r>
    </w:p>
    <w:p w14:paraId="2D66BD60">
      <w:pPr>
        <w:spacing w:line="520" w:lineRule="exact"/>
        <w:ind w:firstLine="360"/>
        <w:rPr>
          <w:rFonts w:hint="eastAsia" w:ascii="宋体" w:hAnsi="宋体" w:cs="宋体"/>
          <w:b/>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中经国际招标集团有限公司</w:t>
      </w:r>
      <w:r>
        <w:rPr>
          <w:rFonts w:hint="eastAsia" w:ascii="宋体" w:hAnsi="宋体" w:cs="宋体"/>
          <w:color w:val="auto"/>
          <w:szCs w:val="21"/>
          <w:highlight w:val="none"/>
        </w:rPr>
        <w:t>签发的（</w:t>
      </w:r>
      <w:r>
        <w:rPr>
          <w:rFonts w:hint="eastAsia" w:ascii="宋体" w:hAnsi="宋体" w:cs="宋体"/>
          <w:color w:val="auto"/>
          <w:szCs w:val="21"/>
          <w:highlight w:val="none"/>
          <w:u w:val="single"/>
        </w:rPr>
        <w:t>项目名称及项目编号</w:t>
      </w:r>
      <w:r>
        <w:rPr>
          <w:rFonts w:hint="eastAsia" w:ascii="宋体" w:hAnsi="宋体" w:cs="宋体"/>
          <w:color w:val="auto"/>
          <w:szCs w:val="21"/>
          <w:highlight w:val="none"/>
        </w:rPr>
        <w:t>）成交通知书，甲方接受乙方对本项目的磋商，为明确双方的权利与义务，依据《中华人民共和国政府采购法》、《中华人民共和国民法典》等法律、法规规定，按照平等互利的原则，经协商，甲、乙双方达成以下协议，供双方共同遵守。</w:t>
      </w:r>
    </w:p>
    <w:p w14:paraId="33B3C90B">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一、合同文件</w:t>
      </w:r>
    </w:p>
    <w:p w14:paraId="0436F7A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本合同所附下列文件是构成本合同不可分割的部分：</w:t>
      </w:r>
    </w:p>
    <w:p w14:paraId="1DD6821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1、磋商文件</w:t>
      </w:r>
    </w:p>
    <w:p w14:paraId="601F995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2、成交供应商提交的响应文件；</w:t>
      </w:r>
    </w:p>
    <w:p w14:paraId="3DE4C72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3、成交通知书；</w:t>
      </w:r>
    </w:p>
    <w:p w14:paraId="083355D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、本合同协议书及有关补充资料；</w:t>
      </w:r>
    </w:p>
    <w:p w14:paraId="793C858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、标准、规范及有关技术文件</w:t>
      </w:r>
    </w:p>
    <w:p w14:paraId="28DDCF09">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二、合同标的及合同金额</w:t>
      </w:r>
    </w:p>
    <w:p w14:paraId="0B1637C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1、合同标的：</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08"/>
        <w:gridCol w:w="981"/>
        <w:gridCol w:w="982"/>
        <w:gridCol w:w="982"/>
        <w:gridCol w:w="982"/>
        <w:gridCol w:w="982"/>
        <w:gridCol w:w="982"/>
        <w:gridCol w:w="982"/>
      </w:tblGrid>
      <w:tr w14:paraId="0023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center"/>
          </w:tcPr>
          <w:p w14:paraId="72FF4DAE">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序号</w:t>
            </w:r>
          </w:p>
        </w:tc>
        <w:tc>
          <w:tcPr>
            <w:tcW w:w="1208" w:type="dxa"/>
            <w:noWrap w:val="0"/>
            <w:vAlign w:val="center"/>
          </w:tcPr>
          <w:p w14:paraId="5D9BA564">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服务名称</w:t>
            </w:r>
          </w:p>
        </w:tc>
        <w:tc>
          <w:tcPr>
            <w:tcW w:w="981" w:type="dxa"/>
            <w:noWrap w:val="0"/>
            <w:vAlign w:val="center"/>
          </w:tcPr>
          <w:p w14:paraId="7D5699C8">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商标品牌</w:t>
            </w:r>
          </w:p>
        </w:tc>
        <w:tc>
          <w:tcPr>
            <w:tcW w:w="982" w:type="dxa"/>
            <w:noWrap w:val="0"/>
            <w:vAlign w:val="center"/>
          </w:tcPr>
          <w:p w14:paraId="43D62E7C">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规格型号</w:t>
            </w:r>
          </w:p>
        </w:tc>
        <w:tc>
          <w:tcPr>
            <w:tcW w:w="982" w:type="dxa"/>
            <w:noWrap w:val="0"/>
            <w:vAlign w:val="center"/>
          </w:tcPr>
          <w:p w14:paraId="0DF1DFA8">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生产厂家</w:t>
            </w:r>
          </w:p>
        </w:tc>
        <w:tc>
          <w:tcPr>
            <w:tcW w:w="982" w:type="dxa"/>
            <w:noWrap w:val="0"/>
            <w:vAlign w:val="center"/>
          </w:tcPr>
          <w:p w14:paraId="4BEC671C">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数量</w:t>
            </w:r>
          </w:p>
        </w:tc>
        <w:tc>
          <w:tcPr>
            <w:tcW w:w="982" w:type="dxa"/>
            <w:noWrap w:val="0"/>
            <w:vAlign w:val="center"/>
          </w:tcPr>
          <w:p w14:paraId="4B8A3EC2">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单位</w:t>
            </w:r>
          </w:p>
        </w:tc>
        <w:tc>
          <w:tcPr>
            <w:tcW w:w="982" w:type="dxa"/>
            <w:noWrap w:val="0"/>
            <w:vAlign w:val="center"/>
          </w:tcPr>
          <w:p w14:paraId="685B6577">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单价（元）</w:t>
            </w:r>
          </w:p>
        </w:tc>
        <w:tc>
          <w:tcPr>
            <w:tcW w:w="982" w:type="dxa"/>
            <w:noWrap w:val="0"/>
            <w:vAlign w:val="center"/>
          </w:tcPr>
          <w:p w14:paraId="1CB168F6">
            <w:pPr>
              <w:bidi w:val="0"/>
              <w:jc w:val="center"/>
              <w:rPr>
                <w:rFonts w:hint="eastAsia" w:ascii="Calibri" w:hAnsi="Calibri" w:eastAsia="宋体" w:cs="Times New Roman"/>
                <w:color w:val="auto"/>
                <w:highlight w:val="none"/>
              </w:rPr>
            </w:pPr>
            <w:r>
              <w:rPr>
                <w:rFonts w:ascii="Calibri" w:hAnsi="Calibri" w:eastAsia="宋体" w:cs="Times New Roman"/>
                <w:color w:val="auto"/>
                <w:highlight w:val="none"/>
              </w:rPr>
              <w:t>金额（元）</w:t>
            </w:r>
          </w:p>
        </w:tc>
      </w:tr>
      <w:tr w14:paraId="5CBE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top"/>
          </w:tcPr>
          <w:p w14:paraId="3EDE1D81">
            <w:pPr>
              <w:spacing w:line="520" w:lineRule="exact"/>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1</w:t>
            </w:r>
          </w:p>
        </w:tc>
        <w:tc>
          <w:tcPr>
            <w:tcW w:w="1208" w:type="dxa"/>
            <w:noWrap w:val="0"/>
            <w:vAlign w:val="top"/>
          </w:tcPr>
          <w:p w14:paraId="5F01245E">
            <w:pPr>
              <w:spacing w:line="520" w:lineRule="exact"/>
              <w:jc w:val="center"/>
              <w:rPr>
                <w:rFonts w:hint="eastAsia" w:ascii="宋体" w:hAnsi="宋体" w:eastAsia="宋体" w:cs="宋体"/>
                <w:color w:val="auto"/>
                <w:szCs w:val="21"/>
                <w:highlight w:val="none"/>
                <w:vertAlign w:val="baseline"/>
              </w:rPr>
            </w:pPr>
          </w:p>
        </w:tc>
        <w:tc>
          <w:tcPr>
            <w:tcW w:w="981" w:type="dxa"/>
            <w:noWrap w:val="0"/>
            <w:vAlign w:val="top"/>
          </w:tcPr>
          <w:p w14:paraId="115506D2">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738C384E">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327AE7E9">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035BA6A9">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10654BCE">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42122EF2">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10358D07">
            <w:pPr>
              <w:spacing w:line="520" w:lineRule="exact"/>
              <w:jc w:val="center"/>
              <w:rPr>
                <w:rFonts w:hint="eastAsia" w:ascii="宋体" w:hAnsi="宋体" w:eastAsia="宋体" w:cs="宋体"/>
                <w:color w:val="auto"/>
                <w:szCs w:val="21"/>
                <w:highlight w:val="none"/>
                <w:vertAlign w:val="baseline"/>
              </w:rPr>
            </w:pPr>
          </w:p>
        </w:tc>
      </w:tr>
      <w:tr w14:paraId="0E03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noWrap w:val="0"/>
            <w:vAlign w:val="top"/>
          </w:tcPr>
          <w:p w14:paraId="70DC30E4">
            <w:pPr>
              <w:spacing w:line="520" w:lineRule="exact"/>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208" w:type="dxa"/>
            <w:noWrap w:val="0"/>
            <w:vAlign w:val="top"/>
          </w:tcPr>
          <w:p w14:paraId="4C791CB1">
            <w:pPr>
              <w:spacing w:line="520" w:lineRule="exact"/>
              <w:jc w:val="center"/>
              <w:rPr>
                <w:rFonts w:hint="eastAsia" w:ascii="宋体" w:hAnsi="宋体" w:eastAsia="宋体" w:cs="宋体"/>
                <w:color w:val="auto"/>
                <w:szCs w:val="21"/>
                <w:highlight w:val="none"/>
                <w:vertAlign w:val="baseline"/>
              </w:rPr>
            </w:pPr>
          </w:p>
        </w:tc>
        <w:tc>
          <w:tcPr>
            <w:tcW w:w="981" w:type="dxa"/>
            <w:noWrap w:val="0"/>
            <w:vAlign w:val="top"/>
          </w:tcPr>
          <w:p w14:paraId="19F98AAD">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08157615">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423476AA">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343375EC">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752B2012">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5EE947D5">
            <w:pPr>
              <w:spacing w:line="520" w:lineRule="exact"/>
              <w:jc w:val="center"/>
              <w:rPr>
                <w:rFonts w:hint="eastAsia" w:ascii="宋体" w:hAnsi="宋体" w:eastAsia="宋体" w:cs="宋体"/>
                <w:color w:val="auto"/>
                <w:szCs w:val="21"/>
                <w:highlight w:val="none"/>
                <w:vertAlign w:val="baseline"/>
              </w:rPr>
            </w:pPr>
          </w:p>
        </w:tc>
        <w:tc>
          <w:tcPr>
            <w:tcW w:w="982" w:type="dxa"/>
            <w:noWrap w:val="0"/>
            <w:vAlign w:val="top"/>
          </w:tcPr>
          <w:p w14:paraId="1EFC33D8">
            <w:pPr>
              <w:spacing w:line="520" w:lineRule="exact"/>
              <w:jc w:val="center"/>
              <w:rPr>
                <w:rFonts w:hint="eastAsia" w:ascii="宋体" w:hAnsi="宋体" w:eastAsia="宋体" w:cs="宋体"/>
                <w:color w:val="auto"/>
                <w:szCs w:val="21"/>
                <w:highlight w:val="none"/>
                <w:vertAlign w:val="baseline"/>
              </w:rPr>
            </w:pPr>
          </w:p>
        </w:tc>
      </w:tr>
    </w:tbl>
    <w:p w14:paraId="3070DA2A">
      <w:pPr>
        <w:spacing w:line="520" w:lineRule="exact"/>
        <w:ind w:firstLine="411" w:firstLineChars="196"/>
        <w:rPr>
          <w:rFonts w:hint="eastAsia" w:ascii="宋体" w:hAnsi="宋体" w:cs="宋体"/>
          <w:color w:val="auto"/>
          <w:szCs w:val="21"/>
          <w:highlight w:val="none"/>
        </w:rPr>
      </w:pPr>
    </w:p>
    <w:p w14:paraId="66F67DC2">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2、合同金额：</w:t>
      </w:r>
    </w:p>
    <w:p w14:paraId="061D0CF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2.1、根据《成交通知书》的成交内容，合同的总金额为：（大写）</w:t>
      </w:r>
      <w:r>
        <w:rPr>
          <w:rFonts w:hint="eastAsia" w:ascii="宋体" w:hAnsi="宋体" w:cs="宋体"/>
          <w:color w:val="auto"/>
          <w:szCs w:val="21"/>
          <w:highlight w:val="none"/>
          <w:u w:val="single"/>
        </w:rPr>
        <w:t>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w:t>
      </w:r>
      <w:r>
        <w:rPr>
          <w:rFonts w:hint="eastAsia" w:ascii="宋体" w:hAnsi="宋体" w:cs="宋体"/>
          <w:color w:val="auto"/>
          <w:szCs w:val="21"/>
          <w:highlight w:val="none"/>
        </w:rPr>
        <w:t>元）</w:t>
      </w:r>
    </w:p>
    <w:p w14:paraId="7E147803">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2.2、本项目实行总承包报价，即报价包含但不限于本项目所有服务内容、所涉及的工具、开发、劳务、差旅、人工费、伙食、保险、相关资料打印费、验收、不可预见费等各项费用和售后服务、税金及其它所有成本费用的总和。</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应对本项目的所有内容范围的服务进行总承包报价；磋商报价中应包含完成本项目的全部内容,即成交后</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除合同价款外，不再另行支付其他任何额外费用。</w:t>
      </w:r>
    </w:p>
    <w:p w14:paraId="596263AE">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2.3、乙方实施项目工作期间如出现人员人身、财产安全事故、损失等，均由乙方全部负责，甲方不负任何责任。</w:t>
      </w:r>
    </w:p>
    <w:p w14:paraId="1782950A">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、以实现系统完整功能为目的，如系统需与医院现有的系统进行数据交互的，</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须承担对接所需的接口开发工作及相关费用。</w:t>
      </w:r>
    </w:p>
    <w:p w14:paraId="61D9D8CA">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、质量保证</w:t>
      </w:r>
    </w:p>
    <w:p w14:paraId="038EEE10">
      <w:pPr>
        <w:keepNext w:val="0"/>
        <w:keepLines w:val="0"/>
        <w:pageBreakBefore w:val="0"/>
        <w:widowControl w:val="0"/>
        <w:kinsoku/>
        <w:wordWrap/>
        <w:overflowPunct/>
        <w:topLinePunct w:val="0"/>
        <w:autoSpaceDE/>
        <w:autoSpaceDN/>
        <w:bidi w:val="0"/>
        <w:adjustRightInd/>
        <w:snapToGrid/>
        <w:spacing w:line="520" w:lineRule="exact"/>
        <w:ind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乙方应按照磋商文件规定、响应文件承诺以及合同条款等内容提交成果，并根据意见修改完善后提交最终成果，有国家强制性标准的，还必须符合国家强制性标准的规定，没有国家强制性标准但有其他强制性标准的，必须符合其他强制性标准的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即标准适用采用就高不就低原则</w:t>
      </w:r>
      <w:r>
        <w:rPr>
          <w:rFonts w:hint="eastAsia" w:ascii="宋体" w:hAnsi="宋体" w:eastAsia="宋体" w:cs="宋体"/>
          <w:color w:val="auto"/>
          <w:sz w:val="21"/>
          <w:szCs w:val="21"/>
          <w:highlight w:val="none"/>
        </w:rPr>
        <w:t>。</w:t>
      </w:r>
    </w:p>
    <w:p w14:paraId="2CED5365">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2、乙方所提供的技术服务参数、性能要求等质量必须与响应文件和承诺相一致。</w:t>
      </w:r>
    </w:p>
    <w:p w14:paraId="71DA3AE1">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、乙方所提供的产品必须是全新、未使用的原装产品，且在正常安装、使用和保养条件下，其 使用寿命期内各项指标均达到质量要求。</w:t>
      </w:r>
    </w:p>
    <w:p w14:paraId="1F3F9E4B">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权利</w:t>
      </w:r>
      <w:r>
        <w:rPr>
          <w:rFonts w:hint="eastAsia" w:ascii="宋体" w:hAnsi="宋体" w:eastAsia="宋体" w:cs="宋体"/>
          <w:b/>
          <w:color w:val="auto"/>
          <w:sz w:val="21"/>
          <w:szCs w:val="21"/>
          <w:highlight w:val="none"/>
        </w:rPr>
        <w:t>保证</w:t>
      </w:r>
    </w:p>
    <w:p w14:paraId="65DE7596">
      <w:pPr>
        <w:pageBreakBefore w:val="0"/>
        <w:widowControl w:val="0"/>
        <w:kinsoku/>
        <w:wordWrap/>
        <w:overflowPunct/>
        <w:topLinePunct w:val="0"/>
        <w:autoSpaceDE/>
        <w:autoSpaceDN/>
        <w:bidi w:val="0"/>
        <w:adjustRightInd/>
        <w:snapToGrid/>
        <w:spacing w:line="520" w:lineRule="exact"/>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1、乙方应保证所提供货物(系统)在使用时不会侵犯任何第三方的专利权、商标权、工业设计权或其他权利。</w:t>
      </w:r>
    </w:p>
    <w:p w14:paraId="1245D7E8">
      <w:pPr>
        <w:pageBreakBefore w:val="0"/>
        <w:widowControl w:val="0"/>
        <w:kinsoku/>
        <w:wordWrap/>
        <w:overflowPunct/>
        <w:topLinePunct w:val="0"/>
        <w:autoSpaceDE/>
        <w:autoSpaceDN/>
        <w:bidi w:val="0"/>
        <w:adjustRightInd/>
        <w:snapToGrid/>
        <w:spacing w:line="520" w:lineRule="exact"/>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2、乙方应按磋商文件规定的时间向甲方提供使用系统的有关技术资料。</w:t>
      </w:r>
    </w:p>
    <w:p w14:paraId="50862003">
      <w:pPr>
        <w:pageBreakBefore w:val="0"/>
        <w:widowControl w:val="0"/>
        <w:kinsoku/>
        <w:wordWrap/>
        <w:overflowPunct/>
        <w:topLinePunct w:val="0"/>
        <w:autoSpaceDE/>
        <w:autoSpaceDN/>
        <w:bidi w:val="0"/>
        <w:adjustRightInd/>
        <w:snapToGrid/>
        <w:spacing w:line="520" w:lineRule="exact"/>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3、没有甲方事先书面同意，乙方不得将由甲方提供的有关合同或任何合同条文、规格、计划、 图纸、样品或资料提供给与履行本合同无关的任何其他人。即使向履行本合同有关的人员提供，也应 注意保密并限于履行合同的必需范围。</w:t>
      </w:r>
    </w:p>
    <w:p w14:paraId="250EA4BC">
      <w:pPr>
        <w:pageBreakBefore w:val="0"/>
        <w:widowControl w:val="0"/>
        <w:kinsoku/>
        <w:wordWrap/>
        <w:overflowPunct/>
        <w:topLinePunct w:val="0"/>
        <w:autoSpaceDE/>
        <w:autoSpaceDN/>
        <w:bidi w:val="0"/>
        <w:adjustRightInd/>
        <w:snapToGrid/>
        <w:spacing w:line="520" w:lineRule="exact"/>
        <w:ind w:firstLine="411" w:firstLineChars="196"/>
        <w:textAlignment w:val="auto"/>
        <w:rPr>
          <w:rFonts w:hint="eastAsia" w:ascii="宋体" w:hAnsi="宋体" w:cs="宋体"/>
          <w:b/>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4、乙方保证所交付的货物(系统)的所有权完全属于乙方且无任何抵押、质押、查封等产权瑕疵。</w:t>
      </w:r>
    </w:p>
    <w:p w14:paraId="01A279B3">
      <w:pPr>
        <w:numPr>
          <w:ilvl w:val="0"/>
          <w:numId w:val="0"/>
        </w:numPr>
        <w:spacing w:line="520" w:lineRule="exact"/>
        <w:rPr>
          <w:rFonts w:hint="eastAsia" w:ascii="宋体" w:hAnsi="宋体" w:cs="宋体"/>
          <w:b/>
          <w:color w:val="auto"/>
          <w:szCs w:val="21"/>
          <w:highlight w:val="none"/>
        </w:rPr>
      </w:pPr>
      <w:r>
        <w:rPr>
          <w:rFonts w:hint="eastAsia" w:ascii="宋体" w:hAnsi="宋体" w:cs="宋体"/>
          <w:b/>
          <w:color w:val="auto"/>
          <w:kern w:val="2"/>
          <w:sz w:val="21"/>
          <w:szCs w:val="21"/>
          <w:highlight w:val="none"/>
          <w:lang w:val="en-US" w:eastAsia="zh-CN" w:bidi="ar-SA"/>
        </w:rPr>
        <w:t>五、</w:t>
      </w:r>
      <w:r>
        <w:rPr>
          <w:rFonts w:hint="eastAsia" w:ascii="宋体" w:hAnsi="宋体" w:cs="宋体"/>
          <w:b/>
          <w:color w:val="auto"/>
          <w:szCs w:val="21"/>
          <w:highlight w:val="none"/>
        </w:rPr>
        <w:t>交付和验收</w:t>
      </w:r>
    </w:p>
    <w:p w14:paraId="22AC2D74">
      <w:pPr>
        <w:pStyle w:val="5"/>
        <w:pageBreakBefore w:val="0"/>
        <w:widowControl w:val="0"/>
        <w:numPr>
          <w:ilvl w:val="0"/>
          <w:numId w:val="0"/>
        </w:numPr>
        <w:kinsoku/>
        <w:wordWrap/>
        <w:overflowPunct/>
        <w:topLinePunct w:val="0"/>
        <w:autoSpaceDE/>
        <w:autoSpaceDN/>
        <w:bidi w:val="0"/>
        <w:adjustRightInd/>
        <w:snapToGrid/>
        <w:spacing w:before="0" w:after="0" w:line="520" w:lineRule="exact"/>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lang w:val="en-US" w:eastAsia="zh-CN"/>
        </w:rPr>
        <w:t>1、合同履约期限：</w:t>
      </w:r>
      <w:r>
        <w:rPr>
          <w:rFonts w:hint="eastAsia" w:ascii="宋体" w:hAnsi="宋体" w:eastAsia="宋体" w:cs="宋体"/>
          <w:b w:val="0"/>
          <w:bCs w:val="0"/>
          <w:color w:val="auto"/>
          <w:sz w:val="21"/>
          <w:szCs w:val="21"/>
          <w:highlight w:val="none"/>
          <w:u w:val="single"/>
          <w:lang w:val="en-US" w:eastAsia="zh-CN"/>
        </w:rPr>
        <w:t>按乙方响应文件承诺。</w:t>
      </w:r>
    </w:p>
    <w:p w14:paraId="379C5686">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2、交付地点：</w:t>
      </w:r>
      <w:r>
        <w:rPr>
          <w:rFonts w:hint="eastAsia" w:ascii="宋体" w:hAnsi="宋体" w:eastAsia="宋体" w:cs="宋体"/>
          <w:color w:val="auto"/>
          <w:szCs w:val="21"/>
          <w:highlight w:val="none"/>
          <w:u w:val="single"/>
          <w:lang w:val="en-US" w:eastAsia="zh-CN"/>
        </w:rPr>
        <w:t>采购人指定地点。</w:t>
      </w:r>
    </w:p>
    <w:p w14:paraId="6CAF1C6E">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3、培训</w:t>
      </w:r>
    </w:p>
    <w:p w14:paraId="5DB40E17">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3.1培训对象</w:t>
      </w:r>
    </w:p>
    <w:p w14:paraId="361DC53F">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培训对象为：系统管理员、医护人员、相关职能科室、管理部门人员等。</w:t>
      </w:r>
    </w:p>
    <w:p w14:paraId="25DBAC18">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3.2培训内容及要求</w:t>
      </w:r>
    </w:p>
    <w:p w14:paraId="63CDD661">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系统管理人员：系统运行维护管理；</w:t>
      </w:r>
    </w:p>
    <w:p w14:paraId="7A62BB8C">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管理人员：操作培训，系统流程；</w:t>
      </w:r>
    </w:p>
    <w:p w14:paraId="7D1B8C40">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医护人员、相关职能科室、管理科室使用人员：相关系统功能使用培训。</w:t>
      </w:r>
    </w:p>
    <w:p w14:paraId="62FFB4FE">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、乙方应按响应文件的承诺向甲方提供相应的服务，并提供所服务内容的相关技术资料及成果。</w:t>
      </w:r>
    </w:p>
    <w:p w14:paraId="197ECD4F">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、乙方提供不符合</w:t>
      </w:r>
      <w:r>
        <w:rPr>
          <w:rFonts w:hint="eastAsia" w:ascii="宋体" w:hAnsi="宋体" w:cs="宋体"/>
          <w:color w:val="auto"/>
          <w:sz w:val="21"/>
          <w:szCs w:val="21"/>
          <w:highlight w:val="none"/>
          <w:lang w:val="en-US" w:eastAsia="zh-CN"/>
        </w:rPr>
        <w:t>法律法规规章、</w:t>
      </w:r>
      <w:r>
        <w:rPr>
          <w:rFonts w:hint="eastAsia" w:ascii="宋体" w:hAnsi="宋体" w:eastAsia="宋体" w:cs="宋体"/>
          <w:color w:val="auto"/>
          <w:szCs w:val="21"/>
          <w:highlight w:val="none"/>
        </w:rPr>
        <w:t>响应文件和本合同规定的服务成果，甲方有权拒绝接受。</w:t>
      </w:r>
    </w:p>
    <w:p w14:paraId="6C93EAEA">
      <w:pPr>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color w:val="auto"/>
          <w:highlight w:val="none"/>
        </w:rPr>
        <w:t>合同项下的系统上线稳定运行两周后</w:t>
      </w:r>
      <w:r>
        <w:rPr>
          <w:rFonts w:hint="eastAsia"/>
          <w:color w:val="auto"/>
          <w:highlight w:val="none"/>
          <w:lang w:eastAsia="zh-CN"/>
        </w:rPr>
        <w:t>，</w:t>
      </w:r>
      <w:r>
        <w:rPr>
          <w:rFonts w:hint="eastAsia" w:ascii="宋体" w:hAnsi="宋体" w:eastAsia="宋体" w:cs="宋体"/>
          <w:color w:val="auto"/>
          <w:szCs w:val="21"/>
          <w:highlight w:val="none"/>
        </w:rPr>
        <w:t>乙方应及时书面通知甲方进行验收，甲方应在收到通知后七个工作日内进行验收</w:t>
      </w:r>
      <w:r>
        <w:rPr>
          <w:rFonts w:hint="eastAsia" w:ascii="宋体" w:hAnsi="宋体" w:eastAsia="宋体" w:cs="宋体"/>
          <w:color w:val="auto"/>
          <w:szCs w:val="21"/>
          <w:highlight w:val="none"/>
          <w:lang w:eastAsia="zh-CN"/>
        </w:rPr>
        <w:t>，并出具验收报告。</w:t>
      </w:r>
      <w:r>
        <w:rPr>
          <w:rFonts w:hint="eastAsia" w:ascii="宋体" w:hAnsi="宋体" w:eastAsia="宋体" w:cs="宋体"/>
          <w:color w:val="auto"/>
          <w:szCs w:val="21"/>
          <w:highlight w:val="none"/>
        </w:rPr>
        <w:t>验收合格后由甲乙双方签署验收单，甲乙双方各执一份。</w:t>
      </w:r>
    </w:p>
    <w:p w14:paraId="7BAE415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、甲乙双方应按照《广西壮族自治区政府采购项目履约验收管理办法》、双方合同、响应文件验收。</w:t>
      </w:r>
    </w:p>
    <w:p w14:paraId="1B62079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、甲方在初步验收或最终验收过程中如发现乙方提供的服务成果不满足响应文件及本合同规定的，可暂缓向乙方付款，直到乙方及时完善并提交相应的服务成果且经甲方验收合格后，方可办理付款。</w:t>
      </w:r>
    </w:p>
    <w:p w14:paraId="3070A4D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、甲方验收时以书面形式提出异议的，乙方应自收到甲方书面异议后五个工作日内及时予以解决，否则甲方有权不出具服务验收合格单。</w:t>
      </w:r>
    </w:p>
    <w:p w14:paraId="556F9945">
      <w:pPr>
        <w:spacing w:line="52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、维保期限</w:t>
      </w:r>
    </w:p>
    <w:p w14:paraId="22A2180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1、系统验收合格后三年为免费维护期。免费维护期结束后，如业主需求系统维护服务，维护费用不超过软件系统成交价的5%。</w:t>
      </w:r>
    </w:p>
    <w:p w14:paraId="66DC712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2、处理问题响应时间：接到甲方处理问题通知后</w:t>
      </w:r>
      <w:r>
        <w:rPr>
          <w:rFonts w:hint="default" w:ascii="宋体" w:hAnsi="宋体" w:eastAsia="宋体" w:cs="宋体"/>
          <w:color w:val="auto"/>
          <w:szCs w:val="21"/>
          <w:highlight w:val="none"/>
          <w:lang w:val="en"/>
        </w:rPr>
        <w:t>7</w:t>
      </w:r>
      <w:r>
        <w:rPr>
          <w:rFonts w:hint="eastAsia" w:ascii="宋体" w:hAnsi="宋体" w:eastAsia="宋体" w:cs="宋体"/>
          <w:color w:val="auto"/>
          <w:szCs w:val="21"/>
          <w:highlight w:val="none"/>
        </w:rPr>
        <w:t>个小时内到达采购人指定现场，</w:t>
      </w:r>
      <w:r>
        <w:rPr>
          <w:rFonts w:hint="default" w:ascii="宋体" w:hAnsi="宋体" w:eastAsia="宋体" w:cs="宋体"/>
          <w:color w:val="auto"/>
          <w:szCs w:val="21"/>
          <w:highlight w:val="none"/>
          <w:lang w:val="en"/>
        </w:rPr>
        <w:t>10</w:t>
      </w:r>
      <w:r>
        <w:rPr>
          <w:rFonts w:hint="eastAsia" w:ascii="宋体" w:hAnsi="宋体" w:eastAsia="宋体" w:cs="宋体"/>
          <w:color w:val="auto"/>
          <w:szCs w:val="21"/>
          <w:highlight w:val="none"/>
        </w:rPr>
        <w:t>个小时内提出解决方案，2个工作日内完成问题处理。</w:t>
      </w:r>
    </w:p>
    <w:p w14:paraId="4895C73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乙方委派联系人（姓名：</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联系电话：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31351434">
      <w:pPr>
        <w:widowControl/>
        <w:shd w:val="clear" w:color="auto" w:fill="FFFFFF"/>
        <w:spacing w:line="52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、保密要求：</w:t>
      </w:r>
    </w:p>
    <w:p w14:paraId="7904A390">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乙方保证不向乙方内部无关人员及任何第三方泄露双方在执行合同过程中了解到的甲方任何信息。</w:t>
      </w:r>
    </w:p>
    <w:p w14:paraId="584B4B1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甲乙双方均保证不向内部无关人员及任何第三方透露本合同任意条款内容。</w:t>
      </w:r>
    </w:p>
    <w:p w14:paraId="70B5BAA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乙双方同意，在双方合作过程中，了解到双方的业务、技术、管理信息，这些信息对双方来说是非常重要的，因此，双方保证对其在工作中知悉到的（不论是双方提供的还是偶然获得的）任何的业务、技术、管理信息，以及为履行本合同而向披露的各自的文件、资料和业务、管理、技术文件，负有严格的保密义务，不得以任何形式予以公开、发表或向任何第三方提供、泄露。对于使用完毕的各自提供的任何业务、技术、管理文件或其他资料，包括在产品安装过程中所起草的草稿或过程文件，双方须在工作结束后归还对方。</w:t>
      </w:r>
    </w:p>
    <w:p w14:paraId="225E4FF6">
      <w:pPr>
        <w:spacing w:line="5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对与</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现有软件系统接口相关信息具有保密义务，包括但不限于技术细节、数据格式、访问权限等。</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对软件接口信息的存储和传输必须采取加密等安全措施，确保接口不存在安全漏洞，防止信息在存储和传输过程中被窃取或泄露。</w:t>
      </w:r>
    </w:p>
    <w:p w14:paraId="5D34110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保密期限不受本合同期限的限制。在本合同期限届满后，甲乙双方仍应保护对方的秘密，尊重并保证不侵犯对方因本项目获得之成果及其所附的一切权益。</w:t>
      </w:r>
    </w:p>
    <w:p w14:paraId="468EC1A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遵守相关的数据保护法规，如《中华人民共和国网络安全法》、《中华人民共和国数据安全法》、《中华人民共和国个人信息保护法》等。</w:t>
      </w:r>
    </w:p>
    <w:p w14:paraId="750FAC10">
      <w:pPr>
        <w:spacing w:line="520" w:lineRule="exact"/>
        <w:rPr>
          <w:rFonts w:hint="eastAsia" w:ascii="宋体" w:hAnsi="宋体" w:cs="宋体"/>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、履约保证金：</w:t>
      </w:r>
    </w:p>
    <w:p w14:paraId="2F676EC1">
      <w:pPr>
        <w:spacing w:line="520" w:lineRule="exact"/>
        <w:ind w:firstLine="411" w:firstLineChars="196"/>
        <w:rPr>
          <w:rFonts w:hint="eastAsia" w:ascii="宋体" w:hAnsi="宋体" w:cs="宋体"/>
          <w:b/>
          <w:color w:val="auto"/>
          <w:szCs w:val="21"/>
          <w:highlight w:val="none"/>
        </w:rPr>
      </w:pPr>
      <w:r>
        <w:rPr>
          <w:rFonts w:hint="eastAsia" w:ascii="宋体" w:hAnsi="宋体" w:cs="宋体"/>
          <w:color w:val="auto"/>
          <w:szCs w:val="21"/>
          <w:highlight w:val="none"/>
        </w:rPr>
        <w:t>本项目免收履约保证金。</w:t>
      </w:r>
    </w:p>
    <w:p w14:paraId="6362B3AF">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、付款方式</w:t>
      </w:r>
    </w:p>
    <w:p w14:paraId="7998F850">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本合同结算付款方式：甲方核对发票无误后支付当期合同款至乙方指定对公银行帐户。</w:t>
      </w:r>
    </w:p>
    <w:p w14:paraId="43F37A1F">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第一期：系统上线运行后，向甲方开具符合税法规定的全额增值税发票并提交请款函，经甲方审核确认无误后，</w:t>
      </w:r>
      <w:r>
        <w:rPr>
          <w:rFonts w:hint="eastAsia" w:ascii="宋体" w:hAnsi="宋体" w:cs="宋体"/>
          <w:color w:val="auto"/>
          <w:szCs w:val="21"/>
          <w:highlight w:val="none"/>
          <w:lang w:eastAsia="zh-CN"/>
        </w:rPr>
        <w:t>10个工作日内</w:t>
      </w:r>
      <w:r>
        <w:rPr>
          <w:rFonts w:hint="eastAsia" w:ascii="宋体" w:hAnsi="宋体" w:eastAsia="宋体" w:cs="宋体"/>
          <w:color w:val="auto"/>
          <w:szCs w:val="21"/>
          <w:highlight w:val="none"/>
        </w:rPr>
        <w:t>支付合同总额的30％；</w:t>
      </w:r>
    </w:p>
    <w:p w14:paraId="379F2148">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第二期：系统验收合格后，向甲方提交请款函，经甲方审核确认无误后，</w:t>
      </w:r>
      <w:r>
        <w:rPr>
          <w:rFonts w:hint="eastAsia" w:ascii="宋体" w:hAnsi="宋体" w:cs="宋体"/>
          <w:color w:val="auto"/>
          <w:szCs w:val="21"/>
          <w:highlight w:val="none"/>
          <w:lang w:eastAsia="zh-CN"/>
        </w:rPr>
        <w:t>10个工作日内</w:t>
      </w:r>
      <w:r>
        <w:rPr>
          <w:rFonts w:hint="eastAsia" w:ascii="宋体" w:hAnsi="宋体" w:eastAsia="宋体" w:cs="宋体"/>
          <w:color w:val="auto"/>
          <w:szCs w:val="21"/>
          <w:highlight w:val="none"/>
        </w:rPr>
        <w:t>支付合同总额的60％；</w:t>
      </w:r>
    </w:p>
    <w:p w14:paraId="5500E0A9">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第三期：系统验收合格</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年后，向甲方提交请款函，经甲方审核确认无误后</w:t>
      </w:r>
      <w:r>
        <w:rPr>
          <w:rFonts w:hint="eastAsia" w:ascii="宋体" w:hAnsi="宋体" w:cs="宋体"/>
          <w:color w:val="auto"/>
          <w:szCs w:val="21"/>
          <w:highlight w:val="none"/>
          <w:lang w:eastAsia="zh-CN"/>
        </w:rPr>
        <w:t>10个工作日内</w:t>
      </w:r>
      <w:r>
        <w:rPr>
          <w:rFonts w:hint="eastAsia" w:ascii="宋体" w:hAnsi="宋体" w:eastAsia="宋体" w:cs="宋体"/>
          <w:color w:val="auto"/>
          <w:szCs w:val="21"/>
          <w:highlight w:val="none"/>
        </w:rPr>
        <w:t>支付合同总额的10％。</w:t>
      </w:r>
    </w:p>
    <w:p w14:paraId="25B8FD38">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合同签署的乙方名称及发票开具单位与收款单位必须一致，在合同执行过程中，乙方不得以其他不正当理由要求调整发票开具单位或收款单位，否则视为乙方违约。</w:t>
      </w:r>
    </w:p>
    <w:p w14:paraId="581FEC66">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十、税费</w:t>
      </w:r>
    </w:p>
    <w:p w14:paraId="1B99E87B">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22EF396B">
      <w:pPr>
        <w:numPr>
          <w:ilvl w:val="0"/>
          <w:numId w:val="0"/>
        </w:numPr>
        <w:spacing w:line="520" w:lineRule="exact"/>
        <w:rPr>
          <w:rFonts w:hint="eastAsia" w:ascii="宋体" w:hAnsi="宋体" w:cs="宋体"/>
          <w:b/>
          <w:color w:val="auto"/>
          <w:szCs w:val="21"/>
          <w:highlight w:val="none"/>
        </w:rPr>
      </w:pPr>
      <w:r>
        <w:rPr>
          <w:rFonts w:hint="eastAsia" w:ascii="宋体" w:hAnsi="宋体" w:cs="宋体"/>
          <w:b/>
          <w:color w:val="auto"/>
          <w:kern w:val="2"/>
          <w:sz w:val="21"/>
          <w:szCs w:val="21"/>
          <w:highlight w:val="none"/>
          <w:lang w:val="en-US" w:eastAsia="zh-CN" w:bidi="ar-SA"/>
        </w:rPr>
        <w:t>十一、</w:t>
      </w:r>
      <w:r>
        <w:rPr>
          <w:rFonts w:hint="eastAsia" w:ascii="宋体" w:hAnsi="宋体" w:cs="宋体"/>
          <w:b/>
          <w:color w:val="auto"/>
          <w:szCs w:val="21"/>
          <w:highlight w:val="none"/>
        </w:rPr>
        <w:t>违约责任</w:t>
      </w:r>
    </w:p>
    <w:p w14:paraId="727FC56F">
      <w:pPr>
        <w:pStyle w:val="5"/>
        <w:pageBreakBefore w:val="0"/>
        <w:widowControl w:val="0"/>
        <w:numPr>
          <w:ilvl w:val="0"/>
          <w:numId w:val="0"/>
        </w:numPr>
        <w:kinsoku/>
        <w:wordWrap/>
        <w:overflowPunct/>
        <w:topLinePunct w:val="0"/>
        <w:autoSpaceDE/>
        <w:autoSpaceDN/>
        <w:bidi w:val="0"/>
        <w:adjustRightInd/>
        <w:snapToGrid/>
        <w:spacing w:before="0" w:after="0" w:line="5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1、如果乙方违反本次竞争性磋商条件，通过欺骗、造假等手段骗取签约，乙方应向甲方全额退回已支付的全部费用，并支付本合同总额</w:t>
      </w:r>
      <w:r>
        <w:rPr>
          <w:rFonts w:hint="eastAsia" w:ascii="宋体" w:hAnsi="宋体" w:eastAsia="宋体" w:cs="宋体"/>
          <w:b w:val="0"/>
          <w:bCs w:val="0"/>
          <w:color w:val="auto"/>
          <w:sz w:val="21"/>
          <w:szCs w:val="21"/>
          <w:highlight w:val="none"/>
          <w:u w:val="single"/>
          <w:lang w:val="en-US" w:eastAsia="zh-CN"/>
        </w:rPr>
        <w:t>10</w:t>
      </w:r>
      <w:r>
        <w:rPr>
          <w:rFonts w:hint="eastAsia" w:ascii="宋体" w:hAnsi="宋体" w:eastAsia="宋体" w:cs="宋体"/>
          <w:b w:val="0"/>
          <w:bCs w:val="0"/>
          <w:color w:val="auto"/>
          <w:sz w:val="21"/>
          <w:szCs w:val="21"/>
          <w:highlight w:val="none"/>
        </w:rPr>
        <w:t>%的违约金。</w:t>
      </w:r>
    </w:p>
    <w:p w14:paraId="42D9DD39">
      <w:pPr>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、乙方所提供的服务质量或服务成果不合格的，应及时调整，调整不及时的按逾期完成处罚，甲方可要求乙方支付违约金并赔偿甲方经济损失。每推迟一天按合同金额的</w:t>
      </w:r>
      <w:r>
        <w:rPr>
          <w:rFonts w:hint="eastAsia" w:ascii="宋体" w:hAnsi="宋体" w:cs="宋体"/>
          <w:color w:val="auto"/>
          <w:szCs w:val="21"/>
          <w:highlight w:val="none"/>
          <w:u w:val="single"/>
        </w:rPr>
        <w:t>3‰</w:t>
      </w:r>
      <w:r>
        <w:rPr>
          <w:rFonts w:hint="eastAsia" w:ascii="宋体" w:hAnsi="宋体" w:cs="宋体"/>
          <w:color w:val="auto"/>
          <w:szCs w:val="21"/>
          <w:highlight w:val="none"/>
        </w:rPr>
        <w:t>支付违约金，该违约金累计不超过合同金额的</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14:paraId="22EED6C9">
      <w:pPr>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、乙方提供的服务成果如果侵犯了第三方合法权益而引发的任何纠纷或诉讼，均由乙方负责交涉并承担全部责任。</w:t>
      </w:r>
    </w:p>
    <w:p w14:paraId="6571FAFC">
      <w:pPr>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、甲方无故延期</w:t>
      </w:r>
      <w:r>
        <w:rPr>
          <w:rFonts w:hint="eastAsia" w:ascii="宋体" w:hAnsi="宋体" w:cs="宋体"/>
          <w:color w:val="auto"/>
          <w:szCs w:val="21"/>
          <w:highlight w:val="none"/>
          <w:lang w:val="en-US" w:eastAsia="zh-CN"/>
        </w:rPr>
        <w:t>验收</w:t>
      </w:r>
      <w:r>
        <w:rPr>
          <w:rFonts w:hint="eastAsia" w:ascii="宋体" w:hAnsi="宋体" w:cs="宋体"/>
          <w:color w:val="auto"/>
          <w:szCs w:val="21"/>
          <w:highlight w:val="none"/>
        </w:rPr>
        <w:t>的，每天向对方偿付合同金额</w:t>
      </w:r>
      <w:r>
        <w:rPr>
          <w:rFonts w:hint="eastAsia" w:ascii="宋体" w:hAnsi="宋体" w:cs="宋体"/>
          <w:color w:val="auto"/>
          <w:szCs w:val="21"/>
          <w:highlight w:val="none"/>
          <w:u w:val="single"/>
        </w:rPr>
        <w:t>1‰</w:t>
      </w:r>
      <w:r>
        <w:rPr>
          <w:rFonts w:hint="eastAsia" w:ascii="宋体" w:hAnsi="宋体" w:cs="宋体"/>
          <w:color w:val="auto"/>
          <w:szCs w:val="21"/>
          <w:highlight w:val="none"/>
        </w:rPr>
        <w:t>违约金，但违约金额不得超过合同金额</w:t>
      </w:r>
      <w:r>
        <w:rPr>
          <w:rFonts w:hint="eastAsia" w:ascii="宋体" w:hAnsi="宋体" w:cs="宋体"/>
          <w:color w:val="auto"/>
          <w:szCs w:val="21"/>
          <w:highlight w:val="none"/>
          <w:u w:val="single"/>
        </w:rPr>
        <w:t>3%</w:t>
      </w:r>
      <w:r>
        <w:rPr>
          <w:rFonts w:hint="eastAsia" w:ascii="宋体" w:hAnsi="宋体" w:cs="宋体"/>
          <w:color w:val="auto"/>
          <w:szCs w:val="21"/>
          <w:highlight w:val="none"/>
        </w:rPr>
        <w:t>。</w:t>
      </w:r>
    </w:p>
    <w:p w14:paraId="51F440EA">
      <w:pPr>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、乙方未按本合同、</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文件和</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文件中规定的服务承诺提供服务的，经甲方催告后，三十天内仍然未提供服务的，甲方有权单方解除本合同并要求乙方每推迟一天按合同金额的</w:t>
      </w:r>
      <w:r>
        <w:rPr>
          <w:rFonts w:hint="eastAsia" w:ascii="宋体" w:hAnsi="宋体" w:cs="宋体"/>
          <w:color w:val="auto"/>
          <w:szCs w:val="21"/>
          <w:highlight w:val="none"/>
          <w:u w:val="single"/>
        </w:rPr>
        <w:t>3‰</w:t>
      </w:r>
      <w:r>
        <w:rPr>
          <w:rFonts w:hint="eastAsia" w:ascii="宋体" w:hAnsi="宋体" w:cs="宋体"/>
          <w:color w:val="auto"/>
          <w:szCs w:val="21"/>
          <w:highlight w:val="none"/>
        </w:rPr>
        <w:t>支付违约金，该违约金累计不超过本合同合计金额</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14:paraId="12354A4E">
      <w:pPr>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6、乙方所提交的成果等不符合客观、真实、合法、准确、有效等要求，甲方因使用该成果导致损失的，甲方的全部损失由乙方负责赔偿。</w:t>
      </w:r>
    </w:p>
    <w:p w14:paraId="13D7E2E6">
      <w:pPr>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7、其他违约责任参照《中华人民共和国民法典》处理，按本合同合计金额3%收取违约金并赔偿经济损失。</w:t>
      </w:r>
    </w:p>
    <w:p w14:paraId="663F67FA">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、通知与送达</w:t>
      </w:r>
    </w:p>
    <w:p w14:paraId="031895BC">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1、所有通知和通信都应是书面的（可用电子邮件预送达），并亲自送达或以传真、挂号邮寄、特快专递等方式至本合同所示的项目联系人。</w:t>
      </w:r>
    </w:p>
    <w:p w14:paraId="311767A8">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2、亲自送达或挂号邮寄、特快专递的通知送达时生效，传真发送后在收到对方确认函时生效。任何一方变更本合同所示的项目联系人及联系方式，应提前</w:t>
      </w:r>
      <w:r>
        <w:rPr>
          <w:rFonts w:hint="eastAsia" w:ascii="宋体" w:hAnsi="宋体" w:cs="宋体"/>
          <w:color w:val="auto"/>
          <w:szCs w:val="21"/>
          <w:highlight w:val="none"/>
          <w:u w:val="single"/>
        </w:rPr>
        <w:t>5日</w:t>
      </w:r>
      <w:r>
        <w:rPr>
          <w:rFonts w:hint="eastAsia" w:ascii="宋体" w:hAnsi="宋体" w:cs="宋体"/>
          <w:color w:val="auto"/>
          <w:szCs w:val="21"/>
          <w:highlight w:val="none"/>
        </w:rPr>
        <w:t>书面通知对方。</w:t>
      </w:r>
    </w:p>
    <w:p w14:paraId="78BFC8E7">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、不可抗力事件处理</w:t>
      </w:r>
    </w:p>
    <w:p w14:paraId="1F8F014F">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1、在合同有效期内，乙方因不可抗力事件导致不能履行合同，则合同履行期可延长，其延长期与不可抗力影响期相同。</w:t>
      </w:r>
    </w:p>
    <w:p w14:paraId="0235E8E9">
      <w:pPr>
        <w:spacing w:line="52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14:paraId="6B7AAF73">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3、不可抗力事件延续</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十天以上，双方应通过友好协商，确定是否继续履行合同。</w:t>
      </w:r>
      <w:r>
        <w:rPr>
          <w:rFonts w:hint="eastAsia" w:ascii="宋体" w:hAnsi="宋体" w:cs="宋体"/>
          <w:color w:val="auto"/>
          <w:szCs w:val="21"/>
          <w:highlight w:val="none"/>
          <w:lang w:val="en-US" w:eastAsia="zh-CN"/>
        </w:rPr>
        <w:t>如</w:t>
      </w:r>
      <w:r>
        <w:rPr>
          <w:rFonts w:hint="eastAsia" w:ascii="宋体" w:hAnsi="宋体" w:cs="仿宋_GB2312"/>
          <w:color w:val="auto"/>
          <w:szCs w:val="21"/>
          <w:highlight w:val="none"/>
        </w:rPr>
        <w:t>达成进一步履行合同的协议，</w:t>
      </w:r>
      <w:r>
        <w:rPr>
          <w:rFonts w:hint="eastAsia" w:ascii="宋体" w:hAnsi="宋体" w:cs="仿宋_GB2312"/>
          <w:color w:val="auto"/>
          <w:szCs w:val="21"/>
          <w:highlight w:val="none"/>
          <w:lang w:val="en-US" w:eastAsia="zh-CN"/>
        </w:rPr>
        <w:t>应</w:t>
      </w:r>
      <w:r>
        <w:rPr>
          <w:rFonts w:hint="eastAsia" w:ascii="宋体" w:hAnsi="宋体" w:cs="仿宋_GB2312"/>
          <w:color w:val="auto"/>
          <w:szCs w:val="21"/>
          <w:highlight w:val="none"/>
        </w:rPr>
        <w:t>以书面形式报同级政府采购监督管理部门备案。</w:t>
      </w:r>
    </w:p>
    <w:p w14:paraId="642775A8">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、合同争议解决</w:t>
      </w:r>
    </w:p>
    <w:p w14:paraId="7191278D">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1、因服务质量问题发生争议的，应邀请国家认可的质量检测机构对服务质量进行鉴定，鉴定费由乙方承担。</w:t>
      </w:r>
    </w:p>
    <w:p w14:paraId="72B5CD3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2、因履行本合同引起的或与本合同有关的争议，甲乙双方应首先通过友好协商解决，如果协商不能解决，可向甲方住所地人民法院提起诉讼。</w:t>
      </w:r>
    </w:p>
    <w:p w14:paraId="2D65B19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3、若某方违约，违约方应承担守约方所有维权支出，包括但不限于：诉讼费、律师费、保全费、调查取证费等。</w:t>
      </w:r>
    </w:p>
    <w:p w14:paraId="6B1EE53B">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4、诉讼期间，本合同继续履行（继续履行会扩大守约方损失除外）。</w:t>
      </w:r>
    </w:p>
    <w:p w14:paraId="62DE4585">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、合同生效及其它</w:t>
      </w:r>
    </w:p>
    <w:p w14:paraId="3D051CF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1、合同经甲乙双方法定代表人（负责人）或相应的授权代表签字并加盖单位公章后生效（委托代理人签字的需后附法定代表人授权委托书，格式自拟）。</w:t>
      </w:r>
    </w:p>
    <w:p w14:paraId="18939F1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2、合同执行中涉及采购资金和采购内容修改或补充的，需经梧州市财政局审批，并签订书面补充协议报梧州市财政局</w:t>
      </w:r>
      <w:r>
        <w:rPr>
          <w:rFonts w:hint="eastAsia" w:ascii="宋体" w:hAnsi="宋体" w:cs="宋体"/>
          <w:color w:val="auto"/>
          <w:kern w:val="0"/>
          <w:szCs w:val="21"/>
          <w:highlight w:val="none"/>
          <w:shd w:val="clear" w:color="auto" w:fill="FFFFFF"/>
          <w:lang w:bidi="ar"/>
        </w:rPr>
        <w:t>政府采购监督管理科备</w:t>
      </w:r>
      <w:r>
        <w:rPr>
          <w:rFonts w:hint="eastAsia" w:ascii="宋体" w:hAnsi="宋体" w:cs="宋体"/>
          <w:color w:val="auto"/>
          <w:szCs w:val="21"/>
          <w:highlight w:val="none"/>
        </w:rPr>
        <w:t>案，方可作为主合同不可分割的一部分。</w:t>
      </w:r>
    </w:p>
    <w:p w14:paraId="31930C04">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4FF021B0">
      <w:pPr>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、合同的变更、终止与转让</w:t>
      </w:r>
    </w:p>
    <w:p w14:paraId="6D1AF164">
      <w:pPr>
        <w:spacing w:line="520" w:lineRule="exact"/>
        <w:ind w:left="15" w:leftChars="0" w:firstLine="403" w:firstLineChars="192"/>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56D18323">
      <w:pPr>
        <w:spacing w:line="520" w:lineRule="exact"/>
        <w:ind w:left="15" w:leftChars="0" w:firstLine="403" w:firstLineChars="192"/>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6543A2E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本合同甲乙双方签字盖章后生效，一式</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份，具有同等法律效力，甲、乙双方各</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份，采购代理机构</w:t>
      </w:r>
      <w:r>
        <w:rPr>
          <w:rFonts w:hint="eastAsia" w:ascii="宋体" w:hAnsi="宋体" w:cs="宋体"/>
          <w:color w:val="auto"/>
          <w:szCs w:val="21"/>
          <w:highlight w:val="none"/>
          <w:u w:val="single"/>
        </w:rPr>
        <w:t xml:space="preserve"> 壹 </w:t>
      </w:r>
      <w:r>
        <w:rPr>
          <w:rFonts w:hint="eastAsia" w:ascii="宋体" w:hAnsi="宋体" w:cs="宋体"/>
          <w:color w:val="auto"/>
          <w:szCs w:val="21"/>
          <w:highlight w:val="none"/>
        </w:rPr>
        <w:t>份。政府采购合同双方自签订之日起2个工作日内将合同原件壹份交采购代理机构备案存档，采购代理机构将政府采购合同在省级以上人民政府财政部门指定媒体上公告。</w:t>
      </w:r>
    </w:p>
    <w:tbl>
      <w:tblPr>
        <w:tblStyle w:val="24"/>
        <w:tblW w:w="5000" w:type="pct"/>
        <w:tblInd w:w="0" w:type="dxa"/>
        <w:tblLayout w:type="autofit"/>
        <w:tblCellMar>
          <w:top w:w="0" w:type="dxa"/>
          <w:left w:w="108" w:type="dxa"/>
          <w:bottom w:w="0" w:type="dxa"/>
          <w:right w:w="108" w:type="dxa"/>
        </w:tblCellMar>
      </w:tblPr>
      <w:tblGrid>
        <w:gridCol w:w="4981"/>
        <w:gridCol w:w="4981"/>
      </w:tblGrid>
      <w:tr w14:paraId="6F5A6F45">
        <w:tblPrEx>
          <w:tblCellMar>
            <w:top w:w="0" w:type="dxa"/>
            <w:left w:w="108" w:type="dxa"/>
            <w:bottom w:w="0" w:type="dxa"/>
            <w:right w:w="108" w:type="dxa"/>
          </w:tblCellMar>
        </w:tblPrEx>
        <w:tc>
          <w:tcPr>
            <w:tcW w:w="2500" w:type="pct"/>
            <w:noWrap w:val="0"/>
            <w:vAlign w:val="top"/>
          </w:tcPr>
          <w:p w14:paraId="33DC6B2B">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lang w:eastAsia="zh-CN"/>
              </w:rPr>
              <w:t>梧州市红十字会医院</w:t>
            </w:r>
          </w:p>
        </w:tc>
        <w:tc>
          <w:tcPr>
            <w:tcW w:w="2500" w:type="pct"/>
            <w:noWrap w:val="0"/>
            <w:vAlign w:val="top"/>
          </w:tcPr>
          <w:p w14:paraId="7B55BC9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乙方：</w:t>
            </w:r>
          </w:p>
        </w:tc>
      </w:tr>
      <w:tr w14:paraId="13765680">
        <w:tblPrEx>
          <w:tblCellMar>
            <w:top w:w="0" w:type="dxa"/>
            <w:left w:w="108" w:type="dxa"/>
            <w:bottom w:w="0" w:type="dxa"/>
            <w:right w:w="108" w:type="dxa"/>
          </w:tblCellMar>
        </w:tblPrEx>
        <w:tc>
          <w:tcPr>
            <w:tcW w:w="2500" w:type="pct"/>
            <w:noWrap w:val="0"/>
            <w:vAlign w:val="top"/>
          </w:tcPr>
          <w:p w14:paraId="2DB0B18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地址：梧州市万秀区新兴一路3-1号</w:t>
            </w:r>
          </w:p>
        </w:tc>
        <w:tc>
          <w:tcPr>
            <w:tcW w:w="2500" w:type="pct"/>
            <w:noWrap w:val="0"/>
            <w:vAlign w:val="top"/>
          </w:tcPr>
          <w:p w14:paraId="2304FB0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tc>
      </w:tr>
      <w:tr w14:paraId="7AB664FE">
        <w:tblPrEx>
          <w:tblCellMar>
            <w:top w:w="0" w:type="dxa"/>
            <w:left w:w="108" w:type="dxa"/>
            <w:bottom w:w="0" w:type="dxa"/>
            <w:right w:w="108" w:type="dxa"/>
          </w:tblCellMar>
        </w:tblPrEx>
        <w:tc>
          <w:tcPr>
            <w:tcW w:w="2500" w:type="pct"/>
            <w:noWrap w:val="0"/>
            <w:vAlign w:val="top"/>
          </w:tcPr>
          <w:p w14:paraId="567A2E9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2500" w:type="pct"/>
            <w:noWrap w:val="0"/>
            <w:vAlign w:val="top"/>
          </w:tcPr>
          <w:p w14:paraId="6886CFC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113A542A">
        <w:tblPrEx>
          <w:tblCellMar>
            <w:top w:w="0" w:type="dxa"/>
            <w:left w:w="108" w:type="dxa"/>
            <w:bottom w:w="0" w:type="dxa"/>
            <w:right w:w="108" w:type="dxa"/>
          </w:tblCellMar>
        </w:tblPrEx>
        <w:tc>
          <w:tcPr>
            <w:tcW w:w="2500" w:type="pct"/>
            <w:noWrap w:val="0"/>
            <w:vAlign w:val="top"/>
          </w:tcPr>
          <w:p w14:paraId="6E93756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w:t>
            </w:r>
          </w:p>
        </w:tc>
        <w:tc>
          <w:tcPr>
            <w:tcW w:w="2500" w:type="pct"/>
            <w:noWrap w:val="0"/>
            <w:vAlign w:val="top"/>
          </w:tcPr>
          <w:p w14:paraId="7EAAD4D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w:t>
            </w:r>
          </w:p>
        </w:tc>
      </w:tr>
      <w:tr w14:paraId="28C7DC1D">
        <w:tblPrEx>
          <w:tblCellMar>
            <w:top w:w="0" w:type="dxa"/>
            <w:left w:w="108" w:type="dxa"/>
            <w:bottom w:w="0" w:type="dxa"/>
            <w:right w:w="108" w:type="dxa"/>
          </w:tblCellMar>
        </w:tblPrEx>
        <w:tc>
          <w:tcPr>
            <w:tcW w:w="2500" w:type="pct"/>
            <w:noWrap w:val="0"/>
            <w:vAlign w:val="top"/>
          </w:tcPr>
          <w:p w14:paraId="2293FBA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2500" w:type="pct"/>
            <w:noWrap w:val="0"/>
            <w:vAlign w:val="top"/>
          </w:tcPr>
          <w:p w14:paraId="3333CA2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r>
      <w:tr w14:paraId="68298309">
        <w:tblPrEx>
          <w:tblCellMar>
            <w:top w:w="0" w:type="dxa"/>
            <w:left w:w="108" w:type="dxa"/>
            <w:bottom w:w="0" w:type="dxa"/>
            <w:right w:w="108" w:type="dxa"/>
          </w:tblCellMar>
        </w:tblPrEx>
        <w:tc>
          <w:tcPr>
            <w:tcW w:w="2500" w:type="pct"/>
            <w:noWrap w:val="0"/>
            <w:vAlign w:val="top"/>
          </w:tcPr>
          <w:p w14:paraId="4C0C4AA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tc>
        <w:tc>
          <w:tcPr>
            <w:tcW w:w="2500" w:type="pct"/>
            <w:noWrap w:val="0"/>
            <w:vAlign w:val="top"/>
          </w:tcPr>
          <w:p w14:paraId="63E67EB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tc>
      </w:tr>
      <w:tr w14:paraId="7E630823">
        <w:tblPrEx>
          <w:tblCellMar>
            <w:top w:w="0" w:type="dxa"/>
            <w:left w:w="108" w:type="dxa"/>
            <w:bottom w:w="0" w:type="dxa"/>
            <w:right w:w="108" w:type="dxa"/>
          </w:tblCellMar>
        </w:tblPrEx>
        <w:tc>
          <w:tcPr>
            <w:tcW w:w="2500" w:type="pct"/>
            <w:noWrap w:val="0"/>
            <w:vAlign w:val="top"/>
          </w:tcPr>
          <w:p w14:paraId="7B5F01D4">
            <w:pPr>
              <w:spacing w:line="360" w:lineRule="auto"/>
              <w:rPr>
                <w:rFonts w:hint="eastAsia" w:ascii="宋体" w:hAnsi="宋体" w:cs="宋体"/>
                <w:color w:val="auto"/>
                <w:sz w:val="21"/>
                <w:szCs w:val="21"/>
                <w:highlight w:val="none"/>
              </w:rPr>
            </w:pPr>
          </w:p>
        </w:tc>
        <w:tc>
          <w:tcPr>
            <w:tcW w:w="2500" w:type="pct"/>
            <w:noWrap w:val="0"/>
            <w:vAlign w:val="top"/>
          </w:tcPr>
          <w:p w14:paraId="2CD400C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tc>
      </w:tr>
      <w:tr w14:paraId="31EE903C">
        <w:tblPrEx>
          <w:tblCellMar>
            <w:top w:w="0" w:type="dxa"/>
            <w:left w:w="108" w:type="dxa"/>
            <w:bottom w:w="0" w:type="dxa"/>
            <w:right w:w="108" w:type="dxa"/>
          </w:tblCellMar>
        </w:tblPrEx>
        <w:tc>
          <w:tcPr>
            <w:tcW w:w="2500" w:type="pct"/>
            <w:noWrap w:val="0"/>
            <w:vAlign w:val="top"/>
          </w:tcPr>
          <w:p w14:paraId="645DB310">
            <w:pPr>
              <w:spacing w:line="360" w:lineRule="auto"/>
              <w:rPr>
                <w:rFonts w:hint="eastAsia" w:ascii="宋体" w:hAnsi="宋体" w:cs="宋体"/>
                <w:color w:val="auto"/>
                <w:sz w:val="21"/>
                <w:szCs w:val="21"/>
                <w:highlight w:val="none"/>
              </w:rPr>
            </w:pPr>
          </w:p>
        </w:tc>
        <w:tc>
          <w:tcPr>
            <w:tcW w:w="2500" w:type="pct"/>
            <w:noWrap w:val="0"/>
            <w:vAlign w:val="top"/>
          </w:tcPr>
          <w:p w14:paraId="464A798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开户名称：</w:t>
            </w:r>
          </w:p>
        </w:tc>
      </w:tr>
      <w:tr w14:paraId="1D2CE820">
        <w:tblPrEx>
          <w:tblCellMar>
            <w:top w:w="0" w:type="dxa"/>
            <w:left w:w="108" w:type="dxa"/>
            <w:bottom w:w="0" w:type="dxa"/>
            <w:right w:w="108" w:type="dxa"/>
          </w:tblCellMar>
        </w:tblPrEx>
        <w:tc>
          <w:tcPr>
            <w:tcW w:w="2500" w:type="pct"/>
            <w:noWrap w:val="0"/>
            <w:vAlign w:val="top"/>
          </w:tcPr>
          <w:p w14:paraId="0B76DB13">
            <w:pPr>
              <w:spacing w:line="360" w:lineRule="auto"/>
              <w:rPr>
                <w:rFonts w:hint="eastAsia" w:ascii="宋体" w:hAnsi="宋体" w:cs="宋体"/>
                <w:color w:val="auto"/>
                <w:sz w:val="21"/>
                <w:szCs w:val="21"/>
                <w:highlight w:val="none"/>
              </w:rPr>
            </w:pPr>
          </w:p>
        </w:tc>
        <w:tc>
          <w:tcPr>
            <w:tcW w:w="2500" w:type="pct"/>
            <w:noWrap w:val="0"/>
            <w:vAlign w:val="top"/>
          </w:tcPr>
          <w:p w14:paraId="1336745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银行账号：</w:t>
            </w:r>
          </w:p>
        </w:tc>
      </w:tr>
      <w:tr w14:paraId="351251FF">
        <w:tblPrEx>
          <w:tblCellMar>
            <w:top w:w="0" w:type="dxa"/>
            <w:left w:w="108" w:type="dxa"/>
            <w:bottom w:w="0" w:type="dxa"/>
            <w:right w:w="108" w:type="dxa"/>
          </w:tblCellMar>
        </w:tblPrEx>
        <w:tc>
          <w:tcPr>
            <w:tcW w:w="2500" w:type="pct"/>
            <w:noWrap w:val="0"/>
            <w:vAlign w:val="top"/>
          </w:tcPr>
          <w:p w14:paraId="254A3704">
            <w:pPr>
              <w:spacing w:line="360" w:lineRule="auto"/>
              <w:rPr>
                <w:rFonts w:hint="eastAsia" w:ascii="宋体" w:hAnsi="宋体" w:cs="宋体"/>
                <w:color w:val="auto"/>
                <w:sz w:val="21"/>
                <w:szCs w:val="21"/>
                <w:highlight w:val="none"/>
              </w:rPr>
            </w:pPr>
          </w:p>
        </w:tc>
        <w:tc>
          <w:tcPr>
            <w:tcW w:w="2500" w:type="pct"/>
            <w:noWrap w:val="0"/>
            <w:vAlign w:val="top"/>
          </w:tcPr>
          <w:p w14:paraId="4FFEADC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统一社会信用代码：</w:t>
            </w:r>
          </w:p>
        </w:tc>
      </w:tr>
      <w:tr w14:paraId="53B5DDC6">
        <w:tblPrEx>
          <w:tblCellMar>
            <w:top w:w="0" w:type="dxa"/>
            <w:left w:w="108" w:type="dxa"/>
            <w:bottom w:w="0" w:type="dxa"/>
            <w:right w:w="108" w:type="dxa"/>
          </w:tblCellMar>
        </w:tblPrEx>
        <w:tc>
          <w:tcPr>
            <w:tcW w:w="2500" w:type="pct"/>
            <w:noWrap w:val="0"/>
            <w:vAlign w:val="top"/>
          </w:tcPr>
          <w:p w14:paraId="25DF1DC0">
            <w:pPr>
              <w:spacing w:line="360" w:lineRule="auto"/>
              <w:rPr>
                <w:rFonts w:hint="eastAsia" w:ascii="宋体" w:hAnsi="宋体" w:cs="宋体"/>
                <w:color w:val="auto"/>
                <w:sz w:val="21"/>
                <w:szCs w:val="21"/>
                <w:highlight w:val="none"/>
              </w:rPr>
            </w:pPr>
          </w:p>
        </w:tc>
        <w:tc>
          <w:tcPr>
            <w:tcW w:w="2500" w:type="pct"/>
            <w:noWrap w:val="0"/>
            <w:vAlign w:val="top"/>
          </w:tcPr>
          <w:p w14:paraId="74562439">
            <w:pPr>
              <w:spacing w:line="360" w:lineRule="auto"/>
              <w:rPr>
                <w:rFonts w:hint="eastAsia" w:ascii="宋体" w:hAnsi="宋体" w:cs="宋体"/>
                <w:color w:val="auto"/>
                <w:sz w:val="21"/>
                <w:szCs w:val="21"/>
                <w:highlight w:val="none"/>
              </w:rPr>
            </w:pPr>
          </w:p>
        </w:tc>
      </w:tr>
      <w:tr w14:paraId="2AA586C0">
        <w:tblPrEx>
          <w:tblCellMar>
            <w:top w:w="0" w:type="dxa"/>
            <w:left w:w="108" w:type="dxa"/>
            <w:bottom w:w="0" w:type="dxa"/>
            <w:right w:w="108" w:type="dxa"/>
          </w:tblCellMar>
        </w:tblPrEx>
        <w:tc>
          <w:tcPr>
            <w:tcW w:w="2500" w:type="pct"/>
            <w:noWrap w:val="0"/>
            <w:vAlign w:val="top"/>
          </w:tcPr>
          <w:p w14:paraId="2F2B91B8">
            <w:pPr>
              <w:spacing w:line="360" w:lineRule="auto"/>
              <w:rPr>
                <w:rFonts w:hint="eastAsia" w:ascii="宋体" w:hAnsi="宋体" w:cs="宋体"/>
                <w:color w:val="auto"/>
                <w:sz w:val="21"/>
                <w:szCs w:val="21"/>
                <w:highlight w:val="none"/>
              </w:rPr>
            </w:pPr>
          </w:p>
        </w:tc>
        <w:tc>
          <w:tcPr>
            <w:tcW w:w="2500" w:type="pct"/>
            <w:noWrap w:val="0"/>
            <w:vAlign w:val="top"/>
          </w:tcPr>
          <w:p w14:paraId="17236B88">
            <w:pPr>
              <w:spacing w:line="360" w:lineRule="auto"/>
              <w:rPr>
                <w:rFonts w:hint="eastAsia" w:ascii="宋体" w:hAnsi="宋体" w:cs="宋体"/>
                <w:color w:val="auto"/>
                <w:sz w:val="21"/>
                <w:szCs w:val="21"/>
                <w:highlight w:val="none"/>
              </w:rPr>
            </w:pPr>
          </w:p>
        </w:tc>
      </w:tr>
      <w:tr w14:paraId="3862C97F">
        <w:tblPrEx>
          <w:tblCellMar>
            <w:top w:w="0" w:type="dxa"/>
            <w:left w:w="108" w:type="dxa"/>
            <w:bottom w:w="0" w:type="dxa"/>
            <w:right w:w="108" w:type="dxa"/>
          </w:tblCellMar>
        </w:tblPrEx>
        <w:tc>
          <w:tcPr>
            <w:tcW w:w="2500" w:type="pct"/>
            <w:noWrap w:val="0"/>
            <w:vAlign w:val="top"/>
          </w:tcPr>
          <w:p w14:paraId="33DEAA59">
            <w:pPr>
              <w:spacing w:line="360" w:lineRule="auto"/>
              <w:rPr>
                <w:rFonts w:hint="eastAsia" w:ascii="宋体" w:hAnsi="宋体" w:cs="宋体"/>
                <w:color w:val="auto"/>
                <w:sz w:val="21"/>
                <w:szCs w:val="21"/>
                <w:highlight w:val="none"/>
              </w:rPr>
            </w:pPr>
          </w:p>
        </w:tc>
        <w:tc>
          <w:tcPr>
            <w:tcW w:w="2500" w:type="pct"/>
            <w:noWrap w:val="0"/>
            <w:vAlign w:val="top"/>
          </w:tcPr>
          <w:p w14:paraId="7883368A">
            <w:pPr>
              <w:spacing w:line="360" w:lineRule="auto"/>
              <w:rPr>
                <w:rFonts w:hint="eastAsia" w:ascii="宋体" w:hAnsi="宋体" w:cs="宋体"/>
                <w:color w:val="auto"/>
                <w:sz w:val="21"/>
                <w:szCs w:val="21"/>
                <w:highlight w:val="none"/>
              </w:rPr>
            </w:pPr>
          </w:p>
        </w:tc>
      </w:tr>
      <w:tr w14:paraId="4BF89F28">
        <w:tblPrEx>
          <w:tblCellMar>
            <w:top w:w="0" w:type="dxa"/>
            <w:left w:w="108" w:type="dxa"/>
            <w:bottom w:w="0" w:type="dxa"/>
            <w:right w:w="108" w:type="dxa"/>
          </w:tblCellMar>
        </w:tblPrEx>
        <w:tc>
          <w:tcPr>
            <w:tcW w:w="2500" w:type="pct"/>
            <w:noWrap w:val="0"/>
            <w:vAlign w:val="top"/>
          </w:tcPr>
          <w:p w14:paraId="24869328">
            <w:pPr>
              <w:spacing w:line="360" w:lineRule="auto"/>
              <w:rPr>
                <w:rFonts w:hint="eastAsia" w:ascii="宋体" w:hAnsi="宋体" w:cs="宋体"/>
                <w:color w:val="auto"/>
                <w:sz w:val="21"/>
                <w:szCs w:val="21"/>
                <w:highlight w:val="none"/>
              </w:rPr>
            </w:pPr>
          </w:p>
        </w:tc>
        <w:tc>
          <w:tcPr>
            <w:tcW w:w="2500" w:type="pct"/>
            <w:noWrap w:val="0"/>
            <w:vAlign w:val="top"/>
          </w:tcPr>
          <w:p w14:paraId="23666B2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签约日期：     年   月   日</w:t>
            </w:r>
          </w:p>
        </w:tc>
      </w:tr>
    </w:tbl>
    <w:p w14:paraId="5FB0AFF4">
      <w:pPr>
        <w:spacing w:line="360" w:lineRule="exact"/>
        <w:rPr>
          <w:rFonts w:hint="eastAsia" w:ascii="宋体" w:hAnsi="宋体"/>
          <w:color w:val="auto"/>
          <w:highlight w:val="none"/>
        </w:rPr>
      </w:pPr>
    </w:p>
    <w:p w14:paraId="19A2ECEA">
      <w:pPr>
        <w:snapToGrid w:val="0"/>
        <w:spacing w:line="400" w:lineRule="exact"/>
        <w:ind w:firstLine="301" w:firstLineChars="100"/>
        <w:jc w:val="center"/>
        <w:rPr>
          <w:rFonts w:hint="eastAsia" w:ascii="宋体" w:hAnsi="宋体"/>
          <w:b/>
          <w:color w:val="auto"/>
          <w:sz w:val="30"/>
          <w:szCs w:val="30"/>
          <w:highlight w:val="none"/>
        </w:rPr>
      </w:pPr>
    </w:p>
    <w:p w14:paraId="7FDBFF31">
      <w:pPr>
        <w:snapToGrid w:val="0"/>
        <w:spacing w:line="400" w:lineRule="exact"/>
        <w:ind w:firstLine="301" w:firstLineChars="100"/>
        <w:jc w:val="center"/>
        <w:rPr>
          <w:rFonts w:hint="eastAsia" w:ascii="宋体" w:hAnsi="宋体"/>
          <w:b/>
          <w:color w:val="auto"/>
          <w:sz w:val="30"/>
          <w:szCs w:val="30"/>
          <w:highlight w:val="none"/>
        </w:rPr>
      </w:pPr>
    </w:p>
    <w:p w14:paraId="031E9F7C">
      <w:pPr>
        <w:snapToGrid w:val="0"/>
        <w:spacing w:line="400" w:lineRule="exact"/>
        <w:ind w:firstLine="301" w:firstLineChars="100"/>
        <w:jc w:val="center"/>
        <w:rPr>
          <w:rFonts w:hint="eastAsia" w:ascii="宋体" w:hAnsi="宋体"/>
          <w:b/>
          <w:color w:val="auto"/>
          <w:sz w:val="30"/>
          <w:szCs w:val="30"/>
          <w:highlight w:val="none"/>
        </w:rPr>
      </w:pPr>
    </w:p>
    <w:p w14:paraId="412BE0F0">
      <w:pPr>
        <w:snapToGrid w:val="0"/>
        <w:spacing w:line="400" w:lineRule="exact"/>
        <w:ind w:firstLine="301" w:firstLineChars="100"/>
        <w:jc w:val="center"/>
        <w:rPr>
          <w:rFonts w:hint="eastAsia" w:ascii="宋体" w:hAnsi="宋体"/>
          <w:b/>
          <w:color w:val="auto"/>
          <w:sz w:val="30"/>
          <w:szCs w:val="30"/>
          <w:highlight w:val="none"/>
        </w:rPr>
      </w:pPr>
    </w:p>
    <w:p w14:paraId="28238DED">
      <w:pPr>
        <w:snapToGrid w:val="0"/>
        <w:spacing w:line="400" w:lineRule="exact"/>
        <w:ind w:firstLine="301" w:firstLineChars="100"/>
        <w:jc w:val="center"/>
        <w:rPr>
          <w:rFonts w:hint="eastAsia" w:ascii="宋体" w:hAnsi="宋体"/>
          <w:b/>
          <w:color w:val="auto"/>
          <w:sz w:val="30"/>
          <w:szCs w:val="30"/>
          <w:highlight w:val="none"/>
        </w:rPr>
      </w:pPr>
    </w:p>
    <w:p w14:paraId="0A603FC4">
      <w:pPr>
        <w:snapToGrid w:val="0"/>
        <w:spacing w:line="400" w:lineRule="exact"/>
        <w:ind w:firstLine="301" w:firstLineChars="100"/>
        <w:jc w:val="center"/>
        <w:rPr>
          <w:rFonts w:hint="eastAsia" w:ascii="宋体" w:hAnsi="宋体"/>
          <w:b/>
          <w:color w:val="auto"/>
          <w:sz w:val="30"/>
          <w:szCs w:val="30"/>
          <w:highlight w:val="none"/>
        </w:rPr>
      </w:pPr>
    </w:p>
    <w:p w14:paraId="0C8F58CC">
      <w:pPr>
        <w:snapToGrid w:val="0"/>
        <w:spacing w:line="400" w:lineRule="exact"/>
        <w:ind w:firstLine="301" w:firstLineChars="100"/>
        <w:jc w:val="center"/>
        <w:rPr>
          <w:rFonts w:hint="eastAsia" w:ascii="宋体" w:hAnsi="宋体"/>
          <w:b/>
          <w:color w:val="auto"/>
          <w:sz w:val="30"/>
          <w:szCs w:val="30"/>
          <w:highlight w:val="none"/>
        </w:rPr>
      </w:pPr>
    </w:p>
    <w:p w14:paraId="6F9C8843">
      <w:pPr>
        <w:snapToGrid w:val="0"/>
        <w:spacing w:line="400" w:lineRule="exact"/>
        <w:ind w:firstLine="301" w:firstLineChars="100"/>
        <w:jc w:val="center"/>
        <w:rPr>
          <w:rFonts w:hint="eastAsia" w:ascii="宋体" w:hAnsi="宋体"/>
          <w:b/>
          <w:color w:val="auto"/>
          <w:sz w:val="30"/>
          <w:szCs w:val="30"/>
          <w:highlight w:val="none"/>
        </w:rPr>
      </w:pPr>
    </w:p>
    <w:p w14:paraId="1CCF23FA">
      <w:pPr>
        <w:snapToGrid w:val="0"/>
        <w:spacing w:line="400" w:lineRule="exact"/>
        <w:ind w:firstLine="301" w:firstLineChars="100"/>
        <w:jc w:val="center"/>
        <w:rPr>
          <w:rFonts w:hint="eastAsia" w:ascii="宋体" w:hAnsi="宋体"/>
          <w:b/>
          <w:color w:val="auto"/>
          <w:sz w:val="30"/>
          <w:szCs w:val="30"/>
          <w:highlight w:val="none"/>
        </w:rPr>
      </w:pPr>
    </w:p>
    <w:p w14:paraId="7D7C2BB6">
      <w:pPr>
        <w:snapToGrid w:val="0"/>
        <w:spacing w:line="400" w:lineRule="exact"/>
        <w:ind w:firstLine="301" w:firstLineChars="100"/>
        <w:jc w:val="center"/>
        <w:rPr>
          <w:rFonts w:hint="eastAsia" w:ascii="宋体" w:hAnsi="宋体"/>
          <w:b/>
          <w:color w:val="auto"/>
          <w:sz w:val="30"/>
          <w:szCs w:val="30"/>
          <w:highlight w:val="none"/>
        </w:rPr>
      </w:pPr>
    </w:p>
    <w:p w14:paraId="325FDD8A">
      <w:pPr>
        <w:snapToGrid w:val="0"/>
        <w:spacing w:line="400" w:lineRule="exact"/>
        <w:ind w:firstLine="301" w:firstLineChars="100"/>
        <w:jc w:val="center"/>
        <w:rPr>
          <w:rFonts w:hint="eastAsia" w:ascii="宋体" w:hAnsi="宋体"/>
          <w:b/>
          <w:color w:val="auto"/>
          <w:sz w:val="30"/>
          <w:szCs w:val="30"/>
          <w:highlight w:val="none"/>
        </w:rPr>
      </w:pPr>
    </w:p>
    <w:p w14:paraId="09080AFD">
      <w:pPr>
        <w:snapToGrid w:val="0"/>
        <w:spacing w:line="400" w:lineRule="exact"/>
        <w:ind w:firstLine="301" w:firstLineChars="100"/>
        <w:jc w:val="center"/>
        <w:rPr>
          <w:rFonts w:hint="eastAsia" w:ascii="宋体" w:hAnsi="宋体"/>
          <w:b/>
          <w:color w:val="auto"/>
          <w:sz w:val="30"/>
          <w:szCs w:val="30"/>
          <w:highlight w:val="none"/>
        </w:rPr>
      </w:pPr>
    </w:p>
    <w:p w14:paraId="3B606BBF">
      <w:pPr>
        <w:snapToGrid w:val="0"/>
        <w:spacing w:line="400" w:lineRule="exact"/>
        <w:ind w:firstLine="301" w:firstLineChars="100"/>
        <w:jc w:val="center"/>
        <w:rPr>
          <w:rFonts w:hint="eastAsia" w:ascii="宋体" w:hAnsi="宋体"/>
          <w:b/>
          <w:color w:val="auto"/>
          <w:sz w:val="30"/>
          <w:szCs w:val="30"/>
          <w:highlight w:val="none"/>
        </w:rPr>
      </w:pPr>
    </w:p>
    <w:p w14:paraId="73E2C9DC">
      <w:pPr>
        <w:snapToGrid w:val="0"/>
        <w:spacing w:line="400" w:lineRule="exact"/>
        <w:ind w:firstLine="301" w:firstLineChars="100"/>
        <w:jc w:val="center"/>
        <w:rPr>
          <w:rFonts w:ascii="宋体" w:hAnsi="宋体"/>
          <w:b/>
          <w:color w:val="auto"/>
          <w:sz w:val="30"/>
          <w:szCs w:val="30"/>
          <w:highlight w:val="none"/>
        </w:rPr>
      </w:pPr>
      <w:r>
        <w:rPr>
          <w:rFonts w:hint="eastAsia" w:ascii="宋体" w:hAnsi="宋体"/>
          <w:b/>
          <w:color w:val="auto"/>
          <w:sz w:val="30"/>
          <w:szCs w:val="30"/>
          <w:highlight w:val="none"/>
        </w:rPr>
        <w:t>合同附件</w:t>
      </w:r>
    </w:p>
    <w:p w14:paraId="780C1104">
      <w:pPr>
        <w:spacing w:line="300" w:lineRule="exact"/>
        <w:rPr>
          <w:rFonts w:ascii="宋体" w:hAnsi="宋体"/>
          <w:color w:val="auto"/>
          <w:szCs w:val="21"/>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274"/>
      </w:tblGrid>
      <w:tr w14:paraId="1C98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2" w:type="dxa"/>
            <w:gridSpan w:val="2"/>
            <w:noWrap w:val="0"/>
            <w:vAlign w:val="top"/>
          </w:tcPr>
          <w:p w14:paraId="15DDACFA">
            <w:pPr>
              <w:snapToGrid w:val="0"/>
              <w:spacing w:line="360" w:lineRule="exact"/>
              <w:rPr>
                <w:rFonts w:ascii="宋体" w:hAnsi="宋体"/>
                <w:b/>
                <w:color w:val="auto"/>
                <w:highlight w:val="none"/>
              </w:rPr>
            </w:pPr>
            <w:r>
              <w:rPr>
                <w:rFonts w:hint="eastAsia" w:ascii="宋体" w:hAnsi="宋体"/>
                <w:b/>
                <w:color w:val="auto"/>
                <w:sz w:val="24"/>
                <w:highlight w:val="none"/>
              </w:rPr>
              <w:t>1、供应商承诺具体事项：</w:t>
            </w:r>
          </w:p>
        </w:tc>
      </w:tr>
      <w:tr w14:paraId="744C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522" w:type="dxa"/>
            <w:gridSpan w:val="2"/>
            <w:noWrap w:val="0"/>
            <w:vAlign w:val="top"/>
          </w:tcPr>
          <w:p w14:paraId="6DFCBFF5">
            <w:pPr>
              <w:snapToGrid w:val="0"/>
              <w:spacing w:line="360" w:lineRule="exact"/>
              <w:rPr>
                <w:rFonts w:ascii="宋体" w:hAnsi="宋体"/>
                <w:b/>
                <w:color w:val="auto"/>
                <w:highlight w:val="none"/>
              </w:rPr>
            </w:pPr>
            <w:r>
              <w:rPr>
                <w:rFonts w:hint="eastAsia" w:ascii="宋体" w:hAnsi="宋体"/>
                <w:b/>
                <w:color w:val="auto"/>
                <w:sz w:val="24"/>
                <w:highlight w:val="none"/>
              </w:rPr>
              <w:t>2、其他具体事项：</w:t>
            </w:r>
          </w:p>
        </w:tc>
      </w:tr>
      <w:tr w14:paraId="6EFD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4248" w:type="dxa"/>
            <w:noWrap w:val="0"/>
            <w:vAlign w:val="center"/>
          </w:tcPr>
          <w:p w14:paraId="07EB5366">
            <w:pPr>
              <w:snapToGrid w:val="0"/>
              <w:spacing w:line="360" w:lineRule="exact"/>
              <w:rPr>
                <w:rFonts w:ascii="宋体" w:hAnsi="宋体"/>
                <w:b/>
                <w:color w:val="auto"/>
                <w:highlight w:val="none"/>
              </w:rPr>
            </w:pPr>
            <w:r>
              <w:rPr>
                <w:rFonts w:hint="eastAsia" w:ascii="宋体" w:hAnsi="宋体"/>
                <w:b/>
                <w:color w:val="auto"/>
                <w:sz w:val="24"/>
                <w:highlight w:val="none"/>
              </w:rPr>
              <w:t>甲方（公章）</w:t>
            </w:r>
          </w:p>
          <w:p w14:paraId="731A94F5">
            <w:pPr>
              <w:snapToGrid w:val="0"/>
              <w:spacing w:line="360" w:lineRule="exact"/>
              <w:rPr>
                <w:rFonts w:ascii="宋体" w:hAnsi="宋体"/>
                <w:b/>
                <w:color w:val="auto"/>
                <w:highlight w:val="none"/>
              </w:rPr>
            </w:pPr>
          </w:p>
          <w:p w14:paraId="080DF5CA">
            <w:pPr>
              <w:snapToGrid w:val="0"/>
              <w:spacing w:line="360" w:lineRule="exact"/>
              <w:rPr>
                <w:rFonts w:ascii="宋体" w:hAnsi="宋体"/>
                <w:b/>
                <w:color w:val="auto"/>
                <w:highlight w:val="none"/>
              </w:rPr>
            </w:pPr>
          </w:p>
          <w:p w14:paraId="2C724086">
            <w:pPr>
              <w:snapToGrid w:val="0"/>
              <w:spacing w:line="360" w:lineRule="exact"/>
              <w:rPr>
                <w:rFonts w:ascii="宋体" w:hAnsi="宋体"/>
                <w:b/>
                <w:color w:val="auto"/>
                <w:highlight w:val="none"/>
              </w:rPr>
            </w:pPr>
          </w:p>
          <w:p w14:paraId="33DC2EDB">
            <w:pPr>
              <w:snapToGrid w:val="0"/>
              <w:spacing w:line="360" w:lineRule="exact"/>
              <w:ind w:firstLine="1662" w:firstLineChars="690"/>
              <w:rPr>
                <w:rFonts w:ascii="宋体" w:hAnsi="宋体"/>
                <w:b/>
                <w:color w:val="auto"/>
                <w:highlight w:val="none"/>
              </w:rPr>
            </w:pPr>
            <w:r>
              <w:rPr>
                <w:rFonts w:hint="eastAsia" w:ascii="宋体" w:hAnsi="宋体"/>
                <w:b/>
                <w:color w:val="auto"/>
                <w:sz w:val="24"/>
                <w:highlight w:val="none"/>
              </w:rPr>
              <w:t>年    月    日</w:t>
            </w:r>
          </w:p>
        </w:tc>
        <w:tc>
          <w:tcPr>
            <w:tcW w:w="4274" w:type="dxa"/>
            <w:noWrap w:val="0"/>
            <w:vAlign w:val="center"/>
          </w:tcPr>
          <w:p w14:paraId="0CF35DBB">
            <w:pPr>
              <w:snapToGrid w:val="0"/>
              <w:spacing w:line="360" w:lineRule="exact"/>
              <w:rPr>
                <w:rFonts w:hint="eastAsia" w:ascii="宋体" w:hAnsi="宋体"/>
                <w:b/>
                <w:color w:val="auto"/>
                <w:sz w:val="24"/>
                <w:highlight w:val="none"/>
              </w:rPr>
            </w:pPr>
            <w:r>
              <w:rPr>
                <w:rFonts w:hint="eastAsia" w:ascii="宋体" w:hAnsi="宋体"/>
                <w:b/>
                <w:color w:val="auto"/>
                <w:sz w:val="24"/>
                <w:highlight w:val="none"/>
              </w:rPr>
              <w:t>乙方（公章）</w:t>
            </w:r>
          </w:p>
          <w:p w14:paraId="3DBB80CE">
            <w:pPr>
              <w:snapToGrid w:val="0"/>
              <w:spacing w:line="360" w:lineRule="exact"/>
              <w:rPr>
                <w:rFonts w:ascii="宋体" w:hAnsi="宋体"/>
                <w:b/>
                <w:color w:val="auto"/>
                <w:highlight w:val="none"/>
              </w:rPr>
            </w:pPr>
          </w:p>
          <w:p w14:paraId="45C13310">
            <w:pPr>
              <w:snapToGrid w:val="0"/>
              <w:spacing w:line="360" w:lineRule="exact"/>
              <w:rPr>
                <w:rFonts w:ascii="宋体" w:hAnsi="宋体"/>
                <w:b/>
                <w:color w:val="auto"/>
                <w:highlight w:val="none"/>
              </w:rPr>
            </w:pPr>
          </w:p>
          <w:p w14:paraId="1FA9B727">
            <w:pPr>
              <w:snapToGrid w:val="0"/>
              <w:spacing w:line="360" w:lineRule="exact"/>
              <w:rPr>
                <w:rFonts w:ascii="宋体" w:hAnsi="宋体"/>
                <w:b/>
                <w:color w:val="auto"/>
                <w:highlight w:val="none"/>
              </w:rPr>
            </w:pPr>
          </w:p>
          <w:p w14:paraId="011470C1">
            <w:pPr>
              <w:snapToGrid w:val="0"/>
              <w:spacing w:line="360" w:lineRule="exact"/>
              <w:ind w:firstLine="1662" w:firstLineChars="690"/>
              <w:rPr>
                <w:rFonts w:ascii="宋体" w:hAnsi="宋体"/>
                <w:b/>
                <w:color w:val="auto"/>
                <w:highlight w:val="none"/>
              </w:rPr>
            </w:pPr>
            <w:r>
              <w:rPr>
                <w:rFonts w:hint="eastAsia" w:ascii="宋体" w:hAnsi="宋体"/>
                <w:b/>
                <w:color w:val="auto"/>
                <w:sz w:val="24"/>
                <w:highlight w:val="none"/>
              </w:rPr>
              <w:t>年    月    日</w:t>
            </w:r>
          </w:p>
        </w:tc>
      </w:tr>
    </w:tbl>
    <w:p w14:paraId="206C0D59">
      <w:pPr>
        <w:snapToGrid w:val="0"/>
        <w:spacing w:line="360" w:lineRule="exact"/>
        <w:jc w:val="left"/>
        <w:rPr>
          <w:rFonts w:ascii="宋体" w:hAnsi="宋体"/>
          <w:color w:val="auto"/>
          <w:szCs w:val="21"/>
          <w:highlight w:val="none"/>
        </w:rPr>
      </w:pPr>
    </w:p>
    <w:p w14:paraId="16760D34">
      <w:pPr>
        <w:rPr>
          <w:rFonts w:hint="eastAsia" w:ascii="宋体" w:hAnsi="宋体"/>
          <w:color w:val="auto"/>
          <w:szCs w:val="21"/>
          <w:highlight w:val="none"/>
        </w:rPr>
      </w:pPr>
      <w:r>
        <w:rPr>
          <w:rFonts w:hint="eastAsia" w:ascii="宋体" w:hAnsi="宋体"/>
          <w:color w:val="auto"/>
          <w:szCs w:val="21"/>
          <w:highlight w:val="none"/>
        </w:rPr>
        <w:t>注：服务事项填不下时可另加附页</w:t>
      </w:r>
    </w:p>
    <w:p w14:paraId="21CB1408">
      <w:pPr>
        <w:rPr>
          <w:rFonts w:hint="eastAsia" w:ascii="宋体" w:hAnsi="宋体"/>
          <w:color w:val="auto"/>
          <w:szCs w:val="21"/>
          <w:highlight w:val="none"/>
        </w:rPr>
      </w:pPr>
      <w:r>
        <w:rPr>
          <w:rFonts w:hint="eastAsia" w:ascii="宋体" w:hAnsi="宋体"/>
          <w:color w:val="auto"/>
          <w:szCs w:val="21"/>
          <w:highlight w:val="none"/>
        </w:rPr>
        <w:t>附件1：</w:t>
      </w:r>
    </w:p>
    <w:p w14:paraId="3200CAD2">
      <w:pPr>
        <w:autoSpaceDE w:val="0"/>
        <w:autoSpaceDN w:val="0"/>
        <w:adjustRightInd w:val="0"/>
        <w:snapToGrid w:val="0"/>
        <w:ind w:firstLine="482"/>
        <w:jc w:val="center"/>
        <w:rPr>
          <w:rFonts w:ascii="华文中宋" w:hAnsi="华文中宋" w:eastAsia="华文中宋"/>
          <w:color w:val="auto"/>
          <w:kern w:val="0"/>
          <w:sz w:val="40"/>
          <w:highlight w:val="none"/>
          <w:lang w:val="zh-CN"/>
        </w:rPr>
      </w:pPr>
      <w:r>
        <w:rPr>
          <w:rFonts w:hint="eastAsia" w:ascii="华文中宋" w:hAnsi="华文中宋" w:eastAsia="华文中宋"/>
          <w:color w:val="auto"/>
          <w:kern w:val="0"/>
          <w:sz w:val="40"/>
          <w:highlight w:val="none"/>
          <w:lang w:val="zh-CN"/>
        </w:rPr>
        <w:t>项目采购</w:t>
      </w:r>
      <w:r>
        <w:rPr>
          <w:rFonts w:ascii="华文中宋" w:hAnsi="华文中宋" w:eastAsia="华文中宋"/>
          <w:color w:val="auto"/>
          <w:kern w:val="0"/>
          <w:sz w:val="40"/>
          <w:highlight w:val="none"/>
          <w:lang w:val="zh-CN"/>
        </w:rPr>
        <w:t>廉洁承诺书</w:t>
      </w:r>
    </w:p>
    <w:p w14:paraId="3564CF36">
      <w:pPr>
        <w:autoSpaceDE w:val="0"/>
        <w:autoSpaceDN w:val="0"/>
        <w:adjustRightInd w:val="0"/>
        <w:snapToGrid w:val="0"/>
        <w:spacing w:line="440" w:lineRule="exact"/>
        <w:ind w:firstLine="482"/>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为深入贯彻落实国家卫生健康委等部门《关于印发医疗机构工作人员廉洁从业九项准则的通知》（国卫医发〔2021〕37号）、《广西壮族自治区医疗卫生机构及其工作人员廉洁从业规定》（桂卫发[2020]11号）及《中华人民共和国政府采购法》等文件精神，进一步规范医疗机构项目（包括货物</w:t>
      </w:r>
      <w:r>
        <w:rPr>
          <w:rFonts w:ascii="宋体" w:hAnsi="宋体"/>
          <w:color w:val="auto"/>
          <w:kern w:val="0"/>
          <w:szCs w:val="21"/>
          <w:highlight w:val="none"/>
          <w:lang w:val="zh-CN"/>
        </w:rPr>
        <w:t>、服务、工程</w:t>
      </w:r>
      <w:r>
        <w:rPr>
          <w:rFonts w:hint="eastAsia" w:ascii="宋体" w:hAnsi="宋体"/>
          <w:color w:val="auto"/>
          <w:kern w:val="0"/>
          <w:szCs w:val="21"/>
          <w:highlight w:val="none"/>
          <w:lang w:val="zh-CN"/>
        </w:rPr>
        <w:t>等）采购行为，从源头上遏制和预防项目</w:t>
      </w:r>
      <w:r>
        <w:rPr>
          <w:rFonts w:ascii="宋体" w:hAnsi="宋体"/>
          <w:color w:val="auto"/>
          <w:kern w:val="0"/>
          <w:szCs w:val="21"/>
          <w:highlight w:val="none"/>
          <w:lang w:val="zh-CN"/>
        </w:rPr>
        <w:t>采购</w:t>
      </w:r>
      <w:r>
        <w:rPr>
          <w:rFonts w:hint="eastAsia" w:ascii="宋体" w:hAnsi="宋体"/>
          <w:color w:val="auto"/>
          <w:kern w:val="0"/>
          <w:szCs w:val="21"/>
          <w:highlight w:val="none"/>
          <w:lang w:val="zh-CN"/>
        </w:rPr>
        <w:t>贿赂行为，营造风清气正的购销环境，我公司及所属业务人员作出以下不向医院工作人员赠送“回扣”“红包”等廉洁承诺：</w:t>
      </w:r>
    </w:p>
    <w:p w14:paraId="1273066E">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一、严格遵守国家的法律法规，依法依规处理项目采购业务，保证不进行违法乱纪活动，自觉接受执法执纪部门的监督检查。</w:t>
      </w:r>
    </w:p>
    <w:p w14:paraId="0A5E2E28">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二、保证严格按照民法典及项目采购合同约定履行。</w:t>
      </w:r>
    </w:p>
    <w:p w14:paraId="6DCBEEBB">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三、在项目采购活动中，保证不以任何借口向医院及其工作人员（含工作人员的近亲属和其他关系人）给予回扣，主要包括以下内容：</w:t>
      </w:r>
    </w:p>
    <w:p w14:paraId="3093378E">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（一）以各种名义所送礼品、礼金、有价证券和支付凭证等财物；</w:t>
      </w:r>
    </w:p>
    <w:p w14:paraId="0346C277">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（二）报销应当由医院及其工作人员与其近亲属和其他关系人支付的费用；</w:t>
      </w:r>
    </w:p>
    <w:p w14:paraId="584C105D">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（三）向医院及其工作人员提供旅游、考察、宴请、健身、娱乐等活动；</w:t>
      </w:r>
    </w:p>
    <w:p w14:paraId="6D802F98">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（四）在医疗活动中向临床提供促销费、开单（药品、检验、耗材等）提成费、推介费等；</w:t>
      </w:r>
    </w:p>
    <w:p w14:paraId="388207D6">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（五）让医院及其工作人员进行以商业目的的处方统计或为其统计提供便利，获取药品、医用设备和医用耗材的用量信息，给予不正当利益的；</w:t>
      </w:r>
    </w:p>
    <w:p w14:paraId="75A0E457">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（六）法律法规规定禁止的其他不正当行为。</w:t>
      </w:r>
    </w:p>
    <w:p w14:paraId="4F2A48BC">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四、保证不到住院部、门诊部、医技科室等推销产品、项目，不借故到医疗机构相关领导、部门负责人及相关工作人员家中访谈并提供任何好处费。</w:t>
      </w:r>
    </w:p>
    <w:p w14:paraId="20E8B7DC">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五、维护正常的医疗秩序，保证不以宴请、到营业性娱乐场所娱乐活动、提供旅游等手段影响医疗机构工作人员的项目（包括货物、服务、工程等）采购选择权。</w:t>
      </w:r>
    </w:p>
    <w:p w14:paraId="387B4744">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六、保证不以任何理由要求医院及其工作人员利用任何途径和方式统计医师个人及临床科室有关药品、耗材、后勤物资等的用量信息，或要求为营销人员统计提供便利。</w:t>
      </w:r>
    </w:p>
    <w:p w14:paraId="7FB1EEF4">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七、如有违反上述承诺，我们愿意接受按照《国家卫生计生委关于建立医药购销领域商业贿赂不良记录的规定》（国卫法制发（2013）50号）相关规定处理，以及执法执纪部门的其他处理。</w:t>
      </w:r>
    </w:p>
    <w:p w14:paraId="4FE9BF89">
      <w:pPr>
        <w:autoSpaceDE w:val="0"/>
        <w:autoSpaceDN w:val="0"/>
        <w:adjustRightInd w:val="0"/>
        <w:snapToGrid w:val="0"/>
        <w:spacing w:line="440" w:lineRule="exact"/>
        <w:ind w:firstLine="567"/>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八、本承诺书一式两份，我公司和医疗机构各执一份。</w:t>
      </w:r>
    </w:p>
    <w:p w14:paraId="648E3D2B">
      <w:pPr>
        <w:autoSpaceDE w:val="0"/>
        <w:autoSpaceDN w:val="0"/>
        <w:adjustRightInd w:val="0"/>
        <w:snapToGrid w:val="0"/>
        <w:spacing w:line="440" w:lineRule="exact"/>
        <w:ind w:firstLine="2835" w:firstLineChars="135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公司名称（盖章）：</w:t>
      </w:r>
    </w:p>
    <w:p w14:paraId="32FFB680">
      <w:pPr>
        <w:autoSpaceDE w:val="0"/>
        <w:autoSpaceDN w:val="0"/>
        <w:adjustRightInd w:val="0"/>
        <w:snapToGrid w:val="0"/>
        <w:spacing w:line="440" w:lineRule="exact"/>
        <w:ind w:firstLine="3465" w:firstLineChars="165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法定代表人：</w:t>
      </w:r>
    </w:p>
    <w:p w14:paraId="16DA6491">
      <w:pPr>
        <w:autoSpaceDE w:val="0"/>
        <w:autoSpaceDN w:val="0"/>
        <w:adjustRightInd w:val="0"/>
        <w:snapToGrid w:val="0"/>
        <w:spacing w:line="440" w:lineRule="exact"/>
        <w:ind w:firstLine="3465" w:firstLineChars="165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经办人签名：</w:t>
      </w:r>
    </w:p>
    <w:p w14:paraId="77CE67CC">
      <w:pPr>
        <w:autoSpaceDE w:val="0"/>
        <w:autoSpaceDN w:val="0"/>
        <w:adjustRightInd w:val="0"/>
        <w:snapToGrid w:val="0"/>
        <w:spacing w:line="440" w:lineRule="exact"/>
        <w:ind w:firstLine="4095" w:firstLineChars="195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日期：</w:t>
      </w:r>
    </w:p>
    <w:p w14:paraId="3294D362">
      <w:pPr>
        <w:autoSpaceDE w:val="0"/>
        <w:autoSpaceDN w:val="0"/>
        <w:adjustRightInd w:val="0"/>
        <w:snapToGrid w:val="0"/>
        <w:jc w:val="left"/>
        <w:rPr>
          <w:rFonts w:hint="eastAsia" w:ascii="宋体" w:hAnsi="宋体"/>
          <w:color w:val="auto"/>
          <w:szCs w:val="21"/>
          <w:highlight w:val="none"/>
        </w:rPr>
      </w:pPr>
    </w:p>
    <w:p w14:paraId="3009FC87">
      <w:pPr>
        <w:autoSpaceDE w:val="0"/>
        <w:autoSpaceDN w:val="0"/>
        <w:adjustRightInd w:val="0"/>
        <w:snapToGrid w:val="0"/>
        <w:jc w:val="left"/>
        <w:rPr>
          <w:rFonts w:hint="eastAsia" w:ascii="宋体" w:hAnsi="宋体"/>
          <w:color w:val="auto"/>
          <w:szCs w:val="21"/>
          <w:highlight w:val="none"/>
        </w:rPr>
      </w:pPr>
    </w:p>
    <w:p w14:paraId="31A2F90C">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2</w:t>
      </w:r>
      <w:r>
        <w:rPr>
          <w:rFonts w:hint="eastAsia" w:ascii="宋体" w:hAnsi="宋体"/>
          <w:color w:val="auto"/>
          <w:szCs w:val="21"/>
          <w:highlight w:val="none"/>
        </w:rPr>
        <w:t>：</w:t>
      </w:r>
    </w:p>
    <w:p w14:paraId="08E44FD8">
      <w:pPr>
        <w:spacing w:line="400" w:lineRule="exact"/>
        <w:jc w:val="center"/>
        <w:rPr>
          <w:rFonts w:ascii="方正小标宋简体" w:hAnsi="??" w:eastAsia="方正小标宋简体"/>
          <w:color w:val="auto"/>
          <w:sz w:val="32"/>
          <w:szCs w:val="32"/>
          <w:highlight w:val="none"/>
        </w:rPr>
      </w:pPr>
      <w:r>
        <w:rPr>
          <w:rFonts w:hint="eastAsia" w:ascii="方正小标宋简体" w:hAnsi="??" w:eastAsia="方正小标宋简体"/>
          <w:color w:val="auto"/>
          <w:sz w:val="32"/>
          <w:szCs w:val="32"/>
          <w:highlight w:val="none"/>
        </w:rPr>
        <w:t>广西壮族自治区医疗卫生机构</w:t>
      </w:r>
    </w:p>
    <w:p w14:paraId="6D041D9E">
      <w:pPr>
        <w:spacing w:line="560" w:lineRule="exact"/>
        <w:jc w:val="center"/>
        <w:rPr>
          <w:rFonts w:ascii="方正小标宋简体" w:hAnsi="宋体" w:eastAsia="方正小标宋简体"/>
          <w:color w:val="auto"/>
          <w:sz w:val="32"/>
          <w:szCs w:val="32"/>
          <w:highlight w:val="none"/>
        </w:rPr>
      </w:pPr>
      <w:r>
        <w:rPr>
          <w:rFonts w:hint="eastAsia" w:ascii="方正小标宋简体" w:hAnsi="??" w:eastAsia="方正小标宋简体"/>
          <w:color w:val="auto"/>
          <w:sz w:val="32"/>
          <w:szCs w:val="32"/>
          <w:highlight w:val="none"/>
        </w:rPr>
        <w:t>项目</w:t>
      </w:r>
      <w:r>
        <w:rPr>
          <w:rFonts w:ascii="方正小标宋简体" w:hAnsi="??" w:eastAsia="方正小标宋简体"/>
          <w:color w:val="auto"/>
          <w:sz w:val="32"/>
          <w:szCs w:val="32"/>
          <w:highlight w:val="none"/>
        </w:rPr>
        <w:t>采购</w:t>
      </w:r>
      <w:r>
        <w:rPr>
          <w:rFonts w:hint="eastAsia" w:ascii="方正小标宋简体" w:hAnsi="??" w:eastAsia="方正小标宋简体"/>
          <w:color w:val="auto"/>
          <w:sz w:val="32"/>
          <w:szCs w:val="32"/>
          <w:highlight w:val="none"/>
        </w:rPr>
        <w:t>廉洁协议</w:t>
      </w:r>
    </w:p>
    <w:p w14:paraId="1EE92D6D">
      <w:pPr>
        <w:spacing w:line="36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甲方：</w:t>
      </w:r>
      <w:r>
        <w:rPr>
          <w:rFonts w:hint="eastAsia" w:ascii="宋体" w:hAnsi="宋体" w:cs="宋体"/>
          <w:color w:val="auto"/>
          <w:szCs w:val="21"/>
          <w:highlight w:val="none"/>
        </w:rPr>
        <w:t>梧州市红十字会医院</w:t>
      </w:r>
    </w:p>
    <w:p w14:paraId="0DC736D7">
      <w:pPr>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乙方：</w:t>
      </w:r>
    </w:p>
    <w:p w14:paraId="320CC7B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为进一步加强医疗卫生行风建设，规范医疗卫生机构医药购销行为，有效防范商业贿赂行为，营造公平交易、诚实守信的购销环境，经甲、乙双方协商，同意签订本协议，并共同遵守：</w:t>
      </w:r>
    </w:p>
    <w:p w14:paraId="3F8C785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一、甲乙双方按照《中华人民共和国民法典》、《中华人民共和国政府采购法》及采购合同约定履行合同内容。</w:t>
      </w:r>
    </w:p>
    <w:p w14:paraId="29D963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二、甲方应当严格执行货物、服务、工程类采购合同验收、入库制度，对采购内容及发票进行查验，不得违反有关规定合同外采购、违价采购或从非规定渠道采购。</w:t>
      </w:r>
    </w:p>
    <w:p w14:paraId="6004606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1A01AB4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四、乙方不得以回扣、宴请等方式影响甲方工作人员的采购工作，不得在学术活动中提供旅游、超标准支付食宿费用。</w:t>
      </w:r>
    </w:p>
    <w:p w14:paraId="4C98681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乙方不得以围标、相互串通投标，或者排挤其他投标人的公平竞争，损害招标人或者其他投标人的合法权益，严禁以他人名义投标或允许他人以自己的名义投标，不得提供虚假资料参与投标或以其他方式弄虚作假、骗取中标。甲方发现乙方违反规定者，按甲方有关管理规定，列入医院招投标不良行为黑名单。</w:t>
      </w:r>
    </w:p>
    <w:p w14:paraId="5D1E5D13">
      <w:pPr>
        <w:autoSpaceDE w:val="0"/>
        <w:autoSpaceDN w:val="0"/>
        <w:adjustRightInd w:val="0"/>
        <w:spacing w:line="360" w:lineRule="exact"/>
        <w:ind w:left="-141" w:leftChars="-67" w:right="-25" w:rightChars="-12" w:firstLine="420" w:firstLineChars="200"/>
        <w:rPr>
          <w:rFonts w:ascii="宋体" w:hAnsi="宋体" w:cs="宋体"/>
          <w:color w:val="auto"/>
          <w:szCs w:val="21"/>
          <w:highlight w:val="none"/>
        </w:rPr>
      </w:pPr>
      <w:r>
        <w:rPr>
          <w:rFonts w:hint="eastAsia" w:ascii="宋体" w:hAnsi="宋体" w:cs="宋体"/>
          <w:color w:val="auto"/>
          <w:szCs w:val="21"/>
          <w:highlight w:val="none"/>
        </w:rPr>
        <w:t>六、乙方指定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作为授权代表对接业务。授权代表必须在工作时间到甲方指定地点联系对接。不得借故到甲方相关领导、部门负责人及相关工作人员家中访谈并提供任何好处费，甲方发现乙方违反规定者，列入医院招投标不良行为黑名单。</w:t>
      </w:r>
    </w:p>
    <w:p w14:paraId="1E3151E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乙方如违反本协议，一经发现，甲方有权终止购销合同，并向有关卫生健康行政部门报告。如乙方被列入商业贿赂不良记录，则严格按照《国家卫生计生委关于建立医药购销领域商业贿赂不良记录的规定》（国卫法制发〔2013〕50号）、《广西壮族自治区医药购销领域商业贿赂不良记录实施办法》（桂卫药政发〔2014〕2号）及《中华人民共和国政府采购法》等相关规定处理。</w:t>
      </w:r>
    </w:p>
    <w:p w14:paraId="74A19D7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八、本协议作为项目采购合同的重要组成部分，与项目采购合同一并执行，具有同等的法律效力,从签订之日起生效。</w:t>
      </w:r>
    </w:p>
    <w:tbl>
      <w:tblPr>
        <w:tblStyle w:val="24"/>
        <w:tblW w:w="4962" w:type="pct"/>
        <w:tblInd w:w="0" w:type="dxa"/>
        <w:tblLayout w:type="autofit"/>
        <w:tblCellMar>
          <w:top w:w="0" w:type="dxa"/>
          <w:left w:w="108" w:type="dxa"/>
          <w:bottom w:w="0" w:type="dxa"/>
          <w:right w:w="108" w:type="dxa"/>
        </w:tblCellMar>
      </w:tblPr>
      <w:tblGrid>
        <w:gridCol w:w="4785"/>
        <w:gridCol w:w="5101"/>
      </w:tblGrid>
      <w:tr w14:paraId="3382521A">
        <w:tblPrEx>
          <w:tblCellMar>
            <w:top w:w="0" w:type="dxa"/>
            <w:left w:w="108" w:type="dxa"/>
            <w:bottom w:w="0" w:type="dxa"/>
            <w:right w:w="108" w:type="dxa"/>
          </w:tblCellMar>
        </w:tblPrEx>
        <w:trPr>
          <w:trHeight w:val="666" w:hRule="atLeast"/>
        </w:trPr>
        <w:tc>
          <w:tcPr>
            <w:tcW w:w="2420" w:type="pct"/>
            <w:noWrap w:val="0"/>
            <w:vAlign w:val="top"/>
          </w:tcPr>
          <w:p w14:paraId="0B46D725">
            <w:pPr>
              <w:spacing w:line="560" w:lineRule="exact"/>
              <w:rPr>
                <w:rFonts w:ascii="仿宋_GB2312" w:hAnsi="宋体" w:eastAsia="仿宋_GB2312"/>
                <w:b/>
                <w:color w:val="auto"/>
                <w:szCs w:val="21"/>
                <w:highlight w:val="none"/>
              </w:rPr>
            </w:pPr>
            <w:r>
              <w:rPr>
                <w:rFonts w:hint="eastAsia" w:ascii="微软雅黑" w:hAnsi="微软雅黑" w:eastAsia="微软雅黑" w:cs="微软雅黑"/>
                <w:b/>
                <w:color w:val="auto"/>
                <w:szCs w:val="21"/>
                <w:highlight w:val="none"/>
              </w:rPr>
              <w:t>甲方</w:t>
            </w:r>
            <w:r>
              <w:rPr>
                <w:rFonts w:hint="eastAsia" w:ascii="Malgun Gothic Semilight" w:hAnsi="Malgun Gothic Semilight" w:eastAsia="Malgun Gothic Semilight" w:cs="Malgun Gothic Semilight"/>
                <w:b/>
                <w:color w:val="auto"/>
                <w:szCs w:val="21"/>
                <w:highlight w:val="none"/>
              </w:rPr>
              <w:t>（</w:t>
            </w:r>
            <w:r>
              <w:rPr>
                <w:rFonts w:hint="eastAsia" w:ascii="微软雅黑" w:hAnsi="微软雅黑" w:eastAsia="微软雅黑" w:cs="微软雅黑"/>
                <w:b/>
                <w:color w:val="auto"/>
                <w:szCs w:val="21"/>
                <w:highlight w:val="none"/>
              </w:rPr>
              <w:t>盖章</w:t>
            </w:r>
            <w:r>
              <w:rPr>
                <w:rFonts w:hint="eastAsia" w:ascii="Malgun Gothic Semilight" w:hAnsi="Malgun Gothic Semilight" w:eastAsia="Malgun Gothic Semilight" w:cs="Malgun Gothic Semilight"/>
                <w:b/>
                <w:color w:val="auto"/>
                <w:szCs w:val="21"/>
                <w:highlight w:val="none"/>
              </w:rPr>
              <w:t>）：</w:t>
            </w:r>
            <w:r>
              <w:rPr>
                <w:rFonts w:hint="eastAsia" w:ascii="仿宋_GB2312" w:hAnsi="宋体" w:eastAsia="仿宋_GB2312"/>
                <w:color w:val="auto"/>
                <w:szCs w:val="21"/>
                <w:highlight w:val="none"/>
              </w:rPr>
              <w:t>梧州市</w:t>
            </w:r>
            <w:r>
              <w:rPr>
                <w:rFonts w:ascii="仿宋_GB2312" w:hAnsi="宋体" w:eastAsia="仿宋_GB2312"/>
                <w:color w:val="auto"/>
                <w:szCs w:val="21"/>
                <w:highlight w:val="none"/>
              </w:rPr>
              <w:t>红十字会医院</w:t>
            </w:r>
          </w:p>
        </w:tc>
        <w:tc>
          <w:tcPr>
            <w:tcW w:w="2580" w:type="pct"/>
            <w:noWrap w:val="0"/>
            <w:vAlign w:val="top"/>
          </w:tcPr>
          <w:p w14:paraId="1DA57875">
            <w:pPr>
              <w:spacing w:line="560" w:lineRule="exact"/>
              <w:rPr>
                <w:rFonts w:ascii="仿宋_GB2312" w:hAnsi="宋体" w:eastAsia="仿宋_GB2312"/>
                <w:b/>
                <w:color w:val="auto"/>
                <w:szCs w:val="21"/>
                <w:highlight w:val="none"/>
              </w:rPr>
            </w:pPr>
            <w:r>
              <w:rPr>
                <w:rFonts w:hint="eastAsia" w:ascii="仿宋_GB2312" w:hAnsi="宋体" w:eastAsia="仿宋_GB2312"/>
                <w:b/>
                <w:color w:val="auto"/>
                <w:szCs w:val="21"/>
                <w:highlight w:val="none"/>
              </w:rPr>
              <w:t xml:space="preserve"> </w:t>
            </w:r>
            <w:r>
              <w:rPr>
                <w:rFonts w:hint="eastAsia" w:ascii="微软雅黑" w:hAnsi="微软雅黑" w:eastAsia="微软雅黑" w:cs="微软雅黑"/>
                <w:b/>
                <w:color w:val="auto"/>
                <w:szCs w:val="21"/>
                <w:highlight w:val="none"/>
              </w:rPr>
              <w:t>乙方</w:t>
            </w:r>
            <w:r>
              <w:rPr>
                <w:rFonts w:hint="eastAsia" w:ascii="Malgun Gothic Semilight" w:hAnsi="Malgun Gothic Semilight" w:eastAsia="Malgun Gothic Semilight" w:cs="Malgun Gothic Semilight"/>
                <w:b/>
                <w:color w:val="auto"/>
                <w:szCs w:val="21"/>
                <w:highlight w:val="none"/>
              </w:rPr>
              <w:t>（</w:t>
            </w:r>
            <w:r>
              <w:rPr>
                <w:rFonts w:hint="eastAsia" w:ascii="微软雅黑" w:hAnsi="微软雅黑" w:eastAsia="微软雅黑" w:cs="微软雅黑"/>
                <w:b/>
                <w:color w:val="auto"/>
                <w:szCs w:val="21"/>
                <w:highlight w:val="none"/>
              </w:rPr>
              <w:t>盖章</w:t>
            </w:r>
            <w:r>
              <w:rPr>
                <w:rFonts w:hint="eastAsia" w:ascii="Malgun Gothic Semilight" w:hAnsi="Malgun Gothic Semilight" w:eastAsia="Malgun Gothic Semilight" w:cs="Malgun Gothic Semilight"/>
                <w:b/>
                <w:color w:val="auto"/>
                <w:szCs w:val="21"/>
                <w:highlight w:val="none"/>
              </w:rPr>
              <w:t>）：</w:t>
            </w:r>
          </w:p>
        </w:tc>
      </w:tr>
      <w:tr w14:paraId="1D83A60F">
        <w:tblPrEx>
          <w:tblCellMar>
            <w:top w:w="0" w:type="dxa"/>
            <w:left w:w="108" w:type="dxa"/>
            <w:bottom w:w="0" w:type="dxa"/>
            <w:right w:w="108" w:type="dxa"/>
          </w:tblCellMar>
        </w:tblPrEx>
        <w:trPr>
          <w:trHeight w:val="1315" w:hRule="atLeast"/>
        </w:trPr>
        <w:tc>
          <w:tcPr>
            <w:tcW w:w="2420" w:type="pct"/>
            <w:noWrap w:val="0"/>
            <w:vAlign w:val="top"/>
          </w:tcPr>
          <w:p w14:paraId="03C4770F">
            <w:pPr>
              <w:spacing w:line="560" w:lineRule="exact"/>
              <w:rPr>
                <w:rFonts w:ascii="仿宋_GB2312" w:hAnsi="宋体" w:eastAsia="仿宋_GB2312"/>
                <w:b/>
                <w:color w:val="auto"/>
                <w:szCs w:val="21"/>
                <w:highlight w:val="none"/>
              </w:rPr>
            </w:pPr>
            <w:r>
              <w:rPr>
                <w:rFonts w:hint="eastAsia" w:ascii="仿宋_GB2312" w:hAnsi="宋体" w:eastAsia="仿宋_GB2312"/>
                <w:b/>
                <w:color w:val="auto"/>
                <w:szCs w:val="21"/>
                <w:highlight w:val="none"/>
              </w:rPr>
              <w:t>法定代表人/负责人/授权</w:t>
            </w:r>
          </w:p>
          <w:p w14:paraId="5675DA88">
            <w:pPr>
              <w:spacing w:line="560" w:lineRule="exac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代表签字或盖章：</w:t>
            </w:r>
          </w:p>
        </w:tc>
        <w:tc>
          <w:tcPr>
            <w:tcW w:w="2580" w:type="pct"/>
            <w:noWrap w:val="0"/>
            <w:vAlign w:val="top"/>
          </w:tcPr>
          <w:p w14:paraId="7A0C148F">
            <w:pPr>
              <w:spacing w:line="560" w:lineRule="exact"/>
              <w:rPr>
                <w:rFonts w:ascii="仿宋_GB2312" w:hAnsi="宋体" w:eastAsia="仿宋_GB2312"/>
                <w:b/>
                <w:color w:val="auto"/>
                <w:szCs w:val="21"/>
                <w:highlight w:val="none"/>
              </w:rPr>
            </w:pPr>
            <w:r>
              <w:rPr>
                <w:rFonts w:hint="eastAsia" w:ascii="仿宋_GB2312" w:hAnsi="宋体" w:eastAsia="仿宋_GB2312"/>
                <w:b/>
                <w:color w:val="auto"/>
                <w:szCs w:val="21"/>
                <w:highlight w:val="none"/>
              </w:rPr>
              <w:t>法定代表人/负责人/授权</w:t>
            </w:r>
          </w:p>
          <w:p w14:paraId="6E7ECFF0">
            <w:pPr>
              <w:spacing w:line="560" w:lineRule="exac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代表签字或盖章：</w:t>
            </w:r>
          </w:p>
        </w:tc>
      </w:tr>
      <w:tr w14:paraId="3A3CB637">
        <w:tblPrEx>
          <w:tblCellMar>
            <w:top w:w="0" w:type="dxa"/>
            <w:left w:w="108" w:type="dxa"/>
            <w:bottom w:w="0" w:type="dxa"/>
            <w:right w:w="108" w:type="dxa"/>
          </w:tblCellMar>
        </w:tblPrEx>
        <w:trPr>
          <w:trHeight w:val="584" w:hRule="atLeast"/>
        </w:trPr>
        <w:tc>
          <w:tcPr>
            <w:tcW w:w="2420" w:type="pct"/>
            <w:noWrap w:val="0"/>
            <w:vAlign w:val="top"/>
          </w:tcPr>
          <w:p w14:paraId="2CAB7C9B">
            <w:pPr>
              <w:spacing w:line="560" w:lineRule="exact"/>
              <w:rPr>
                <w:rFonts w:ascii="仿宋_GB2312" w:hAnsi="宋体" w:eastAsia="仿宋_GB2312"/>
                <w:b/>
                <w:color w:val="auto"/>
                <w:szCs w:val="21"/>
                <w:highlight w:val="none"/>
              </w:rPr>
            </w:pPr>
            <w:r>
              <w:rPr>
                <w:rFonts w:hint="eastAsia" w:ascii="仿宋_GB2312" w:hAnsi="宋体" w:eastAsia="仿宋_GB2312"/>
                <w:b/>
                <w:color w:val="auto"/>
                <w:szCs w:val="21"/>
                <w:highlight w:val="none"/>
              </w:rPr>
              <w:t>年   月   日</w:t>
            </w:r>
          </w:p>
        </w:tc>
        <w:tc>
          <w:tcPr>
            <w:tcW w:w="2580" w:type="pct"/>
            <w:noWrap w:val="0"/>
            <w:vAlign w:val="top"/>
          </w:tcPr>
          <w:p w14:paraId="7099F518">
            <w:pPr>
              <w:spacing w:line="560" w:lineRule="exact"/>
              <w:rPr>
                <w:rFonts w:ascii="仿宋_GB2312" w:hAnsi="宋体" w:eastAsia="仿宋_GB2312"/>
                <w:b/>
                <w:color w:val="auto"/>
                <w:szCs w:val="21"/>
                <w:highlight w:val="none"/>
              </w:rPr>
            </w:pPr>
            <w:r>
              <w:rPr>
                <w:rFonts w:hint="eastAsia" w:ascii="仿宋_GB2312" w:hAnsi="宋体" w:eastAsia="仿宋_GB2312"/>
                <w:b/>
                <w:color w:val="auto"/>
                <w:szCs w:val="21"/>
                <w:highlight w:val="none"/>
              </w:rPr>
              <w:t xml:space="preserve">          年   月   日</w:t>
            </w:r>
          </w:p>
        </w:tc>
      </w:tr>
    </w:tbl>
    <w:p w14:paraId="790BC0B5">
      <w:pPr>
        <w:spacing w:before="120" w:line="320" w:lineRule="atLeast"/>
        <w:jc w:val="left"/>
        <w:outlineLvl w:val="1"/>
        <w:rPr>
          <w:rFonts w:hint="eastAsia" w:ascii="宋体" w:hAnsi="宋体" w:eastAsia="宋体" w:cs="宋体"/>
          <w:b/>
          <w:bCs/>
          <w:color w:val="auto"/>
          <w:kern w:val="0"/>
          <w:sz w:val="24"/>
          <w:szCs w:val="24"/>
          <w:highlight w:val="none"/>
        </w:rPr>
      </w:pPr>
    </w:p>
    <w:p w14:paraId="06E68A86">
      <w:pPr>
        <w:spacing w:before="120" w:line="320" w:lineRule="atLeast"/>
        <w:jc w:val="left"/>
        <w:outlineLvl w:val="1"/>
        <w:rPr>
          <w:rFonts w:hint="eastAsia" w:ascii="宋体" w:hAnsi="宋体" w:eastAsia="宋体" w:cs="宋体"/>
          <w:b/>
          <w:bCs/>
          <w:color w:val="auto"/>
          <w:kern w:val="0"/>
          <w:sz w:val="24"/>
          <w:szCs w:val="24"/>
          <w:highlight w:val="none"/>
        </w:rPr>
      </w:pPr>
    </w:p>
    <w:p w14:paraId="67C62723">
      <w:pPr>
        <w:spacing w:before="120" w:line="320" w:lineRule="atLeast"/>
        <w:jc w:val="left"/>
        <w:outlineLvl w:val="1"/>
        <w:rPr>
          <w:rFonts w:hint="eastAsia" w:ascii="宋体" w:hAnsi="宋体" w:eastAsia="宋体" w:cs="宋体"/>
          <w:b/>
          <w:bCs/>
          <w:color w:val="auto"/>
          <w:kern w:val="0"/>
          <w:sz w:val="24"/>
          <w:szCs w:val="24"/>
          <w:highlight w:val="none"/>
        </w:rPr>
      </w:pPr>
    </w:p>
    <w:p w14:paraId="1EE8E1B8">
      <w:pPr>
        <w:spacing w:before="120" w:line="320" w:lineRule="atLeast"/>
        <w:jc w:val="left"/>
        <w:outlineLvl w:val="1"/>
        <w:rPr>
          <w:rFonts w:hint="eastAsia" w:ascii="宋体" w:hAnsi="宋体" w:eastAsia="宋体" w:cs="宋体"/>
          <w:b/>
          <w:bCs/>
          <w:color w:val="auto"/>
          <w:kern w:val="0"/>
          <w:sz w:val="24"/>
          <w:szCs w:val="24"/>
          <w:highlight w:val="none"/>
        </w:rPr>
      </w:pPr>
    </w:p>
    <w:p w14:paraId="636A0FE0">
      <w:pPr>
        <w:spacing w:before="120" w:line="320" w:lineRule="atLeast"/>
        <w:jc w:val="left"/>
        <w:outlineLvl w:val="1"/>
        <w:rPr>
          <w:rFonts w:hint="eastAsia" w:ascii="宋体" w:hAnsi="宋体" w:eastAsia="宋体" w:cs="宋体"/>
          <w:b/>
          <w:bCs/>
          <w:color w:val="auto"/>
          <w:kern w:val="0"/>
          <w:sz w:val="24"/>
          <w:szCs w:val="24"/>
          <w:highlight w:val="none"/>
        </w:rPr>
      </w:pPr>
    </w:p>
    <w:p w14:paraId="15CA0C93">
      <w:pPr>
        <w:spacing w:before="120" w:line="320" w:lineRule="atLeast"/>
        <w:jc w:val="left"/>
        <w:outlineLvl w:val="1"/>
        <w:rPr>
          <w:rFonts w:hint="eastAsia" w:ascii="宋体" w:hAnsi="宋体" w:eastAsia="宋体" w:cs="宋体"/>
          <w:b/>
          <w:bCs/>
          <w:color w:val="auto"/>
          <w:kern w:val="0"/>
          <w:sz w:val="24"/>
          <w:szCs w:val="24"/>
          <w:highlight w:val="none"/>
        </w:rPr>
      </w:pPr>
    </w:p>
    <w:p w14:paraId="35630794">
      <w:pPr>
        <w:spacing w:before="120" w:line="320" w:lineRule="atLeast"/>
        <w:jc w:val="left"/>
        <w:outlineLvl w:val="1"/>
        <w:rPr>
          <w:rFonts w:hint="eastAsia" w:ascii="宋体" w:hAnsi="宋体" w:eastAsia="宋体" w:cs="宋体"/>
          <w:b/>
          <w:bCs/>
          <w:color w:val="auto"/>
          <w:kern w:val="0"/>
          <w:sz w:val="24"/>
          <w:szCs w:val="24"/>
          <w:highlight w:val="none"/>
        </w:rPr>
      </w:pPr>
    </w:p>
    <w:p w14:paraId="7B4FC8DE">
      <w:pPr>
        <w:spacing w:before="120" w:line="320" w:lineRule="atLeast"/>
        <w:jc w:val="left"/>
        <w:outlineLvl w:val="1"/>
        <w:rPr>
          <w:rFonts w:hint="eastAsia" w:ascii="宋体" w:hAnsi="宋体" w:eastAsia="宋体" w:cs="宋体"/>
          <w:b/>
          <w:bCs/>
          <w:color w:val="auto"/>
          <w:kern w:val="0"/>
          <w:sz w:val="24"/>
          <w:szCs w:val="24"/>
          <w:highlight w:val="none"/>
        </w:rPr>
      </w:pPr>
    </w:p>
    <w:p w14:paraId="32B2641B">
      <w:pPr>
        <w:spacing w:before="120" w:line="320" w:lineRule="atLeast"/>
        <w:jc w:val="left"/>
        <w:outlineLvl w:val="1"/>
        <w:rPr>
          <w:rFonts w:hint="eastAsia" w:ascii="宋体" w:hAnsi="宋体" w:eastAsia="宋体" w:cs="宋体"/>
          <w:b/>
          <w:bCs/>
          <w:color w:val="auto"/>
          <w:kern w:val="0"/>
          <w:sz w:val="24"/>
          <w:szCs w:val="24"/>
          <w:highlight w:val="none"/>
        </w:rPr>
      </w:pPr>
    </w:p>
    <w:p w14:paraId="3A70D1EB">
      <w:pPr>
        <w:spacing w:before="120" w:line="320" w:lineRule="atLeast"/>
        <w:jc w:val="left"/>
        <w:outlineLvl w:val="1"/>
        <w:rPr>
          <w:rFonts w:hint="eastAsia" w:ascii="宋体" w:hAnsi="宋体" w:eastAsia="宋体" w:cs="宋体"/>
          <w:b/>
          <w:bCs/>
          <w:color w:val="auto"/>
          <w:kern w:val="0"/>
          <w:sz w:val="24"/>
          <w:szCs w:val="24"/>
          <w:highlight w:val="none"/>
        </w:rPr>
      </w:pPr>
    </w:p>
    <w:p w14:paraId="3EAA071C">
      <w:pPr>
        <w:spacing w:before="120" w:line="320" w:lineRule="atLeast"/>
        <w:jc w:val="left"/>
        <w:outlineLvl w:val="1"/>
        <w:rPr>
          <w:rFonts w:hint="eastAsia" w:ascii="宋体" w:hAnsi="宋体" w:eastAsia="宋体" w:cs="宋体"/>
          <w:b/>
          <w:bCs/>
          <w:color w:val="auto"/>
          <w:kern w:val="0"/>
          <w:sz w:val="24"/>
          <w:szCs w:val="24"/>
          <w:highlight w:val="none"/>
        </w:rPr>
      </w:pPr>
    </w:p>
    <w:p w14:paraId="58D3D984">
      <w:pPr>
        <w:spacing w:before="120" w:line="320" w:lineRule="atLeast"/>
        <w:jc w:val="left"/>
        <w:outlineLvl w:val="1"/>
        <w:rPr>
          <w:rFonts w:hint="eastAsia" w:ascii="宋体" w:hAnsi="宋体" w:eastAsia="宋体" w:cs="宋体"/>
          <w:b/>
          <w:bCs/>
          <w:color w:val="auto"/>
          <w:kern w:val="0"/>
          <w:sz w:val="24"/>
          <w:szCs w:val="24"/>
          <w:highlight w:val="none"/>
        </w:rPr>
      </w:pPr>
    </w:p>
    <w:p w14:paraId="75E6EBF2">
      <w:pPr>
        <w:spacing w:before="120" w:line="320" w:lineRule="atLeast"/>
        <w:jc w:val="left"/>
        <w:outlineLvl w:val="1"/>
        <w:rPr>
          <w:rFonts w:hint="eastAsia" w:ascii="宋体" w:hAnsi="宋体" w:eastAsia="宋体" w:cs="宋体"/>
          <w:b/>
          <w:bCs/>
          <w:color w:val="auto"/>
          <w:kern w:val="0"/>
          <w:sz w:val="24"/>
          <w:szCs w:val="24"/>
          <w:highlight w:val="none"/>
        </w:rPr>
      </w:pPr>
    </w:p>
    <w:p w14:paraId="2A82D6A6">
      <w:pPr>
        <w:spacing w:before="120" w:line="320" w:lineRule="atLeast"/>
        <w:jc w:val="left"/>
        <w:outlineLvl w:val="1"/>
        <w:rPr>
          <w:rFonts w:hint="eastAsia" w:ascii="宋体" w:hAnsi="宋体" w:eastAsia="宋体" w:cs="宋体"/>
          <w:b/>
          <w:bCs/>
          <w:color w:val="auto"/>
          <w:kern w:val="0"/>
          <w:sz w:val="24"/>
          <w:szCs w:val="24"/>
          <w:highlight w:val="none"/>
        </w:rPr>
      </w:pPr>
    </w:p>
    <w:p w14:paraId="0E749801">
      <w:pPr>
        <w:spacing w:before="120" w:line="320" w:lineRule="atLeast"/>
        <w:jc w:val="left"/>
        <w:outlineLvl w:val="1"/>
        <w:rPr>
          <w:rFonts w:hint="eastAsia" w:ascii="宋体" w:hAnsi="宋体" w:eastAsia="宋体" w:cs="宋体"/>
          <w:b/>
          <w:bCs/>
          <w:color w:val="auto"/>
          <w:kern w:val="0"/>
          <w:sz w:val="24"/>
          <w:szCs w:val="24"/>
          <w:highlight w:val="none"/>
        </w:rPr>
      </w:pPr>
    </w:p>
    <w:p w14:paraId="13D0DBAA">
      <w:pPr>
        <w:spacing w:before="120" w:line="320" w:lineRule="atLeast"/>
        <w:jc w:val="left"/>
        <w:outlineLvl w:val="1"/>
        <w:rPr>
          <w:rFonts w:hint="eastAsia" w:ascii="宋体" w:hAnsi="宋体" w:eastAsia="宋体" w:cs="宋体"/>
          <w:b/>
          <w:bCs/>
          <w:color w:val="auto"/>
          <w:kern w:val="0"/>
          <w:sz w:val="24"/>
          <w:szCs w:val="24"/>
          <w:highlight w:val="none"/>
        </w:rPr>
      </w:pPr>
    </w:p>
    <w:p w14:paraId="0B46BEFC">
      <w:pPr>
        <w:spacing w:before="120" w:line="320" w:lineRule="atLeast"/>
        <w:jc w:val="left"/>
        <w:outlineLvl w:val="1"/>
        <w:rPr>
          <w:rFonts w:hint="eastAsia" w:ascii="宋体" w:hAnsi="宋体" w:eastAsia="宋体" w:cs="宋体"/>
          <w:b/>
          <w:bCs/>
          <w:color w:val="auto"/>
          <w:kern w:val="0"/>
          <w:sz w:val="24"/>
          <w:szCs w:val="24"/>
          <w:highlight w:val="none"/>
        </w:rPr>
      </w:pPr>
    </w:p>
    <w:p w14:paraId="52ECCD60">
      <w:pPr>
        <w:spacing w:before="120" w:line="320" w:lineRule="atLeast"/>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合同附件2</w:t>
      </w:r>
    </w:p>
    <w:p w14:paraId="618FABD2">
      <w:pPr>
        <w:snapToGrid w:val="0"/>
        <w:rPr>
          <w:rFonts w:hint="eastAsia" w:ascii="宋体" w:hAnsi="宋体" w:eastAsia="宋体" w:cs="宋体"/>
          <w:color w:val="auto"/>
          <w:sz w:val="24"/>
          <w:szCs w:val="24"/>
          <w:highlight w:val="none"/>
        </w:rPr>
      </w:pPr>
    </w:p>
    <w:p w14:paraId="5FBF9039">
      <w:pPr>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广西壮族自治区政府采购项目合同验收书</w:t>
      </w:r>
    </w:p>
    <w:p w14:paraId="530CBAFD">
      <w:pPr>
        <w:widowControl/>
        <w:snapToGrid w:val="0"/>
        <w:spacing w:before="100" w:beforeAutospacing="1" w:after="100" w:afterAutospacing="1" w:line="320" w:lineRule="exact"/>
        <w:ind w:left="-359" w:leftChars="-171"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根据政府采购项目（</w:t>
      </w:r>
      <w:r>
        <w:rPr>
          <w:rFonts w:hint="eastAsia" w:ascii="宋体" w:hAnsi="宋体" w:eastAsia="宋体" w:cs="宋体"/>
          <w:color w:val="auto"/>
          <w:kern w:val="0"/>
          <w:sz w:val="24"/>
          <w:szCs w:val="24"/>
          <w:highlight w:val="none"/>
          <w:u w:val="single"/>
        </w:rPr>
        <w:t xml:space="preserve">采购合同编号：     </w:t>
      </w:r>
      <w:r>
        <w:rPr>
          <w:rFonts w:hint="eastAsia" w:ascii="宋体" w:hAnsi="宋体" w:eastAsia="宋体" w:cs="宋体"/>
          <w:color w:val="auto"/>
          <w:kern w:val="0"/>
          <w:sz w:val="24"/>
          <w:szCs w:val="24"/>
          <w:highlight w:val="none"/>
        </w:rPr>
        <w:t>）的约定，我单位对（</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）政府采购项目成交供应商（</w:t>
      </w:r>
      <w:r>
        <w:rPr>
          <w:rFonts w:hint="eastAsia" w:ascii="宋体" w:hAnsi="宋体" w:eastAsia="宋体" w:cs="宋体"/>
          <w:color w:val="auto"/>
          <w:kern w:val="0"/>
          <w:sz w:val="24"/>
          <w:szCs w:val="24"/>
          <w:highlight w:val="none"/>
          <w:u w:val="single"/>
        </w:rPr>
        <w:t xml:space="preserve">            公司名称              </w:t>
      </w:r>
      <w:r>
        <w:rPr>
          <w:rFonts w:hint="eastAsia" w:ascii="宋体" w:hAnsi="宋体" w:eastAsia="宋体" w:cs="宋体"/>
          <w:color w:val="auto"/>
          <w:kern w:val="0"/>
          <w:sz w:val="24"/>
          <w:szCs w:val="24"/>
          <w:highlight w:val="none"/>
        </w:rPr>
        <w:t>）提供的货物（或工程、服务）进行了验收，验收情况如下：</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5D811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2A6E6569">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68353D64">
            <w:pPr>
              <w:widowControl/>
              <w:snapToGrid w:val="0"/>
              <w:spacing w:before="100" w:beforeAutospacing="1" w:after="100" w:afterAutospacing="1" w:line="320" w:lineRule="exact"/>
              <w:ind w:left="-3"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□自行验收         □委托验收</w:t>
            </w:r>
          </w:p>
        </w:tc>
      </w:tr>
      <w:tr w14:paraId="29604D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3BE062BB">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2A386492">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5076F733">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EF64846">
            <w:pPr>
              <w:widowControl/>
              <w:snapToGrid w:val="0"/>
              <w:spacing w:before="100" w:beforeAutospacing="1" w:after="100" w:afterAutospacing="1"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493FA316">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  额</w:t>
            </w:r>
          </w:p>
        </w:tc>
      </w:tr>
      <w:tr w14:paraId="4991DA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E9D02A8">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187BCAC3">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01E6BB0">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0A161868">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0CB2FC9D">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DCF6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B7E9E78">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43926551">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245BADA">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281E22A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272411E6">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5C6FB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08624635">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14:paraId="3D2C223E">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12A66D5">
            <w:pPr>
              <w:widowControl/>
              <w:snapToGrid w:val="0"/>
              <w:spacing w:before="100" w:beforeAutospacing="1" w:after="100" w:afterAutospacing="1" w:line="320" w:lineRule="exact"/>
              <w:ind w:left="-3"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2B7F011">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55818B39">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1B12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1DB4B9C3">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39472C7B">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14:paraId="7A823ED3">
            <w:pPr>
              <w:widowControl/>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81132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33C5D88C">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合计大写金额：   仟    佰    拾    万    仟    佰    拾    元</w:t>
            </w:r>
          </w:p>
        </w:tc>
      </w:tr>
      <w:tr w14:paraId="735A8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56CFEDB4">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01DEFA78">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623B8C88">
            <w:pPr>
              <w:snapToGrid w:val="0"/>
              <w:spacing w:before="100" w:beforeAutospacing="1" w:after="100" w:afterAutospacing="1" w:line="320" w:lineRule="exact"/>
              <w:ind w:firstLine="45" w:firstLineChars="19"/>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218B2D6E">
            <w:pPr>
              <w:snapToGrid w:val="0"/>
              <w:spacing w:before="100" w:beforeAutospacing="1" w:after="100" w:afterAutospacing="1" w:line="320" w:lineRule="exact"/>
              <w:ind w:firstLine="480" w:firstLineChars="200"/>
              <w:jc w:val="left"/>
              <w:rPr>
                <w:rFonts w:hint="eastAsia" w:ascii="宋体" w:hAnsi="宋体" w:eastAsia="宋体" w:cs="宋体"/>
                <w:color w:val="auto"/>
                <w:kern w:val="0"/>
                <w:sz w:val="24"/>
                <w:szCs w:val="24"/>
                <w:highlight w:val="none"/>
              </w:rPr>
            </w:pPr>
          </w:p>
        </w:tc>
      </w:tr>
      <w:tr w14:paraId="0719D5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4113845">
            <w:pPr>
              <w:widowControl/>
              <w:snapToGrid w:val="0"/>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A8A048">
            <w:pPr>
              <w:widowControl/>
              <w:snapToGrid w:val="0"/>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（应</w:t>
            </w:r>
            <w:r>
              <w:rPr>
                <w:rFonts w:hint="eastAsia" w:ascii="宋体" w:hAnsi="宋体" w:eastAsia="宋体" w:cs="宋体"/>
                <w:color w:val="auto"/>
                <w:kern w:val="0"/>
                <w:sz w:val="24"/>
                <w:szCs w:val="24"/>
                <w:highlight w:val="none"/>
              </w:rPr>
              <w:t>按采购合同、采购文件、响应文件及验收方案等进行验收；并核对</w:t>
            </w:r>
            <w:r>
              <w:rPr>
                <w:rFonts w:hint="eastAsia" w:ascii="宋体" w:hAnsi="宋体" w:eastAsia="宋体" w:cs="宋体"/>
                <w:color w:val="auto"/>
                <w:sz w:val="24"/>
                <w:szCs w:val="24"/>
                <w:highlight w:val="none"/>
              </w:rPr>
              <w:t>成交供应商在安装调试等方面是否违反合同约定或服务规范要求、提供的质量保证证明材料是否齐全、应有的配件及附件是否达到合同约定等</w:t>
            </w:r>
            <w:r>
              <w:rPr>
                <w:rFonts w:hint="eastAsia" w:ascii="宋体" w:hAnsi="宋体" w:eastAsia="宋体" w:cs="宋体"/>
                <w:color w:val="auto"/>
                <w:kern w:val="0"/>
                <w:sz w:val="24"/>
                <w:szCs w:val="24"/>
                <w:highlight w:val="none"/>
              </w:rPr>
              <w:t>。可附件)</w:t>
            </w:r>
          </w:p>
        </w:tc>
      </w:tr>
      <w:tr w14:paraId="245437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2740CB">
            <w:pPr>
              <w:widowControl/>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4DED5149">
            <w:pPr>
              <w:widowControl/>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验收结论性意见：</w:t>
            </w:r>
          </w:p>
        </w:tc>
      </w:tr>
      <w:tr w14:paraId="6B7C5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4DDF75F7">
            <w:pPr>
              <w:widowControl/>
              <w:spacing w:line="320" w:lineRule="exact"/>
              <w:jc w:val="left"/>
              <w:rPr>
                <w:rFonts w:hint="eastAsia" w:ascii="宋体" w:hAnsi="宋体" w:eastAsia="宋体" w:cs="宋体"/>
                <w:color w:val="auto"/>
                <w:kern w:val="0"/>
                <w:sz w:val="24"/>
                <w:szCs w:val="24"/>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0BD5A01">
            <w:pPr>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有异议的意见和说明理由：</w:t>
            </w:r>
          </w:p>
          <w:p w14:paraId="4B328099">
            <w:pPr>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签字：</w:t>
            </w:r>
          </w:p>
        </w:tc>
      </w:tr>
      <w:tr w14:paraId="32E7F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E90816">
            <w:pPr>
              <w:widowControl/>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验收小组成员签字：</w:t>
            </w:r>
          </w:p>
        </w:tc>
      </w:tr>
      <w:tr w14:paraId="75381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00A8C0">
            <w:pPr>
              <w:widowControl/>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监督人员或其他相关人员签字：</w:t>
            </w:r>
          </w:p>
          <w:p w14:paraId="3F5684F9">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或受邀机构的意见（盖章）：</w:t>
            </w:r>
          </w:p>
        </w:tc>
      </w:tr>
      <w:tr w14:paraId="0CC09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42E83F3">
            <w:pPr>
              <w:widowControl/>
              <w:spacing w:before="100" w:beforeAutospacing="1" w:after="100" w:afterAutospacing="1" w:line="320" w:lineRule="exact"/>
              <w:ind w:firstLine="74" w:firstLineChars="3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成交供应商负责人签名或盖章：</w:t>
            </w:r>
          </w:p>
          <w:p w14:paraId="0788BBF3">
            <w:pPr>
              <w:widowControl/>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239F155F">
            <w:pPr>
              <w:widowControl/>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采购人或受托机构的意见（盖章）：</w:t>
            </w:r>
          </w:p>
          <w:p w14:paraId="2903AAEA">
            <w:pPr>
              <w:widowControl/>
              <w:spacing w:before="100" w:beforeAutospacing="1" w:after="100" w:afterAutospacing="1"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                 年   月   日</w:t>
            </w:r>
          </w:p>
        </w:tc>
      </w:tr>
    </w:tbl>
    <w:p w14:paraId="549A4AB0">
      <w:pPr>
        <w:widowControl/>
        <w:jc w:val="left"/>
        <w:rPr>
          <w:rFonts w:hint="eastAsia" w:ascii="宋体" w:hAnsi="宋体" w:eastAsia="宋体" w:cs="宋体"/>
          <w:color w:val="auto"/>
          <w:spacing w:val="-10"/>
          <w:kern w:val="0"/>
          <w:sz w:val="24"/>
          <w:szCs w:val="24"/>
          <w:highlight w:val="none"/>
        </w:rPr>
      </w:pPr>
      <w:r>
        <w:rPr>
          <w:rFonts w:hint="eastAsia" w:ascii="宋体" w:hAnsi="宋体" w:eastAsia="宋体" w:cs="宋体"/>
          <w:color w:val="auto"/>
          <w:spacing w:val="-10"/>
          <w:kern w:val="0"/>
          <w:sz w:val="24"/>
          <w:szCs w:val="24"/>
          <w:highlight w:val="none"/>
        </w:rPr>
        <w:t>备注：本报告单一式4份（采购单位1份、供应商1份、采购监督部门备案1份、采购代理机构1份）。</w:t>
      </w:r>
    </w:p>
    <w:p w14:paraId="3E301EB3">
      <w:pPr>
        <w:spacing w:before="120" w:line="320" w:lineRule="atLeast"/>
        <w:jc w:val="left"/>
        <w:outlineLvl w:val="1"/>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24"/>
          <w:szCs w:val="24"/>
          <w:highlight w:val="none"/>
        </w:rPr>
        <w:t>合同附件3</w:t>
      </w:r>
    </w:p>
    <w:p w14:paraId="57168DEC">
      <w:pPr>
        <w:snapToGrid w:val="0"/>
        <w:spacing w:line="360" w:lineRule="exact"/>
        <w:jc w:val="center"/>
        <w:rPr>
          <w:rFonts w:hint="eastAsia" w:ascii="宋体" w:hAnsi="宋体" w:eastAsia="宋体" w:cs="宋体"/>
          <w:b/>
          <w:bCs/>
          <w:color w:val="auto"/>
          <w:sz w:val="24"/>
          <w:szCs w:val="24"/>
          <w:highlight w:val="none"/>
        </w:rPr>
      </w:pPr>
    </w:p>
    <w:p w14:paraId="174F68DC">
      <w:pPr>
        <w:snapToGrid w:val="0"/>
        <w:spacing w:line="360" w:lineRule="exact"/>
        <w:jc w:val="center"/>
        <w:rPr>
          <w:rFonts w:hint="eastAsia" w:ascii="宋体" w:hAnsi="宋体" w:eastAsia="宋体" w:cs="宋体"/>
          <w:b/>
          <w:bCs/>
          <w:color w:val="auto"/>
          <w:sz w:val="24"/>
          <w:szCs w:val="24"/>
          <w:highlight w:val="none"/>
        </w:rPr>
      </w:pPr>
      <w:bookmarkStart w:id="42" w:name="_Hlk77607667"/>
      <w:r>
        <w:rPr>
          <w:rFonts w:hint="eastAsia" w:ascii="宋体" w:hAnsi="宋体" w:eastAsia="宋体" w:cs="宋体"/>
          <w:b/>
          <w:bCs/>
          <w:color w:val="auto"/>
          <w:sz w:val="24"/>
          <w:szCs w:val="24"/>
          <w:highlight w:val="none"/>
        </w:rPr>
        <w:t>履约验收方案</w:t>
      </w:r>
    </w:p>
    <w:p w14:paraId="5C767665">
      <w:pPr>
        <w:widowControl/>
        <w:jc w:val="left"/>
        <w:rPr>
          <w:rFonts w:hint="eastAsia" w:ascii="宋体" w:hAnsi="宋体" w:eastAsia="宋体" w:cs="宋体"/>
          <w:color w:val="auto"/>
          <w:sz w:val="24"/>
          <w:szCs w:val="24"/>
          <w:highlight w:val="none"/>
        </w:rPr>
      </w:pPr>
    </w:p>
    <w:p w14:paraId="47A8DC8E">
      <w:pPr>
        <w:widowControl/>
        <w:spacing w:line="360" w:lineRule="auto"/>
        <w:ind w:firstLine="200"/>
        <w:rPr>
          <w:rFonts w:hint="eastAsia" w:ascii="宋体" w:hAnsi="宋体" w:eastAsia="宋体" w:cs="宋体"/>
          <w:color w:val="auto"/>
          <w:sz w:val="24"/>
          <w:szCs w:val="24"/>
          <w:highlight w:val="none"/>
        </w:rPr>
      </w:pPr>
    </w:p>
    <w:bookmarkEnd w:id="42"/>
    <w:p w14:paraId="29CD20D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履约验收方案</w:t>
      </w:r>
    </w:p>
    <w:p w14:paraId="1E787C3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（1）履约验收主体</w:t>
      </w:r>
    </w:p>
    <w:p w14:paraId="6C29EF58">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single"/>
        </w:rPr>
        <w:t xml:space="preserve">  梧州市红十字会医院        </w:t>
      </w:r>
    </w:p>
    <w:p w14:paraId="19DE8DA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u w:val="single"/>
        </w:rPr>
        <w:t xml:space="preserve">                       </w:t>
      </w:r>
    </w:p>
    <w:p w14:paraId="622CD65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□本项目的其他供应商：</w:t>
      </w:r>
      <w:r>
        <w:rPr>
          <w:rFonts w:hint="eastAsia" w:ascii="宋体" w:hAnsi="宋体" w:eastAsia="宋体" w:cs="宋体"/>
          <w:color w:val="auto"/>
          <w:sz w:val="24"/>
          <w:szCs w:val="24"/>
          <w:highlight w:val="none"/>
          <w:u w:val="single"/>
        </w:rPr>
        <w:t xml:space="preserve">                 </w:t>
      </w:r>
    </w:p>
    <w:p w14:paraId="2F93A91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□第三方专业机构：</w:t>
      </w:r>
      <w:r>
        <w:rPr>
          <w:rFonts w:hint="eastAsia" w:ascii="宋体" w:hAnsi="宋体" w:eastAsia="宋体" w:cs="宋体"/>
          <w:color w:val="auto"/>
          <w:sz w:val="24"/>
          <w:szCs w:val="24"/>
          <w:highlight w:val="none"/>
          <w:u w:val="single"/>
        </w:rPr>
        <w:t xml:space="preserve">                     </w:t>
      </w:r>
    </w:p>
    <w:p w14:paraId="47AE591D">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□专家：</w:t>
      </w:r>
      <w:r>
        <w:rPr>
          <w:rFonts w:hint="eastAsia" w:ascii="宋体" w:hAnsi="宋体" w:eastAsia="宋体" w:cs="宋体"/>
          <w:color w:val="auto"/>
          <w:sz w:val="24"/>
          <w:szCs w:val="24"/>
          <w:highlight w:val="none"/>
          <w:u w:val="single"/>
        </w:rPr>
        <w:t xml:space="preserve">                               </w:t>
      </w:r>
    </w:p>
    <w:p w14:paraId="0179831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□服务对象：</w:t>
      </w:r>
      <w:r>
        <w:rPr>
          <w:rFonts w:hint="eastAsia" w:ascii="宋体" w:hAnsi="宋体" w:eastAsia="宋体" w:cs="宋体"/>
          <w:color w:val="auto"/>
          <w:sz w:val="24"/>
          <w:szCs w:val="24"/>
          <w:highlight w:val="none"/>
          <w:u w:val="single"/>
        </w:rPr>
        <w:t xml:space="preserve">                           </w:t>
      </w:r>
    </w:p>
    <w:p w14:paraId="7AD21E3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7B59D34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（2）履约验收时间</w:t>
      </w:r>
    </w:p>
    <w:p w14:paraId="01F8CB2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自成交供应商履行完合同义务之日起，七个工作日内组织验收，并提出验收意见。     </w:t>
      </w:r>
    </w:p>
    <w:p w14:paraId="152C16E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（3）履约验收方式</w:t>
      </w:r>
    </w:p>
    <w:p w14:paraId="22647B18">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采购人自行组织验收                            </w:t>
      </w:r>
    </w:p>
    <w:p w14:paraId="10E07AD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（4）履约验收程序</w:t>
      </w:r>
    </w:p>
    <w:p w14:paraId="694073F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采购人成立验收小组，按照采购合同的约定对中标供应商履约情况进行验收。验收时，按照政府采购合同的约定对每一项技术、服务、安全标准的履约情况进行确认。验收结束后，出具验收书，列明各项标准的验收情况及项目总体评价，由验收双方共同签署   </w:t>
      </w:r>
    </w:p>
    <w:p w14:paraId="6ACFCC9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（5）履约验收内容</w:t>
      </w:r>
    </w:p>
    <w:p w14:paraId="74E85AD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验收内容包括每一项技术和商务要求的履约情况，验收标准包括所有客观、量化指标。不能明确客观标准、涉及主观判断的，拟通过在采购人、使用人中开展问卷调查等方式，转化为客观、量化的验收标准。</w:t>
      </w:r>
    </w:p>
    <w:p w14:paraId="7A3C355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（6）履约验收验收标准</w:t>
      </w:r>
    </w:p>
    <w:p w14:paraId="40D96D6F">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按医院现行验收要求：对产品外观、型号规格、配置要求、功能运行等多方面进行核验，计量设备申报检定。   </w:t>
      </w:r>
    </w:p>
    <w:p w14:paraId="4673E90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（7）履约验收其他事项</w:t>
      </w:r>
    </w:p>
    <w:p w14:paraId="6B2B135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无                                           </w:t>
      </w:r>
    </w:p>
    <w:p w14:paraId="3C02F5F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（五）风险管控措施</w:t>
      </w:r>
    </w:p>
    <w:p w14:paraId="38B44B4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（1）国家政策变化应对措施：</w:t>
      </w:r>
      <w:r>
        <w:rPr>
          <w:rFonts w:hint="eastAsia" w:ascii="宋体" w:hAnsi="宋体" w:eastAsia="宋体" w:cs="宋体"/>
          <w:color w:val="auto"/>
          <w:sz w:val="24"/>
          <w:szCs w:val="24"/>
          <w:highlight w:val="none"/>
          <w:u w:val="single"/>
        </w:rPr>
        <w:t xml:space="preserve">如遇到国家政策变化需调整本项目采购文件的，按政策变化要求及时发布本项目采购文件更正公告 。 </w:t>
      </w:r>
    </w:p>
    <w:p w14:paraId="70420A0F">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（2）实施环境变化应对措施：</w:t>
      </w:r>
      <w:r>
        <w:rPr>
          <w:rFonts w:hint="eastAsia" w:ascii="宋体" w:hAnsi="宋体" w:eastAsia="宋体" w:cs="宋体"/>
          <w:color w:val="auto"/>
          <w:sz w:val="24"/>
          <w:szCs w:val="24"/>
          <w:highlight w:val="none"/>
          <w:u w:val="single"/>
        </w:rPr>
        <w:t xml:space="preserve">如因不可抗力因素如自然灾害、如台风、地震、洪水、冰雹等造成本项目实施环境变化，中标供应商造成不能履行合同时，应在不可抗力事件结束后1日内向采购人积极汇报项目进展情况，以减少损失，在取得合同双方的谅解后，允许延期履行或修订合同，并根据情况双方协商承担或免于承担违约责任。 </w:t>
      </w:r>
    </w:p>
    <w:p w14:paraId="5DED1E6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（3）重大技术变化应对措施：</w:t>
      </w:r>
      <w:r>
        <w:rPr>
          <w:rFonts w:hint="eastAsia" w:ascii="宋体" w:hAnsi="宋体" w:eastAsia="宋体" w:cs="宋体"/>
          <w:color w:val="auto"/>
          <w:sz w:val="24"/>
          <w:szCs w:val="24"/>
          <w:highlight w:val="none"/>
          <w:u w:val="single"/>
        </w:rPr>
        <w:t>如遇到重大技术变化的，采购人将积极与成交供应商沟通落实重大技术变化的具体情况，并落实有利于本项目实施的技术要求。</w:t>
      </w:r>
    </w:p>
    <w:p w14:paraId="4C911C6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（4）预算项目调整应对措施：</w:t>
      </w:r>
      <w:r>
        <w:rPr>
          <w:rFonts w:hint="eastAsia" w:ascii="宋体" w:hAnsi="宋体" w:eastAsia="宋体" w:cs="宋体"/>
          <w:color w:val="auto"/>
          <w:sz w:val="24"/>
          <w:szCs w:val="24"/>
          <w:highlight w:val="none"/>
          <w:u w:val="single"/>
        </w:rPr>
        <w:t xml:space="preserve">根据调整后的预算项目，按要求发布本项目采购文件更正公告，若因重大变故，采购任务取消的，采购人或者采购代理机构应当终止采购活动，通知所有参加采购活动的供应商，并将项目实施情况和采购任务取消原因报送本级财政部门。 </w:t>
      </w:r>
    </w:p>
    <w:p w14:paraId="6E52811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（5）因质疑投诉影响采购进度应对措施：</w:t>
      </w:r>
      <w:r>
        <w:rPr>
          <w:rFonts w:hint="eastAsia" w:ascii="宋体" w:hAnsi="宋体" w:eastAsia="宋体" w:cs="宋体"/>
          <w:color w:val="auto"/>
          <w:sz w:val="24"/>
          <w:szCs w:val="24"/>
          <w:highlight w:val="none"/>
          <w:u w:val="single"/>
        </w:rPr>
        <w:t>按政府采购质疑和投诉办法（中华人民共和国财政部令第94号）相关要求执行。</w:t>
      </w:r>
    </w:p>
    <w:p w14:paraId="002B32B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（6）采购失败应对措施：</w:t>
      </w:r>
      <w:r>
        <w:rPr>
          <w:rFonts w:hint="eastAsia" w:ascii="宋体" w:hAnsi="宋体" w:eastAsia="宋体" w:cs="宋体"/>
          <w:color w:val="auto"/>
          <w:sz w:val="24"/>
          <w:szCs w:val="24"/>
          <w:highlight w:val="none"/>
          <w:u w:val="single"/>
        </w:rPr>
        <w:t>重新招标</w:t>
      </w:r>
    </w:p>
    <w:p w14:paraId="4A71F89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（7）不按规定签订或者履行合同应对措施：</w:t>
      </w:r>
      <w:r>
        <w:rPr>
          <w:rFonts w:hint="eastAsia" w:ascii="宋体" w:hAnsi="宋体" w:eastAsia="宋体" w:cs="宋体"/>
          <w:color w:val="auto"/>
          <w:sz w:val="24"/>
          <w:szCs w:val="24"/>
          <w:highlight w:val="none"/>
          <w:u w:val="single"/>
        </w:rPr>
        <w:t>汇报同级财政管理部门，并按《中华人民共和国政府采购法》及其配套法律要求执行。</w:t>
      </w:r>
    </w:p>
    <w:p w14:paraId="1F3DAA4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（8）出现损害国家利益和社会公共利益情形应对措施：</w:t>
      </w:r>
      <w:r>
        <w:rPr>
          <w:rFonts w:hint="eastAsia" w:ascii="宋体" w:hAnsi="宋体" w:eastAsia="宋体" w:cs="宋体"/>
          <w:color w:val="auto"/>
          <w:sz w:val="24"/>
          <w:szCs w:val="24"/>
          <w:highlight w:val="none"/>
          <w:u w:val="single"/>
        </w:rPr>
        <w:t xml:space="preserve"> </w:t>
      </w:r>
    </w:p>
    <w:p w14:paraId="6674626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u w:val="single"/>
        </w:rPr>
        <w:t>立即汇报同级财政管理部门，停止损害国家利益和社会公共利益，并按《中华人民共和国政府采购法》及其配套法律要求执行。</w:t>
      </w:r>
    </w:p>
    <w:p w14:paraId="79798BFC">
      <w:pPr>
        <w:spacing w:line="380" w:lineRule="exact"/>
        <w:ind w:left="450" w:leftChars="114" w:hanging="211" w:hangingChars="100"/>
        <w:rPr>
          <w:rFonts w:hint="eastAsia" w:ascii="宋体" w:hAnsi="宋体" w:eastAsia="宋体" w:cs="宋体"/>
          <w:b/>
          <w:bCs/>
          <w:color w:val="auto"/>
          <w:szCs w:val="21"/>
          <w:highlight w:val="none"/>
        </w:rPr>
      </w:pPr>
    </w:p>
    <w:p w14:paraId="11F45B88">
      <w:pPr>
        <w:spacing w:line="380" w:lineRule="exact"/>
        <w:rPr>
          <w:rFonts w:hint="eastAsia" w:ascii="宋体" w:hAnsi="宋体" w:eastAsia="宋体" w:cs="宋体"/>
          <w:b/>
          <w:bCs/>
          <w:color w:val="auto"/>
          <w:szCs w:val="21"/>
          <w:highlight w:val="none"/>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2B82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500" w:type="pct"/>
            <w:tcBorders>
              <w:tl2br w:val="nil"/>
              <w:tr2bl w:val="nil"/>
            </w:tcBorders>
          </w:tcPr>
          <w:p w14:paraId="01ADFE46">
            <w:pPr>
              <w:spacing w:line="560" w:lineRule="exact"/>
              <w:rPr>
                <w:rFonts w:hint="eastAsia" w:ascii="宋体" w:hAnsi="宋体" w:eastAsia="宋体" w:cs="宋体"/>
                <w:b/>
                <w:color w:val="auto"/>
                <w:sz w:val="24"/>
                <w:szCs w:val="24"/>
                <w:highlight w:val="none"/>
              </w:rPr>
            </w:pPr>
          </w:p>
        </w:tc>
        <w:tc>
          <w:tcPr>
            <w:tcW w:w="2500" w:type="pct"/>
            <w:tcBorders>
              <w:tl2br w:val="nil"/>
              <w:tr2bl w:val="nil"/>
            </w:tcBorders>
          </w:tcPr>
          <w:p w14:paraId="0B007483">
            <w:pPr>
              <w:spacing w:line="560" w:lineRule="exact"/>
              <w:rPr>
                <w:rFonts w:hint="eastAsia" w:ascii="宋体" w:hAnsi="宋体" w:eastAsia="宋体" w:cs="宋体"/>
                <w:b/>
                <w:color w:val="auto"/>
                <w:sz w:val="24"/>
                <w:szCs w:val="24"/>
                <w:highlight w:val="none"/>
              </w:rPr>
            </w:pPr>
          </w:p>
        </w:tc>
      </w:tr>
    </w:tbl>
    <w:p w14:paraId="000A7517">
      <w:pPr>
        <w:pStyle w:val="11"/>
        <w:jc w:val="center"/>
        <w:outlineLvl w:val="0"/>
        <w:rPr>
          <w:rFonts w:hint="eastAsia" w:hAnsi="宋体" w:cs="宋体"/>
          <w:b/>
          <w:bCs/>
          <w:caps/>
          <w:color w:val="auto"/>
          <w:sz w:val="30"/>
          <w:szCs w:val="30"/>
          <w:highlight w:val="none"/>
        </w:rPr>
      </w:pPr>
      <w:bookmarkStart w:id="43" w:name="_Toc879382"/>
      <w:bookmarkStart w:id="44" w:name="_Toc532393553"/>
      <w:bookmarkStart w:id="45" w:name="_Toc1654636"/>
      <w:bookmarkStart w:id="46" w:name="_Toc1486350"/>
      <w:bookmarkStart w:id="47" w:name="_Toc16588"/>
      <w:bookmarkStart w:id="48" w:name="_Toc1657045"/>
      <w:r>
        <w:rPr>
          <w:rFonts w:hint="eastAsia" w:hAnsi="宋体" w:cs="宋体"/>
          <w:b/>
          <w:color w:val="auto"/>
          <w:sz w:val="36"/>
          <w:highlight w:val="none"/>
        </w:rPr>
        <w:t>第七章  质疑材料格式</w:t>
      </w:r>
      <w:bookmarkEnd w:id="43"/>
      <w:bookmarkEnd w:id="44"/>
      <w:bookmarkEnd w:id="45"/>
      <w:bookmarkEnd w:id="46"/>
      <w:bookmarkEnd w:id="47"/>
      <w:bookmarkEnd w:id="48"/>
    </w:p>
    <w:p w14:paraId="2C3AB48B">
      <w:pPr>
        <w:widowControl/>
        <w:shd w:val="clear" w:color="auto" w:fill="FFFFFF"/>
        <w:spacing w:line="260" w:lineRule="exact"/>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质疑函（格式）</w:t>
      </w:r>
    </w:p>
    <w:p w14:paraId="632D1362">
      <w:pPr>
        <w:widowControl/>
        <w:shd w:val="clear" w:color="auto" w:fill="FFFFFF"/>
        <w:spacing w:line="260" w:lineRule="exact"/>
        <w:jc w:val="left"/>
        <w:rPr>
          <w:rFonts w:hint="eastAsia" w:ascii="宋体" w:hAnsi="宋体" w:eastAsia="宋体" w:cs="宋体"/>
          <w:color w:val="auto"/>
          <w:kern w:val="0"/>
          <w:szCs w:val="21"/>
          <w:highlight w:val="none"/>
        </w:rPr>
      </w:pPr>
    </w:p>
    <w:p w14:paraId="534D8ABD">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sz w:val="24"/>
          <w:szCs w:val="24"/>
          <w:highlight w:val="none"/>
        </w:rPr>
        <w:t>质疑服务商基本信息</w:t>
      </w:r>
    </w:p>
    <w:p w14:paraId="60D06354">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1.质疑服务商名称：</w:t>
      </w:r>
      <w:r>
        <w:rPr>
          <w:rFonts w:hint="eastAsia" w:ascii="宋体" w:hAnsi="宋体" w:eastAsia="宋体" w:cs="宋体"/>
          <w:bCs/>
          <w:color w:val="auto"/>
          <w:kern w:val="0"/>
          <w:sz w:val="24"/>
          <w:szCs w:val="24"/>
          <w:highlight w:val="none"/>
          <w:u w:val="single"/>
        </w:rPr>
        <w:t>                                </w:t>
      </w:r>
    </w:p>
    <w:p w14:paraId="357F7238">
      <w:pPr>
        <w:widowControl/>
        <w:shd w:val="clear" w:color="auto" w:fill="FFFFFF"/>
        <w:spacing w:line="26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w:t>
      </w:r>
    </w:p>
    <w:p w14:paraId="754DACFA">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 </w:t>
      </w:r>
    </w:p>
    <w:p w14:paraId="3FF1DC78">
      <w:pPr>
        <w:widowControl/>
        <w:shd w:val="clear" w:color="auto" w:fill="FFFFFF"/>
        <w:spacing w:line="260" w:lineRule="exact"/>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w:t>
      </w:r>
      <w:r>
        <w:rPr>
          <w:rFonts w:hint="eastAsia" w:ascii="宋体" w:hAnsi="宋体" w:eastAsia="宋体" w:cs="宋体"/>
          <w:color w:val="auto"/>
          <w:kern w:val="0"/>
          <w:sz w:val="24"/>
          <w:szCs w:val="24"/>
          <w:highlight w:val="none"/>
          <w:u w:val="single"/>
        </w:rPr>
        <w:t>               </w:t>
      </w:r>
    </w:p>
    <w:p w14:paraId="3CA3C5EE">
      <w:pPr>
        <w:widowControl/>
        <w:shd w:val="clear" w:color="auto" w:fill="FFFFFF"/>
        <w:spacing w:line="26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w:t>
      </w:r>
    </w:p>
    <w:p w14:paraId="71ED093C">
      <w:pPr>
        <w:widowControl/>
        <w:shd w:val="clear" w:color="auto" w:fill="FFFFFF"/>
        <w:spacing w:line="260" w:lineRule="exact"/>
        <w:jc w:val="left"/>
        <w:rPr>
          <w:rFonts w:hint="eastAsia" w:ascii="宋体" w:hAnsi="宋体" w:eastAsia="宋体" w:cs="宋体"/>
          <w:color w:val="auto"/>
          <w:kern w:val="0"/>
          <w:sz w:val="24"/>
          <w:szCs w:val="24"/>
          <w:highlight w:val="none"/>
        </w:rPr>
      </w:pPr>
    </w:p>
    <w:p w14:paraId="2D883178">
      <w:pPr>
        <w:widowControl/>
        <w:shd w:val="clear" w:color="auto" w:fill="FFFFFF"/>
        <w:spacing w:line="26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二、质疑项目基本情况</w:t>
      </w:r>
    </w:p>
    <w:p w14:paraId="5CDE8702">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1.质疑项目的名称</w:t>
      </w:r>
      <w:r>
        <w:rPr>
          <w:rFonts w:hint="eastAsia" w:ascii="宋体" w:hAnsi="宋体" w:eastAsia="宋体" w:cs="宋体"/>
          <w:b/>
          <w:bCs/>
          <w:color w:val="auto"/>
          <w:kern w:val="0"/>
          <w:sz w:val="24"/>
          <w:szCs w:val="24"/>
          <w:highlight w:val="none"/>
          <w:u w:val="single"/>
        </w:rPr>
        <w:t> ：                               </w:t>
      </w:r>
    </w:p>
    <w:p w14:paraId="5FEE3D54">
      <w:pPr>
        <w:widowControl/>
        <w:shd w:val="clear" w:color="auto" w:fill="FFFFFF"/>
        <w:spacing w:line="260" w:lineRule="exact"/>
        <w:jc w:val="left"/>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2.质疑项目的编号：</w:t>
      </w:r>
      <w:r>
        <w:rPr>
          <w:rFonts w:hint="eastAsia" w:ascii="宋体" w:hAnsi="宋体" w:eastAsia="宋体" w:cs="宋体"/>
          <w:b/>
          <w:bCs/>
          <w:color w:val="auto"/>
          <w:kern w:val="0"/>
          <w:sz w:val="24"/>
          <w:szCs w:val="24"/>
          <w:highlight w:val="none"/>
          <w:u w:val="single"/>
        </w:rPr>
        <w:t>                                </w:t>
      </w:r>
    </w:p>
    <w:p w14:paraId="51B3A50B">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color w:val="auto"/>
          <w:kern w:val="0"/>
          <w:sz w:val="24"/>
          <w:szCs w:val="24"/>
          <w:highlight w:val="none"/>
        </w:rPr>
        <w:t>质疑项目的分标号：</w:t>
      </w:r>
      <w:r>
        <w:rPr>
          <w:rFonts w:hint="eastAsia" w:ascii="宋体" w:hAnsi="宋体" w:eastAsia="宋体" w:cs="宋体"/>
          <w:b/>
          <w:bCs/>
          <w:color w:val="auto"/>
          <w:kern w:val="0"/>
          <w:sz w:val="24"/>
          <w:szCs w:val="24"/>
          <w:highlight w:val="none"/>
          <w:u w:val="single"/>
        </w:rPr>
        <w:t>                               </w:t>
      </w:r>
    </w:p>
    <w:p w14:paraId="73CF758E">
      <w:pPr>
        <w:widowControl/>
        <w:shd w:val="clear" w:color="auto" w:fill="FFFFFF"/>
        <w:spacing w:line="260" w:lineRule="exact"/>
        <w:jc w:val="left"/>
        <w:rPr>
          <w:rFonts w:hint="eastAsia" w:ascii="宋体" w:hAnsi="宋体" w:eastAsia="宋体" w:cs="宋体"/>
          <w:color w:val="auto"/>
          <w:kern w:val="0"/>
          <w:sz w:val="24"/>
          <w:szCs w:val="24"/>
          <w:highlight w:val="none"/>
        </w:rPr>
      </w:pPr>
    </w:p>
    <w:p w14:paraId="78DDAB43">
      <w:pPr>
        <w:widowControl/>
        <w:shd w:val="clear" w:color="auto" w:fill="FFFFFF"/>
        <w:spacing w:line="260" w:lineRule="exact"/>
        <w:jc w:val="left"/>
        <w:rPr>
          <w:rFonts w:hint="eastAsia" w:ascii="宋体" w:hAnsi="宋体" w:eastAsia="宋体" w:cs="宋体"/>
          <w:color w:val="auto"/>
          <w:kern w:val="0"/>
          <w:sz w:val="24"/>
          <w:szCs w:val="24"/>
          <w:highlight w:val="none"/>
        </w:rPr>
      </w:pPr>
      <w:bookmarkStart w:id="49" w:name="_Toc1654637"/>
      <w:bookmarkStart w:id="50" w:name="_Toc532393554"/>
      <w:bookmarkStart w:id="51" w:name="_Toc1486351"/>
      <w:bookmarkStart w:id="52" w:name="_Toc1657046"/>
      <w:bookmarkStart w:id="53" w:name="_Toc879383"/>
      <w:r>
        <w:rPr>
          <w:rFonts w:hint="eastAsia" w:ascii="宋体" w:hAnsi="宋体" w:eastAsia="宋体" w:cs="宋体"/>
          <w:color w:val="auto"/>
          <w:kern w:val="0"/>
          <w:sz w:val="24"/>
          <w:szCs w:val="24"/>
          <w:highlight w:val="none"/>
        </w:rPr>
        <w:t>三、质疑事项具体内容</w:t>
      </w:r>
      <w:bookmarkEnd w:id="49"/>
      <w:bookmarkEnd w:id="50"/>
      <w:bookmarkEnd w:id="51"/>
      <w:bookmarkEnd w:id="52"/>
      <w:bookmarkEnd w:id="53"/>
    </w:p>
    <w:p w14:paraId="6B003215">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质疑事项1：</w:t>
      </w:r>
      <w:r>
        <w:rPr>
          <w:rFonts w:hint="eastAsia" w:ascii="宋体" w:hAnsi="宋体" w:eastAsia="宋体" w:cs="宋体"/>
          <w:bCs/>
          <w:color w:val="auto"/>
          <w:kern w:val="0"/>
          <w:sz w:val="24"/>
          <w:szCs w:val="24"/>
          <w:highlight w:val="none"/>
          <w:u w:val="single"/>
        </w:rPr>
        <w:t>                                                                                    </w:t>
      </w:r>
    </w:p>
    <w:p w14:paraId="018E3C81">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质疑事项1的事实依据：</w:t>
      </w:r>
      <w:r>
        <w:rPr>
          <w:rFonts w:hint="eastAsia" w:ascii="宋体" w:hAnsi="宋体" w:eastAsia="宋体" w:cs="宋体"/>
          <w:bCs/>
          <w:color w:val="auto"/>
          <w:kern w:val="0"/>
          <w:sz w:val="24"/>
          <w:szCs w:val="24"/>
          <w:highlight w:val="none"/>
          <w:u w:val="single"/>
        </w:rPr>
        <w:t xml:space="preserve">                                                                  </w:t>
      </w:r>
    </w:p>
    <w:p w14:paraId="48B3D17E">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质疑事项1的法律依据：</w:t>
      </w:r>
      <w:r>
        <w:rPr>
          <w:rFonts w:hint="eastAsia" w:ascii="宋体" w:hAnsi="宋体" w:eastAsia="宋体" w:cs="宋体"/>
          <w:bCs/>
          <w:color w:val="auto"/>
          <w:kern w:val="0"/>
          <w:sz w:val="24"/>
          <w:szCs w:val="24"/>
          <w:highlight w:val="none"/>
          <w:u w:val="single"/>
        </w:rPr>
        <w:t xml:space="preserve">                                                               </w:t>
      </w:r>
    </w:p>
    <w:p w14:paraId="3578A432">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质疑事项1的相关请求：</w:t>
      </w:r>
      <w:r>
        <w:rPr>
          <w:rFonts w:hint="eastAsia" w:ascii="宋体" w:hAnsi="宋体" w:eastAsia="宋体" w:cs="宋体"/>
          <w:bCs/>
          <w:color w:val="auto"/>
          <w:kern w:val="0"/>
          <w:sz w:val="24"/>
          <w:szCs w:val="24"/>
          <w:highlight w:val="none"/>
          <w:u w:val="single"/>
        </w:rPr>
        <w:t xml:space="preserve">                                                                  </w:t>
      </w:r>
    </w:p>
    <w:p w14:paraId="703FD3CC">
      <w:pPr>
        <w:widowControl/>
        <w:shd w:val="clear" w:color="auto" w:fill="FFFFFF"/>
        <w:spacing w:line="260" w:lineRule="exact"/>
        <w:jc w:val="left"/>
        <w:rPr>
          <w:rFonts w:hint="eastAsia" w:ascii="宋体" w:hAnsi="宋体" w:eastAsia="宋体" w:cs="宋体"/>
          <w:color w:val="auto"/>
          <w:kern w:val="0"/>
          <w:sz w:val="24"/>
          <w:szCs w:val="24"/>
          <w:highlight w:val="none"/>
        </w:rPr>
      </w:pPr>
    </w:p>
    <w:p w14:paraId="5BAD3DCE">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r>
        <w:rPr>
          <w:rFonts w:hint="eastAsia" w:ascii="宋体" w:hAnsi="宋体" w:eastAsia="宋体" w:cs="宋体"/>
          <w:bCs/>
          <w:color w:val="auto"/>
          <w:kern w:val="0"/>
          <w:sz w:val="24"/>
          <w:szCs w:val="24"/>
          <w:highlight w:val="none"/>
          <w:u w:val="single"/>
        </w:rPr>
        <w:t>                                                                                    </w:t>
      </w:r>
    </w:p>
    <w:p w14:paraId="2028FC0D">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质疑事项2的事实依据：</w:t>
      </w:r>
      <w:r>
        <w:rPr>
          <w:rFonts w:hint="eastAsia" w:ascii="宋体" w:hAnsi="宋体" w:eastAsia="宋体" w:cs="宋体"/>
          <w:bCs/>
          <w:color w:val="auto"/>
          <w:kern w:val="0"/>
          <w:sz w:val="24"/>
          <w:szCs w:val="24"/>
          <w:highlight w:val="none"/>
          <w:u w:val="single"/>
        </w:rPr>
        <w:t xml:space="preserve">                                                                  </w:t>
      </w:r>
    </w:p>
    <w:p w14:paraId="5F5A4DFF">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质疑事项2的法律依据：</w:t>
      </w:r>
      <w:r>
        <w:rPr>
          <w:rFonts w:hint="eastAsia" w:ascii="宋体" w:hAnsi="宋体" w:eastAsia="宋体" w:cs="宋体"/>
          <w:bCs/>
          <w:color w:val="auto"/>
          <w:kern w:val="0"/>
          <w:sz w:val="24"/>
          <w:szCs w:val="24"/>
          <w:highlight w:val="none"/>
          <w:u w:val="single"/>
        </w:rPr>
        <w:t xml:space="preserve">                                                               </w:t>
      </w:r>
    </w:p>
    <w:p w14:paraId="266F1039">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质疑事项2的相关请求：</w:t>
      </w:r>
      <w:r>
        <w:rPr>
          <w:rFonts w:hint="eastAsia" w:ascii="宋体" w:hAnsi="宋体" w:eastAsia="宋体" w:cs="宋体"/>
          <w:bCs/>
          <w:color w:val="auto"/>
          <w:kern w:val="0"/>
          <w:sz w:val="24"/>
          <w:szCs w:val="24"/>
          <w:highlight w:val="none"/>
          <w:u w:val="single"/>
        </w:rPr>
        <w:t xml:space="preserve">                                                                  </w:t>
      </w:r>
    </w:p>
    <w:p w14:paraId="0DCE135B">
      <w:pPr>
        <w:shd w:val="clear" w:color="auto" w:fill="FFFFFF"/>
        <w:spacing w:line="2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C949D3">
      <w:pPr>
        <w:shd w:val="clear" w:color="auto" w:fill="FFFFFF"/>
        <w:spacing w:line="260" w:lineRule="exact"/>
        <w:rPr>
          <w:rFonts w:hint="eastAsia" w:ascii="宋体" w:hAnsi="宋体" w:eastAsia="宋体" w:cs="宋体"/>
          <w:color w:val="auto"/>
          <w:kern w:val="0"/>
          <w:sz w:val="24"/>
          <w:szCs w:val="24"/>
          <w:highlight w:val="none"/>
        </w:rPr>
      </w:pPr>
    </w:p>
    <w:p w14:paraId="0621ED3C">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四、附件材料目录（材料附后）</w:t>
      </w:r>
    </w:p>
    <w:p w14:paraId="5E96D882">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1.营业执照副本内页复印件</w:t>
      </w:r>
    </w:p>
    <w:p w14:paraId="5BFCD887">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2.近期连续三个月依法缴纳税收证明材料（复印件）</w:t>
      </w:r>
    </w:p>
    <w:p w14:paraId="0E0BA310">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3.近期连续三个月在职职工依法缴纳社会保障资金证明材料（复印件）</w:t>
      </w:r>
    </w:p>
    <w:p w14:paraId="6F7B657E">
      <w:pPr>
        <w:widowControl/>
        <w:shd w:val="clear" w:color="auto" w:fill="FFFFFF"/>
        <w:spacing w:line="260" w:lineRule="exact"/>
        <w:jc w:val="left"/>
        <w:rPr>
          <w:rFonts w:hint="eastAsia" w:ascii="宋体" w:hAnsi="宋体" w:eastAsia="宋体" w:cs="宋体"/>
          <w:color w:val="auto"/>
          <w:kern w:val="0"/>
          <w:sz w:val="24"/>
          <w:szCs w:val="24"/>
          <w:highlight w:val="none"/>
        </w:rPr>
      </w:pPr>
    </w:p>
    <w:p w14:paraId="6BF173F4">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五、委托代理时还应提交的材料目录（材料附后）</w:t>
      </w:r>
    </w:p>
    <w:p w14:paraId="28FA481C">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1.质疑服务商的授权委托书原件1份</w:t>
      </w:r>
    </w:p>
    <w:p w14:paraId="24AD2660">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2.委托代理人身份证明复印件1份</w:t>
      </w:r>
    </w:p>
    <w:p w14:paraId="21A6004D">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3.委托代理人近期三个月社保缴费证明复印件1份</w:t>
      </w:r>
    </w:p>
    <w:p w14:paraId="78665220">
      <w:pPr>
        <w:widowControl/>
        <w:shd w:val="clear" w:color="auto" w:fill="FFFFFF"/>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086992C2">
      <w:pPr>
        <w:widowControl/>
        <w:shd w:val="clear" w:color="auto" w:fill="FFFFFF"/>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552FDD24">
      <w:pPr>
        <w:widowControl/>
        <w:shd w:val="clear" w:color="auto" w:fill="FFFFFF"/>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质疑服务商（公章）：          </w:t>
      </w:r>
    </w:p>
    <w:p w14:paraId="28437E8E">
      <w:pPr>
        <w:widowControl/>
        <w:shd w:val="clear" w:color="auto" w:fill="FFFFFF"/>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w:t>
      </w:r>
    </w:p>
    <w:p w14:paraId="405AC435">
      <w:pPr>
        <w:widowControl/>
        <w:shd w:val="clear" w:color="auto" w:fill="FFFFFF"/>
        <w:spacing w:line="2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委托代理人签字：</w:t>
      </w:r>
    </w:p>
    <w:p w14:paraId="75260F0D">
      <w:pPr>
        <w:widowControl/>
        <w:shd w:val="clear" w:color="auto" w:fill="FFFFFF"/>
        <w:spacing w:line="260" w:lineRule="exact"/>
        <w:jc w:val="center"/>
        <w:rPr>
          <w:rFonts w:hint="eastAsia" w:ascii="宋体" w:hAnsi="宋体" w:eastAsia="宋体" w:cs="宋体"/>
          <w:color w:val="auto"/>
          <w:kern w:val="0"/>
          <w:sz w:val="24"/>
          <w:szCs w:val="24"/>
          <w:highlight w:val="none"/>
        </w:rPr>
      </w:pPr>
    </w:p>
    <w:p w14:paraId="501C51D8">
      <w:pPr>
        <w:widowControl/>
        <w:shd w:val="clear" w:color="auto" w:fill="FFFFFF"/>
        <w:spacing w:line="260" w:lineRule="exact"/>
        <w:ind w:firstLine="4440" w:firstLineChars="18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提起质疑的日期：     年   月   日</w:t>
      </w:r>
    </w:p>
    <w:p w14:paraId="697CA980">
      <w:pPr>
        <w:widowControl/>
        <w:shd w:val="clear" w:color="auto" w:fill="FFFFFF"/>
        <w:spacing w:line="260" w:lineRule="exact"/>
        <w:rPr>
          <w:rFonts w:hint="eastAsia" w:ascii="宋体" w:hAnsi="宋体" w:eastAsia="宋体" w:cs="宋体"/>
          <w:color w:val="auto"/>
          <w:kern w:val="0"/>
          <w:sz w:val="24"/>
          <w:szCs w:val="24"/>
          <w:highlight w:val="none"/>
        </w:rPr>
      </w:pPr>
    </w:p>
    <w:p w14:paraId="6E7F9220">
      <w:pPr>
        <w:widowControl/>
        <w:shd w:val="clear" w:color="auto" w:fill="FFFFFF"/>
        <w:spacing w:line="2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说明：1.质疑事项的事实依据应</w:t>
      </w:r>
      <w:r>
        <w:rPr>
          <w:rFonts w:hint="eastAsia" w:ascii="宋体" w:hAnsi="宋体" w:eastAsia="宋体" w:cs="宋体"/>
          <w:color w:val="auto"/>
          <w:sz w:val="24"/>
          <w:szCs w:val="24"/>
          <w:highlight w:val="none"/>
        </w:rPr>
        <w:t>列明权益受到损害的事实和理由；</w:t>
      </w:r>
    </w:p>
    <w:p w14:paraId="2F15D4C8">
      <w:pPr>
        <w:widowControl/>
        <w:shd w:val="clear" w:color="auto" w:fill="FFFFFF"/>
        <w:spacing w:line="260" w:lineRule="exact"/>
        <w:ind w:firstLine="720" w:firstLineChars="30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质疑事项的法律依据应列明质疑事项违反法律法规的具体条款及内容。</w:t>
      </w:r>
    </w:p>
    <w:p w14:paraId="7390B992">
      <w:pPr>
        <w:widowControl/>
        <w:shd w:val="clear" w:color="auto" w:fill="FFFFFF"/>
        <w:spacing w:line="260" w:lineRule="exact"/>
        <w:rPr>
          <w:rFonts w:hint="eastAsia" w:ascii="宋体" w:hAnsi="宋体" w:eastAsia="宋体" w:cs="宋体"/>
          <w:b/>
          <w:bCs/>
          <w:color w:val="auto"/>
          <w:kern w:val="0"/>
          <w:sz w:val="24"/>
          <w:szCs w:val="24"/>
          <w:highlight w:val="none"/>
        </w:rPr>
      </w:pPr>
    </w:p>
    <w:p w14:paraId="122C09BB">
      <w:pPr>
        <w:widowControl/>
        <w:shd w:val="clear" w:color="auto" w:fill="FFFFFF"/>
        <w:spacing w:line="2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质疑证明材料（格式）</w:t>
      </w:r>
    </w:p>
    <w:p w14:paraId="3E7E0FCB">
      <w:pPr>
        <w:widowControl/>
        <w:shd w:val="clear" w:color="auto" w:fill="FFFFFF"/>
        <w:spacing w:line="260" w:lineRule="exact"/>
        <w:jc w:val="left"/>
        <w:rPr>
          <w:rFonts w:hint="eastAsia" w:ascii="宋体" w:hAnsi="宋体" w:eastAsia="宋体" w:cs="宋体"/>
          <w:color w:val="auto"/>
          <w:kern w:val="0"/>
          <w:sz w:val="24"/>
          <w:szCs w:val="24"/>
          <w:highlight w:val="none"/>
        </w:rPr>
      </w:pPr>
    </w:p>
    <w:p w14:paraId="0530B5D1">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质疑项目的名称</w:t>
      </w:r>
      <w:r>
        <w:rPr>
          <w:rFonts w:hint="eastAsia" w:ascii="宋体" w:hAnsi="宋体" w:eastAsia="宋体" w:cs="宋体"/>
          <w:b/>
          <w:bCs/>
          <w:color w:val="auto"/>
          <w:kern w:val="0"/>
          <w:sz w:val="24"/>
          <w:szCs w:val="24"/>
          <w:highlight w:val="none"/>
          <w:u w:val="single"/>
        </w:rPr>
        <w:t>：                               </w:t>
      </w:r>
    </w:p>
    <w:p w14:paraId="38BBC8F3">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b/>
          <w:bCs/>
          <w:color w:val="auto"/>
          <w:kern w:val="0"/>
          <w:sz w:val="24"/>
          <w:szCs w:val="24"/>
          <w:highlight w:val="none"/>
          <w:u w:val="single"/>
        </w:rPr>
        <w:t>                                </w:t>
      </w:r>
    </w:p>
    <w:p w14:paraId="1718EAB2">
      <w:pPr>
        <w:widowControl/>
        <w:shd w:val="clear" w:color="auto" w:fill="FFFFFF"/>
        <w:spacing w:line="260" w:lineRule="exact"/>
        <w:jc w:val="left"/>
        <w:rPr>
          <w:rFonts w:hint="eastAsia" w:ascii="宋体" w:hAnsi="宋体" w:eastAsia="宋体" w:cs="宋体"/>
          <w:color w:val="auto"/>
          <w:kern w:val="0"/>
          <w:sz w:val="24"/>
          <w:szCs w:val="24"/>
          <w:highlight w:val="none"/>
        </w:rPr>
      </w:pPr>
    </w:p>
    <w:p w14:paraId="31F06F07">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一、质疑事项1证明材料目录（证明材料附后，共</w:t>
      </w:r>
      <w:r>
        <w:rPr>
          <w:rFonts w:hint="eastAsia" w:ascii="宋体" w:hAnsi="宋体" w:eastAsia="宋体" w:cs="宋体"/>
          <w:b/>
          <w:bCs/>
          <w:color w:val="auto"/>
          <w:kern w:val="0"/>
          <w:sz w:val="24"/>
          <w:szCs w:val="24"/>
          <w:highlight w:val="none"/>
          <w:u w:val="single"/>
        </w:rPr>
        <w:t>     </w:t>
      </w:r>
      <w:r>
        <w:rPr>
          <w:rFonts w:hint="eastAsia" w:ascii="宋体" w:hAnsi="宋体" w:eastAsia="宋体" w:cs="宋体"/>
          <w:color w:val="auto"/>
          <w:kern w:val="0"/>
          <w:sz w:val="24"/>
          <w:szCs w:val="24"/>
          <w:highlight w:val="none"/>
        </w:rPr>
        <w:t>页）</w:t>
      </w:r>
    </w:p>
    <w:p w14:paraId="6FE03A81">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
          <w:bCs/>
          <w:color w:val="auto"/>
          <w:kern w:val="0"/>
          <w:sz w:val="24"/>
          <w:szCs w:val="24"/>
          <w:highlight w:val="none"/>
        </w:rPr>
        <w:t>……</w:t>
      </w:r>
    </w:p>
    <w:p w14:paraId="08315456">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
          <w:bCs/>
          <w:color w:val="auto"/>
          <w:kern w:val="0"/>
          <w:sz w:val="24"/>
          <w:szCs w:val="24"/>
          <w:highlight w:val="none"/>
        </w:rPr>
        <w:t>……</w:t>
      </w:r>
    </w:p>
    <w:p w14:paraId="677D2940">
      <w:pPr>
        <w:widowControl/>
        <w:shd w:val="clear" w:color="auto" w:fill="FFFFFF"/>
        <w:spacing w:line="26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p>
    <w:p w14:paraId="47A47D6D">
      <w:pPr>
        <w:widowControl/>
        <w:shd w:val="clear" w:color="auto" w:fill="FFFFFF"/>
        <w:spacing w:line="260" w:lineRule="exact"/>
        <w:jc w:val="left"/>
        <w:rPr>
          <w:rFonts w:hint="eastAsia" w:ascii="宋体" w:hAnsi="宋体" w:eastAsia="宋体" w:cs="宋体"/>
          <w:color w:val="auto"/>
          <w:kern w:val="0"/>
          <w:sz w:val="24"/>
          <w:szCs w:val="24"/>
          <w:highlight w:val="none"/>
        </w:rPr>
      </w:pPr>
    </w:p>
    <w:p w14:paraId="0C6C9E22">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二、质疑事项2证明材料目录（证明材料附后，共</w:t>
      </w:r>
      <w:r>
        <w:rPr>
          <w:rFonts w:hint="eastAsia" w:ascii="宋体" w:hAnsi="宋体" w:eastAsia="宋体" w:cs="宋体"/>
          <w:b/>
          <w:bCs/>
          <w:color w:val="auto"/>
          <w:kern w:val="0"/>
          <w:sz w:val="24"/>
          <w:szCs w:val="24"/>
          <w:highlight w:val="none"/>
          <w:u w:val="single"/>
        </w:rPr>
        <w:t>     </w:t>
      </w:r>
      <w:r>
        <w:rPr>
          <w:rFonts w:hint="eastAsia" w:ascii="宋体" w:hAnsi="宋体" w:eastAsia="宋体" w:cs="宋体"/>
          <w:color w:val="auto"/>
          <w:kern w:val="0"/>
          <w:sz w:val="24"/>
          <w:szCs w:val="24"/>
          <w:highlight w:val="none"/>
        </w:rPr>
        <w:t>页）</w:t>
      </w:r>
    </w:p>
    <w:p w14:paraId="3DFB4888">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b/>
          <w:bCs/>
          <w:color w:val="auto"/>
          <w:kern w:val="0"/>
          <w:sz w:val="24"/>
          <w:szCs w:val="24"/>
          <w:highlight w:val="none"/>
        </w:rPr>
        <w:t>……</w:t>
      </w:r>
    </w:p>
    <w:p w14:paraId="6C1A5C80">
      <w:pPr>
        <w:widowControl/>
        <w:shd w:val="clear" w:color="auto" w:fill="FFFFFF"/>
        <w:spacing w:line="2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
          <w:bCs/>
          <w:color w:val="auto"/>
          <w:kern w:val="0"/>
          <w:sz w:val="24"/>
          <w:szCs w:val="24"/>
          <w:highlight w:val="none"/>
        </w:rPr>
        <w:t>……</w:t>
      </w:r>
    </w:p>
    <w:p w14:paraId="4A5B8533">
      <w:pPr>
        <w:shd w:val="clear" w:color="auto" w:fill="FFFFFF"/>
        <w:spacing w:line="260" w:lineRule="exac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w:t>
      </w:r>
    </w:p>
    <w:p w14:paraId="3411C22E">
      <w:pPr>
        <w:widowControl/>
        <w:shd w:val="clear" w:color="auto" w:fill="FFFFFF"/>
        <w:spacing w:line="2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p w14:paraId="28533195">
      <w:pPr>
        <w:widowControl/>
        <w:shd w:val="clear" w:color="auto" w:fill="FFFFFF"/>
        <w:spacing w:line="260" w:lineRule="exact"/>
        <w:rPr>
          <w:rFonts w:hint="eastAsia" w:ascii="宋体" w:hAnsi="宋体" w:eastAsia="宋体" w:cs="宋体"/>
          <w:color w:val="auto"/>
          <w:kern w:val="0"/>
          <w:sz w:val="24"/>
          <w:szCs w:val="24"/>
          <w:highlight w:val="none"/>
        </w:rPr>
      </w:pPr>
    </w:p>
    <w:p w14:paraId="1AA1F6ED">
      <w:pPr>
        <w:widowControl/>
        <w:shd w:val="clear" w:color="auto" w:fill="FFFFFF"/>
        <w:spacing w:line="260" w:lineRule="exact"/>
        <w:ind w:firstLine="3907" w:firstLineChars="16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质疑服务商（公章）：           </w:t>
      </w:r>
    </w:p>
    <w:p w14:paraId="528A94C0">
      <w:pPr>
        <w:widowControl/>
        <w:shd w:val="clear" w:color="auto" w:fill="FFFFFF"/>
        <w:spacing w:line="260" w:lineRule="exact"/>
        <w:ind w:firstLine="3907" w:firstLineChars="1628"/>
        <w:rPr>
          <w:rFonts w:hint="eastAsia" w:ascii="宋体" w:hAnsi="宋体" w:eastAsia="宋体" w:cs="宋体"/>
          <w:color w:val="auto"/>
          <w:kern w:val="0"/>
          <w:sz w:val="24"/>
          <w:szCs w:val="24"/>
          <w:highlight w:val="none"/>
        </w:rPr>
      </w:pPr>
    </w:p>
    <w:p w14:paraId="29795B80">
      <w:pPr>
        <w:widowControl/>
        <w:shd w:val="clear" w:color="auto" w:fill="FFFFFF"/>
        <w:spacing w:line="260" w:lineRule="exact"/>
        <w:ind w:firstLine="3907" w:firstLineChars="16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提起质疑的日期：     年   月   日</w:t>
      </w:r>
    </w:p>
    <w:p w14:paraId="2FB7F77F">
      <w:pPr>
        <w:widowControl/>
        <w:shd w:val="clear" w:color="auto" w:fill="FFFFFF"/>
        <w:spacing w:line="260" w:lineRule="exact"/>
        <w:jc w:val="left"/>
        <w:rPr>
          <w:rFonts w:hint="eastAsia" w:ascii="宋体" w:hAnsi="宋体" w:eastAsia="宋体" w:cs="宋体"/>
          <w:color w:val="auto"/>
          <w:sz w:val="24"/>
          <w:szCs w:val="24"/>
          <w:highlight w:val="none"/>
        </w:rPr>
      </w:pPr>
    </w:p>
    <w:p w14:paraId="3F9E8D3E">
      <w:pPr>
        <w:widowControl/>
        <w:shd w:val="clear" w:color="auto" w:fill="FFFFFF"/>
        <w:spacing w:line="2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w:t>
      </w:r>
      <w:r>
        <w:rPr>
          <w:rFonts w:hint="eastAsia" w:ascii="宋体" w:hAnsi="宋体" w:eastAsia="宋体" w:cs="宋体"/>
          <w:color w:val="auto"/>
          <w:kern w:val="0"/>
          <w:sz w:val="24"/>
          <w:szCs w:val="24"/>
          <w:highlight w:val="none"/>
        </w:rPr>
        <w:t>质疑事项</w:t>
      </w:r>
      <w:r>
        <w:rPr>
          <w:rFonts w:hint="eastAsia" w:ascii="宋体" w:hAnsi="宋体" w:eastAsia="宋体" w:cs="宋体"/>
          <w:color w:val="auto"/>
          <w:sz w:val="24"/>
          <w:szCs w:val="24"/>
          <w:highlight w:val="none"/>
        </w:rPr>
        <w:t>证明材料的具体文件）</w:t>
      </w:r>
    </w:p>
    <w:p w14:paraId="409D4FA7">
      <w:pPr>
        <w:pStyle w:val="11"/>
        <w:spacing w:line="360" w:lineRule="auto"/>
        <w:rPr>
          <w:rFonts w:hint="eastAsia" w:hAnsi="宋体" w:cs="宋体"/>
          <w:color w:val="auto"/>
          <w:sz w:val="24"/>
          <w:szCs w:val="24"/>
          <w:highlight w:val="none"/>
        </w:rPr>
      </w:pPr>
    </w:p>
    <w:p w14:paraId="6E05821F">
      <w:pPr>
        <w:adjustRightInd w:val="0"/>
        <w:spacing w:before="33" w:beforeLines="10" w:line="400" w:lineRule="exact"/>
        <w:rPr>
          <w:rFonts w:hint="eastAsia" w:ascii="宋体" w:hAnsi="宋体" w:eastAsia="宋体" w:cs="宋体"/>
          <w:color w:val="auto"/>
          <w:sz w:val="24"/>
          <w:szCs w:val="24"/>
          <w:highlight w:val="none"/>
        </w:rPr>
      </w:pPr>
    </w:p>
    <w:p w14:paraId="645DD1E6">
      <w:pPr>
        <w:adjustRightInd w:val="0"/>
        <w:spacing w:before="33" w:beforeLines="10" w:line="400" w:lineRule="exact"/>
        <w:rPr>
          <w:rFonts w:hint="eastAsia" w:ascii="宋体" w:hAnsi="宋体" w:eastAsia="宋体" w:cs="宋体"/>
          <w:color w:val="auto"/>
          <w:sz w:val="24"/>
          <w:szCs w:val="24"/>
          <w:highlight w:val="none"/>
        </w:rPr>
      </w:pPr>
    </w:p>
    <w:p w14:paraId="7E4A6175">
      <w:pPr>
        <w:adjustRightInd w:val="0"/>
        <w:spacing w:before="33" w:beforeLines="10" w:line="400" w:lineRule="exact"/>
        <w:rPr>
          <w:rFonts w:hint="eastAsia" w:ascii="宋体" w:hAnsi="宋体" w:eastAsia="宋体" w:cs="宋体"/>
          <w:color w:val="auto"/>
          <w:sz w:val="24"/>
          <w:szCs w:val="24"/>
          <w:highlight w:val="none"/>
        </w:rPr>
      </w:pPr>
    </w:p>
    <w:p w14:paraId="0689BDD8">
      <w:pPr>
        <w:adjustRightInd w:val="0"/>
        <w:spacing w:before="33" w:beforeLines="10" w:line="400" w:lineRule="exact"/>
        <w:rPr>
          <w:rFonts w:hint="eastAsia" w:ascii="宋体" w:hAnsi="宋体" w:eastAsia="宋体" w:cs="宋体"/>
          <w:color w:val="auto"/>
          <w:sz w:val="24"/>
          <w:szCs w:val="24"/>
          <w:highlight w:val="none"/>
        </w:rPr>
      </w:pPr>
    </w:p>
    <w:p w14:paraId="6D44B027">
      <w:pPr>
        <w:adjustRightInd w:val="0"/>
        <w:spacing w:before="33" w:beforeLines="10" w:line="400" w:lineRule="exact"/>
        <w:rPr>
          <w:rFonts w:hint="eastAsia" w:ascii="宋体" w:hAnsi="宋体" w:eastAsia="宋体" w:cs="宋体"/>
          <w:color w:val="auto"/>
          <w:sz w:val="24"/>
          <w:szCs w:val="24"/>
          <w:highlight w:val="none"/>
        </w:rPr>
      </w:pPr>
    </w:p>
    <w:p w14:paraId="7F26BA35">
      <w:pPr>
        <w:adjustRightInd w:val="0"/>
        <w:spacing w:before="33" w:beforeLines="10" w:line="400" w:lineRule="exact"/>
        <w:rPr>
          <w:rFonts w:hint="eastAsia" w:ascii="宋体" w:hAnsi="宋体" w:eastAsia="宋体" w:cs="宋体"/>
          <w:color w:val="auto"/>
          <w:sz w:val="24"/>
          <w:szCs w:val="24"/>
          <w:highlight w:val="none"/>
        </w:rPr>
      </w:pPr>
    </w:p>
    <w:p w14:paraId="0BC26EC8">
      <w:pPr>
        <w:adjustRightInd w:val="0"/>
        <w:spacing w:before="33" w:beforeLines="10" w:line="400" w:lineRule="exact"/>
        <w:rPr>
          <w:rFonts w:hint="eastAsia" w:ascii="宋体" w:hAnsi="宋体" w:eastAsia="宋体" w:cs="宋体"/>
          <w:color w:val="auto"/>
          <w:sz w:val="24"/>
          <w:szCs w:val="24"/>
          <w:highlight w:val="none"/>
        </w:rPr>
      </w:pPr>
    </w:p>
    <w:p w14:paraId="3D2094F2">
      <w:pPr>
        <w:adjustRightInd w:val="0"/>
        <w:spacing w:before="33" w:beforeLines="10" w:line="400" w:lineRule="exact"/>
        <w:rPr>
          <w:rFonts w:hint="eastAsia" w:ascii="宋体" w:hAnsi="宋体" w:eastAsia="宋体" w:cs="宋体"/>
          <w:color w:val="auto"/>
          <w:sz w:val="24"/>
          <w:szCs w:val="24"/>
          <w:highlight w:val="none"/>
        </w:rPr>
      </w:pPr>
    </w:p>
    <w:bookmarkEnd w:id="0"/>
    <w:p w14:paraId="25FEDAC9">
      <w:pPr>
        <w:adjustRightInd w:val="0"/>
        <w:spacing w:before="33" w:beforeLines="10" w:line="400" w:lineRule="exact"/>
        <w:rPr>
          <w:rFonts w:hint="eastAsia" w:ascii="宋体" w:hAnsi="宋体" w:eastAsia="宋体" w:cs="宋体"/>
          <w:color w:val="auto"/>
          <w:sz w:val="24"/>
          <w:szCs w:val="24"/>
          <w:highlight w:val="none"/>
        </w:rPr>
      </w:pPr>
    </w:p>
    <w:sectPr>
      <w:footerReference r:id="rId10" w:type="default"/>
      <w:pgSz w:w="11906" w:h="16838"/>
      <w:pgMar w:top="1440" w:right="1080" w:bottom="1440" w:left="1080" w:header="720" w:footer="720" w:gutter="0"/>
      <w:cols w:space="720" w:num="1"/>
      <w:docGrid w:type="lines" w:linePitch="331"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52E53B-02F4-4086-9F8F-02CD48145D9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1D8EC94-F96F-4428-A52B-87B4163CB933}"/>
  </w:font>
  <w:font w:name="Arial Unicode MS">
    <w:altName w:val="宋体"/>
    <w:panose1 w:val="020B0604020202020204"/>
    <w:charset w:val="86"/>
    <w:family w:val="roman"/>
    <w:pitch w:val="default"/>
    <w:sig w:usb0="00000000" w:usb1="00000000" w:usb2="0000003F" w:usb3="00000000" w:csb0="603F01FF" w:csb1="FFFF0000"/>
    <w:embedRegular r:id="rId3" w:fontKey="{9917D6F4-E350-4114-B608-224C674F9AB1}"/>
  </w:font>
  <w:font w:name="仿宋_GB2312">
    <w:panose1 w:val="02010609030101010101"/>
    <w:charset w:val="86"/>
    <w:family w:val="roman"/>
    <w:pitch w:val="default"/>
    <w:sig w:usb0="00000001" w:usb1="080E0000" w:usb2="00000000" w:usb3="00000000" w:csb0="00040000" w:csb1="00000000"/>
    <w:embedRegular r:id="rId4" w:fontKey="{476C095D-4F1A-4F56-805F-9675557B8039}"/>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5" w:fontKey="{6D9CEFBE-ED2A-4A56-95A7-714B064F4224}"/>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embedRegular r:id="rId6" w:fontKey="{6497D2DD-4712-4576-BCB9-B0DA2B1F7EFF}"/>
  </w:font>
  <w:font w:name="仿宋">
    <w:panose1 w:val="02010609060101010101"/>
    <w:charset w:val="86"/>
    <w:family w:val="auto"/>
    <w:pitch w:val="default"/>
    <w:sig w:usb0="800002BF" w:usb1="38CF7CFA" w:usb2="00000016" w:usb3="00000000" w:csb0="00040001" w:csb1="00000000"/>
    <w:embedRegular r:id="rId7" w:fontKey="{DEA885F8-B0DA-450D-9DD5-95D06C74DFE9}"/>
  </w:font>
  <w:font w:name="方正小标宋简体">
    <w:panose1 w:val="02000000000000000000"/>
    <w:charset w:val="86"/>
    <w:family w:val="script"/>
    <w:pitch w:val="default"/>
    <w:sig w:usb0="00000001" w:usb1="08000000" w:usb2="00000000" w:usb3="00000000" w:csb0="00040000" w:csb1="00000000"/>
    <w:embedRegular r:id="rId8" w:fontKey="{BCBD70D2-70D0-4B1C-A87B-7273B772F48B}"/>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embedRegular r:id="rId9" w:fontKey="{BF7B93E9-AFE0-4BCE-A95A-2858385A94D3}"/>
  </w:font>
  <w:font w:name="Malgun Gothic Semilight">
    <w:panose1 w:val="020B0502040204020203"/>
    <w:charset w:val="86"/>
    <w:family w:val="swiss"/>
    <w:pitch w:val="default"/>
    <w:sig w:usb0="900002AF" w:usb1="01D77CFB" w:usb2="00000012" w:usb3="00000000" w:csb0="203E01BD" w:csb1="D7FF0000"/>
    <w:embedRegular r:id="rId10" w:fontKey="{F5C47852-7182-424E-9CC9-0F077A2FD0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382D">
    <w:pPr>
      <w:pStyle w:val="15"/>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3522A">
    <w:pPr>
      <w:pStyle w:val="15"/>
      <w:framePr w:wrap="around" w:vAnchor="text" w:hAnchor="margin" w:xAlign="center" w:y="1"/>
      <w:rPr>
        <w:rStyle w:val="28"/>
        <w:sz w:val="21"/>
      </w:rPr>
    </w:pPr>
    <w:r>
      <w:rPr>
        <w:sz w:val="21"/>
      </w:rPr>
      <w:fldChar w:fldCharType="begin"/>
    </w:r>
    <w:r>
      <w:rPr>
        <w:rStyle w:val="28"/>
        <w:sz w:val="21"/>
      </w:rPr>
      <w:instrText xml:space="preserve">PAGE  </w:instrText>
    </w:r>
    <w:r>
      <w:rPr>
        <w:sz w:val="21"/>
      </w:rPr>
      <w:fldChar w:fldCharType="separate"/>
    </w:r>
    <w:r>
      <w:rPr>
        <w:rStyle w:val="28"/>
        <w:sz w:val="21"/>
      </w:rPr>
      <w:t>0</w:t>
    </w:r>
    <w:r>
      <w:rPr>
        <w:sz w:val="21"/>
      </w:rPr>
      <w:fldChar w:fldCharType="end"/>
    </w:r>
  </w:p>
  <w:p w14:paraId="58A4159C">
    <w:pPr>
      <w:pStyle w:val="1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4CFA">
    <w:pPr>
      <w:pStyle w:val="15"/>
      <w:rPr>
        <w:rFonts w:eastAsia="等线"/>
      </w:rPr>
    </w:pPr>
    <w:r>
      <w:rPr>
        <w:rFonts w:hint="eastAsia" w:eastAsia="等线"/>
      </w:rPr>
      <w:t xml:space="preserve"> </w:t>
    </w:r>
    <w:r>
      <w:rPr>
        <w:rFonts w:eastAsia="等线"/>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B6E0">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4E86B">
                          <w:pPr>
                            <w:pStyle w:val="1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F14E86B">
                    <w:pPr>
                      <w:pStyle w:val="1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42CA">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2B2FD">
                          <w:pPr>
                            <w:pStyle w:val="1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042B2FD">
                    <w:pPr>
                      <w:pStyle w:val="1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25F5">
    <w:pPr>
      <w:pStyle w:val="16"/>
      <w:tabs>
        <w:tab w:val="center" w:pos="0"/>
        <w:tab w:val="clear" w:pos="4153"/>
      </w:tabs>
      <w:jc w:val="both"/>
    </w:pPr>
    <w:r>
      <w:rPr>
        <w:rFonts w:hint="eastAsia"/>
      </w:rPr>
      <w:t xml:space="preserve">中经国际招标集团有限公司磋商文件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5820">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FEC8F">
    <w:pPr>
      <w:spacing w:line="218" w:lineRule="auto"/>
      <w:ind w:left="120"/>
      <w:rPr>
        <w:rFonts w:hint="eastAsia" w:ascii="宋体" w:hAnsi="宋体" w:eastAsia="宋体" w:cs="宋体"/>
        <w:sz w:val="18"/>
        <w:szCs w:val="18"/>
      </w:rPr>
    </w:pPr>
    <w:r>
      <w:rPr>
        <w:rFonts w:ascii="Arial" w:hAnsi="Arial" w:eastAsia="Arial" w:cs="Arial"/>
        <w:snapToGrid w:val="0"/>
        <w:szCs w:val="21"/>
      </w:rPr>
      <mc:AlternateContent>
        <mc:Choice Requires="wps">
          <w:drawing>
            <wp:anchor distT="0" distB="0" distL="114300" distR="114300" simplePos="0" relativeHeight="251659264" behindDoc="0" locked="0" layoutInCell="0" allowOverlap="1">
              <wp:simplePos x="0" y="0"/>
              <wp:positionH relativeFrom="page">
                <wp:posOffset>750570</wp:posOffset>
              </wp:positionH>
              <wp:positionV relativeFrom="page">
                <wp:posOffset>711200</wp:posOffset>
              </wp:positionV>
              <wp:extent cx="5978525" cy="9525"/>
              <wp:effectExtent l="0" t="0" r="0" b="0"/>
              <wp:wrapNone/>
              <wp:docPr id="2" name="自选图形 2"/>
              <wp:cNvGraphicFramePr/>
              <a:graphic xmlns:a="http://schemas.openxmlformats.org/drawingml/2006/main">
                <a:graphicData uri="http://schemas.microsoft.com/office/word/2010/wordprocessingShape">
                  <wps:wsp>
                    <wps:cNvSpPr/>
                    <wps:spPr>
                      <a:xfrm>
                        <a:off x="0" y="0"/>
                        <a:ext cx="5978525" cy="9525"/>
                      </a:xfrm>
                      <a:custGeom>
                        <a:avLst/>
                        <a:gdLst>
                          <a:gd name="A1" fmla="val 0"/>
                        </a:gdLst>
                        <a:ahLst/>
                        <a:cxnLst/>
                        <a:rect l="0" t="0" r="0" b="0"/>
                        <a:pathLst>
                          <a:path w="9415" h="15">
                            <a:moveTo>
                              <a:pt x="0" y="14"/>
                            </a:moveTo>
                            <a:lnTo>
                              <a:pt x="9414" y="14"/>
                            </a:lnTo>
                            <a:lnTo>
                              <a:pt x="9414" y="0"/>
                            </a:lnTo>
                            <a:lnTo>
                              <a:pt x="0" y="0"/>
                            </a:lnTo>
                            <a:lnTo>
                              <a:pt x="0" y="14"/>
                            </a:lnTo>
                            <a:close/>
                          </a:path>
                        </a:pathLst>
                      </a:custGeom>
                      <a:solidFill>
                        <a:srgbClr val="000000"/>
                      </a:solidFill>
                      <a:ln>
                        <a:noFill/>
                      </a:ln>
                    </wps:spPr>
                    <wps:bodyPr upright="1"/>
                  </wps:wsp>
                </a:graphicData>
              </a:graphic>
            </wp:anchor>
          </w:drawing>
        </mc:Choice>
        <mc:Fallback>
          <w:pict>
            <v:shape id="自选图形 2" o:spid="_x0000_s1026" o:spt="100" style="position:absolute;left:0pt;margin-left:59.1pt;margin-top:56pt;height:0.75pt;width:470.75pt;mso-position-horizontal-relative:page;mso-position-vertical-relative:page;z-index:251659264;mso-width-relative:page;mso-height-relative:page;" fillcolor="#000000" filled="t" stroked="f" coordsize="9415,15" o:allowincell="f" o:gfxdata="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F1C//ZAAAADAEAAA8AAAAAAAAAAQAgAAAAIgAAAGRycy9kb3ducmV2LnhtbFBL&#10;AQIUABQAAAAIAIdO4kAyYYrtLgIAAMEEAAAOAAAAAAAAAAEAIAAAACgBAABkcnMvZTJvRG9jLnht&#10;bFBLBQYAAAAABgAGAFkBAADIBQAAAAA=&#10;" path="m0,14l9414,14,9414,0,0,0,0,14xe">
              <v:fill on="t" focussize="0,0"/>
              <v:stroke on="f"/>
              <v:imagedata o:title=""/>
              <o:lock v:ext="edit" aspectratio="f"/>
            </v:shape>
          </w:pict>
        </mc:Fallback>
      </mc:AlternateContent>
    </w:r>
    <w:r>
      <w:rPr>
        <w:rFonts w:hint="eastAsia" w:ascii="宋体" w:hAnsi="宋体" w:eastAsia="宋体" w:cs="宋体"/>
        <w:spacing w:val="-1"/>
        <w:sz w:val="18"/>
        <w:szCs w:val="18"/>
      </w:rPr>
      <w:t>中经国际招标集团有限</w:t>
    </w:r>
    <w:r>
      <w:rPr>
        <w:rFonts w:ascii="宋体" w:hAnsi="宋体" w:eastAsia="宋体" w:cs="宋体"/>
        <w:sz w:val="18"/>
        <w:szCs w:val="18"/>
      </w:rPr>
      <w:t>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16A24"/>
    <w:multiLevelType w:val="multilevel"/>
    <w:tmpl w:val="B4D16A2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EE368FE"/>
    <w:multiLevelType w:val="multilevel"/>
    <w:tmpl w:val="CEE368F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8EB6DAB"/>
    <w:multiLevelType w:val="singleLevel"/>
    <w:tmpl w:val="E8EB6DAB"/>
    <w:lvl w:ilvl="0" w:tentative="0">
      <w:start w:val="2"/>
      <w:numFmt w:val="decimal"/>
      <w:suff w:val="nothing"/>
      <w:lvlText w:val="（%1）"/>
      <w:lvlJc w:val="left"/>
    </w:lvl>
  </w:abstractNum>
  <w:abstractNum w:abstractNumId="3">
    <w:nsid w:val="ED87341C"/>
    <w:multiLevelType w:val="multilevel"/>
    <w:tmpl w:val="ED87341C"/>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00000001"/>
    <w:multiLevelType w:val="multilevel"/>
    <w:tmpl w:val="00000001"/>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2"/>
    <w:multiLevelType w:val="multilevel"/>
    <w:tmpl w:val="00000002"/>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D7631F"/>
    <w:multiLevelType w:val="singleLevel"/>
    <w:tmpl w:val="00D7631F"/>
    <w:lvl w:ilvl="0" w:tentative="0">
      <w:start w:val="1"/>
      <w:numFmt w:val="decimal"/>
      <w:suff w:val="space"/>
      <w:lvlText w:val="(%1)"/>
      <w:lvlJc w:val="left"/>
    </w:lvl>
  </w:abstractNum>
  <w:abstractNum w:abstractNumId="7">
    <w:nsid w:val="08B9D807"/>
    <w:multiLevelType w:val="multilevel"/>
    <w:tmpl w:val="08B9D80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1B11F0BA"/>
    <w:multiLevelType w:val="multilevel"/>
    <w:tmpl w:val="1B11F0B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204EDBEF"/>
    <w:multiLevelType w:val="multilevel"/>
    <w:tmpl w:val="204EDBE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D87578F"/>
    <w:multiLevelType w:val="singleLevel"/>
    <w:tmpl w:val="2D87578F"/>
    <w:lvl w:ilvl="0" w:tentative="0">
      <w:start w:val="1"/>
      <w:numFmt w:val="decimal"/>
      <w:suff w:val="nothing"/>
      <w:lvlText w:val="（%1）"/>
      <w:lvlJc w:val="left"/>
      <w:pPr>
        <w:ind w:left="315" w:firstLine="0"/>
      </w:pPr>
    </w:lvl>
  </w:abstractNum>
  <w:abstractNum w:abstractNumId="11">
    <w:nsid w:val="3FB364A8"/>
    <w:multiLevelType w:val="multilevel"/>
    <w:tmpl w:val="3FB364A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4945BD87"/>
    <w:multiLevelType w:val="multilevel"/>
    <w:tmpl w:val="4945BD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586AC497"/>
    <w:multiLevelType w:val="multilevel"/>
    <w:tmpl w:val="586AC49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A299CAD"/>
    <w:multiLevelType w:val="multilevel"/>
    <w:tmpl w:val="5A299CAD"/>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763D32C2"/>
    <w:multiLevelType w:val="multilevel"/>
    <w:tmpl w:val="763D32C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6"/>
  </w:num>
  <w:num w:numId="2">
    <w:abstractNumId w:val="12"/>
  </w:num>
  <w:num w:numId="3">
    <w:abstractNumId w:val="8"/>
  </w:num>
  <w:num w:numId="4">
    <w:abstractNumId w:val="15"/>
  </w:num>
  <w:num w:numId="5">
    <w:abstractNumId w:val="0"/>
  </w:num>
  <w:num w:numId="6">
    <w:abstractNumId w:val="13"/>
  </w:num>
  <w:num w:numId="7">
    <w:abstractNumId w:val="11"/>
  </w:num>
  <w:num w:numId="8">
    <w:abstractNumId w:val="14"/>
  </w:num>
  <w:num w:numId="9">
    <w:abstractNumId w:val="9"/>
  </w:num>
  <w:num w:numId="10">
    <w:abstractNumId w:val="3"/>
  </w:num>
  <w:num w:numId="11">
    <w:abstractNumId w:val="7"/>
  </w:num>
  <w:num w:numId="12">
    <w:abstractNumId w:val="1"/>
  </w:num>
  <w:num w:numId="13">
    <w:abstractNumId w:val="10"/>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331"/>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N2UzMmE5M2M0ZmRjMGUxMjY2YmY5M2Q4YzU0OTcifQ=="/>
  </w:docVars>
  <w:rsids>
    <w:rsidRoot w:val="00172A27"/>
    <w:rsid w:val="00001428"/>
    <w:rsid w:val="00002B4D"/>
    <w:rsid w:val="0000345A"/>
    <w:rsid w:val="00003AE3"/>
    <w:rsid w:val="00003C07"/>
    <w:rsid w:val="00003FAE"/>
    <w:rsid w:val="00005973"/>
    <w:rsid w:val="00005FF7"/>
    <w:rsid w:val="00006161"/>
    <w:rsid w:val="000067CB"/>
    <w:rsid w:val="00006D97"/>
    <w:rsid w:val="000074D8"/>
    <w:rsid w:val="00010DE6"/>
    <w:rsid w:val="000113DB"/>
    <w:rsid w:val="00011ED1"/>
    <w:rsid w:val="00012A7C"/>
    <w:rsid w:val="00012B80"/>
    <w:rsid w:val="00012F71"/>
    <w:rsid w:val="00013185"/>
    <w:rsid w:val="000145FB"/>
    <w:rsid w:val="00015094"/>
    <w:rsid w:val="00015278"/>
    <w:rsid w:val="000152B0"/>
    <w:rsid w:val="0001578C"/>
    <w:rsid w:val="00015D9D"/>
    <w:rsid w:val="0001602E"/>
    <w:rsid w:val="000169F3"/>
    <w:rsid w:val="00017D61"/>
    <w:rsid w:val="000201F9"/>
    <w:rsid w:val="00020592"/>
    <w:rsid w:val="00020D49"/>
    <w:rsid w:val="0002168B"/>
    <w:rsid w:val="00022B1F"/>
    <w:rsid w:val="00023047"/>
    <w:rsid w:val="00023749"/>
    <w:rsid w:val="00023E60"/>
    <w:rsid w:val="00024E95"/>
    <w:rsid w:val="00025286"/>
    <w:rsid w:val="000253F0"/>
    <w:rsid w:val="00026525"/>
    <w:rsid w:val="00026976"/>
    <w:rsid w:val="000278D8"/>
    <w:rsid w:val="00027AE6"/>
    <w:rsid w:val="00027D05"/>
    <w:rsid w:val="00027F90"/>
    <w:rsid w:val="00030288"/>
    <w:rsid w:val="00030915"/>
    <w:rsid w:val="000309B4"/>
    <w:rsid w:val="00030A2E"/>
    <w:rsid w:val="000310AD"/>
    <w:rsid w:val="0003155B"/>
    <w:rsid w:val="000315AA"/>
    <w:rsid w:val="00031ED2"/>
    <w:rsid w:val="0003336F"/>
    <w:rsid w:val="000345AD"/>
    <w:rsid w:val="00034B24"/>
    <w:rsid w:val="0003543A"/>
    <w:rsid w:val="00035BA6"/>
    <w:rsid w:val="00035CE9"/>
    <w:rsid w:val="000365D8"/>
    <w:rsid w:val="00036F37"/>
    <w:rsid w:val="00037535"/>
    <w:rsid w:val="00037A8E"/>
    <w:rsid w:val="0004016A"/>
    <w:rsid w:val="000406A7"/>
    <w:rsid w:val="00040DBB"/>
    <w:rsid w:val="000417AA"/>
    <w:rsid w:val="0004182A"/>
    <w:rsid w:val="0004266B"/>
    <w:rsid w:val="00042866"/>
    <w:rsid w:val="0004312B"/>
    <w:rsid w:val="0004317B"/>
    <w:rsid w:val="0004436B"/>
    <w:rsid w:val="00044391"/>
    <w:rsid w:val="000445F1"/>
    <w:rsid w:val="00044AEA"/>
    <w:rsid w:val="00045CAB"/>
    <w:rsid w:val="0004610C"/>
    <w:rsid w:val="00046433"/>
    <w:rsid w:val="000465F5"/>
    <w:rsid w:val="000475AE"/>
    <w:rsid w:val="00047AE5"/>
    <w:rsid w:val="00047B58"/>
    <w:rsid w:val="00050793"/>
    <w:rsid w:val="00050D6F"/>
    <w:rsid w:val="00051232"/>
    <w:rsid w:val="00051664"/>
    <w:rsid w:val="00051ED7"/>
    <w:rsid w:val="00052C89"/>
    <w:rsid w:val="00052D9E"/>
    <w:rsid w:val="00053441"/>
    <w:rsid w:val="0005358F"/>
    <w:rsid w:val="00053A5E"/>
    <w:rsid w:val="00054888"/>
    <w:rsid w:val="00055439"/>
    <w:rsid w:val="0005567B"/>
    <w:rsid w:val="00055813"/>
    <w:rsid w:val="0005642F"/>
    <w:rsid w:val="000564E9"/>
    <w:rsid w:val="00056BFB"/>
    <w:rsid w:val="0005729C"/>
    <w:rsid w:val="000576EE"/>
    <w:rsid w:val="000608A1"/>
    <w:rsid w:val="00060902"/>
    <w:rsid w:val="0006132B"/>
    <w:rsid w:val="00061A51"/>
    <w:rsid w:val="00063593"/>
    <w:rsid w:val="000636E6"/>
    <w:rsid w:val="00063943"/>
    <w:rsid w:val="00063DB2"/>
    <w:rsid w:val="0006447A"/>
    <w:rsid w:val="0006512F"/>
    <w:rsid w:val="00065325"/>
    <w:rsid w:val="00065915"/>
    <w:rsid w:val="00065C19"/>
    <w:rsid w:val="0006657C"/>
    <w:rsid w:val="0006733F"/>
    <w:rsid w:val="00067429"/>
    <w:rsid w:val="00067EE9"/>
    <w:rsid w:val="00070279"/>
    <w:rsid w:val="00070390"/>
    <w:rsid w:val="00072778"/>
    <w:rsid w:val="00072900"/>
    <w:rsid w:val="00073276"/>
    <w:rsid w:val="000738F8"/>
    <w:rsid w:val="00073CC8"/>
    <w:rsid w:val="00074274"/>
    <w:rsid w:val="0007691A"/>
    <w:rsid w:val="00076AA0"/>
    <w:rsid w:val="00076B21"/>
    <w:rsid w:val="000773D4"/>
    <w:rsid w:val="000776CF"/>
    <w:rsid w:val="00077CD4"/>
    <w:rsid w:val="000800C1"/>
    <w:rsid w:val="00080654"/>
    <w:rsid w:val="00080663"/>
    <w:rsid w:val="0008088D"/>
    <w:rsid w:val="00080942"/>
    <w:rsid w:val="00082E8B"/>
    <w:rsid w:val="000833E8"/>
    <w:rsid w:val="00083879"/>
    <w:rsid w:val="00083C07"/>
    <w:rsid w:val="00083ECD"/>
    <w:rsid w:val="00084212"/>
    <w:rsid w:val="00084579"/>
    <w:rsid w:val="000845EA"/>
    <w:rsid w:val="0008464F"/>
    <w:rsid w:val="00084D6F"/>
    <w:rsid w:val="00085E66"/>
    <w:rsid w:val="00086912"/>
    <w:rsid w:val="00086931"/>
    <w:rsid w:val="00086E04"/>
    <w:rsid w:val="00087376"/>
    <w:rsid w:val="000873EF"/>
    <w:rsid w:val="00087BC5"/>
    <w:rsid w:val="000915BB"/>
    <w:rsid w:val="00092280"/>
    <w:rsid w:val="000924FA"/>
    <w:rsid w:val="0009306C"/>
    <w:rsid w:val="0009318B"/>
    <w:rsid w:val="000932E6"/>
    <w:rsid w:val="00093C5B"/>
    <w:rsid w:val="000943EF"/>
    <w:rsid w:val="000952DC"/>
    <w:rsid w:val="000957C3"/>
    <w:rsid w:val="00095D88"/>
    <w:rsid w:val="00096D55"/>
    <w:rsid w:val="00097438"/>
    <w:rsid w:val="00097866"/>
    <w:rsid w:val="00097E8B"/>
    <w:rsid w:val="000A0437"/>
    <w:rsid w:val="000A078C"/>
    <w:rsid w:val="000A14A1"/>
    <w:rsid w:val="000A1C5B"/>
    <w:rsid w:val="000A2CF2"/>
    <w:rsid w:val="000A2DF7"/>
    <w:rsid w:val="000A2FBC"/>
    <w:rsid w:val="000A34A7"/>
    <w:rsid w:val="000A4368"/>
    <w:rsid w:val="000A57A9"/>
    <w:rsid w:val="000A621C"/>
    <w:rsid w:val="000A710D"/>
    <w:rsid w:val="000A7C4E"/>
    <w:rsid w:val="000A7C64"/>
    <w:rsid w:val="000A7C7E"/>
    <w:rsid w:val="000B0196"/>
    <w:rsid w:val="000B0371"/>
    <w:rsid w:val="000B0B1C"/>
    <w:rsid w:val="000B141D"/>
    <w:rsid w:val="000B1A12"/>
    <w:rsid w:val="000B29EA"/>
    <w:rsid w:val="000B3318"/>
    <w:rsid w:val="000B37AC"/>
    <w:rsid w:val="000B454B"/>
    <w:rsid w:val="000B49DD"/>
    <w:rsid w:val="000B4AEE"/>
    <w:rsid w:val="000B4BE9"/>
    <w:rsid w:val="000B61E4"/>
    <w:rsid w:val="000B65AB"/>
    <w:rsid w:val="000B79DD"/>
    <w:rsid w:val="000C098B"/>
    <w:rsid w:val="000C0A41"/>
    <w:rsid w:val="000C1721"/>
    <w:rsid w:val="000C1804"/>
    <w:rsid w:val="000C3E0A"/>
    <w:rsid w:val="000C4349"/>
    <w:rsid w:val="000C458C"/>
    <w:rsid w:val="000C4A3A"/>
    <w:rsid w:val="000C4A50"/>
    <w:rsid w:val="000C534A"/>
    <w:rsid w:val="000C58E1"/>
    <w:rsid w:val="000C5E71"/>
    <w:rsid w:val="000C5F01"/>
    <w:rsid w:val="000C6D3E"/>
    <w:rsid w:val="000C754E"/>
    <w:rsid w:val="000D08DB"/>
    <w:rsid w:val="000D1365"/>
    <w:rsid w:val="000D1C09"/>
    <w:rsid w:val="000D289D"/>
    <w:rsid w:val="000D3BDC"/>
    <w:rsid w:val="000D4035"/>
    <w:rsid w:val="000D40E4"/>
    <w:rsid w:val="000D4214"/>
    <w:rsid w:val="000D43E3"/>
    <w:rsid w:val="000D460C"/>
    <w:rsid w:val="000D5B7E"/>
    <w:rsid w:val="000D65D2"/>
    <w:rsid w:val="000D670B"/>
    <w:rsid w:val="000D6D86"/>
    <w:rsid w:val="000D754D"/>
    <w:rsid w:val="000E0950"/>
    <w:rsid w:val="000E0C05"/>
    <w:rsid w:val="000E10CE"/>
    <w:rsid w:val="000E1379"/>
    <w:rsid w:val="000E1731"/>
    <w:rsid w:val="000E293E"/>
    <w:rsid w:val="000E306A"/>
    <w:rsid w:val="000E3B07"/>
    <w:rsid w:val="000E3CF3"/>
    <w:rsid w:val="000E59C4"/>
    <w:rsid w:val="000E5B36"/>
    <w:rsid w:val="000E68E0"/>
    <w:rsid w:val="000E6C4B"/>
    <w:rsid w:val="000E6EED"/>
    <w:rsid w:val="000E6FBF"/>
    <w:rsid w:val="000F0044"/>
    <w:rsid w:val="000F021B"/>
    <w:rsid w:val="000F02ED"/>
    <w:rsid w:val="000F086D"/>
    <w:rsid w:val="000F1197"/>
    <w:rsid w:val="000F2331"/>
    <w:rsid w:val="000F2732"/>
    <w:rsid w:val="000F2A52"/>
    <w:rsid w:val="000F3195"/>
    <w:rsid w:val="000F4BC3"/>
    <w:rsid w:val="000F5DBE"/>
    <w:rsid w:val="000F5FD3"/>
    <w:rsid w:val="000F6806"/>
    <w:rsid w:val="000F697C"/>
    <w:rsid w:val="000F699A"/>
    <w:rsid w:val="000F69E7"/>
    <w:rsid w:val="000F7053"/>
    <w:rsid w:val="000F7395"/>
    <w:rsid w:val="000F73E6"/>
    <w:rsid w:val="000F749E"/>
    <w:rsid w:val="000F79D5"/>
    <w:rsid w:val="001013EF"/>
    <w:rsid w:val="001015AB"/>
    <w:rsid w:val="00101868"/>
    <w:rsid w:val="00101B0D"/>
    <w:rsid w:val="00101B15"/>
    <w:rsid w:val="00101FAC"/>
    <w:rsid w:val="001020B7"/>
    <w:rsid w:val="0010217F"/>
    <w:rsid w:val="0010237C"/>
    <w:rsid w:val="00102AF1"/>
    <w:rsid w:val="001031BE"/>
    <w:rsid w:val="00103BA8"/>
    <w:rsid w:val="00103D12"/>
    <w:rsid w:val="00105207"/>
    <w:rsid w:val="0010524C"/>
    <w:rsid w:val="0010546C"/>
    <w:rsid w:val="00105CD9"/>
    <w:rsid w:val="0010750C"/>
    <w:rsid w:val="00110145"/>
    <w:rsid w:val="00110B35"/>
    <w:rsid w:val="00110D55"/>
    <w:rsid w:val="00111369"/>
    <w:rsid w:val="001125C0"/>
    <w:rsid w:val="001128EA"/>
    <w:rsid w:val="00113A5A"/>
    <w:rsid w:val="00113D6A"/>
    <w:rsid w:val="0011430C"/>
    <w:rsid w:val="00115169"/>
    <w:rsid w:val="001158CF"/>
    <w:rsid w:val="00115EF0"/>
    <w:rsid w:val="0011690C"/>
    <w:rsid w:val="00116FA3"/>
    <w:rsid w:val="00117A0F"/>
    <w:rsid w:val="001204B5"/>
    <w:rsid w:val="0012126D"/>
    <w:rsid w:val="00121290"/>
    <w:rsid w:val="00121E2B"/>
    <w:rsid w:val="00122EE5"/>
    <w:rsid w:val="001236A8"/>
    <w:rsid w:val="00123BDE"/>
    <w:rsid w:val="00124222"/>
    <w:rsid w:val="00125733"/>
    <w:rsid w:val="001257AE"/>
    <w:rsid w:val="00126543"/>
    <w:rsid w:val="00126A45"/>
    <w:rsid w:val="001270AA"/>
    <w:rsid w:val="001305F5"/>
    <w:rsid w:val="00130A7A"/>
    <w:rsid w:val="00130F64"/>
    <w:rsid w:val="001326D5"/>
    <w:rsid w:val="001331F0"/>
    <w:rsid w:val="00134071"/>
    <w:rsid w:val="001341BC"/>
    <w:rsid w:val="00134B4C"/>
    <w:rsid w:val="00134FE3"/>
    <w:rsid w:val="001350AE"/>
    <w:rsid w:val="001352D8"/>
    <w:rsid w:val="001364C1"/>
    <w:rsid w:val="0013725A"/>
    <w:rsid w:val="00137AE4"/>
    <w:rsid w:val="0014028B"/>
    <w:rsid w:val="00140797"/>
    <w:rsid w:val="001411C6"/>
    <w:rsid w:val="001415C0"/>
    <w:rsid w:val="0014224B"/>
    <w:rsid w:val="0014256B"/>
    <w:rsid w:val="00142EE3"/>
    <w:rsid w:val="0014310F"/>
    <w:rsid w:val="001431C7"/>
    <w:rsid w:val="0014369E"/>
    <w:rsid w:val="00144F06"/>
    <w:rsid w:val="00145105"/>
    <w:rsid w:val="0014512C"/>
    <w:rsid w:val="00145D26"/>
    <w:rsid w:val="00147247"/>
    <w:rsid w:val="00147253"/>
    <w:rsid w:val="00147C44"/>
    <w:rsid w:val="00147E37"/>
    <w:rsid w:val="001503FE"/>
    <w:rsid w:val="00150A4C"/>
    <w:rsid w:val="00151218"/>
    <w:rsid w:val="00151892"/>
    <w:rsid w:val="00151C1C"/>
    <w:rsid w:val="00152010"/>
    <w:rsid w:val="00152F52"/>
    <w:rsid w:val="001538FE"/>
    <w:rsid w:val="00153C6D"/>
    <w:rsid w:val="0015420E"/>
    <w:rsid w:val="0015476A"/>
    <w:rsid w:val="00154E37"/>
    <w:rsid w:val="00155605"/>
    <w:rsid w:val="001556F5"/>
    <w:rsid w:val="00155C02"/>
    <w:rsid w:val="00157DDA"/>
    <w:rsid w:val="001606A9"/>
    <w:rsid w:val="001608E8"/>
    <w:rsid w:val="00160961"/>
    <w:rsid w:val="0016179E"/>
    <w:rsid w:val="00162027"/>
    <w:rsid w:val="00163188"/>
    <w:rsid w:val="00164102"/>
    <w:rsid w:val="001651D4"/>
    <w:rsid w:val="00165889"/>
    <w:rsid w:val="00165B0F"/>
    <w:rsid w:val="00166157"/>
    <w:rsid w:val="00166955"/>
    <w:rsid w:val="0016704C"/>
    <w:rsid w:val="00167279"/>
    <w:rsid w:val="0016744C"/>
    <w:rsid w:val="00172701"/>
    <w:rsid w:val="00172A27"/>
    <w:rsid w:val="00173071"/>
    <w:rsid w:val="00173612"/>
    <w:rsid w:val="00173E58"/>
    <w:rsid w:val="001744C3"/>
    <w:rsid w:val="001747A7"/>
    <w:rsid w:val="001752F1"/>
    <w:rsid w:val="00175466"/>
    <w:rsid w:val="00176A03"/>
    <w:rsid w:val="001776C3"/>
    <w:rsid w:val="00177EAB"/>
    <w:rsid w:val="00181E17"/>
    <w:rsid w:val="00181F90"/>
    <w:rsid w:val="00182B05"/>
    <w:rsid w:val="00182D3D"/>
    <w:rsid w:val="001832EC"/>
    <w:rsid w:val="00184556"/>
    <w:rsid w:val="00185B13"/>
    <w:rsid w:val="0018621B"/>
    <w:rsid w:val="00187244"/>
    <w:rsid w:val="0018739E"/>
    <w:rsid w:val="00187413"/>
    <w:rsid w:val="0018766C"/>
    <w:rsid w:val="00187CC0"/>
    <w:rsid w:val="00187D00"/>
    <w:rsid w:val="00190012"/>
    <w:rsid w:val="0019059E"/>
    <w:rsid w:val="00191343"/>
    <w:rsid w:val="001919F5"/>
    <w:rsid w:val="00191BC4"/>
    <w:rsid w:val="00191C81"/>
    <w:rsid w:val="00191C9F"/>
    <w:rsid w:val="00191CED"/>
    <w:rsid w:val="001922FF"/>
    <w:rsid w:val="001924C5"/>
    <w:rsid w:val="00192B79"/>
    <w:rsid w:val="00192C6C"/>
    <w:rsid w:val="001935FB"/>
    <w:rsid w:val="00193A1B"/>
    <w:rsid w:val="00194323"/>
    <w:rsid w:val="001944AD"/>
    <w:rsid w:val="00194F38"/>
    <w:rsid w:val="00195558"/>
    <w:rsid w:val="0019570A"/>
    <w:rsid w:val="00195B5A"/>
    <w:rsid w:val="00195EEA"/>
    <w:rsid w:val="0019649F"/>
    <w:rsid w:val="0019668D"/>
    <w:rsid w:val="00196733"/>
    <w:rsid w:val="00196985"/>
    <w:rsid w:val="00196993"/>
    <w:rsid w:val="00196AB7"/>
    <w:rsid w:val="00196D67"/>
    <w:rsid w:val="00196F0E"/>
    <w:rsid w:val="001972AE"/>
    <w:rsid w:val="0019798A"/>
    <w:rsid w:val="00197E02"/>
    <w:rsid w:val="001A051E"/>
    <w:rsid w:val="001A0FC7"/>
    <w:rsid w:val="001A14E7"/>
    <w:rsid w:val="001A1B47"/>
    <w:rsid w:val="001A1EC8"/>
    <w:rsid w:val="001A2008"/>
    <w:rsid w:val="001A2C04"/>
    <w:rsid w:val="001A2C5A"/>
    <w:rsid w:val="001A2D8C"/>
    <w:rsid w:val="001A2E79"/>
    <w:rsid w:val="001A2EFA"/>
    <w:rsid w:val="001A3240"/>
    <w:rsid w:val="001A3594"/>
    <w:rsid w:val="001A508F"/>
    <w:rsid w:val="001A50AA"/>
    <w:rsid w:val="001A5595"/>
    <w:rsid w:val="001A5C8D"/>
    <w:rsid w:val="001A6163"/>
    <w:rsid w:val="001A65D4"/>
    <w:rsid w:val="001A6E15"/>
    <w:rsid w:val="001B074A"/>
    <w:rsid w:val="001B08E3"/>
    <w:rsid w:val="001B0AB8"/>
    <w:rsid w:val="001B1223"/>
    <w:rsid w:val="001B1344"/>
    <w:rsid w:val="001B13ED"/>
    <w:rsid w:val="001B20A2"/>
    <w:rsid w:val="001B23DA"/>
    <w:rsid w:val="001B3F38"/>
    <w:rsid w:val="001B4515"/>
    <w:rsid w:val="001B4BC9"/>
    <w:rsid w:val="001B4DD0"/>
    <w:rsid w:val="001B4F9C"/>
    <w:rsid w:val="001B51E3"/>
    <w:rsid w:val="001B5CF1"/>
    <w:rsid w:val="001B5DE0"/>
    <w:rsid w:val="001B695F"/>
    <w:rsid w:val="001B72C3"/>
    <w:rsid w:val="001B7432"/>
    <w:rsid w:val="001C13C0"/>
    <w:rsid w:val="001C1568"/>
    <w:rsid w:val="001C1BA6"/>
    <w:rsid w:val="001C253D"/>
    <w:rsid w:val="001C2B42"/>
    <w:rsid w:val="001C2D00"/>
    <w:rsid w:val="001C2DE3"/>
    <w:rsid w:val="001C2FC6"/>
    <w:rsid w:val="001C33D2"/>
    <w:rsid w:val="001C36A1"/>
    <w:rsid w:val="001C39F9"/>
    <w:rsid w:val="001C3A78"/>
    <w:rsid w:val="001C3EE1"/>
    <w:rsid w:val="001C4478"/>
    <w:rsid w:val="001C4B37"/>
    <w:rsid w:val="001C5551"/>
    <w:rsid w:val="001C61B4"/>
    <w:rsid w:val="001C7349"/>
    <w:rsid w:val="001C7DF3"/>
    <w:rsid w:val="001C7EF2"/>
    <w:rsid w:val="001D02CD"/>
    <w:rsid w:val="001D035A"/>
    <w:rsid w:val="001D0731"/>
    <w:rsid w:val="001D14BA"/>
    <w:rsid w:val="001D1D91"/>
    <w:rsid w:val="001D1E89"/>
    <w:rsid w:val="001D2566"/>
    <w:rsid w:val="001D26B6"/>
    <w:rsid w:val="001D27C5"/>
    <w:rsid w:val="001D2A50"/>
    <w:rsid w:val="001D3283"/>
    <w:rsid w:val="001D336E"/>
    <w:rsid w:val="001D37DC"/>
    <w:rsid w:val="001D4EA6"/>
    <w:rsid w:val="001D65E3"/>
    <w:rsid w:val="001D6954"/>
    <w:rsid w:val="001E00B6"/>
    <w:rsid w:val="001E0C57"/>
    <w:rsid w:val="001E109E"/>
    <w:rsid w:val="001E1510"/>
    <w:rsid w:val="001E180F"/>
    <w:rsid w:val="001E1DBB"/>
    <w:rsid w:val="001E1DC5"/>
    <w:rsid w:val="001E28AC"/>
    <w:rsid w:val="001E2DF6"/>
    <w:rsid w:val="001E2EF1"/>
    <w:rsid w:val="001E342C"/>
    <w:rsid w:val="001E477E"/>
    <w:rsid w:val="001E47A6"/>
    <w:rsid w:val="001E4F07"/>
    <w:rsid w:val="001E55C5"/>
    <w:rsid w:val="001E63BE"/>
    <w:rsid w:val="001E6C79"/>
    <w:rsid w:val="001E6FAE"/>
    <w:rsid w:val="001E7727"/>
    <w:rsid w:val="001E7B8D"/>
    <w:rsid w:val="001E7D4B"/>
    <w:rsid w:val="001F0A31"/>
    <w:rsid w:val="001F1289"/>
    <w:rsid w:val="001F17F1"/>
    <w:rsid w:val="001F1842"/>
    <w:rsid w:val="001F19BA"/>
    <w:rsid w:val="001F1BFA"/>
    <w:rsid w:val="001F2379"/>
    <w:rsid w:val="001F2442"/>
    <w:rsid w:val="001F2EB4"/>
    <w:rsid w:val="001F307F"/>
    <w:rsid w:val="001F3288"/>
    <w:rsid w:val="001F3B6E"/>
    <w:rsid w:val="001F3F76"/>
    <w:rsid w:val="001F4350"/>
    <w:rsid w:val="001F4949"/>
    <w:rsid w:val="001F4B58"/>
    <w:rsid w:val="001F4E90"/>
    <w:rsid w:val="001F53D6"/>
    <w:rsid w:val="001F5AF9"/>
    <w:rsid w:val="001F617A"/>
    <w:rsid w:val="001F66B5"/>
    <w:rsid w:val="001F73F6"/>
    <w:rsid w:val="001F7DA5"/>
    <w:rsid w:val="00201168"/>
    <w:rsid w:val="002020EF"/>
    <w:rsid w:val="0020225E"/>
    <w:rsid w:val="00202F7E"/>
    <w:rsid w:val="0020315F"/>
    <w:rsid w:val="002033B8"/>
    <w:rsid w:val="00203A05"/>
    <w:rsid w:val="00203A42"/>
    <w:rsid w:val="00203AED"/>
    <w:rsid w:val="002040F9"/>
    <w:rsid w:val="002048ED"/>
    <w:rsid w:val="0020531D"/>
    <w:rsid w:val="00205E6A"/>
    <w:rsid w:val="002061DC"/>
    <w:rsid w:val="002064DF"/>
    <w:rsid w:val="00206A44"/>
    <w:rsid w:val="00206B52"/>
    <w:rsid w:val="00206FCC"/>
    <w:rsid w:val="00207AD9"/>
    <w:rsid w:val="002119CF"/>
    <w:rsid w:val="00211CA4"/>
    <w:rsid w:val="00211E87"/>
    <w:rsid w:val="002124DB"/>
    <w:rsid w:val="00212648"/>
    <w:rsid w:val="00213E27"/>
    <w:rsid w:val="002145BC"/>
    <w:rsid w:val="00214648"/>
    <w:rsid w:val="00214BBE"/>
    <w:rsid w:val="00215177"/>
    <w:rsid w:val="0021524C"/>
    <w:rsid w:val="0021544A"/>
    <w:rsid w:val="00215EA3"/>
    <w:rsid w:val="00216E60"/>
    <w:rsid w:val="00217EE1"/>
    <w:rsid w:val="00220D75"/>
    <w:rsid w:val="00220F82"/>
    <w:rsid w:val="0022147D"/>
    <w:rsid w:val="00221698"/>
    <w:rsid w:val="002218B2"/>
    <w:rsid w:val="00221DC5"/>
    <w:rsid w:val="00221FEE"/>
    <w:rsid w:val="00222063"/>
    <w:rsid w:val="002232B1"/>
    <w:rsid w:val="0022343E"/>
    <w:rsid w:val="0022365E"/>
    <w:rsid w:val="00224B6E"/>
    <w:rsid w:val="00226A94"/>
    <w:rsid w:val="00226C88"/>
    <w:rsid w:val="0022707F"/>
    <w:rsid w:val="00227174"/>
    <w:rsid w:val="00227279"/>
    <w:rsid w:val="00227A84"/>
    <w:rsid w:val="00227CE0"/>
    <w:rsid w:val="002306AB"/>
    <w:rsid w:val="002313C5"/>
    <w:rsid w:val="00231C09"/>
    <w:rsid w:val="002323EB"/>
    <w:rsid w:val="0023277E"/>
    <w:rsid w:val="00232CC9"/>
    <w:rsid w:val="00232D55"/>
    <w:rsid w:val="00233047"/>
    <w:rsid w:val="00233155"/>
    <w:rsid w:val="0023385F"/>
    <w:rsid w:val="00233BDB"/>
    <w:rsid w:val="002340F2"/>
    <w:rsid w:val="0023426F"/>
    <w:rsid w:val="00234A12"/>
    <w:rsid w:val="00234DAB"/>
    <w:rsid w:val="0023587C"/>
    <w:rsid w:val="00236302"/>
    <w:rsid w:val="00236D6E"/>
    <w:rsid w:val="00237243"/>
    <w:rsid w:val="0023725F"/>
    <w:rsid w:val="0023733D"/>
    <w:rsid w:val="00237632"/>
    <w:rsid w:val="00240E3A"/>
    <w:rsid w:val="00241114"/>
    <w:rsid w:val="002423C5"/>
    <w:rsid w:val="002428B0"/>
    <w:rsid w:val="00242BE0"/>
    <w:rsid w:val="00242C3E"/>
    <w:rsid w:val="00243106"/>
    <w:rsid w:val="00243A16"/>
    <w:rsid w:val="002442A1"/>
    <w:rsid w:val="00245304"/>
    <w:rsid w:val="00246A94"/>
    <w:rsid w:val="00246DA3"/>
    <w:rsid w:val="002479B1"/>
    <w:rsid w:val="0025048E"/>
    <w:rsid w:val="0025168A"/>
    <w:rsid w:val="00252565"/>
    <w:rsid w:val="002529D5"/>
    <w:rsid w:val="00252EA7"/>
    <w:rsid w:val="00253187"/>
    <w:rsid w:val="00254230"/>
    <w:rsid w:val="002549C2"/>
    <w:rsid w:val="00255577"/>
    <w:rsid w:val="0025616E"/>
    <w:rsid w:val="0025703D"/>
    <w:rsid w:val="0025787E"/>
    <w:rsid w:val="00257C30"/>
    <w:rsid w:val="00257E00"/>
    <w:rsid w:val="00260154"/>
    <w:rsid w:val="00260A8C"/>
    <w:rsid w:val="00261137"/>
    <w:rsid w:val="00261344"/>
    <w:rsid w:val="00261B80"/>
    <w:rsid w:val="00261EF5"/>
    <w:rsid w:val="00262249"/>
    <w:rsid w:val="002622B7"/>
    <w:rsid w:val="00262AFE"/>
    <w:rsid w:val="0026319F"/>
    <w:rsid w:val="00263C39"/>
    <w:rsid w:val="00264046"/>
    <w:rsid w:val="0026424F"/>
    <w:rsid w:val="00265080"/>
    <w:rsid w:val="0026653F"/>
    <w:rsid w:val="00266664"/>
    <w:rsid w:val="002666AB"/>
    <w:rsid w:val="002668A7"/>
    <w:rsid w:val="00267319"/>
    <w:rsid w:val="00267D35"/>
    <w:rsid w:val="002700AC"/>
    <w:rsid w:val="00270D54"/>
    <w:rsid w:val="002711E9"/>
    <w:rsid w:val="0027322C"/>
    <w:rsid w:val="002735C6"/>
    <w:rsid w:val="00274D2F"/>
    <w:rsid w:val="00274EAD"/>
    <w:rsid w:val="00275B3B"/>
    <w:rsid w:val="00276DAB"/>
    <w:rsid w:val="00276E89"/>
    <w:rsid w:val="0027782B"/>
    <w:rsid w:val="00280059"/>
    <w:rsid w:val="00280782"/>
    <w:rsid w:val="00280FBE"/>
    <w:rsid w:val="0028114B"/>
    <w:rsid w:val="00281D48"/>
    <w:rsid w:val="00282AE6"/>
    <w:rsid w:val="00283260"/>
    <w:rsid w:val="00283908"/>
    <w:rsid w:val="00283FCC"/>
    <w:rsid w:val="0028524F"/>
    <w:rsid w:val="002858E3"/>
    <w:rsid w:val="00285CD1"/>
    <w:rsid w:val="0028660A"/>
    <w:rsid w:val="00286A7D"/>
    <w:rsid w:val="00290875"/>
    <w:rsid w:val="002913FD"/>
    <w:rsid w:val="00291618"/>
    <w:rsid w:val="00291CC2"/>
    <w:rsid w:val="00293648"/>
    <w:rsid w:val="002941EF"/>
    <w:rsid w:val="00294591"/>
    <w:rsid w:val="00294765"/>
    <w:rsid w:val="00294B03"/>
    <w:rsid w:val="00294EE3"/>
    <w:rsid w:val="0029535A"/>
    <w:rsid w:val="00295735"/>
    <w:rsid w:val="002959EB"/>
    <w:rsid w:val="002962FF"/>
    <w:rsid w:val="00296F37"/>
    <w:rsid w:val="002A04AA"/>
    <w:rsid w:val="002A0768"/>
    <w:rsid w:val="002A12E4"/>
    <w:rsid w:val="002A1C72"/>
    <w:rsid w:val="002A1FE8"/>
    <w:rsid w:val="002A20E4"/>
    <w:rsid w:val="002A2188"/>
    <w:rsid w:val="002A222B"/>
    <w:rsid w:val="002A2B2E"/>
    <w:rsid w:val="002A33EE"/>
    <w:rsid w:val="002A344E"/>
    <w:rsid w:val="002A36A2"/>
    <w:rsid w:val="002A3A15"/>
    <w:rsid w:val="002A4988"/>
    <w:rsid w:val="002A4C25"/>
    <w:rsid w:val="002A6360"/>
    <w:rsid w:val="002A6574"/>
    <w:rsid w:val="002A734A"/>
    <w:rsid w:val="002A7D5C"/>
    <w:rsid w:val="002A7DA3"/>
    <w:rsid w:val="002B03C9"/>
    <w:rsid w:val="002B0D70"/>
    <w:rsid w:val="002B0DA3"/>
    <w:rsid w:val="002B0FC7"/>
    <w:rsid w:val="002B16D1"/>
    <w:rsid w:val="002B235A"/>
    <w:rsid w:val="002B2649"/>
    <w:rsid w:val="002B295A"/>
    <w:rsid w:val="002B2EEE"/>
    <w:rsid w:val="002B31A0"/>
    <w:rsid w:val="002B432C"/>
    <w:rsid w:val="002B4400"/>
    <w:rsid w:val="002B447B"/>
    <w:rsid w:val="002B4B93"/>
    <w:rsid w:val="002B5BD2"/>
    <w:rsid w:val="002B5E73"/>
    <w:rsid w:val="002B6888"/>
    <w:rsid w:val="002B7982"/>
    <w:rsid w:val="002C0403"/>
    <w:rsid w:val="002C1BBF"/>
    <w:rsid w:val="002C1F6E"/>
    <w:rsid w:val="002C2C89"/>
    <w:rsid w:val="002C48A8"/>
    <w:rsid w:val="002C5C0C"/>
    <w:rsid w:val="002C6553"/>
    <w:rsid w:val="002C6557"/>
    <w:rsid w:val="002C7D6D"/>
    <w:rsid w:val="002D0254"/>
    <w:rsid w:val="002D0A6B"/>
    <w:rsid w:val="002D0B86"/>
    <w:rsid w:val="002D0DC6"/>
    <w:rsid w:val="002D1275"/>
    <w:rsid w:val="002D1A0D"/>
    <w:rsid w:val="002D245D"/>
    <w:rsid w:val="002D2660"/>
    <w:rsid w:val="002D2D88"/>
    <w:rsid w:val="002D3394"/>
    <w:rsid w:val="002D36D7"/>
    <w:rsid w:val="002D3A5F"/>
    <w:rsid w:val="002D3B65"/>
    <w:rsid w:val="002D4282"/>
    <w:rsid w:val="002D435D"/>
    <w:rsid w:val="002D48F2"/>
    <w:rsid w:val="002D4928"/>
    <w:rsid w:val="002D49A2"/>
    <w:rsid w:val="002D5232"/>
    <w:rsid w:val="002D5360"/>
    <w:rsid w:val="002D53F8"/>
    <w:rsid w:val="002D5AC9"/>
    <w:rsid w:val="002D6482"/>
    <w:rsid w:val="002D68FA"/>
    <w:rsid w:val="002D6D61"/>
    <w:rsid w:val="002D71A9"/>
    <w:rsid w:val="002D71ED"/>
    <w:rsid w:val="002D7B7C"/>
    <w:rsid w:val="002E0893"/>
    <w:rsid w:val="002E165D"/>
    <w:rsid w:val="002E16A1"/>
    <w:rsid w:val="002E174B"/>
    <w:rsid w:val="002E1A03"/>
    <w:rsid w:val="002E2701"/>
    <w:rsid w:val="002E2705"/>
    <w:rsid w:val="002E2921"/>
    <w:rsid w:val="002E2F9B"/>
    <w:rsid w:val="002E3367"/>
    <w:rsid w:val="002E377C"/>
    <w:rsid w:val="002E3ACB"/>
    <w:rsid w:val="002E3D63"/>
    <w:rsid w:val="002E444D"/>
    <w:rsid w:val="002E44BD"/>
    <w:rsid w:val="002E460E"/>
    <w:rsid w:val="002E48B5"/>
    <w:rsid w:val="002E4E93"/>
    <w:rsid w:val="002E53F2"/>
    <w:rsid w:val="002E5A1B"/>
    <w:rsid w:val="002E61AC"/>
    <w:rsid w:val="002E6611"/>
    <w:rsid w:val="002E69FC"/>
    <w:rsid w:val="002E77C8"/>
    <w:rsid w:val="002F017E"/>
    <w:rsid w:val="002F0C78"/>
    <w:rsid w:val="002F1377"/>
    <w:rsid w:val="002F1C93"/>
    <w:rsid w:val="002F43FB"/>
    <w:rsid w:val="002F488B"/>
    <w:rsid w:val="002F50AF"/>
    <w:rsid w:val="002F5233"/>
    <w:rsid w:val="002F5414"/>
    <w:rsid w:val="002F68F6"/>
    <w:rsid w:val="002F6A89"/>
    <w:rsid w:val="002F710E"/>
    <w:rsid w:val="00302399"/>
    <w:rsid w:val="00302D45"/>
    <w:rsid w:val="00303245"/>
    <w:rsid w:val="003034CF"/>
    <w:rsid w:val="003035F0"/>
    <w:rsid w:val="0030381A"/>
    <w:rsid w:val="00304B1F"/>
    <w:rsid w:val="00305548"/>
    <w:rsid w:val="003059D5"/>
    <w:rsid w:val="00306648"/>
    <w:rsid w:val="00306948"/>
    <w:rsid w:val="003075D0"/>
    <w:rsid w:val="00307742"/>
    <w:rsid w:val="003079BB"/>
    <w:rsid w:val="00310975"/>
    <w:rsid w:val="00310E6F"/>
    <w:rsid w:val="003122CB"/>
    <w:rsid w:val="003126AC"/>
    <w:rsid w:val="00312C8B"/>
    <w:rsid w:val="00312E1B"/>
    <w:rsid w:val="00313886"/>
    <w:rsid w:val="00313901"/>
    <w:rsid w:val="0031427A"/>
    <w:rsid w:val="003154A2"/>
    <w:rsid w:val="00315938"/>
    <w:rsid w:val="0031639A"/>
    <w:rsid w:val="0031702B"/>
    <w:rsid w:val="003173FB"/>
    <w:rsid w:val="003177BC"/>
    <w:rsid w:val="003207FF"/>
    <w:rsid w:val="00320B16"/>
    <w:rsid w:val="00321958"/>
    <w:rsid w:val="00321B24"/>
    <w:rsid w:val="00321D03"/>
    <w:rsid w:val="00321E14"/>
    <w:rsid w:val="003223B8"/>
    <w:rsid w:val="00324CEB"/>
    <w:rsid w:val="00324DB1"/>
    <w:rsid w:val="0032515C"/>
    <w:rsid w:val="003251DD"/>
    <w:rsid w:val="00325669"/>
    <w:rsid w:val="00325932"/>
    <w:rsid w:val="00325D72"/>
    <w:rsid w:val="00326A01"/>
    <w:rsid w:val="00326B96"/>
    <w:rsid w:val="00326DB9"/>
    <w:rsid w:val="003272D8"/>
    <w:rsid w:val="00331AE1"/>
    <w:rsid w:val="00331F37"/>
    <w:rsid w:val="00334CFC"/>
    <w:rsid w:val="003351E6"/>
    <w:rsid w:val="00335EEA"/>
    <w:rsid w:val="0033727E"/>
    <w:rsid w:val="00337736"/>
    <w:rsid w:val="003378FA"/>
    <w:rsid w:val="0034019E"/>
    <w:rsid w:val="003405B1"/>
    <w:rsid w:val="003405CE"/>
    <w:rsid w:val="0034090B"/>
    <w:rsid w:val="00340CB3"/>
    <w:rsid w:val="00340E89"/>
    <w:rsid w:val="003410D4"/>
    <w:rsid w:val="003410DB"/>
    <w:rsid w:val="003417BA"/>
    <w:rsid w:val="00341CA5"/>
    <w:rsid w:val="00341D48"/>
    <w:rsid w:val="003422DA"/>
    <w:rsid w:val="00343556"/>
    <w:rsid w:val="00343C23"/>
    <w:rsid w:val="003440D4"/>
    <w:rsid w:val="003446A1"/>
    <w:rsid w:val="00344BD9"/>
    <w:rsid w:val="0034501E"/>
    <w:rsid w:val="00345C7E"/>
    <w:rsid w:val="00346BFF"/>
    <w:rsid w:val="00347083"/>
    <w:rsid w:val="00347546"/>
    <w:rsid w:val="00347E4D"/>
    <w:rsid w:val="00350B35"/>
    <w:rsid w:val="00350FBC"/>
    <w:rsid w:val="003512E3"/>
    <w:rsid w:val="00351395"/>
    <w:rsid w:val="00351624"/>
    <w:rsid w:val="00351B34"/>
    <w:rsid w:val="00351FEE"/>
    <w:rsid w:val="0035223F"/>
    <w:rsid w:val="00352763"/>
    <w:rsid w:val="003527E1"/>
    <w:rsid w:val="00352BB8"/>
    <w:rsid w:val="00353028"/>
    <w:rsid w:val="003538C5"/>
    <w:rsid w:val="003545E4"/>
    <w:rsid w:val="00354710"/>
    <w:rsid w:val="00354A8F"/>
    <w:rsid w:val="0035648C"/>
    <w:rsid w:val="00356D96"/>
    <w:rsid w:val="00356EE5"/>
    <w:rsid w:val="00357EE2"/>
    <w:rsid w:val="00360283"/>
    <w:rsid w:val="0036166F"/>
    <w:rsid w:val="003623E8"/>
    <w:rsid w:val="003624ED"/>
    <w:rsid w:val="00363AE7"/>
    <w:rsid w:val="00363BC6"/>
    <w:rsid w:val="0036426A"/>
    <w:rsid w:val="00364912"/>
    <w:rsid w:val="0036534B"/>
    <w:rsid w:val="00365A53"/>
    <w:rsid w:val="00365F0A"/>
    <w:rsid w:val="0036695F"/>
    <w:rsid w:val="00366D8A"/>
    <w:rsid w:val="003705D0"/>
    <w:rsid w:val="00370B26"/>
    <w:rsid w:val="0037142A"/>
    <w:rsid w:val="00371883"/>
    <w:rsid w:val="00372749"/>
    <w:rsid w:val="00372A05"/>
    <w:rsid w:val="00373D97"/>
    <w:rsid w:val="00373E27"/>
    <w:rsid w:val="00374908"/>
    <w:rsid w:val="00375595"/>
    <w:rsid w:val="00375847"/>
    <w:rsid w:val="00375E6E"/>
    <w:rsid w:val="003770C8"/>
    <w:rsid w:val="00377774"/>
    <w:rsid w:val="003779BE"/>
    <w:rsid w:val="00377B05"/>
    <w:rsid w:val="0038007E"/>
    <w:rsid w:val="003800AF"/>
    <w:rsid w:val="003809F4"/>
    <w:rsid w:val="0038111C"/>
    <w:rsid w:val="00381B04"/>
    <w:rsid w:val="00381BCD"/>
    <w:rsid w:val="00381F12"/>
    <w:rsid w:val="003825F2"/>
    <w:rsid w:val="0038283B"/>
    <w:rsid w:val="00382F94"/>
    <w:rsid w:val="0038304E"/>
    <w:rsid w:val="00383362"/>
    <w:rsid w:val="003834DC"/>
    <w:rsid w:val="0038387E"/>
    <w:rsid w:val="00384B1A"/>
    <w:rsid w:val="003850A9"/>
    <w:rsid w:val="003850B3"/>
    <w:rsid w:val="003851C1"/>
    <w:rsid w:val="003852F4"/>
    <w:rsid w:val="00385485"/>
    <w:rsid w:val="00385C04"/>
    <w:rsid w:val="00385C77"/>
    <w:rsid w:val="00385E62"/>
    <w:rsid w:val="00386692"/>
    <w:rsid w:val="003867E3"/>
    <w:rsid w:val="00387B06"/>
    <w:rsid w:val="00387C20"/>
    <w:rsid w:val="0039069C"/>
    <w:rsid w:val="00390C12"/>
    <w:rsid w:val="00392BF2"/>
    <w:rsid w:val="003930C0"/>
    <w:rsid w:val="00393502"/>
    <w:rsid w:val="00393A95"/>
    <w:rsid w:val="00394611"/>
    <w:rsid w:val="0039492C"/>
    <w:rsid w:val="003949AD"/>
    <w:rsid w:val="00394E35"/>
    <w:rsid w:val="00395AAE"/>
    <w:rsid w:val="0039614A"/>
    <w:rsid w:val="003966C2"/>
    <w:rsid w:val="0039700F"/>
    <w:rsid w:val="003972EC"/>
    <w:rsid w:val="003A001B"/>
    <w:rsid w:val="003A0597"/>
    <w:rsid w:val="003A06D6"/>
    <w:rsid w:val="003A09AE"/>
    <w:rsid w:val="003A1782"/>
    <w:rsid w:val="003A2187"/>
    <w:rsid w:val="003A2B19"/>
    <w:rsid w:val="003A32F6"/>
    <w:rsid w:val="003A3B4B"/>
    <w:rsid w:val="003A3E80"/>
    <w:rsid w:val="003A48E9"/>
    <w:rsid w:val="003A50E5"/>
    <w:rsid w:val="003A5942"/>
    <w:rsid w:val="003A6196"/>
    <w:rsid w:val="003A6618"/>
    <w:rsid w:val="003A6FD2"/>
    <w:rsid w:val="003A7217"/>
    <w:rsid w:val="003A7E0A"/>
    <w:rsid w:val="003B0192"/>
    <w:rsid w:val="003B0327"/>
    <w:rsid w:val="003B0496"/>
    <w:rsid w:val="003B0D01"/>
    <w:rsid w:val="003B0F5E"/>
    <w:rsid w:val="003B0FC9"/>
    <w:rsid w:val="003B14BA"/>
    <w:rsid w:val="003B191E"/>
    <w:rsid w:val="003B1D23"/>
    <w:rsid w:val="003B1FA7"/>
    <w:rsid w:val="003B24DC"/>
    <w:rsid w:val="003B2AA7"/>
    <w:rsid w:val="003B2FCE"/>
    <w:rsid w:val="003B37AF"/>
    <w:rsid w:val="003B3E31"/>
    <w:rsid w:val="003B4587"/>
    <w:rsid w:val="003B48C2"/>
    <w:rsid w:val="003B55EF"/>
    <w:rsid w:val="003B5775"/>
    <w:rsid w:val="003B5961"/>
    <w:rsid w:val="003B7846"/>
    <w:rsid w:val="003B7E2B"/>
    <w:rsid w:val="003C03AA"/>
    <w:rsid w:val="003C0730"/>
    <w:rsid w:val="003C0A48"/>
    <w:rsid w:val="003C333B"/>
    <w:rsid w:val="003C3A78"/>
    <w:rsid w:val="003C3C51"/>
    <w:rsid w:val="003C42F0"/>
    <w:rsid w:val="003C57C9"/>
    <w:rsid w:val="003C6971"/>
    <w:rsid w:val="003C7DE1"/>
    <w:rsid w:val="003D02C5"/>
    <w:rsid w:val="003D26F9"/>
    <w:rsid w:val="003D2BF5"/>
    <w:rsid w:val="003D3363"/>
    <w:rsid w:val="003D4DC1"/>
    <w:rsid w:val="003D4EF4"/>
    <w:rsid w:val="003D53DC"/>
    <w:rsid w:val="003D5532"/>
    <w:rsid w:val="003D5D38"/>
    <w:rsid w:val="003D60A2"/>
    <w:rsid w:val="003D675C"/>
    <w:rsid w:val="003D69BD"/>
    <w:rsid w:val="003D72EF"/>
    <w:rsid w:val="003D7892"/>
    <w:rsid w:val="003D799F"/>
    <w:rsid w:val="003D7C55"/>
    <w:rsid w:val="003D7F27"/>
    <w:rsid w:val="003E0DD5"/>
    <w:rsid w:val="003E13FE"/>
    <w:rsid w:val="003E15E0"/>
    <w:rsid w:val="003E2998"/>
    <w:rsid w:val="003E33FB"/>
    <w:rsid w:val="003E347D"/>
    <w:rsid w:val="003E39BC"/>
    <w:rsid w:val="003E3DC1"/>
    <w:rsid w:val="003E5396"/>
    <w:rsid w:val="003E5AF9"/>
    <w:rsid w:val="003E63DB"/>
    <w:rsid w:val="003E69EE"/>
    <w:rsid w:val="003E6C7F"/>
    <w:rsid w:val="003F01F4"/>
    <w:rsid w:val="003F0409"/>
    <w:rsid w:val="003F0844"/>
    <w:rsid w:val="003F0AF4"/>
    <w:rsid w:val="003F0BB5"/>
    <w:rsid w:val="003F10EA"/>
    <w:rsid w:val="003F19B5"/>
    <w:rsid w:val="003F1C17"/>
    <w:rsid w:val="003F2353"/>
    <w:rsid w:val="003F26EE"/>
    <w:rsid w:val="003F280A"/>
    <w:rsid w:val="003F2BB2"/>
    <w:rsid w:val="003F2E0B"/>
    <w:rsid w:val="003F34C0"/>
    <w:rsid w:val="003F398A"/>
    <w:rsid w:val="003F3DBE"/>
    <w:rsid w:val="003F4746"/>
    <w:rsid w:val="003F5871"/>
    <w:rsid w:val="003F5BAE"/>
    <w:rsid w:val="003F6C28"/>
    <w:rsid w:val="003F71EA"/>
    <w:rsid w:val="003F7814"/>
    <w:rsid w:val="003F7950"/>
    <w:rsid w:val="003F7A08"/>
    <w:rsid w:val="0040007C"/>
    <w:rsid w:val="00400A44"/>
    <w:rsid w:val="00402827"/>
    <w:rsid w:val="004032D5"/>
    <w:rsid w:val="00403E58"/>
    <w:rsid w:val="004045EB"/>
    <w:rsid w:val="00405182"/>
    <w:rsid w:val="00406319"/>
    <w:rsid w:val="00407991"/>
    <w:rsid w:val="00407A31"/>
    <w:rsid w:val="00410663"/>
    <w:rsid w:val="004121DA"/>
    <w:rsid w:val="004122EF"/>
    <w:rsid w:val="0041257D"/>
    <w:rsid w:val="00412E91"/>
    <w:rsid w:val="004131DE"/>
    <w:rsid w:val="00413C89"/>
    <w:rsid w:val="00414330"/>
    <w:rsid w:val="00414A07"/>
    <w:rsid w:val="00415D17"/>
    <w:rsid w:val="00416686"/>
    <w:rsid w:val="00416B16"/>
    <w:rsid w:val="004176D3"/>
    <w:rsid w:val="00417F21"/>
    <w:rsid w:val="0042052F"/>
    <w:rsid w:val="00420D35"/>
    <w:rsid w:val="00420E8C"/>
    <w:rsid w:val="00421F03"/>
    <w:rsid w:val="004220A4"/>
    <w:rsid w:val="0042250C"/>
    <w:rsid w:val="004225E7"/>
    <w:rsid w:val="00423039"/>
    <w:rsid w:val="00423190"/>
    <w:rsid w:val="00423DC1"/>
    <w:rsid w:val="00424809"/>
    <w:rsid w:val="00424B8D"/>
    <w:rsid w:val="00425612"/>
    <w:rsid w:val="0042609D"/>
    <w:rsid w:val="00426DD7"/>
    <w:rsid w:val="00426EEB"/>
    <w:rsid w:val="004278B7"/>
    <w:rsid w:val="00430B9B"/>
    <w:rsid w:val="00431C3C"/>
    <w:rsid w:val="00431C85"/>
    <w:rsid w:val="004323DF"/>
    <w:rsid w:val="004324EC"/>
    <w:rsid w:val="004326DA"/>
    <w:rsid w:val="00432B77"/>
    <w:rsid w:val="004335A0"/>
    <w:rsid w:val="004336F3"/>
    <w:rsid w:val="004338F7"/>
    <w:rsid w:val="00433A57"/>
    <w:rsid w:val="004340AE"/>
    <w:rsid w:val="004347DF"/>
    <w:rsid w:val="00434E24"/>
    <w:rsid w:val="00435A93"/>
    <w:rsid w:val="00435E72"/>
    <w:rsid w:val="00435F5A"/>
    <w:rsid w:val="00435FCB"/>
    <w:rsid w:val="00436116"/>
    <w:rsid w:val="00436736"/>
    <w:rsid w:val="00436A93"/>
    <w:rsid w:val="0043702A"/>
    <w:rsid w:val="00440A91"/>
    <w:rsid w:val="00441DEE"/>
    <w:rsid w:val="004424C1"/>
    <w:rsid w:val="004429C9"/>
    <w:rsid w:val="00442A3D"/>
    <w:rsid w:val="00442C91"/>
    <w:rsid w:val="0044343A"/>
    <w:rsid w:val="00443543"/>
    <w:rsid w:val="00443567"/>
    <w:rsid w:val="00443663"/>
    <w:rsid w:val="00443715"/>
    <w:rsid w:val="004440E7"/>
    <w:rsid w:val="00444909"/>
    <w:rsid w:val="00444A01"/>
    <w:rsid w:val="00444FC0"/>
    <w:rsid w:val="004450AE"/>
    <w:rsid w:val="004454F8"/>
    <w:rsid w:val="004455A5"/>
    <w:rsid w:val="00445D50"/>
    <w:rsid w:val="00445F74"/>
    <w:rsid w:val="00446063"/>
    <w:rsid w:val="0044611F"/>
    <w:rsid w:val="0044755D"/>
    <w:rsid w:val="00447AFD"/>
    <w:rsid w:val="00450F2C"/>
    <w:rsid w:val="00450F9B"/>
    <w:rsid w:val="0045239B"/>
    <w:rsid w:val="0045281C"/>
    <w:rsid w:val="004531D6"/>
    <w:rsid w:val="00453355"/>
    <w:rsid w:val="00453709"/>
    <w:rsid w:val="00453DAF"/>
    <w:rsid w:val="004548FC"/>
    <w:rsid w:val="00455B1B"/>
    <w:rsid w:val="0045656A"/>
    <w:rsid w:val="00456A29"/>
    <w:rsid w:val="00457318"/>
    <w:rsid w:val="004578F9"/>
    <w:rsid w:val="004579E2"/>
    <w:rsid w:val="004602CD"/>
    <w:rsid w:val="004607C0"/>
    <w:rsid w:val="004608E4"/>
    <w:rsid w:val="00461233"/>
    <w:rsid w:val="00461547"/>
    <w:rsid w:val="00461B9F"/>
    <w:rsid w:val="00461FBD"/>
    <w:rsid w:val="00462122"/>
    <w:rsid w:val="004621DB"/>
    <w:rsid w:val="0046258F"/>
    <w:rsid w:val="00462D28"/>
    <w:rsid w:val="004634DC"/>
    <w:rsid w:val="00464615"/>
    <w:rsid w:val="004653BA"/>
    <w:rsid w:val="00465430"/>
    <w:rsid w:val="00465AC7"/>
    <w:rsid w:val="00465DD5"/>
    <w:rsid w:val="0046636A"/>
    <w:rsid w:val="00466D6D"/>
    <w:rsid w:val="004701A5"/>
    <w:rsid w:val="004716FC"/>
    <w:rsid w:val="00472AD0"/>
    <w:rsid w:val="00472EB9"/>
    <w:rsid w:val="00472FCC"/>
    <w:rsid w:val="00473519"/>
    <w:rsid w:val="004739B4"/>
    <w:rsid w:val="00473DB4"/>
    <w:rsid w:val="0047433A"/>
    <w:rsid w:val="004745D7"/>
    <w:rsid w:val="00474C20"/>
    <w:rsid w:val="00474F78"/>
    <w:rsid w:val="00475385"/>
    <w:rsid w:val="0047625D"/>
    <w:rsid w:val="004766B7"/>
    <w:rsid w:val="00476B42"/>
    <w:rsid w:val="00476E06"/>
    <w:rsid w:val="00476E28"/>
    <w:rsid w:val="00476E79"/>
    <w:rsid w:val="00476F28"/>
    <w:rsid w:val="00477E0A"/>
    <w:rsid w:val="00477F7B"/>
    <w:rsid w:val="00480CFF"/>
    <w:rsid w:val="00480ED0"/>
    <w:rsid w:val="0048102E"/>
    <w:rsid w:val="00481224"/>
    <w:rsid w:val="00481B51"/>
    <w:rsid w:val="00481BD6"/>
    <w:rsid w:val="00481C6D"/>
    <w:rsid w:val="0048213D"/>
    <w:rsid w:val="004827B6"/>
    <w:rsid w:val="00483A01"/>
    <w:rsid w:val="00483D64"/>
    <w:rsid w:val="00484F38"/>
    <w:rsid w:val="0048556B"/>
    <w:rsid w:val="00485591"/>
    <w:rsid w:val="004857D9"/>
    <w:rsid w:val="00485BE7"/>
    <w:rsid w:val="004860BD"/>
    <w:rsid w:val="00486C59"/>
    <w:rsid w:val="0048724D"/>
    <w:rsid w:val="004874AD"/>
    <w:rsid w:val="00487608"/>
    <w:rsid w:val="00487CBD"/>
    <w:rsid w:val="004902C7"/>
    <w:rsid w:val="004903D9"/>
    <w:rsid w:val="004905BC"/>
    <w:rsid w:val="004906BC"/>
    <w:rsid w:val="00490C41"/>
    <w:rsid w:val="00490D11"/>
    <w:rsid w:val="00491114"/>
    <w:rsid w:val="00492011"/>
    <w:rsid w:val="004920D9"/>
    <w:rsid w:val="00492397"/>
    <w:rsid w:val="00493119"/>
    <w:rsid w:val="0049452A"/>
    <w:rsid w:val="004948F9"/>
    <w:rsid w:val="00494BCE"/>
    <w:rsid w:val="004950A5"/>
    <w:rsid w:val="004950E6"/>
    <w:rsid w:val="00495E9A"/>
    <w:rsid w:val="004977D0"/>
    <w:rsid w:val="00497FC2"/>
    <w:rsid w:val="004A025C"/>
    <w:rsid w:val="004A0540"/>
    <w:rsid w:val="004A0DEF"/>
    <w:rsid w:val="004A1957"/>
    <w:rsid w:val="004A2A1B"/>
    <w:rsid w:val="004A2C04"/>
    <w:rsid w:val="004A32AF"/>
    <w:rsid w:val="004A35DC"/>
    <w:rsid w:val="004A3832"/>
    <w:rsid w:val="004A3B8D"/>
    <w:rsid w:val="004A3CFF"/>
    <w:rsid w:val="004A3D4E"/>
    <w:rsid w:val="004A3D5D"/>
    <w:rsid w:val="004A3F04"/>
    <w:rsid w:val="004A4362"/>
    <w:rsid w:val="004A4538"/>
    <w:rsid w:val="004A4643"/>
    <w:rsid w:val="004A4C81"/>
    <w:rsid w:val="004A4F90"/>
    <w:rsid w:val="004A5BDC"/>
    <w:rsid w:val="004A62D9"/>
    <w:rsid w:val="004A64ED"/>
    <w:rsid w:val="004A6E4B"/>
    <w:rsid w:val="004A6FB2"/>
    <w:rsid w:val="004A76A6"/>
    <w:rsid w:val="004A7DF3"/>
    <w:rsid w:val="004B0136"/>
    <w:rsid w:val="004B0580"/>
    <w:rsid w:val="004B0922"/>
    <w:rsid w:val="004B0B21"/>
    <w:rsid w:val="004B0C71"/>
    <w:rsid w:val="004B1062"/>
    <w:rsid w:val="004B1722"/>
    <w:rsid w:val="004B1848"/>
    <w:rsid w:val="004B1F2C"/>
    <w:rsid w:val="004B2423"/>
    <w:rsid w:val="004B2627"/>
    <w:rsid w:val="004B2EBD"/>
    <w:rsid w:val="004B335D"/>
    <w:rsid w:val="004B3439"/>
    <w:rsid w:val="004B3ABD"/>
    <w:rsid w:val="004B3F55"/>
    <w:rsid w:val="004B42DC"/>
    <w:rsid w:val="004B4367"/>
    <w:rsid w:val="004B45F2"/>
    <w:rsid w:val="004B51F2"/>
    <w:rsid w:val="004B5754"/>
    <w:rsid w:val="004C0097"/>
    <w:rsid w:val="004C1713"/>
    <w:rsid w:val="004C1CBD"/>
    <w:rsid w:val="004C1F18"/>
    <w:rsid w:val="004C2113"/>
    <w:rsid w:val="004C2243"/>
    <w:rsid w:val="004C24B7"/>
    <w:rsid w:val="004C25D7"/>
    <w:rsid w:val="004C2B2A"/>
    <w:rsid w:val="004C3047"/>
    <w:rsid w:val="004C33D0"/>
    <w:rsid w:val="004C34B6"/>
    <w:rsid w:val="004C43E0"/>
    <w:rsid w:val="004C52C9"/>
    <w:rsid w:val="004C581C"/>
    <w:rsid w:val="004C5CEB"/>
    <w:rsid w:val="004C6087"/>
    <w:rsid w:val="004C64A2"/>
    <w:rsid w:val="004C68BD"/>
    <w:rsid w:val="004C6AF2"/>
    <w:rsid w:val="004C6D85"/>
    <w:rsid w:val="004C7529"/>
    <w:rsid w:val="004C755A"/>
    <w:rsid w:val="004C77AB"/>
    <w:rsid w:val="004C7B9A"/>
    <w:rsid w:val="004C7FD3"/>
    <w:rsid w:val="004D03CC"/>
    <w:rsid w:val="004D0B6E"/>
    <w:rsid w:val="004D1192"/>
    <w:rsid w:val="004D17B7"/>
    <w:rsid w:val="004D18E8"/>
    <w:rsid w:val="004D1CE4"/>
    <w:rsid w:val="004D20ED"/>
    <w:rsid w:val="004D27E1"/>
    <w:rsid w:val="004D28FF"/>
    <w:rsid w:val="004D31B7"/>
    <w:rsid w:val="004D37ED"/>
    <w:rsid w:val="004D49D2"/>
    <w:rsid w:val="004D53D8"/>
    <w:rsid w:val="004D570D"/>
    <w:rsid w:val="004D6007"/>
    <w:rsid w:val="004D6793"/>
    <w:rsid w:val="004D6834"/>
    <w:rsid w:val="004D7488"/>
    <w:rsid w:val="004D7922"/>
    <w:rsid w:val="004D7F74"/>
    <w:rsid w:val="004E07E6"/>
    <w:rsid w:val="004E1467"/>
    <w:rsid w:val="004E146F"/>
    <w:rsid w:val="004E188A"/>
    <w:rsid w:val="004E1E1E"/>
    <w:rsid w:val="004E202D"/>
    <w:rsid w:val="004E2198"/>
    <w:rsid w:val="004E2AB0"/>
    <w:rsid w:val="004E2BD7"/>
    <w:rsid w:val="004E2E96"/>
    <w:rsid w:val="004E2FD2"/>
    <w:rsid w:val="004E3292"/>
    <w:rsid w:val="004E3894"/>
    <w:rsid w:val="004E4858"/>
    <w:rsid w:val="004E5CA0"/>
    <w:rsid w:val="004E7E1B"/>
    <w:rsid w:val="004F03D4"/>
    <w:rsid w:val="004F06EF"/>
    <w:rsid w:val="004F1785"/>
    <w:rsid w:val="004F28F7"/>
    <w:rsid w:val="004F3171"/>
    <w:rsid w:val="004F38FB"/>
    <w:rsid w:val="004F39C5"/>
    <w:rsid w:val="004F43F8"/>
    <w:rsid w:val="004F6217"/>
    <w:rsid w:val="004F66FB"/>
    <w:rsid w:val="0050036F"/>
    <w:rsid w:val="00500D91"/>
    <w:rsid w:val="005013CE"/>
    <w:rsid w:val="00502CA0"/>
    <w:rsid w:val="00502CCD"/>
    <w:rsid w:val="00502F1D"/>
    <w:rsid w:val="00503686"/>
    <w:rsid w:val="00503971"/>
    <w:rsid w:val="00503B45"/>
    <w:rsid w:val="00503D09"/>
    <w:rsid w:val="00505A97"/>
    <w:rsid w:val="00505F87"/>
    <w:rsid w:val="0050672F"/>
    <w:rsid w:val="00506D58"/>
    <w:rsid w:val="00506E1C"/>
    <w:rsid w:val="0050793B"/>
    <w:rsid w:val="0051005A"/>
    <w:rsid w:val="0051016F"/>
    <w:rsid w:val="005104EF"/>
    <w:rsid w:val="00510A2E"/>
    <w:rsid w:val="005116AF"/>
    <w:rsid w:val="00512840"/>
    <w:rsid w:val="00512995"/>
    <w:rsid w:val="00512C20"/>
    <w:rsid w:val="00513263"/>
    <w:rsid w:val="005136E1"/>
    <w:rsid w:val="005139EB"/>
    <w:rsid w:val="00513D9C"/>
    <w:rsid w:val="00514B63"/>
    <w:rsid w:val="00514D9C"/>
    <w:rsid w:val="0051528A"/>
    <w:rsid w:val="00515B19"/>
    <w:rsid w:val="00515D39"/>
    <w:rsid w:val="00516A1B"/>
    <w:rsid w:val="00517A91"/>
    <w:rsid w:val="00520020"/>
    <w:rsid w:val="00520188"/>
    <w:rsid w:val="00520489"/>
    <w:rsid w:val="005208C4"/>
    <w:rsid w:val="00520D1D"/>
    <w:rsid w:val="00521223"/>
    <w:rsid w:val="00521898"/>
    <w:rsid w:val="0052190E"/>
    <w:rsid w:val="00521F08"/>
    <w:rsid w:val="00521FAC"/>
    <w:rsid w:val="00522235"/>
    <w:rsid w:val="00522F1C"/>
    <w:rsid w:val="00523F8E"/>
    <w:rsid w:val="005240A9"/>
    <w:rsid w:val="005240D6"/>
    <w:rsid w:val="0052474F"/>
    <w:rsid w:val="00524FDF"/>
    <w:rsid w:val="00526015"/>
    <w:rsid w:val="00526118"/>
    <w:rsid w:val="0052613F"/>
    <w:rsid w:val="00526390"/>
    <w:rsid w:val="0052684A"/>
    <w:rsid w:val="00526A58"/>
    <w:rsid w:val="00526D60"/>
    <w:rsid w:val="005270E6"/>
    <w:rsid w:val="005301DE"/>
    <w:rsid w:val="005307CE"/>
    <w:rsid w:val="00531843"/>
    <w:rsid w:val="005328C3"/>
    <w:rsid w:val="00533CC7"/>
    <w:rsid w:val="00533D9B"/>
    <w:rsid w:val="00534400"/>
    <w:rsid w:val="005345AE"/>
    <w:rsid w:val="00535644"/>
    <w:rsid w:val="00535F2E"/>
    <w:rsid w:val="005361A0"/>
    <w:rsid w:val="00536A99"/>
    <w:rsid w:val="00536B03"/>
    <w:rsid w:val="00537DF3"/>
    <w:rsid w:val="0054057C"/>
    <w:rsid w:val="00540B4B"/>
    <w:rsid w:val="00541867"/>
    <w:rsid w:val="00541E77"/>
    <w:rsid w:val="00542FE9"/>
    <w:rsid w:val="005431DF"/>
    <w:rsid w:val="005431EC"/>
    <w:rsid w:val="00543CD8"/>
    <w:rsid w:val="00543D1D"/>
    <w:rsid w:val="00543D94"/>
    <w:rsid w:val="005446E9"/>
    <w:rsid w:val="00544D2D"/>
    <w:rsid w:val="00545403"/>
    <w:rsid w:val="0054543A"/>
    <w:rsid w:val="00545B45"/>
    <w:rsid w:val="00545DE3"/>
    <w:rsid w:val="00546271"/>
    <w:rsid w:val="00546474"/>
    <w:rsid w:val="005466F0"/>
    <w:rsid w:val="0054675D"/>
    <w:rsid w:val="00546BB0"/>
    <w:rsid w:val="00547430"/>
    <w:rsid w:val="00550832"/>
    <w:rsid w:val="00550908"/>
    <w:rsid w:val="00551337"/>
    <w:rsid w:val="00551A8E"/>
    <w:rsid w:val="0055220B"/>
    <w:rsid w:val="00552357"/>
    <w:rsid w:val="005527AB"/>
    <w:rsid w:val="00552983"/>
    <w:rsid w:val="00554C16"/>
    <w:rsid w:val="00554D02"/>
    <w:rsid w:val="00556278"/>
    <w:rsid w:val="005565C8"/>
    <w:rsid w:val="0055707F"/>
    <w:rsid w:val="00557231"/>
    <w:rsid w:val="00557285"/>
    <w:rsid w:val="00557AB8"/>
    <w:rsid w:val="005606E7"/>
    <w:rsid w:val="00560CE7"/>
    <w:rsid w:val="00560FA3"/>
    <w:rsid w:val="0056197F"/>
    <w:rsid w:val="00561A0F"/>
    <w:rsid w:val="00561F17"/>
    <w:rsid w:val="00562006"/>
    <w:rsid w:val="0056273E"/>
    <w:rsid w:val="00562BA4"/>
    <w:rsid w:val="00562C78"/>
    <w:rsid w:val="00563B5F"/>
    <w:rsid w:val="00563E8D"/>
    <w:rsid w:val="005641B3"/>
    <w:rsid w:val="00564A4C"/>
    <w:rsid w:val="00564C4E"/>
    <w:rsid w:val="00565F25"/>
    <w:rsid w:val="00567997"/>
    <w:rsid w:val="00567E84"/>
    <w:rsid w:val="00567F63"/>
    <w:rsid w:val="00570FF8"/>
    <w:rsid w:val="00571125"/>
    <w:rsid w:val="0057115F"/>
    <w:rsid w:val="00572641"/>
    <w:rsid w:val="00573610"/>
    <w:rsid w:val="0057544E"/>
    <w:rsid w:val="005756AB"/>
    <w:rsid w:val="00575CB5"/>
    <w:rsid w:val="005761A8"/>
    <w:rsid w:val="00577586"/>
    <w:rsid w:val="005779EC"/>
    <w:rsid w:val="00577D53"/>
    <w:rsid w:val="00580BF7"/>
    <w:rsid w:val="00581214"/>
    <w:rsid w:val="0058151C"/>
    <w:rsid w:val="005816CE"/>
    <w:rsid w:val="0058188D"/>
    <w:rsid w:val="00581EA3"/>
    <w:rsid w:val="00581EB5"/>
    <w:rsid w:val="00582FA2"/>
    <w:rsid w:val="00583037"/>
    <w:rsid w:val="00583EEE"/>
    <w:rsid w:val="005841F5"/>
    <w:rsid w:val="00584445"/>
    <w:rsid w:val="00584965"/>
    <w:rsid w:val="00585C9A"/>
    <w:rsid w:val="0058606D"/>
    <w:rsid w:val="0058626E"/>
    <w:rsid w:val="00586321"/>
    <w:rsid w:val="00586602"/>
    <w:rsid w:val="005868D9"/>
    <w:rsid w:val="0058696F"/>
    <w:rsid w:val="0058703D"/>
    <w:rsid w:val="00587FE5"/>
    <w:rsid w:val="00590BA4"/>
    <w:rsid w:val="005910D6"/>
    <w:rsid w:val="005914FD"/>
    <w:rsid w:val="00592B88"/>
    <w:rsid w:val="00593C66"/>
    <w:rsid w:val="00593EAE"/>
    <w:rsid w:val="00594E0A"/>
    <w:rsid w:val="00595665"/>
    <w:rsid w:val="005956CF"/>
    <w:rsid w:val="0059654F"/>
    <w:rsid w:val="00596894"/>
    <w:rsid w:val="0059759B"/>
    <w:rsid w:val="00597AA1"/>
    <w:rsid w:val="00597B76"/>
    <w:rsid w:val="00597E96"/>
    <w:rsid w:val="005A0E99"/>
    <w:rsid w:val="005A141B"/>
    <w:rsid w:val="005A1ADC"/>
    <w:rsid w:val="005A232F"/>
    <w:rsid w:val="005A23EE"/>
    <w:rsid w:val="005A3219"/>
    <w:rsid w:val="005A3758"/>
    <w:rsid w:val="005A391D"/>
    <w:rsid w:val="005A4124"/>
    <w:rsid w:val="005A51F6"/>
    <w:rsid w:val="005A5F21"/>
    <w:rsid w:val="005A671B"/>
    <w:rsid w:val="005A6B94"/>
    <w:rsid w:val="005A7088"/>
    <w:rsid w:val="005A7508"/>
    <w:rsid w:val="005A7661"/>
    <w:rsid w:val="005A7915"/>
    <w:rsid w:val="005A7BBF"/>
    <w:rsid w:val="005B196E"/>
    <w:rsid w:val="005B1EAD"/>
    <w:rsid w:val="005B1FA7"/>
    <w:rsid w:val="005B2D95"/>
    <w:rsid w:val="005B2F6A"/>
    <w:rsid w:val="005B313A"/>
    <w:rsid w:val="005B3891"/>
    <w:rsid w:val="005B421B"/>
    <w:rsid w:val="005B5B59"/>
    <w:rsid w:val="005B60D8"/>
    <w:rsid w:val="005B623B"/>
    <w:rsid w:val="005B6A7A"/>
    <w:rsid w:val="005B6EAF"/>
    <w:rsid w:val="005B71C9"/>
    <w:rsid w:val="005B71FF"/>
    <w:rsid w:val="005B7388"/>
    <w:rsid w:val="005C0794"/>
    <w:rsid w:val="005C1AA3"/>
    <w:rsid w:val="005C1B79"/>
    <w:rsid w:val="005C1C13"/>
    <w:rsid w:val="005C23D9"/>
    <w:rsid w:val="005C26A0"/>
    <w:rsid w:val="005C26C0"/>
    <w:rsid w:val="005C3217"/>
    <w:rsid w:val="005C3466"/>
    <w:rsid w:val="005C3F66"/>
    <w:rsid w:val="005C4D2F"/>
    <w:rsid w:val="005C4E96"/>
    <w:rsid w:val="005C5853"/>
    <w:rsid w:val="005C64A1"/>
    <w:rsid w:val="005C6B7E"/>
    <w:rsid w:val="005C719B"/>
    <w:rsid w:val="005C7C4B"/>
    <w:rsid w:val="005D0115"/>
    <w:rsid w:val="005D02F4"/>
    <w:rsid w:val="005D04B2"/>
    <w:rsid w:val="005D279B"/>
    <w:rsid w:val="005D2C18"/>
    <w:rsid w:val="005D3975"/>
    <w:rsid w:val="005D3C12"/>
    <w:rsid w:val="005D3EEA"/>
    <w:rsid w:val="005D40E0"/>
    <w:rsid w:val="005D465C"/>
    <w:rsid w:val="005D46BA"/>
    <w:rsid w:val="005D484C"/>
    <w:rsid w:val="005D4C57"/>
    <w:rsid w:val="005D560E"/>
    <w:rsid w:val="005D59DD"/>
    <w:rsid w:val="005D65A3"/>
    <w:rsid w:val="005D670D"/>
    <w:rsid w:val="005D6EED"/>
    <w:rsid w:val="005D76C2"/>
    <w:rsid w:val="005D7870"/>
    <w:rsid w:val="005D7E88"/>
    <w:rsid w:val="005E0277"/>
    <w:rsid w:val="005E080F"/>
    <w:rsid w:val="005E0BC3"/>
    <w:rsid w:val="005E1DFE"/>
    <w:rsid w:val="005E2D5C"/>
    <w:rsid w:val="005E3319"/>
    <w:rsid w:val="005E3348"/>
    <w:rsid w:val="005E3681"/>
    <w:rsid w:val="005E3738"/>
    <w:rsid w:val="005E3CAA"/>
    <w:rsid w:val="005E459B"/>
    <w:rsid w:val="005E4666"/>
    <w:rsid w:val="005E4EAE"/>
    <w:rsid w:val="005E51B1"/>
    <w:rsid w:val="005E589D"/>
    <w:rsid w:val="005E5D9D"/>
    <w:rsid w:val="005E6E19"/>
    <w:rsid w:val="005E7215"/>
    <w:rsid w:val="005E7C54"/>
    <w:rsid w:val="005E7F02"/>
    <w:rsid w:val="005F063A"/>
    <w:rsid w:val="005F08F6"/>
    <w:rsid w:val="005F0BBB"/>
    <w:rsid w:val="005F141A"/>
    <w:rsid w:val="005F1EDA"/>
    <w:rsid w:val="005F2122"/>
    <w:rsid w:val="005F28CA"/>
    <w:rsid w:val="005F2937"/>
    <w:rsid w:val="005F3B15"/>
    <w:rsid w:val="005F3D27"/>
    <w:rsid w:val="005F3DB3"/>
    <w:rsid w:val="005F570C"/>
    <w:rsid w:val="005F57DE"/>
    <w:rsid w:val="005F5A96"/>
    <w:rsid w:val="005F5D3E"/>
    <w:rsid w:val="005F5F84"/>
    <w:rsid w:val="005F5FEA"/>
    <w:rsid w:val="005F624C"/>
    <w:rsid w:val="005F674B"/>
    <w:rsid w:val="005F6E43"/>
    <w:rsid w:val="005F7AC6"/>
    <w:rsid w:val="00600685"/>
    <w:rsid w:val="006008B0"/>
    <w:rsid w:val="00600EF6"/>
    <w:rsid w:val="0060181E"/>
    <w:rsid w:val="0060181F"/>
    <w:rsid w:val="006024B7"/>
    <w:rsid w:val="006031B2"/>
    <w:rsid w:val="00603CC4"/>
    <w:rsid w:val="00603D16"/>
    <w:rsid w:val="006051A2"/>
    <w:rsid w:val="00605398"/>
    <w:rsid w:val="00605964"/>
    <w:rsid w:val="00606523"/>
    <w:rsid w:val="00606C65"/>
    <w:rsid w:val="006101F4"/>
    <w:rsid w:val="00610AF6"/>
    <w:rsid w:val="00610E6A"/>
    <w:rsid w:val="0061114F"/>
    <w:rsid w:val="00611987"/>
    <w:rsid w:val="00611B9D"/>
    <w:rsid w:val="00611E8F"/>
    <w:rsid w:val="00612817"/>
    <w:rsid w:val="006133C3"/>
    <w:rsid w:val="0061385F"/>
    <w:rsid w:val="006146B5"/>
    <w:rsid w:val="00615485"/>
    <w:rsid w:val="006163F1"/>
    <w:rsid w:val="0061721F"/>
    <w:rsid w:val="00617541"/>
    <w:rsid w:val="0061762B"/>
    <w:rsid w:val="00620E51"/>
    <w:rsid w:val="00621376"/>
    <w:rsid w:val="006222BF"/>
    <w:rsid w:val="00622721"/>
    <w:rsid w:val="006227BB"/>
    <w:rsid w:val="006228D8"/>
    <w:rsid w:val="0062299D"/>
    <w:rsid w:val="00622BA0"/>
    <w:rsid w:val="00623C7D"/>
    <w:rsid w:val="00623EFA"/>
    <w:rsid w:val="00624645"/>
    <w:rsid w:val="00625019"/>
    <w:rsid w:val="006254F0"/>
    <w:rsid w:val="00625E67"/>
    <w:rsid w:val="00625FB0"/>
    <w:rsid w:val="006263B2"/>
    <w:rsid w:val="00626F19"/>
    <w:rsid w:val="006270E3"/>
    <w:rsid w:val="00627CD7"/>
    <w:rsid w:val="00627CD8"/>
    <w:rsid w:val="006306AB"/>
    <w:rsid w:val="00630872"/>
    <w:rsid w:val="00630ABD"/>
    <w:rsid w:val="00630B07"/>
    <w:rsid w:val="00630B3A"/>
    <w:rsid w:val="00630F0E"/>
    <w:rsid w:val="00631FC8"/>
    <w:rsid w:val="00632056"/>
    <w:rsid w:val="00633689"/>
    <w:rsid w:val="00633FA2"/>
    <w:rsid w:val="0063409E"/>
    <w:rsid w:val="00635149"/>
    <w:rsid w:val="006352BB"/>
    <w:rsid w:val="00635BE2"/>
    <w:rsid w:val="00636E10"/>
    <w:rsid w:val="00637021"/>
    <w:rsid w:val="0063722F"/>
    <w:rsid w:val="00637C6A"/>
    <w:rsid w:val="00637CA1"/>
    <w:rsid w:val="0064001B"/>
    <w:rsid w:val="00640924"/>
    <w:rsid w:val="00640E37"/>
    <w:rsid w:val="00640E94"/>
    <w:rsid w:val="0064106F"/>
    <w:rsid w:val="00641EF4"/>
    <w:rsid w:val="00642823"/>
    <w:rsid w:val="00642F05"/>
    <w:rsid w:val="006431CD"/>
    <w:rsid w:val="006437E3"/>
    <w:rsid w:val="006438CE"/>
    <w:rsid w:val="0064411B"/>
    <w:rsid w:val="006448B2"/>
    <w:rsid w:val="00645377"/>
    <w:rsid w:val="00646869"/>
    <w:rsid w:val="00646F7E"/>
    <w:rsid w:val="006474ED"/>
    <w:rsid w:val="00650099"/>
    <w:rsid w:val="00650699"/>
    <w:rsid w:val="00650E87"/>
    <w:rsid w:val="006510AB"/>
    <w:rsid w:val="00652116"/>
    <w:rsid w:val="00652CC8"/>
    <w:rsid w:val="00653ED6"/>
    <w:rsid w:val="00654ACD"/>
    <w:rsid w:val="006559CB"/>
    <w:rsid w:val="00655A5C"/>
    <w:rsid w:val="00655E1A"/>
    <w:rsid w:val="0065678D"/>
    <w:rsid w:val="006570BB"/>
    <w:rsid w:val="00657804"/>
    <w:rsid w:val="0066049B"/>
    <w:rsid w:val="00660864"/>
    <w:rsid w:val="00660F59"/>
    <w:rsid w:val="00661DF5"/>
    <w:rsid w:val="00661EEB"/>
    <w:rsid w:val="006629C8"/>
    <w:rsid w:val="0066309B"/>
    <w:rsid w:val="006636A2"/>
    <w:rsid w:val="00663A72"/>
    <w:rsid w:val="006647CA"/>
    <w:rsid w:val="00664E20"/>
    <w:rsid w:val="006650AF"/>
    <w:rsid w:val="00665466"/>
    <w:rsid w:val="00666171"/>
    <w:rsid w:val="00666411"/>
    <w:rsid w:val="00666E2C"/>
    <w:rsid w:val="0066768A"/>
    <w:rsid w:val="006702A0"/>
    <w:rsid w:val="00670872"/>
    <w:rsid w:val="0067151C"/>
    <w:rsid w:val="00671D19"/>
    <w:rsid w:val="00672267"/>
    <w:rsid w:val="00672849"/>
    <w:rsid w:val="00672A0E"/>
    <w:rsid w:val="00672C0E"/>
    <w:rsid w:val="0067330E"/>
    <w:rsid w:val="006733B9"/>
    <w:rsid w:val="006752C2"/>
    <w:rsid w:val="0067556F"/>
    <w:rsid w:val="006758B0"/>
    <w:rsid w:val="00675F0D"/>
    <w:rsid w:val="00676BB0"/>
    <w:rsid w:val="00677282"/>
    <w:rsid w:val="006779C7"/>
    <w:rsid w:val="00677ABF"/>
    <w:rsid w:val="006805A6"/>
    <w:rsid w:val="006805AC"/>
    <w:rsid w:val="00681653"/>
    <w:rsid w:val="00681D36"/>
    <w:rsid w:val="00681DC2"/>
    <w:rsid w:val="0068237F"/>
    <w:rsid w:val="00682802"/>
    <w:rsid w:val="00683105"/>
    <w:rsid w:val="00683853"/>
    <w:rsid w:val="00684952"/>
    <w:rsid w:val="00684D85"/>
    <w:rsid w:val="00684F14"/>
    <w:rsid w:val="006851DB"/>
    <w:rsid w:val="00686B04"/>
    <w:rsid w:val="00687DBE"/>
    <w:rsid w:val="006900CE"/>
    <w:rsid w:val="0069195D"/>
    <w:rsid w:val="00692056"/>
    <w:rsid w:val="00692C29"/>
    <w:rsid w:val="00692E7C"/>
    <w:rsid w:val="006933C6"/>
    <w:rsid w:val="006943B7"/>
    <w:rsid w:val="00694E6E"/>
    <w:rsid w:val="0069547F"/>
    <w:rsid w:val="00695638"/>
    <w:rsid w:val="00695660"/>
    <w:rsid w:val="006957C1"/>
    <w:rsid w:val="0069593E"/>
    <w:rsid w:val="006962A5"/>
    <w:rsid w:val="00696C78"/>
    <w:rsid w:val="00696DA3"/>
    <w:rsid w:val="006976FE"/>
    <w:rsid w:val="00697BBA"/>
    <w:rsid w:val="006A042E"/>
    <w:rsid w:val="006A0646"/>
    <w:rsid w:val="006A0CFD"/>
    <w:rsid w:val="006A1F49"/>
    <w:rsid w:val="006A3BA3"/>
    <w:rsid w:val="006A4AFA"/>
    <w:rsid w:val="006A4FC8"/>
    <w:rsid w:val="006A5A2B"/>
    <w:rsid w:val="006A5E2E"/>
    <w:rsid w:val="006A6506"/>
    <w:rsid w:val="006A7931"/>
    <w:rsid w:val="006B0069"/>
    <w:rsid w:val="006B00FA"/>
    <w:rsid w:val="006B09CD"/>
    <w:rsid w:val="006B0E17"/>
    <w:rsid w:val="006B0E83"/>
    <w:rsid w:val="006B10DF"/>
    <w:rsid w:val="006B152E"/>
    <w:rsid w:val="006B1B88"/>
    <w:rsid w:val="006B246D"/>
    <w:rsid w:val="006B2C73"/>
    <w:rsid w:val="006B333E"/>
    <w:rsid w:val="006B3520"/>
    <w:rsid w:val="006B37F7"/>
    <w:rsid w:val="006B3B89"/>
    <w:rsid w:val="006B4378"/>
    <w:rsid w:val="006B466E"/>
    <w:rsid w:val="006B4B0D"/>
    <w:rsid w:val="006B5054"/>
    <w:rsid w:val="006B51E2"/>
    <w:rsid w:val="006B5492"/>
    <w:rsid w:val="006B5C15"/>
    <w:rsid w:val="006B6429"/>
    <w:rsid w:val="006B6AA4"/>
    <w:rsid w:val="006B7C9E"/>
    <w:rsid w:val="006C0108"/>
    <w:rsid w:val="006C0665"/>
    <w:rsid w:val="006C1022"/>
    <w:rsid w:val="006C1992"/>
    <w:rsid w:val="006C1E4C"/>
    <w:rsid w:val="006C2381"/>
    <w:rsid w:val="006C2842"/>
    <w:rsid w:val="006C28D0"/>
    <w:rsid w:val="006C32C9"/>
    <w:rsid w:val="006C4415"/>
    <w:rsid w:val="006C5173"/>
    <w:rsid w:val="006C5209"/>
    <w:rsid w:val="006C529E"/>
    <w:rsid w:val="006C535F"/>
    <w:rsid w:val="006C5BC0"/>
    <w:rsid w:val="006C6B83"/>
    <w:rsid w:val="006C7A07"/>
    <w:rsid w:val="006C7CE5"/>
    <w:rsid w:val="006C7D98"/>
    <w:rsid w:val="006D055B"/>
    <w:rsid w:val="006D07BB"/>
    <w:rsid w:val="006D0CC6"/>
    <w:rsid w:val="006D1789"/>
    <w:rsid w:val="006D180E"/>
    <w:rsid w:val="006D1ACA"/>
    <w:rsid w:val="006D2215"/>
    <w:rsid w:val="006D2242"/>
    <w:rsid w:val="006D31B2"/>
    <w:rsid w:val="006D348A"/>
    <w:rsid w:val="006D3A38"/>
    <w:rsid w:val="006D49D5"/>
    <w:rsid w:val="006D4BD1"/>
    <w:rsid w:val="006D4EA2"/>
    <w:rsid w:val="006D54AE"/>
    <w:rsid w:val="006D69CB"/>
    <w:rsid w:val="006D6A0A"/>
    <w:rsid w:val="006D7A30"/>
    <w:rsid w:val="006D7C4B"/>
    <w:rsid w:val="006D7D7D"/>
    <w:rsid w:val="006E09C4"/>
    <w:rsid w:val="006E0D40"/>
    <w:rsid w:val="006E1C91"/>
    <w:rsid w:val="006E1FA3"/>
    <w:rsid w:val="006E1FE3"/>
    <w:rsid w:val="006E2EC5"/>
    <w:rsid w:val="006E3068"/>
    <w:rsid w:val="006E3659"/>
    <w:rsid w:val="006E3949"/>
    <w:rsid w:val="006E3B78"/>
    <w:rsid w:val="006E3BE0"/>
    <w:rsid w:val="006E3F94"/>
    <w:rsid w:val="006E4039"/>
    <w:rsid w:val="006E45F1"/>
    <w:rsid w:val="006E4901"/>
    <w:rsid w:val="006E51B1"/>
    <w:rsid w:val="006E59F1"/>
    <w:rsid w:val="006E5C39"/>
    <w:rsid w:val="006E6092"/>
    <w:rsid w:val="006E63A9"/>
    <w:rsid w:val="006E6BD4"/>
    <w:rsid w:val="006E6E86"/>
    <w:rsid w:val="006E7021"/>
    <w:rsid w:val="006E7443"/>
    <w:rsid w:val="006F03CB"/>
    <w:rsid w:val="006F1075"/>
    <w:rsid w:val="006F1112"/>
    <w:rsid w:val="006F14D0"/>
    <w:rsid w:val="006F38A9"/>
    <w:rsid w:val="006F4475"/>
    <w:rsid w:val="006F4511"/>
    <w:rsid w:val="006F45D7"/>
    <w:rsid w:val="006F4657"/>
    <w:rsid w:val="006F46B0"/>
    <w:rsid w:val="006F4938"/>
    <w:rsid w:val="006F49C0"/>
    <w:rsid w:val="006F5557"/>
    <w:rsid w:val="006F6027"/>
    <w:rsid w:val="006F62EE"/>
    <w:rsid w:val="006F664F"/>
    <w:rsid w:val="006F6AE0"/>
    <w:rsid w:val="006F7004"/>
    <w:rsid w:val="006F7551"/>
    <w:rsid w:val="006F79D2"/>
    <w:rsid w:val="007003C0"/>
    <w:rsid w:val="00700C14"/>
    <w:rsid w:val="00700CB9"/>
    <w:rsid w:val="0070280F"/>
    <w:rsid w:val="0070384A"/>
    <w:rsid w:val="00703B71"/>
    <w:rsid w:val="007051BF"/>
    <w:rsid w:val="007053A7"/>
    <w:rsid w:val="00707BB6"/>
    <w:rsid w:val="00707C9E"/>
    <w:rsid w:val="00707CB0"/>
    <w:rsid w:val="007108F5"/>
    <w:rsid w:val="00710F8E"/>
    <w:rsid w:val="00711049"/>
    <w:rsid w:val="0071122D"/>
    <w:rsid w:val="00711268"/>
    <w:rsid w:val="00711A93"/>
    <w:rsid w:val="00711BE1"/>
    <w:rsid w:val="007123BB"/>
    <w:rsid w:val="00712C6D"/>
    <w:rsid w:val="00712F2D"/>
    <w:rsid w:val="007141B5"/>
    <w:rsid w:val="00714FAA"/>
    <w:rsid w:val="00715692"/>
    <w:rsid w:val="00715CC2"/>
    <w:rsid w:val="00716F28"/>
    <w:rsid w:val="007171DB"/>
    <w:rsid w:val="00717536"/>
    <w:rsid w:val="0072010D"/>
    <w:rsid w:val="0072064B"/>
    <w:rsid w:val="00720884"/>
    <w:rsid w:val="007209DF"/>
    <w:rsid w:val="00720C71"/>
    <w:rsid w:val="007214AC"/>
    <w:rsid w:val="00721802"/>
    <w:rsid w:val="00721ED6"/>
    <w:rsid w:val="007221BB"/>
    <w:rsid w:val="007225D0"/>
    <w:rsid w:val="00722B24"/>
    <w:rsid w:val="007232D4"/>
    <w:rsid w:val="00724049"/>
    <w:rsid w:val="00724145"/>
    <w:rsid w:val="007244F8"/>
    <w:rsid w:val="00724505"/>
    <w:rsid w:val="007258C1"/>
    <w:rsid w:val="00726338"/>
    <w:rsid w:val="00726D46"/>
    <w:rsid w:val="00727099"/>
    <w:rsid w:val="00727581"/>
    <w:rsid w:val="00727BBC"/>
    <w:rsid w:val="00727FA0"/>
    <w:rsid w:val="007314D2"/>
    <w:rsid w:val="007319CA"/>
    <w:rsid w:val="007319E4"/>
    <w:rsid w:val="007319EF"/>
    <w:rsid w:val="007324A6"/>
    <w:rsid w:val="00732E6F"/>
    <w:rsid w:val="00732F97"/>
    <w:rsid w:val="00733306"/>
    <w:rsid w:val="00733447"/>
    <w:rsid w:val="0073440C"/>
    <w:rsid w:val="007345D4"/>
    <w:rsid w:val="007354AB"/>
    <w:rsid w:val="0073553C"/>
    <w:rsid w:val="007355C1"/>
    <w:rsid w:val="00735B78"/>
    <w:rsid w:val="007362A2"/>
    <w:rsid w:val="00736F5E"/>
    <w:rsid w:val="00737E7E"/>
    <w:rsid w:val="007406E5"/>
    <w:rsid w:val="00740733"/>
    <w:rsid w:val="00740E91"/>
    <w:rsid w:val="007418CE"/>
    <w:rsid w:val="00741BB0"/>
    <w:rsid w:val="00741FD6"/>
    <w:rsid w:val="0074246D"/>
    <w:rsid w:val="007426E9"/>
    <w:rsid w:val="00742806"/>
    <w:rsid w:val="0074381A"/>
    <w:rsid w:val="00743C12"/>
    <w:rsid w:val="007440EE"/>
    <w:rsid w:val="007441E9"/>
    <w:rsid w:val="0074489A"/>
    <w:rsid w:val="0074576D"/>
    <w:rsid w:val="007466FD"/>
    <w:rsid w:val="00746F13"/>
    <w:rsid w:val="00746FEC"/>
    <w:rsid w:val="00747063"/>
    <w:rsid w:val="00747653"/>
    <w:rsid w:val="00750813"/>
    <w:rsid w:val="00751085"/>
    <w:rsid w:val="0075138D"/>
    <w:rsid w:val="00751C47"/>
    <w:rsid w:val="007526A0"/>
    <w:rsid w:val="007530BB"/>
    <w:rsid w:val="007538A8"/>
    <w:rsid w:val="00754303"/>
    <w:rsid w:val="00754E10"/>
    <w:rsid w:val="00754F2C"/>
    <w:rsid w:val="00755432"/>
    <w:rsid w:val="00755FA0"/>
    <w:rsid w:val="0076033A"/>
    <w:rsid w:val="00760442"/>
    <w:rsid w:val="00760835"/>
    <w:rsid w:val="00761D0B"/>
    <w:rsid w:val="00762BC0"/>
    <w:rsid w:val="00762D9D"/>
    <w:rsid w:val="00763C65"/>
    <w:rsid w:val="00763D50"/>
    <w:rsid w:val="00763D6E"/>
    <w:rsid w:val="00763FCE"/>
    <w:rsid w:val="007640BF"/>
    <w:rsid w:val="0076479B"/>
    <w:rsid w:val="007656D4"/>
    <w:rsid w:val="00765A79"/>
    <w:rsid w:val="00765CB1"/>
    <w:rsid w:val="007663B4"/>
    <w:rsid w:val="0076669B"/>
    <w:rsid w:val="00766B13"/>
    <w:rsid w:val="00766E46"/>
    <w:rsid w:val="00767DDD"/>
    <w:rsid w:val="00770219"/>
    <w:rsid w:val="00770EE2"/>
    <w:rsid w:val="00771F48"/>
    <w:rsid w:val="00772045"/>
    <w:rsid w:val="0077240F"/>
    <w:rsid w:val="00772696"/>
    <w:rsid w:val="007726A4"/>
    <w:rsid w:val="00772715"/>
    <w:rsid w:val="00772B41"/>
    <w:rsid w:val="00772F90"/>
    <w:rsid w:val="007733DA"/>
    <w:rsid w:val="007737FF"/>
    <w:rsid w:val="00773CCA"/>
    <w:rsid w:val="00774E36"/>
    <w:rsid w:val="00775332"/>
    <w:rsid w:val="007754C9"/>
    <w:rsid w:val="00775533"/>
    <w:rsid w:val="007756D8"/>
    <w:rsid w:val="00775B60"/>
    <w:rsid w:val="00775D2E"/>
    <w:rsid w:val="00777044"/>
    <w:rsid w:val="00777660"/>
    <w:rsid w:val="00780647"/>
    <w:rsid w:val="00781691"/>
    <w:rsid w:val="00782181"/>
    <w:rsid w:val="0078289B"/>
    <w:rsid w:val="00782E90"/>
    <w:rsid w:val="00783354"/>
    <w:rsid w:val="007852EB"/>
    <w:rsid w:val="007852F3"/>
    <w:rsid w:val="0078598C"/>
    <w:rsid w:val="0078670B"/>
    <w:rsid w:val="00786A2F"/>
    <w:rsid w:val="00786DC9"/>
    <w:rsid w:val="0078712D"/>
    <w:rsid w:val="0078742D"/>
    <w:rsid w:val="007878E9"/>
    <w:rsid w:val="00787EE8"/>
    <w:rsid w:val="00791D6E"/>
    <w:rsid w:val="007923D5"/>
    <w:rsid w:val="007928F0"/>
    <w:rsid w:val="00793249"/>
    <w:rsid w:val="007938C9"/>
    <w:rsid w:val="00793D9B"/>
    <w:rsid w:val="00793E67"/>
    <w:rsid w:val="00794834"/>
    <w:rsid w:val="00795236"/>
    <w:rsid w:val="00795A83"/>
    <w:rsid w:val="00796278"/>
    <w:rsid w:val="00797143"/>
    <w:rsid w:val="007A00FF"/>
    <w:rsid w:val="007A0652"/>
    <w:rsid w:val="007A07E3"/>
    <w:rsid w:val="007A0D36"/>
    <w:rsid w:val="007A0EA4"/>
    <w:rsid w:val="007A1A79"/>
    <w:rsid w:val="007A1D61"/>
    <w:rsid w:val="007A2DC3"/>
    <w:rsid w:val="007A30D0"/>
    <w:rsid w:val="007A3BE9"/>
    <w:rsid w:val="007A40E7"/>
    <w:rsid w:val="007A57BC"/>
    <w:rsid w:val="007A6927"/>
    <w:rsid w:val="007A70E1"/>
    <w:rsid w:val="007B0347"/>
    <w:rsid w:val="007B0535"/>
    <w:rsid w:val="007B07ED"/>
    <w:rsid w:val="007B19B2"/>
    <w:rsid w:val="007B2266"/>
    <w:rsid w:val="007B2346"/>
    <w:rsid w:val="007B2C3D"/>
    <w:rsid w:val="007B34C6"/>
    <w:rsid w:val="007B356C"/>
    <w:rsid w:val="007B3C5E"/>
    <w:rsid w:val="007B3CA3"/>
    <w:rsid w:val="007B4AE3"/>
    <w:rsid w:val="007B5764"/>
    <w:rsid w:val="007B5A53"/>
    <w:rsid w:val="007B5C62"/>
    <w:rsid w:val="007B5D8F"/>
    <w:rsid w:val="007B5F72"/>
    <w:rsid w:val="007B65D9"/>
    <w:rsid w:val="007B6DDE"/>
    <w:rsid w:val="007B741E"/>
    <w:rsid w:val="007B7B1E"/>
    <w:rsid w:val="007B7D41"/>
    <w:rsid w:val="007B7D64"/>
    <w:rsid w:val="007C08CC"/>
    <w:rsid w:val="007C0BC1"/>
    <w:rsid w:val="007C1114"/>
    <w:rsid w:val="007C14D4"/>
    <w:rsid w:val="007C2003"/>
    <w:rsid w:val="007C20B3"/>
    <w:rsid w:val="007C2237"/>
    <w:rsid w:val="007C245A"/>
    <w:rsid w:val="007C259D"/>
    <w:rsid w:val="007C423B"/>
    <w:rsid w:val="007C4A95"/>
    <w:rsid w:val="007C4AB1"/>
    <w:rsid w:val="007C52F8"/>
    <w:rsid w:val="007C5304"/>
    <w:rsid w:val="007C5587"/>
    <w:rsid w:val="007C59DA"/>
    <w:rsid w:val="007C5D5E"/>
    <w:rsid w:val="007C5F3E"/>
    <w:rsid w:val="007C65F6"/>
    <w:rsid w:val="007C6933"/>
    <w:rsid w:val="007C6B47"/>
    <w:rsid w:val="007D019B"/>
    <w:rsid w:val="007D0B18"/>
    <w:rsid w:val="007D1B4F"/>
    <w:rsid w:val="007D23BA"/>
    <w:rsid w:val="007D28B8"/>
    <w:rsid w:val="007D2B9A"/>
    <w:rsid w:val="007D3446"/>
    <w:rsid w:val="007D4116"/>
    <w:rsid w:val="007D44C0"/>
    <w:rsid w:val="007D44F9"/>
    <w:rsid w:val="007D5AE6"/>
    <w:rsid w:val="007D6112"/>
    <w:rsid w:val="007D6DFF"/>
    <w:rsid w:val="007E181E"/>
    <w:rsid w:val="007E19C7"/>
    <w:rsid w:val="007E2962"/>
    <w:rsid w:val="007E2CF1"/>
    <w:rsid w:val="007E310E"/>
    <w:rsid w:val="007E3294"/>
    <w:rsid w:val="007E4925"/>
    <w:rsid w:val="007E4975"/>
    <w:rsid w:val="007E4EE2"/>
    <w:rsid w:val="007E5C0F"/>
    <w:rsid w:val="007E605A"/>
    <w:rsid w:val="007E6359"/>
    <w:rsid w:val="007E6FFF"/>
    <w:rsid w:val="007E7513"/>
    <w:rsid w:val="007F0D3F"/>
    <w:rsid w:val="007F1005"/>
    <w:rsid w:val="007F1057"/>
    <w:rsid w:val="007F1B13"/>
    <w:rsid w:val="007F2134"/>
    <w:rsid w:val="007F21B1"/>
    <w:rsid w:val="007F2E20"/>
    <w:rsid w:val="007F356C"/>
    <w:rsid w:val="007F3E47"/>
    <w:rsid w:val="007F3F69"/>
    <w:rsid w:val="007F4FC9"/>
    <w:rsid w:val="007F56A0"/>
    <w:rsid w:val="007F56D7"/>
    <w:rsid w:val="007F5CDE"/>
    <w:rsid w:val="007F631A"/>
    <w:rsid w:val="007F68DC"/>
    <w:rsid w:val="007F6FA5"/>
    <w:rsid w:val="007F71FA"/>
    <w:rsid w:val="007F7679"/>
    <w:rsid w:val="007F7F4F"/>
    <w:rsid w:val="007F7F8E"/>
    <w:rsid w:val="0080062E"/>
    <w:rsid w:val="00800656"/>
    <w:rsid w:val="00800FD5"/>
    <w:rsid w:val="008011EA"/>
    <w:rsid w:val="00801907"/>
    <w:rsid w:val="008019B9"/>
    <w:rsid w:val="00802069"/>
    <w:rsid w:val="00802979"/>
    <w:rsid w:val="00802AE6"/>
    <w:rsid w:val="008033F3"/>
    <w:rsid w:val="00803813"/>
    <w:rsid w:val="008056D1"/>
    <w:rsid w:val="00805784"/>
    <w:rsid w:val="0080579F"/>
    <w:rsid w:val="008063F4"/>
    <w:rsid w:val="00806474"/>
    <w:rsid w:val="00806B9E"/>
    <w:rsid w:val="00806F75"/>
    <w:rsid w:val="00807D0F"/>
    <w:rsid w:val="00811115"/>
    <w:rsid w:val="0081183D"/>
    <w:rsid w:val="00811BCD"/>
    <w:rsid w:val="00811C03"/>
    <w:rsid w:val="00812058"/>
    <w:rsid w:val="00812424"/>
    <w:rsid w:val="0081274D"/>
    <w:rsid w:val="0081297F"/>
    <w:rsid w:val="00812B71"/>
    <w:rsid w:val="00812EA7"/>
    <w:rsid w:val="0081310A"/>
    <w:rsid w:val="008135C7"/>
    <w:rsid w:val="0081373E"/>
    <w:rsid w:val="008138CC"/>
    <w:rsid w:val="00813AA6"/>
    <w:rsid w:val="008153EF"/>
    <w:rsid w:val="00815E77"/>
    <w:rsid w:val="0081659E"/>
    <w:rsid w:val="00816909"/>
    <w:rsid w:val="00816C49"/>
    <w:rsid w:val="00817751"/>
    <w:rsid w:val="00820289"/>
    <w:rsid w:val="00820D5D"/>
    <w:rsid w:val="008226C3"/>
    <w:rsid w:val="008231A7"/>
    <w:rsid w:val="0082398E"/>
    <w:rsid w:val="00823CB5"/>
    <w:rsid w:val="00823D06"/>
    <w:rsid w:val="00823EED"/>
    <w:rsid w:val="00823F01"/>
    <w:rsid w:val="00824B9F"/>
    <w:rsid w:val="008250DF"/>
    <w:rsid w:val="00825139"/>
    <w:rsid w:val="00825353"/>
    <w:rsid w:val="00825678"/>
    <w:rsid w:val="00825D39"/>
    <w:rsid w:val="00826743"/>
    <w:rsid w:val="008269DF"/>
    <w:rsid w:val="008269F1"/>
    <w:rsid w:val="00827E20"/>
    <w:rsid w:val="0083047F"/>
    <w:rsid w:val="008306C6"/>
    <w:rsid w:val="00832220"/>
    <w:rsid w:val="00832318"/>
    <w:rsid w:val="00833212"/>
    <w:rsid w:val="008333EC"/>
    <w:rsid w:val="0083348D"/>
    <w:rsid w:val="0083534D"/>
    <w:rsid w:val="008358C3"/>
    <w:rsid w:val="008359E6"/>
    <w:rsid w:val="00835D13"/>
    <w:rsid w:val="0083696A"/>
    <w:rsid w:val="0083737D"/>
    <w:rsid w:val="0083742B"/>
    <w:rsid w:val="0083769D"/>
    <w:rsid w:val="0084074D"/>
    <w:rsid w:val="00840ACA"/>
    <w:rsid w:val="008416A6"/>
    <w:rsid w:val="00841B9C"/>
    <w:rsid w:val="008427A1"/>
    <w:rsid w:val="00842A7D"/>
    <w:rsid w:val="00842CC2"/>
    <w:rsid w:val="0084313D"/>
    <w:rsid w:val="00843D58"/>
    <w:rsid w:val="00843F99"/>
    <w:rsid w:val="00844E63"/>
    <w:rsid w:val="00845725"/>
    <w:rsid w:val="0084609D"/>
    <w:rsid w:val="00846FDE"/>
    <w:rsid w:val="0084711A"/>
    <w:rsid w:val="00847248"/>
    <w:rsid w:val="00847DC8"/>
    <w:rsid w:val="00847E40"/>
    <w:rsid w:val="0085038C"/>
    <w:rsid w:val="0085045A"/>
    <w:rsid w:val="0085053B"/>
    <w:rsid w:val="00850932"/>
    <w:rsid w:val="008513F9"/>
    <w:rsid w:val="00851C43"/>
    <w:rsid w:val="00852951"/>
    <w:rsid w:val="00852B86"/>
    <w:rsid w:val="00853D56"/>
    <w:rsid w:val="008543CE"/>
    <w:rsid w:val="008552E1"/>
    <w:rsid w:val="008555DE"/>
    <w:rsid w:val="008555E4"/>
    <w:rsid w:val="00855C56"/>
    <w:rsid w:val="00855EF7"/>
    <w:rsid w:val="00856059"/>
    <w:rsid w:val="0085667D"/>
    <w:rsid w:val="00856883"/>
    <w:rsid w:val="00856957"/>
    <w:rsid w:val="00856CE8"/>
    <w:rsid w:val="008571B5"/>
    <w:rsid w:val="008577E1"/>
    <w:rsid w:val="008607D3"/>
    <w:rsid w:val="00860EF6"/>
    <w:rsid w:val="008619B8"/>
    <w:rsid w:val="008624CC"/>
    <w:rsid w:val="008626F3"/>
    <w:rsid w:val="0086318C"/>
    <w:rsid w:val="008638FA"/>
    <w:rsid w:val="008646B3"/>
    <w:rsid w:val="00864968"/>
    <w:rsid w:val="00864B47"/>
    <w:rsid w:val="0086560A"/>
    <w:rsid w:val="00865A98"/>
    <w:rsid w:val="0086607C"/>
    <w:rsid w:val="008664B2"/>
    <w:rsid w:val="008667F1"/>
    <w:rsid w:val="00866ABA"/>
    <w:rsid w:val="00866C0B"/>
    <w:rsid w:val="00866C7C"/>
    <w:rsid w:val="00866D3B"/>
    <w:rsid w:val="008676CE"/>
    <w:rsid w:val="0087078E"/>
    <w:rsid w:val="00870A39"/>
    <w:rsid w:val="00870EB2"/>
    <w:rsid w:val="008713D8"/>
    <w:rsid w:val="00871758"/>
    <w:rsid w:val="00871931"/>
    <w:rsid w:val="00871C9C"/>
    <w:rsid w:val="0087215D"/>
    <w:rsid w:val="00872171"/>
    <w:rsid w:val="008727A6"/>
    <w:rsid w:val="00872CF9"/>
    <w:rsid w:val="00872D21"/>
    <w:rsid w:val="00872F1F"/>
    <w:rsid w:val="008730CA"/>
    <w:rsid w:val="008731DA"/>
    <w:rsid w:val="00873709"/>
    <w:rsid w:val="00874BBE"/>
    <w:rsid w:val="00875728"/>
    <w:rsid w:val="00875D72"/>
    <w:rsid w:val="00875DBE"/>
    <w:rsid w:val="008773C7"/>
    <w:rsid w:val="00877F15"/>
    <w:rsid w:val="00880024"/>
    <w:rsid w:val="0088046D"/>
    <w:rsid w:val="008806A0"/>
    <w:rsid w:val="00880896"/>
    <w:rsid w:val="00880CED"/>
    <w:rsid w:val="00880E1C"/>
    <w:rsid w:val="00880FAE"/>
    <w:rsid w:val="00881408"/>
    <w:rsid w:val="0088283A"/>
    <w:rsid w:val="00882A25"/>
    <w:rsid w:val="00882EC8"/>
    <w:rsid w:val="00882F45"/>
    <w:rsid w:val="008831D4"/>
    <w:rsid w:val="008832E2"/>
    <w:rsid w:val="0088378F"/>
    <w:rsid w:val="00883F29"/>
    <w:rsid w:val="008841A4"/>
    <w:rsid w:val="0088495A"/>
    <w:rsid w:val="00884BEF"/>
    <w:rsid w:val="0088572E"/>
    <w:rsid w:val="00886244"/>
    <w:rsid w:val="0088633B"/>
    <w:rsid w:val="0088688E"/>
    <w:rsid w:val="00886D64"/>
    <w:rsid w:val="00887275"/>
    <w:rsid w:val="008906F5"/>
    <w:rsid w:val="00890CC4"/>
    <w:rsid w:val="008912D1"/>
    <w:rsid w:val="00891CBF"/>
    <w:rsid w:val="00891D32"/>
    <w:rsid w:val="008923E3"/>
    <w:rsid w:val="00892669"/>
    <w:rsid w:val="008927A5"/>
    <w:rsid w:val="0089286F"/>
    <w:rsid w:val="0089331A"/>
    <w:rsid w:val="00893862"/>
    <w:rsid w:val="008938D6"/>
    <w:rsid w:val="00893C84"/>
    <w:rsid w:val="00894B8A"/>
    <w:rsid w:val="008952C0"/>
    <w:rsid w:val="008958CB"/>
    <w:rsid w:val="008964A0"/>
    <w:rsid w:val="00897BE3"/>
    <w:rsid w:val="00897E56"/>
    <w:rsid w:val="008A07C6"/>
    <w:rsid w:val="008A0F07"/>
    <w:rsid w:val="008A15BE"/>
    <w:rsid w:val="008A1AEB"/>
    <w:rsid w:val="008A2001"/>
    <w:rsid w:val="008A205A"/>
    <w:rsid w:val="008A220A"/>
    <w:rsid w:val="008A3627"/>
    <w:rsid w:val="008A3AE0"/>
    <w:rsid w:val="008A3E39"/>
    <w:rsid w:val="008A4DA2"/>
    <w:rsid w:val="008A54DC"/>
    <w:rsid w:val="008A5619"/>
    <w:rsid w:val="008A61E5"/>
    <w:rsid w:val="008A66CA"/>
    <w:rsid w:val="008A7345"/>
    <w:rsid w:val="008A7438"/>
    <w:rsid w:val="008A78CB"/>
    <w:rsid w:val="008A7EAA"/>
    <w:rsid w:val="008B03BF"/>
    <w:rsid w:val="008B1511"/>
    <w:rsid w:val="008B1C7D"/>
    <w:rsid w:val="008B2224"/>
    <w:rsid w:val="008B2226"/>
    <w:rsid w:val="008B2485"/>
    <w:rsid w:val="008B29B6"/>
    <w:rsid w:val="008B2AA1"/>
    <w:rsid w:val="008B2BFC"/>
    <w:rsid w:val="008B383E"/>
    <w:rsid w:val="008B3B0C"/>
    <w:rsid w:val="008B5187"/>
    <w:rsid w:val="008B51EA"/>
    <w:rsid w:val="008B5423"/>
    <w:rsid w:val="008B5F35"/>
    <w:rsid w:val="008B5FD4"/>
    <w:rsid w:val="008B6391"/>
    <w:rsid w:val="008B6F96"/>
    <w:rsid w:val="008B7009"/>
    <w:rsid w:val="008B7103"/>
    <w:rsid w:val="008B711D"/>
    <w:rsid w:val="008B75D2"/>
    <w:rsid w:val="008B7769"/>
    <w:rsid w:val="008B7BC7"/>
    <w:rsid w:val="008B7F1C"/>
    <w:rsid w:val="008C0508"/>
    <w:rsid w:val="008C0C4A"/>
    <w:rsid w:val="008C0FE5"/>
    <w:rsid w:val="008C2391"/>
    <w:rsid w:val="008C27A7"/>
    <w:rsid w:val="008C3426"/>
    <w:rsid w:val="008C37AD"/>
    <w:rsid w:val="008C38B0"/>
    <w:rsid w:val="008C49C8"/>
    <w:rsid w:val="008C5737"/>
    <w:rsid w:val="008C5F57"/>
    <w:rsid w:val="008C629A"/>
    <w:rsid w:val="008C6520"/>
    <w:rsid w:val="008C6BA7"/>
    <w:rsid w:val="008C73EC"/>
    <w:rsid w:val="008C75F8"/>
    <w:rsid w:val="008C7AF2"/>
    <w:rsid w:val="008D0ADF"/>
    <w:rsid w:val="008D10FC"/>
    <w:rsid w:val="008D1702"/>
    <w:rsid w:val="008D18EA"/>
    <w:rsid w:val="008D311D"/>
    <w:rsid w:val="008D4C47"/>
    <w:rsid w:val="008D4D53"/>
    <w:rsid w:val="008D5600"/>
    <w:rsid w:val="008D59FF"/>
    <w:rsid w:val="008D5AD9"/>
    <w:rsid w:val="008D78DB"/>
    <w:rsid w:val="008E010D"/>
    <w:rsid w:val="008E073E"/>
    <w:rsid w:val="008E105B"/>
    <w:rsid w:val="008E1E0F"/>
    <w:rsid w:val="008E259A"/>
    <w:rsid w:val="008E2CF4"/>
    <w:rsid w:val="008E33E8"/>
    <w:rsid w:val="008E37D5"/>
    <w:rsid w:val="008E38BF"/>
    <w:rsid w:val="008E3E9E"/>
    <w:rsid w:val="008E4243"/>
    <w:rsid w:val="008E431E"/>
    <w:rsid w:val="008E4844"/>
    <w:rsid w:val="008E5404"/>
    <w:rsid w:val="008E5655"/>
    <w:rsid w:val="008E5C9B"/>
    <w:rsid w:val="008E6AF4"/>
    <w:rsid w:val="008E7299"/>
    <w:rsid w:val="008E79DC"/>
    <w:rsid w:val="008E7CA7"/>
    <w:rsid w:val="008F00B7"/>
    <w:rsid w:val="008F0B57"/>
    <w:rsid w:val="008F0C42"/>
    <w:rsid w:val="008F0D68"/>
    <w:rsid w:val="008F15D7"/>
    <w:rsid w:val="008F16BD"/>
    <w:rsid w:val="008F1E55"/>
    <w:rsid w:val="008F2256"/>
    <w:rsid w:val="008F2322"/>
    <w:rsid w:val="008F2333"/>
    <w:rsid w:val="008F2CB8"/>
    <w:rsid w:val="008F2DB7"/>
    <w:rsid w:val="008F31C8"/>
    <w:rsid w:val="008F3563"/>
    <w:rsid w:val="008F36A3"/>
    <w:rsid w:val="008F5309"/>
    <w:rsid w:val="008F633D"/>
    <w:rsid w:val="008F6647"/>
    <w:rsid w:val="008F686B"/>
    <w:rsid w:val="009004FC"/>
    <w:rsid w:val="0090053E"/>
    <w:rsid w:val="00901884"/>
    <w:rsid w:val="00901B55"/>
    <w:rsid w:val="00901EEC"/>
    <w:rsid w:val="00903286"/>
    <w:rsid w:val="009060AA"/>
    <w:rsid w:val="009065DC"/>
    <w:rsid w:val="00906744"/>
    <w:rsid w:val="00906A61"/>
    <w:rsid w:val="00906D38"/>
    <w:rsid w:val="00906ECC"/>
    <w:rsid w:val="0090748C"/>
    <w:rsid w:val="009075F9"/>
    <w:rsid w:val="00910CAE"/>
    <w:rsid w:val="00910CD7"/>
    <w:rsid w:val="00910E33"/>
    <w:rsid w:val="00910F3F"/>
    <w:rsid w:val="00911368"/>
    <w:rsid w:val="0091136D"/>
    <w:rsid w:val="00911582"/>
    <w:rsid w:val="009117AF"/>
    <w:rsid w:val="0091205E"/>
    <w:rsid w:val="009126FD"/>
    <w:rsid w:val="00912ECB"/>
    <w:rsid w:val="009136A6"/>
    <w:rsid w:val="00914CFA"/>
    <w:rsid w:val="009157D8"/>
    <w:rsid w:val="00915867"/>
    <w:rsid w:val="00915E26"/>
    <w:rsid w:val="00915ECE"/>
    <w:rsid w:val="009167A8"/>
    <w:rsid w:val="009168AC"/>
    <w:rsid w:val="009168E0"/>
    <w:rsid w:val="00916A33"/>
    <w:rsid w:val="00917356"/>
    <w:rsid w:val="00917E0D"/>
    <w:rsid w:val="009207A7"/>
    <w:rsid w:val="00920840"/>
    <w:rsid w:val="00921171"/>
    <w:rsid w:val="009213EE"/>
    <w:rsid w:val="00921615"/>
    <w:rsid w:val="00923003"/>
    <w:rsid w:val="00923735"/>
    <w:rsid w:val="00923C3D"/>
    <w:rsid w:val="00923FA8"/>
    <w:rsid w:val="009244CA"/>
    <w:rsid w:val="0092483B"/>
    <w:rsid w:val="00924B45"/>
    <w:rsid w:val="00924E0F"/>
    <w:rsid w:val="00925268"/>
    <w:rsid w:val="00925316"/>
    <w:rsid w:val="009261A5"/>
    <w:rsid w:val="0092746F"/>
    <w:rsid w:val="00927697"/>
    <w:rsid w:val="009302CA"/>
    <w:rsid w:val="0093062E"/>
    <w:rsid w:val="00931CF2"/>
    <w:rsid w:val="00932721"/>
    <w:rsid w:val="009329FE"/>
    <w:rsid w:val="009337E2"/>
    <w:rsid w:val="0093383B"/>
    <w:rsid w:val="009342FD"/>
    <w:rsid w:val="0093432E"/>
    <w:rsid w:val="00934C35"/>
    <w:rsid w:val="0093522C"/>
    <w:rsid w:val="009364D4"/>
    <w:rsid w:val="00936543"/>
    <w:rsid w:val="00936D2D"/>
    <w:rsid w:val="00937523"/>
    <w:rsid w:val="009400E3"/>
    <w:rsid w:val="009401E5"/>
    <w:rsid w:val="0094037A"/>
    <w:rsid w:val="009407CA"/>
    <w:rsid w:val="009416D7"/>
    <w:rsid w:val="00941844"/>
    <w:rsid w:val="00941C04"/>
    <w:rsid w:val="009429B0"/>
    <w:rsid w:val="00942EAB"/>
    <w:rsid w:val="009431CD"/>
    <w:rsid w:val="0094328F"/>
    <w:rsid w:val="00944747"/>
    <w:rsid w:val="00944BB8"/>
    <w:rsid w:val="00944FF9"/>
    <w:rsid w:val="009454FC"/>
    <w:rsid w:val="00945632"/>
    <w:rsid w:val="00945E61"/>
    <w:rsid w:val="00945F36"/>
    <w:rsid w:val="00945F42"/>
    <w:rsid w:val="00947319"/>
    <w:rsid w:val="00950168"/>
    <w:rsid w:val="00950A96"/>
    <w:rsid w:val="00950ED1"/>
    <w:rsid w:val="0095163B"/>
    <w:rsid w:val="009516EE"/>
    <w:rsid w:val="009521E6"/>
    <w:rsid w:val="00952822"/>
    <w:rsid w:val="00952D07"/>
    <w:rsid w:val="00952E68"/>
    <w:rsid w:val="00953052"/>
    <w:rsid w:val="00953529"/>
    <w:rsid w:val="00953CEA"/>
    <w:rsid w:val="00954602"/>
    <w:rsid w:val="009548E3"/>
    <w:rsid w:val="00955395"/>
    <w:rsid w:val="009553A6"/>
    <w:rsid w:val="00956328"/>
    <w:rsid w:val="0095687E"/>
    <w:rsid w:val="00956C09"/>
    <w:rsid w:val="0095708C"/>
    <w:rsid w:val="00957293"/>
    <w:rsid w:val="00957BA7"/>
    <w:rsid w:val="00960E4D"/>
    <w:rsid w:val="009619E1"/>
    <w:rsid w:val="00962885"/>
    <w:rsid w:val="00963364"/>
    <w:rsid w:val="00963655"/>
    <w:rsid w:val="0096388B"/>
    <w:rsid w:val="00963FA4"/>
    <w:rsid w:val="0096459D"/>
    <w:rsid w:val="00965AAD"/>
    <w:rsid w:val="00966518"/>
    <w:rsid w:val="009667BB"/>
    <w:rsid w:val="00966B2D"/>
    <w:rsid w:val="00966B88"/>
    <w:rsid w:val="009670C9"/>
    <w:rsid w:val="00967159"/>
    <w:rsid w:val="00967567"/>
    <w:rsid w:val="00967771"/>
    <w:rsid w:val="009678FA"/>
    <w:rsid w:val="00967D15"/>
    <w:rsid w:val="00967E54"/>
    <w:rsid w:val="00970706"/>
    <w:rsid w:val="00970A39"/>
    <w:rsid w:val="00970B0F"/>
    <w:rsid w:val="00970B27"/>
    <w:rsid w:val="00970E91"/>
    <w:rsid w:val="009721C5"/>
    <w:rsid w:val="00975112"/>
    <w:rsid w:val="009752AA"/>
    <w:rsid w:val="00975B0B"/>
    <w:rsid w:val="00976B6E"/>
    <w:rsid w:val="0097770D"/>
    <w:rsid w:val="00977EC4"/>
    <w:rsid w:val="009805F5"/>
    <w:rsid w:val="00980810"/>
    <w:rsid w:val="00981BFD"/>
    <w:rsid w:val="00981F1D"/>
    <w:rsid w:val="00982038"/>
    <w:rsid w:val="00982108"/>
    <w:rsid w:val="0098210D"/>
    <w:rsid w:val="009824D9"/>
    <w:rsid w:val="009826E3"/>
    <w:rsid w:val="009829DA"/>
    <w:rsid w:val="00982E96"/>
    <w:rsid w:val="00983CFE"/>
    <w:rsid w:val="009847AC"/>
    <w:rsid w:val="0098539E"/>
    <w:rsid w:val="0098733D"/>
    <w:rsid w:val="00990C4B"/>
    <w:rsid w:val="009914D3"/>
    <w:rsid w:val="00992133"/>
    <w:rsid w:val="00992D61"/>
    <w:rsid w:val="00992F08"/>
    <w:rsid w:val="00992F6A"/>
    <w:rsid w:val="00992F94"/>
    <w:rsid w:val="009949F0"/>
    <w:rsid w:val="0099674D"/>
    <w:rsid w:val="009968EB"/>
    <w:rsid w:val="00996D46"/>
    <w:rsid w:val="009971A0"/>
    <w:rsid w:val="00997631"/>
    <w:rsid w:val="009A0D2F"/>
    <w:rsid w:val="009A0F84"/>
    <w:rsid w:val="009A1733"/>
    <w:rsid w:val="009A1B71"/>
    <w:rsid w:val="009A1D92"/>
    <w:rsid w:val="009A24F4"/>
    <w:rsid w:val="009A3355"/>
    <w:rsid w:val="009A3A60"/>
    <w:rsid w:val="009A4BF9"/>
    <w:rsid w:val="009A4D05"/>
    <w:rsid w:val="009A4D10"/>
    <w:rsid w:val="009A5956"/>
    <w:rsid w:val="009A5F50"/>
    <w:rsid w:val="009A60AB"/>
    <w:rsid w:val="009A7364"/>
    <w:rsid w:val="009A74DA"/>
    <w:rsid w:val="009B065C"/>
    <w:rsid w:val="009B076D"/>
    <w:rsid w:val="009B0FD9"/>
    <w:rsid w:val="009B10F7"/>
    <w:rsid w:val="009B1499"/>
    <w:rsid w:val="009B1B0E"/>
    <w:rsid w:val="009B2FE7"/>
    <w:rsid w:val="009B3234"/>
    <w:rsid w:val="009B329D"/>
    <w:rsid w:val="009B3633"/>
    <w:rsid w:val="009B4651"/>
    <w:rsid w:val="009B4F64"/>
    <w:rsid w:val="009B5643"/>
    <w:rsid w:val="009B63B5"/>
    <w:rsid w:val="009B6404"/>
    <w:rsid w:val="009B7CEF"/>
    <w:rsid w:val="009B7E6B"/>
    <w:rsid w:val="009B7EBD"/>
    <w:rsid w:val="009C2B8D"/>
    <w:rsid w:val="009C316F"/>
    <w:rsid w:val="009C36E8"/>
    <w:rsid w:val="009C3A1C"/>
    <w:rsid w:val="009C3FB8"/>
    <w:rsid w:val="009C43A4"/>
    <w:rsid w:val="009C4662"/>
    <w:rsid w:val="009C49C4"/>
    <w:rsid w:val="009C5552"/>
    <w:rsid w:val="009C5B67"/>
    <w:rsid w:val="009C5C75"/>
    <w:rsid w:val="009C6620"/>
    <w:rsid w:val="009C69D9"/>
    <w:rsid w:val="009C6DD7"/>
    <w:rsid w:val="009C7A83"/>
    <w:rsid w:val="009D09DB"/>
    <w:rsid w:val="009D0B0E"/>
    <w:rsid w:val="009D0D0F"/>
    <w:rsid w:val="009D0FAE"/>
    <w:rsid w:val="009D123C"/>
    <w:rsid w:val="009D16CE"/>
    <w:rsid w:val="009D2B96"/>
    <w:rsid w:val="009D2CA2"/>
    <w:rsid w:val="009D2DBA"/>
    <w:rsid w:val="009D2DDB"/>
    <w:rsid w:val="009D53D1"/>
    <w:rsid w:val="009D6491"/>
    <w:rsid w:val="009D64D1"/>
    <w:rsid w:val="009D6567"/>
    <w:rsid w:val="009D6BA9"/>
    <w:rsid w:val="009D6D04"/>
    <w:rsid w:val="009D7B7A"/>
    <w:rsid w:val="009E106A"/>
    <w:rsid w:val="009E1398"/>
    <w:rsid w:val="009E1CEC"/>
    <w:rsid w:val="009E29EF"/>
    <w:rsid w:val="009E2AB9"/>
    <w:rsid w:val="009E2E7E"/>
    <w:rsid w:val="009E354C"/>
    <w:rsid w:val="009E3A67"/>
    <w:rsid w:val="009E552A"/>
    <w:rsid w:val="009E718B"/>
    <w:rsid w:val="009E7450"/>
    <w:rsid w:val="009E7AF4"/>
    <w:rsid w:val="009F003D"/>
    <w:rsid w:val="009F160E"/>
    <w:rsid w:val="009F1D3D"/>
    <w:rsid w:val="009F24FF"/>
    <w:rsid w:val="009F2BEB"/>
    <w:rsid w:val="009F3332"/>
    <w:rsid w:val="009F34C3"/>
    <w:rsid w:val="009F3635"/>
    <w:rsid w:val="009F371B"/>
    <w:rsid w:val="009F3A0D"/>
    <w:rsid w:val="009F3A17"/>
    <w:rsid w:val="009F3C20"/>
    <w:rsid w:val="009F3FDB"/>
    <w:rsid w:val="009F4BB1"/>
    <w:rsid w:val="009F5128"/>
    <w:rsid w:val="009F5890"/>
    <w:rsid w:val="009F5A5B"/>
    <w:rsid w:val="009F6267"/>
    <w:rsid w:val="009F6309"/>
    <w:rsid w:val="009F659C"/>
    <w:rsid w:val="009F6A8A"/>
    <w:rsid w:val="009F6B05"/>
    <w:rsid w:val="009F706B"/>
    <w:rsid w:val="009F76B4"/>
    <w:rsid w:val="009F7C88"/>
    <w:rsid w:val="009F7F9F"/>
    <w:rsid w:val="00A00093"/>
    <w:rsid w:val="00A016E3"/>
    <w:rsid w:val="00A01B7C"/>
    <w:rsid w:val="00A02F2A"/>
    <w:rsid w:val="00A0308A"/>
    <w:rsid w:val="00A034BE"/>
    <w:rsid w:val="00A04548"/>
    <w:rsid w:val="00A049F3"/>
    <w:rsid w:val="00A05021"/>
    <w:rsid w:val="00A050DF"/>
    <w:rsid w:val="00A062A9"/>
    <w:rsid w:val="00A06585"/>
    <w:rsid w:val="00A06A79"/>
    <w:rsid w:val="00A071DC"/>
    <w:rsid w:val="00A075E4"/>
    <w:rsid w:val="00A1211F"/>
    <w:rsid w:val="00A126C5"/>
    <w:rsid w:val="00A1291A"/>
    <w:rsid w:val="00A12937"/>
    <w:rsid w:val="00A12E33"/>
    <w:rsid w:val="00A137A1"/>
    <w:rsid w:val="00A13B4C"/>
    <w:rsid w:val="00A14337"/>
    <w:rsid w:val="00A157D2"/>
    <w:rsid w:val="00A15E23"/>
    <w:rsid w:val="00A168AA"/>
    <w:rsid w:val="00A17ADA"/>
    <w:rsid w:val="00A17B2E"/>
    <w:rsid w:val="00A20E21"/>
    <w:rsid w:val="00A218A5"/>
    <w:rsid w:val="00A22202"/>
    <w:rsid w:val="00A22608"/>
    <w:rsid w:val="00A22CB2"/>
    <w:rsid w:val="00A23109"/>
    <w:rsid w:val="00A23ACB"/>
    <w:rsid w:val="00A23B57"/>
    <w:rsid w:val="00A23E25"/>
    <w:rsid w:val="00A23FEF"/>
    <w:rsid w:val="00A240A2"/>
    <w:rsid w:val="00A24534"/>
    <w:rsid w:val="00A27327"/>
    <w:rsid w:val="00A27710"/>
    <w:rsid w:val="00A300EF"/>
    <w:rsid w:val="00A30389"/>
    <w:rsid w:val="00A303FF"/>
    <w:rsid w:val="00A30994"/>
    <w:rsid w:val="00A309F3"/>
    <w:rsid w:val="00A31668"/>
    <w:rsid w:val="00A31ADB"/>
    <w:rsid w:val="00A32167"/>
    <w:rsid w:val="00A32299"/>
    <w:rsid w:val="00A322DD"/>
    <w:rsid w:val="00A325F5"/>
    <w:rsid w:val="00A32A66"/>
    <w:rsid w:val="00A34AD4"/>
    <w:rsid w:val="00A35674"/>
    <w:rsid w:val="00A356E2"/>
    <w:rsid w:val="00A36C83"/>
    <w:rsid w:val="00A36EA3"/>
    <w:rsid w:val="00A37074"/>
    <w:rsid w:val="00A3729B"/>
    <w:rsid w:val="00A37562"/>
    <w:rsid w:val="00A37952"/>
    <w:rsid w:val="00A40313"/>
    <w:rsid w:val="00A4092F"/>
    <w:rsid w:val="00A42F8E"/>
    <w:rsid w:val="00A4486A"/>
    <w:rsid w:val="00A44F82"/>
    <w:rsid w:val="00A45512"/>
    <w:rsid w:val="00A45D64"/>
    <w:rsid w:val="00A45E65"/>
    <w:rsid w:val="00A45F77"/>
    <w:rsid w:val="00A46149"/>
    <w:rsid w:val="00A472DB"/>
    <w:rsid w:val="00A47ACB"/>
    <w:rsid w:val="00A47D6B"/>
    <w:rsid w:val="00A51067"/>
    <w:rsid w:val="00A5168A"/>
    <w:rsid w:val="00A5177D"/>
    <w:rsid w:val="00A51BA0"/>
    <w:rsid w:val="00A52B7F"/>
    <w:rsid w:val="00A53137"/>
    <w:rsid w:val="00A538F7"/>
    <w:rsid w:val="00A53E27"/>
    <w:rsid w:val="00A53F40"/>
    <w:rsid w:val="00A5411D"/>
    <w:rsid w:val="00A573B1"/>
    <w:rsid w:val="00A57470"/>
    <w:rsid w:val="00A57BF7"/>
    <w:rsid w:val="00A60DE0"/>
    <w:rsid w:val="00A60EFC"/>
    <w:rsid w:val="00A61108"/>
    <w:rsid w:val="00A61767"/>
    <w:rsid w:val="00A62344"/>
    <w:rsid w:val="00A623A2"/>
    <w:rsid w:val="00A62616"/>
    <w:rsid w:val="00A626DB"/>
    <w:rsid w:val="00A62701"/>
    <w:rsid w:val="00A641C3"/>
    <w:rsid w:val="00A643B5"/>
    <w:rsid w:val="00A65156"/>
    <w:rsid w:val="00A65AA7"/>
    <w:rsid w:val="00A65CB4"/>
    <w:rsid w:val="00A66102"/>
    <w:rsid w:val="00A66F85"/>
    <w:rsid w:val="00A6712E"/>
    <w:rsid w:val="00A677D1"/>
    <w:rsid w:val="00A67AF9"/>
    <w:rsid w:val="00A67EB4"/>
    <w:rsid w:val="00A703F1"/>
    <w:rsid w:val="00A70826"/>
    <w:rsid w:val="00A711AB"/>
    <w:rsid w:val="00A7180E"/>
    <w:rsid w:val="00A72751"/>
    <w:rsid w:val="00A728E2"/>
    <w:rsid w:val="00A72DB6"/>
    <w:rsid w:val="00A739AD"/>
    <w:rsid w:val="00A73A9E"/>
    <w:rsid w:val="00A74439"/>
    <w:rsid w:val="00A74513"/>
    <w:rsid w:val="00A74785"/>
    <w:rsid w:val="00A74C43"/>
    <w:rsid w:val="00A74E1B"/>
    <w:rsid w:val="00A74EA5"/>
    <w:rsid w:val="00A75228"/>
    <w:rsid w:val="00A755BE"/>
    <w:rsid w:val="00A75AC4"/>
    <w:rsid w:val="00A76452"/>
    <w:rsid w:val="00A773A1"/>
    <w:rsid w:val="00A77A07"/>
    <w:rsid w:val="00A77BD6"/>
    <w:rsid w:val="00A77F7E"/>
    <w:rsid w:val="00A77FD9"/>
    <w:rsid w:val="00A8168F"/>
    <w:rsid w:val="00A820CC"/>
    <w:rsid w:val="00A822FD"/>
    <w:rsid w:val="00A82732"/>
    <w:rsid w:val="00A827D3"/>
    <w:rsid w:val="00A82C78"/>
    <w:rsid w:val="00A835BC"/>
    <w:rsid w:val="00A837B6"/>
    <w:rsid w:val="00A83B63"/>
    <w:rsid w:val="00A842B8"/>
    <w:rsid w:val="00A84304"/>
    <w:rsid w:val="00A8452B"/>
    <w:rsid w:val="00A84A18"/>
    <w:rsid w:val="00A850FC"/>
    <w:rsid w:val="00A85B7D"/>
    <w:rsid w:val="00A85CC1"/>
    <w:rsid w:val="00A86B4E"/>
    <w:rsid w:val="00A875B1"/>
    <w:rsid w:val="00A87D2A"/>
    <w:rsid w:val="00A87DAD"/>
    <w:rsid w:val="00A91146"/>
    <w:rsid w:val="00A9121B"/>
    <w:rsid w:val="00A915F9"/>
    <w:rsid w:val="00A91CED"/>
    <w:rsid w:val="00A92B64"/>
    <w:rsid w:val="00A9325D"/>
    <w:rsid w:val="00A932AE"/>
    <w:rsid w:val="00A9339F"/>
    <w:rsid w:val="00A936A4"/>
    <w:rsid w:val="00A93D8A"/>
    <w:rsid w:val="00A950DB"/>
    <w:rsid w:val="00A95513"/>
    <w:rsid w:val="00A9563D"/>
    <w:rsid w:val="00A95CD7"/>
    <w:rsid w:val="00A96716"/>
    <w:rsid w:val="00A96DF6"/>
    <w:rsid w:val="00A971A5"/>
    <w:rsid w:val="00A97428"/>
    <w:rsid w:val="00A977A9"/>
    <w:rsid w:val="00A97C8E"/>
    <w:rsid w:val="00AA0A28"/>
    <w:rsid w:val="00AA0F27"/>
    <w:rsid w:val="00AA18BD"/>
    <w:rsid w:val="00AA2DFB"/>
    <w:rsid w:val="00AA30A3"/>
    <w:rsid w:val="00AA3595"/>
    <w:rsid w:val="00AA39FA"/>
    <w:rsid w:val="00AA3EE5"/>
    <w:rsid w:val="00AA495C"/>
    <w:rsid w:val="00AA4A34"/>
    <w:rsid w:val="00AA4A57"/>
    <w:rsid w:val="00AA4AC9"/>
    <w:rsid w:val="00AA4CE7"/>
    <w:rsid w:val="00AA5B80"/>
    <w:rsid w:val="00AA5D1C"/>
    <w:rsid w:val="00AA5FA9"/>
    <w:rsid w:val="00AA6ACB"/>
    <w:rsid w:val="00AA6E0A"/>
    <w:rsid w:val="00AA7121"/>
    <w:rsid w:val="00AA7175"/>
    <w:rsid w:val="00AA753E"/>
    <w:rsid w:val="00AA7B06"/>
    <w:rsid w:val="00AA7B53"/>
    <w:rsid w:val="00AB0C5E"/>
    <w:rsid w:val="00AB1A61"/>
    <w:rsid w:val="00AB29CF"/>
    <w:rsid w:val="00AB2B1B"/>
    <w:rsid w:val="00AB325E"/>
    <w:rsid w:val="00AB3626"/>
    <w:rsid w:val="00AB3901"/>
    <w:rsid w:val="00AB4596"/>
    <w:rsid w:val="00AB5CD2"/>
    <w:rsid w:val="00AB6795"/>
    <w:rsid w:val="00AB692C"/>
    <w:rsid w:val="00AB6C73"/>
    <w:rsid w:val="00AB71BA"/>
    <w:rsid w:val="00AB71CA"/>
    <w:rsid w:val="00AB7C20"/>
    <w:rsid w:val="00AC0423"/>
    <w:rsid w:val="00AC04E1"/>
    <w:rsid w:val="00AC0819"/>
    <w:rsid w:val="00AC0B49"/>
    <w:rsid w:val="00AC0CF6"/>
    <w:rsid w:val="00AC16CD"/>
    <w:rsid w:val="00AC2091"/>
    <w:rsid w:val="00AC2344"/>
    <w:rsid w:val="00AC31FC"/>
    <w:rsid w:val="00AC32A5"/>
    <w:rsid w:val="00AC4B62"/>
    <w:rsid w:val="00AC4E87"/>
    <w:rsid w:val="00AC4ED3"/>
    <w:rsid w:val="00AC54F2"/>
    <w:rsid w:val="00AC5B2F"/>
    <w:rsid w:val="00AC5D0D"/>
    <w:rsid w:val="00AC7669"/>
    <w:rsid w:val="00AC767D"/>
    <w:rsid w:val="00AD00B4"/>
    <w:rsid w:val="00AD0293"/>
    <w:rsid w:val="00AD0397"/>
    <w:rsid w:val="00AD09F1"/>
    <w:rsid w:val="00AD0EAE"/>
    <w:rsid w:val="00AD1A10"/>
    <w:rsid w:val="00AD1A5C"/>
    <w:rsid w:val="00AD1E47"/>
    <w:rsid w:val="00AD301C"/>
    <w:rsid w:val="00AD345F"/>
    <w:rsid w:val="00AD4598"/>
    <w:rsid w:val="00AD5781"/>
    <w:rsid w:val="00AD65D8"/>
    <w:rsid w:val="00AD7191"/>
    <w:rsid w:val="00AD7267"/>
    <w:rsid w:val="00AD750B"/>
    <w:rsid w:val="00AD7E69"/>
    <w:rsid w:val="00AE0060"/>
    <w:rsid w:val="00AE02F6"/>
    <w:rsid w:val="00AE02FC"/>
    <w:rsid w:val="00AE0BAD"/>
    <w:rsid w:val="00AE0FAF"/>
    <w:rsid w:val="00AE1587"/>
    <w:rsid w:val="00AE1CFB"/>
    <w:rsid w:val="00AE2E2B"/>
    <w:rsid w:val="00AE2EB2"/>
    <w:rsid w:val="00AE3423"/>
    <w:rsid w:val="00AE3455"/>
    <w:rsid w:val="00AE374D"/>
    <w:rsid w:val="00AE3D32"/>
    <w:rsid w:val="00AE454A"/>
    <w:rsid w:val="00AE4F85"/>
    <w:rsid w:val="00AE6A77"/>
    <w:rsid w:val="00AE7024"/>
    <w:rsid w:val="00AE7407"/>
    <w:rsid w:val="00AE793B"/>
    <w:rsid w:val="00AE7ADF"/>
    <w:rsid w:val="00AE7B91"/>
    <w:rsid w:val="00AF022D"/>
    <w:rsid w:val="00AF0C6C"/>
    <w:rsid w:val="00AF1FFB"/>
    <w:rsid w:val="00AF20F4"/>
    <w:rsid w:val="00AF24DF"/>
    <w:rsid w:val="00AF3ACD"/>
    <w:rsid w:val="00AF3ADB"/>
    <w:rsid w:val="00AF3EC2"/>
    <w:rsid w:val="00AF437F"/>
    <w:rsid w:val="00AF47DC"/>
    <w:rsid w:val="00AF5121"/>
    <w:rsid w:val="00AF53B0"/>
    <w:rsid w:val="00AF61C0"/>
    <w:rsid w:val="00AF74A5"/>
    <w:rsid w:val="00AF74B6"/>
    <w:rsid w:val="00AF758F"/>
    <w:rsid w:val="00AF769D"/>
    <w:rsid w:val="00B005B6"/>
    <w:rsid w:val="00B00860"/>
    <w:rsid w:val="00B01693"/>
    <w:rsid w:val="00B01997"/>
    <w:rsid w:val="00B01E81"/>
    <w:rsid w:val="00B02383"/>
    <w:rsid w:val="00B026C4"/>
    <w:rsid w:val="00B02829"/>
    <w:rsid w:val="00B02868"/>
    <w:rsid w:val="00B02C9D"/>
    <w:rsid w:val="00B02D70"/>
    <w:rsid w:val="00B02DD6"/>
    <w:rsid w:val="00B0352F"/>
    <w:rsid w:val="00B04AA2"/>
    <w:rsid w:val="00B06574"/>
    <w:rsid w:val="00B06B45"/>
    <w:rsid w:val="00B07032"/>
    <w:rsid w:val="00B074E3"/>
    <w:rsid w:val="00B07680"/>
    <w:rsid w:val="00B079B7"/>
    <w:rsid w:val="00B07CB6"/>
    <w:rsid w:val="00B07E21"/>
    <w:rsid w:val="00B10106"/>
    <w:rsid w:val="00B10481"/>
    <w:rsid w:val="00B11006"/>
    <w:rsid w:val="00B12031"/>
    <w:rsid w:val="00B1233D"/>
    <w:rsid w:val="00B12651"/>
    <w:rsid w:val="00B1282E"/>
    <w:rsid w:val="00B12BD5"/>
    <w:rsid w:val="00B13185"/>
    <w:rsid w:val="00B13793"/>
    <w:rsid w:val="00B13954"/>
    <w:rsid w:val="00B13A40"/>
    <w:rsid w:val="00B13C25"/>
    <w:rsid w:val="00B13F1E"/>
    <w:rsid w:val="00B14C35"/>
    <w:rsid w:val="00B150AF"/>
    <w:rsid w:val="00B156CF"/>
    <w:rsid w:val="00B15757"/>
    <w:rsid w:val="00B16B82"/>
    <w:rsid w:val="00B16FF9"/>
    <w:rsid w:val="00B17201"/>
    <w:rsid w:val="00B174F4"/>
    <w:rsid w:val="00B178DD"/>
    <w:rsid w:val="00B20000"/>
    <w:rsid w:val="00B2091C"/>
    <w:rsid w:val="00B20E5A"/>
    <w:rsid w:val="00B210F3"/>
    <w:rsid w:val="00B21259"/>
    <w:rsid w:val="00B2131B"/>
    <w:rsid w:val="00B21521"/>
    <w:rsid w:val="00B21971"/>
    <w:rsid w:val="00B21AD2"/>
    <w:rsid w:val="00B22480"/>
    <w:rsid w:val="00B2297A"/>
    <w:rsid w:val="00B22E91"/>
    <w:rsid w:val="00B235E9"/>
    <w:rsid w:val="00B23639"/>
    <w:rsid w:val="00B23B2F"/>
    <w:rsid w:val="00B24129"/>
    <w:rsid w:val="00B24206"/>
    <w:rsid w:val="00B24500"/>
    <w:rsid w:val="00B24A14"/>
    <w:rsid w:val="00B24AB4"/>
    <w:rsid w:val="00B24C0C"/>
    <w:rsid w:val="00B24CF0"/>
    <w:rsid w:val="00B24ED6"/>
    <w:rsid w:val="00B27574"/>
    <w:rsid w:val="00B276BC"/>
    <w:rsid w:val="00B278B1"/>
    <w:rsid w:val="00B304B9"/>
    <w:rsid w:val="00B308A2"/>
    <w:rsid w:val="00B30A76"/>
    <w:rsid w:val="00B30C1C"/>
    <w:rsid w:val="00B31812"/>
    <w:rsid w:val="00B32227"/>
    <w:rsid w:val="00B32C0A"/>
    <w:rsid w:val="00B33847"/>
    <w:rsid w:val="00B33C03"/>
    <w:rsid w:val="00B34FA8"/>
    <w:rsid w:val="00B35599"/>
    <w:rsid w:val="00B35F4F"/>
    <w:rsid w:val="00B36DF2"/>
    <w:rsid w:val="00B37E67"/>
    <w:rsid w:val="00B40E1E"/>
    <w:rsid w:val="00B4132A"/>
    <w:rsid w:val="00B42F93"/>
    <w:rsid w:val="00B431FB"/>
    <w:rsid w:val="00B432C9"/>
    <w:rsid w:val="00B43E35"/>
    <w:rsid w:val="00B45F11"/>
    <w:rsid w:val="00B46281"/>
    <w:rsid w:val="00B46288"/>
    <w:rsid w:val="00B4658D"/>
    <w:rsid w:val="00B469F1"/>
    <w:rsid w:val="00B46EA7"/>
    <w:rsid w:val="00B47AEE"/>
    <w:rsid w:val="00B500BD"/>
    <w:rsid w:val="00B50157"/>
    <w:rsid w:val="00B50745"/>
    <w:rsid w:val="00B51514"/>
    <w:rsid w:val="00B51660"/>
    <w:rsid w:val="00B51FD2"/>
    <w:rsid w:val="00B539D9"/>
    <w:rsid w:val="00B53F61"/>
    <w:rsid w:val="00B5412A"/>
    <w:rsid w:val="00B54A07"/>
    <w:rsid w:val="00B55713"/>
    <w:rsid w:val="00B55FF2"/>
    <w:rsid w:val="00B56848"/>
    <w:rsid w:val="00B56DA1"/>
    <w:rsid w:val="00B57BB9"/>
    <w:rsid w:val="00B60742"/>
    <w:rsid w:val="00B62B66"/>
    <w:rsid w:val="00B62DF5"/>
    <w:rsid w:val="00B636D7"/>
    <w:rsid w:val="00B636E6"/>
    <w:rsid w:val="00B63AAD"/>
    <w:rsid w:val="00B64068"/>
    <w:rsid w:val="00B641F4"/>
    <w:rsid w:val="00B64F79"/>
    <w:rsid w:val="00B660AA"/>
    <w:rsid w:val="00B672C5"/>
    <w:rsid w:val="00B6788D"/>
    <w:rsid w:val="00B67970"/>
    <w:rsid w:val="00B70585"/>
    <w:rsid w:val="00B705FD"/>
    <w:rsid w:val="00B70CEF"/>
    <w:rsid w:val="00B728B6"/>
    <w:rsid w:val="00B72C8E"/>
    <w:rsid w:val="00B7318A"/>
    <w:rsid w:val="00B73653"/>
    <w:rsid w:val="00B741A3"/>
    <w:rsid w:val="00B74A1B"/>
    <w:rsid w:val="00B75268"/>
    <w:rsid w:val="00B75AAB"/>
    <w:rsid w:val="00B7648B"/>
    <w:rsid w:val="00B766E0"/>
    <w:rsid w:val="00B7775F"/>
    <w:rsid w:val="00B80B2E"/>
    <w:rsid w:val="00B80BE9"/>
    <w:rsid w:val="00B81DB6"/>
    <w:rsid w:val="00B82046"/>
    <w:rsid w:val="00B82D3C"/>
    <w:rsid w:val="00B83309"/>
    <w:rsid w:val="00B84AA9"/>
    <w:rsid w:val="00B84FF7"/>
    <w:rsid w:val="00B85D4E"/>
    <w:rsid w:val="00B85E06"/>
    <w:rsid w:val="00B861E8"/>
    <w:rsid w:val="00B86BD4"/>
    <w:rsid w:val="00B87227"/>
    <w:rsid w:val="00B87448"/>
    <w:rsid w:val="00B90149"/>
    <w:rsid w:val="00B90C53"/>
    <w:rsid w:val="00B91136"/>
    <w:rsid w:val="00B91524"/>
    <w:rsid w:val="00B91940"/>
    <w:rsid w:val="00B92840"/>
    <w:rsid w:val="00B92CFF"/>
    <w:rsid w:val="00B93215"/>
    <w:rsid w:val="00B93731"/>
    <w:rsid w:val="00B940CC"/>
    <w:rsid w:val="00B94306"/>
    <w:rsid w:val="00B95025"/>
    <w:rsid w:val="00B9505E"/>
    <w:rsid w:val="00B95FCD"/>
    <w:rsid w:val="00B96231"/>
    <w:rsid w:val="00B96CB2"/>
    <w:rsid w:val="00B97141"/>
    <w:rsid w:val="00B973ED"/>
    <w:rsid w:val="00B97678"/>
    <w:rsid w:val="00B9798D"/>
    <w:rsid w:val="00B97A1F"/>
    <w:rsid w:val="00BA0184"/>
    <w:rsid w:val="00BA03FC"/>
    <w:rsid w:val="00BA0BAD"/>
    <w:rsid w:val="00BA0FDA"/>
    <w:rsid w:val="00BA16DA"/>
    <w:rsid w:val="00BA205D"/>
    <w:rsid w:val="00BA26B7"/>
    <w:rsid w:val="00BA311F"/>
    <w:rsid w:val="00BA339D"/>
    <w:rsid w:val="00BA5ABB"/>
    <w:rsid w:val="00BA6F0A"/>
    <w:rsid w:val="00BB0426"/>
    <w:rsid w:val="00BB05AE"/>
    <w:rsid w:val="00BB0E23"/>
    <w:rsid w:val="00BB101F"/>
    <w:rsid w:val="00BB119F"/>
    <w:rsid w:val="00BB11DC"/>
    <w:rsid w:val="00BB17EE"/>
    <w:rsid w:val="00BB1A1F"/>
    <w:rsid w:val="00BB1DF7"/>
    <w:rsid w:val="00BB2107"/>
    <w:rsid w:val="00BB28B7"/>
    <w:rsid w:val="00BB30E2"/>
    <w:rsid w:val="00BB33C2"/>
    <w:rsid w:val="00BB3427"/>
    <w:rsid w:val="00BB35EA"/>
    <w:rsid w:val="00BB4055"/>
    <w:rsid w:val="00BB4494"/>
    <w:rsid w:val="00BB5D4A"/>
    <w:rsid w:val="00BB68FB"/>
    <w:rsid w:val="00BB7015"/>
    <w:rsid w:val="00BB7261"/>
    <w:rsid w:val="00BB77D9"/>
    <w:rsid w:val="00BB7EDB"/>
    <w:rsid w:val="00BC08D9"/>
    <w:rsid w:val="00BC0B43"/>
    <w:rsid w:val="00BC0B72"/>
    <w:rsid w:val="00BC0E47"/>
    <w:rsid w:val="00BC0F2B"/>
    <w:rsid w:val="00BC1D70"/>
    <w:rsid w:val="00BC1F80"/>
    <w:rsid w:val="00BC2F2A"/>
    <w:rsid w:val="00BC3395"/>
    <w:rsid w:val="00BC424E"/>
    <w:rsid w:val="00BC436C"/>
    <w:rsid w:val="00BC4956"/>
    <w:rsid w:val="00BC4BC9"/>
    <w:rsid w:val="00BC5959"/>
    <w:rsid w:val="00BC5DB6"/>
    <w:rsid w:val="00BC667A"/>
    <w:rsid w:val="00BC6899"/>
    <w:rsid w:val="00BC765A"/>
    <w:rsid w:val="00BD02E1"/>
    <w:rsid w:val="00BD0899"/>
    <w:rsid w:val="00BD10AF"/>
    <w:rsid w:val="00BD142A"/>
    <w:rsid w:val="00BD1490"/>
    <w:rsid w:val="00BD2194"/>
    <w:rsid w:val="00BD23DE"/>
    <w:rsid w:val="00BD286D"/>
    <w:rsid w:val="00BD2D70"/>
    <w:rsid w:val="00BD2F78"/>
    <w:rsid w:val="00BD3199"/>
    <w:rsid w:val="00BD3513"/>
    <w:rsid w:val="00BD3AE3"/>
    <w:rsid w:val="00BD43BC"/>
    <w:rsid w:val="00BD4DE0"/>
    <w:rsid w:val="00BD4E3E"/>
    <w:rsid w:val="00BD57AD"/>
    <w:rsid w:val="00BD5C61"/>
    <w:rsid w:val="00BD5EA7"/>
    <w:rsid w:val="00BD5F6C"/>
    <w:rsid w:val="00BD63D6"/>
    <w:rsid w:val="00BD66AC"/>
    <w:rsid w:val="00BD7F2D"/>
    <w:rsid w:val="00BE02BD"/>
    <w:rsid w:val="00BE066D"/>
    <w:rsid w:val="00BE06DE"/>
    <w:rsid w:val="00BE0D9A"/>
    <w:rsid w:val="00BE0EC6"/>
    <w:rsid w:val="00BE115E"/>
    <w:rsid w:val="00BE1263"/>
    <w:rsid w:val="00BE15A1"/>
    <w:rsid w:val="00BE2564"/>
    <w:rsid w:val="00BE2E38"/>
    <w:rsid w:val="00BE3208"/>
    <w:rsid w:val="00BE3959"/>
    <w:rsid w:val="00BE399E"/>
    <w:rsid w:val="00BE3DCE"/>
    <w:rsid w:val="00BE4F8F"/>
    <w:rsid w:val="00BE4FC7"/>
    <w:rsid w:val="00BE5EB6"/>
    <w:rsid w:val="00BE643F"/>
    <w:rsid w:val="00BE6828"/>
    <w:rsid w:val="00BE6907"/>
    <w:rsid w:val="00BE70AD"/>
    <w:rsid w:val="00BE7439"/>
    <w:rsid w:val="00BE7B87"/>
    <w:rsid w:val="00BE7D21"/>
    <w:rsid w:val="00BF00C5"/>
    <w:rsid w:val="00BF0695"/>
    <w:rsid w:val="00BF2A71"/>
    <w:rsid w:val="00BF2BA4"/>
    <w:rsid w:val="00BF31A4"/>
    <w:rsid w:val="00BF3875"/>
    <w:rsid w:val="00BF3925"/>
    <w:rsid w:val="00BF418C"/>
    <w:rsid w:val="00BF4605"/>
    <w:rsid w:val="00BF542E"/>
    <w:rsid w:val="00BF59F9"/>
    <w:rsid w:val="00BF5AB8"/>
    <w:rsid w:val="00BF6A4B"/>
    <w:rsid w:val="00BF770E"/>
    <w:rsid w:val="00C00813"/>
    <w:rsid w:val="00C00B05"/>
    <w:rsid w:val="00C01538"/>
    <w:rsid w:val="00C02A47"/>
    <w:rsid w:val="00C04248"/>
    <w:rsid w:val="00C04AC3"/>
    <w:rsid w:val="00C04BE9"/>
    <w:rsid w:val="00C05597"/>
    <w:rsid w:val="00C05D10"/>
    <w:rsid w:val="00C07244"/>
    <w:rsid w:val="00C07C34"/>
    <w:rsid w:val="00C07F29"/>
    <w:rsid w:val="00C101EE"/>
    <w:rsid w:val="00C10410"/>
    <w:rsid w:val="00C1077F"/>
    <w:rsid w:val="00C1082C"/>
    <w:rsid w:val="00C10A66"/>
    <w:rsid w:val="00C113AC"/>
    <w:rsid w:val="00C11568"/>
    <w:rsid w:val="00C1169B"/>
    <w:rsid w:val="00C11F6C"/>
    <w:rsid w:val="00C12312"/>
    <w:rsid w:val="00C12734"/>
    <w:rsid w:val="00C13231"/>
    <w:rsid w:val="00C138A4"/>
    <w:rsid w:val="00C14AEB"/>
    <w:rsid w:val="00C1522F"/>
    <w:rsid w:val="00C15328"/>
    <w:rsid w:val="00C15987"/>
    <w:rsid w:val="00C15EC3"/>
    <w:rsid w:val="00C169DD"/>
    <w:rsid w:val="00C17458"/>
    <w:rsid w:val="00C17610"/>
    <w:rsid w:val="00C178E1"/>
    <w:rsid w:val="00C20382"/>
    <w:rsid w:val="00C209F9"/>
    <w:rsid w:val="00C212F9"/>
    <w:rsid w:val="00C21A81"/>
    <w:rsid w:val="00C21BBF"/>
    <w:rsid w:val="00C231DA"/>
    <w:rsid w:val="00C23B2C"/>
    <w:rsid w:val="00C23BD2"/>
    <w:rsid w:val="00C23CBD"/>
    <w:rsid w:val="00C241F8"/>
    <w:rsid w:val="00C24A92"/>
    <w:rsid w:val="00C25202"/>
    <w:rsid w:val="00C25B8B"/>
    <w:rsid w:val="00C266D6"/>
    <w:rsid w:val="00C2797C"/>
    <w:rsid w:val="00C27C3D"/>
    <w:rsid w:val="00C27DF7"/>
    <w:rsid w:val="00C30244"/>
    <w:rsid w:val="00C30308"/>
    <w:rsid w:val="00C306BC"/>
    <w:rsid w:val="00C308FA"/>
    <w:rsid w:val="00C30F6F"/>
    <w:rsid w:val="00C3107B"/>
    <w:rsid w:val="00C337EB"/>
    <w:rsid w:val="00C33E39"/>
    <w:rsid w:val="00C33FF9"/>
    <w:rsid w:val="00C3465A"/>
    <w:rsid w:val="00C3476D"/>
    <w:rsid w:val="00C3485E"/>
    <w:rsid w:val="00C3489D"/>
    <w:rsid w:val="00C34C32"/>
    <w:rsid w:val="00C34D42"/>
    <w:rsid w:val="00C35CBE"/>
    <w:rsid w:val="00C36E92"/>
    <w:rsid w:val="00C37815"/>
    <w:rsid w:val="00C37FF4"/>
    <w:rsid w:val="00C40368"/>
    <w:rsid w:val="00C40C80"/>
    <w:rsid w:val="00C41452"/>
    <w:rsid w:val="00C41AC1"/>
    <w:rsid w:val="00C41D7F"/>
    <w:rsid w:val="00C41E6F"/>
    <w:rsid w:val="00C41EAF"/>
    <w:rsid w:val="00C42382"/>
    <w:rsid w:val="00C42B2D"/>
    <w:rsid w:val="00C43356"/>
    <w:rsid w:val="00C434A0"/>
    <w:rsid w:val="00C43EFD"/>
    <w:rsid w:val="00C43F40"/>
    <w:rsid w:val="00C44C76"/>
    <w:rsid w:val="00C44FF9"/>
    <w:rsid w:val="00C45F34"/>
    <w:rsid w:val="00C45FC8"/>
    <w:rsid w:val="00C46867"/>
    <w:rsid w:val="00C475AA"/>
    <w:rsid w:val="00C47B84"/>
    <w:rsid w:val="00C47F13"/>
    <w:rsid w:val="00C50E19"/>
    <w:rsid w:val="00C518F1"/>
    <w:rsid w:val="00C52BE0"/>
    <w:rsid w:val="00C52E12"/>
    <w:rsid w:val="00C52E45"/>
    <w:rsid w:val="00C532C9"/>
    <w:rsid w:val="00C55791"/>
    <w:rsid w:val="00C55EDB"/>
    <w:rsid w:val="00C55FF4"/>
    <w:rsid w:val="00C560AE"/>
    <w:rsid w:val="00C56488"/>
    <w:rsid w:val="00C5659B"/>
    <w:rsid w:val="00C56810"/>
    <w:rsid w:val="00C568B4"/>
    <w:rsid w:val="00C57041"/>
    <w:rsid w:val="00C57B8B"/>
    <w:rsid w:val="00C603FF"/>
    <w:rsid w:val="00C60871"/>
    <w:rsid w:val="00C609F9"/>
    <w:rsid w:val="00C6173B"/>
    <w:rsid w:val="00C61E35"/>
    <w:rsid w:val="00C61F1C"/>
    <w:rsid w:val="00C62EA3"/>
    <w:rsid w:val="00C63141"/>
    <w:rsid w:val="00C6361A"/>
    <w:rsid w:val="00C636FC"/>
    <w:rsid w:val="00C6385D"/>
    <w:rsid w:val="00C63DE7"/>
    <w:rsid w:val="00C647CF"/>
    <w:rsid w:val="00C65185"/>
    <w:rsid w:val="00C65406"/>
    <w:rsid w:val="00C6646A"/>
    <w:rsid w:val="00C67AA2"/>
    <w:rsid w:val="00C67AB5"/>
    <w:rsid w:val="00C67C02"/>
    <w:rsid w:val="00C70B99"/>
    <w:rsid w:val="00C70E42"/>
    <w:rsid w:val="00C71EF5"/>
    <w:rsid w:val="00C7212D"/>
    <w:rsid w:val="00C72144"/>
    <w:rsid w:val="00C72467"/>
    <w:rsid w:val="00C726D7"/>
    <w:rsid w:val="00C7390D"/>
    <w:rsid w:val="00C7430D"/>
    <w:rsid w:val="00C74B80"/>
    <w:rsid w:val="00C75031"/>
    <w:rsid w:val="00C75E8B"/>
    <w:rsid w:val="00C76135"/>
    <w:rsid w:val="00C767FE"/>
    <w:rsid w:val="00C76F7B"/>
    <w:rsid w:val="00C77364"/>
    <w:rsid w:val="00C7747B"/>
    <w:rsid w:val="00C77B66"/>
    <w:rsid w:val="00C77B67"/>
    <w:rsid w:val="00C77CE9"/>
    <w:rsid w:val="00C77E5F"/>
    <w:rsid w:val="00C802B2"/>
    <w:rsid w:val="00C80F54"/>
    <w:rsid w:val="00C8171A"/>
    <w:rsid w:val="00C81BD2"/>
    <w:rsid w:val="00C81C64"/>
    <w:rsid w:val="00C82205"/>
    <w:rsid w:val="00C8242C"/>
    <w:rsid w:val="00C827B0"/>
    <w:rsid w:val="00C82A40"/>
    <w:rsid w:val="00C830A2"/>
    <w:rsid w:val="00C8349E"/>
    <w:rsid w:val="00C83C67"/>
    <w:rsid w:val="00C8462C"/>
    <w:rsid w:val="00C84F1B"/>
    <w:rsid w:val="00C85960"/>
    <w:rsid w:val="00C85AB1"/>
    <w:rsid w:val="00C86173"/>
    <w:rsid w:val="00C875BB"/>
    <w:rsid w:val="00C8776F"/>
    <w:rsid w:val="00C902EE"/>
    <w:rsid w:val="00C90352"/>
    <w:rsid w:val="00C904C9"/>
    <w:rsid w:val="00C90D28"/>
    <w:rsid w:val="00C91670"/>
    <w:rsid w:val="00C942BE"/>
    <w:rsid w:val="00C961B2"/>
    <w:rsid w:val="00C96263"/>
    <w:rsid w:val="00C96482"/>
    <w:rsid w:val="00C96A5F"/>
    <w:rsid w:val="00C976C1"/>
    <w:rsid w:val="00C978B9"/>
    <w:rsid w:val="00CA0E76"/>
    <w:rsid w:val="00CA3719"/>
    <w:rsid w:val="00CA42D0"/>
    <w:rsid w:val="00CA4B9A"/>
    <w:rsid w:val="00CA4CC1"/>
    <w:rsid w:val="00CA5232"/>
    <w:rsid w:val="00CA5732"/>
    <w:rsid w:val="00CA630B"/>
    <w:rsid w:val="00CA6585"/>
    <w:rsid w:val="00CA6B11"/>
    <w:rsid w:val="00CA70D1"/>
    <w:rsid w:val="00CA7456"/>
    <w:rsid w:val="00CA7762"/>
    <w:rsid w:val="00CA79FF"/>
    <w:rsid w:val="00CB0630"/>
    <w:rsid w:val="00CB06A3"/>
    <w:rsid w:val="00CB0B35"/>
    <w:rsid w:val="00CB0C37"/>
    <w:rsid w:val="00CB0C75"/>
    <w:rsid w:val="00CB0D91"/>
    <w:rsid w:val="00CB1470"/>
    <w:rsid w:val="00CB215D"/>
    <w:rsid w:val="00CB29F9"/>
    <w:rsid w:val="00CB2B81"/>
    <w:rsid w:val="00CB3376"/>
    <w:rsid w:val="00CB3B10"/>
    <w:rsid w:val="00CB3D06"/>
    <w:rsid w:val="00CB5A3E"/>
    <w:rsid w:val="00CB5E51"/>
    <w:rsid w:val="00CB5F4F"/>
    <w:rsid w:val="00CB63DE"/>
    <w:rsid w:val="00CB6D49"/>
    <w:rsid w:val="00CB6DE7"/>
    <w:rsid w:val="00CC0181"/>
    <w:rsid w:val="00CC08AC"/>
    <w:rsid w:val="00CC0C10"/>
    <w:rsid w:val="00CC0FFA"/>
    <w:rsid w:val="00CC11DC"/>
    <w:rsid w:val="00CC25A6"/>
    <w:rsid w:val="00CC25F2"/>
    <w:rsid w:val="00CC2CBE"/>
    <w:rsid w:val="00CC3246"/>
    <w:rsid w:val="00CC3F41"/>
    <w:rsid w:val="00CC4300"/>
    <w:rsid w:val="00CC47E8"/>
    <w:rsid w:val="00CC4F4B"/>
    <w:rsid w:val="00CC5B0C"/>
    <w:rsid w:val="00CC6629"/>
    <w:rsid w:val="00CC7196"/>
    <w:rsid w:val="00CD00BB"/>
    <w:rsid w:val="00CD1206"/>
    <w:rsid w:val="00CD14E0"/>
    <w:rsid w:val="00CD1C04"/>
    <w:rsid w:val="00CD1F49"/>
    <w:rsid w:val="00CD1F6A"/>
    <w:rsid w:val="00CD204D"/>
    <w:rsid w:val="00CD2A6D"/>
    <w:rsid w:val="00CD2B48"/>
    <w:rsid w:val="00CD2E59"/>
    <w:rsid w:val="00CD3246"/>
    <w:rsid w:val="00CD398B"/>
    <w:rsid w:val="00CD3B05"/>
    <w:rsid w:val="00CD40A1"/>
    <w:rsid w:val="00CD5777"/>
    <w:rsid w:val="00CD5D04"/>
    <w:rsid w:val="00CD62C0"/>
    <w:rsid w:val="00CD631F"/>
    <w:rsid w:val="00CD6CA9"/>
    <w:rsid w:val="00CD7DBC"/>
    <w:rsid w:val="00CD7FBC"/>
    <w:rsid w:val="00CE0669"/>
    <w:rsid w:val="00CE06BC"/>
    <w:rsid w:val="00CE09EE"/>
    <w:rsid w:val="00CE0B34"/>
    <w:rsid w:val="00CE0C72"/>
    <w:rsid w:val="00CE0F33"/>
    <w:rsid w:val="00CE14D1"/>
    <w:rsid w:val="00CE1A54"/>
    <w:rsid w:val="00CE1ACE"/>
    <w:rsid w:val="00CE312B"/>
    <w:rsid w:val="00CE3175"/>
    <w:rsid w:val="00CE346F"/>
    <w:rsid w:val="00CE3A71"/>
    <w:rsid w:val="00CE4567"/>
    <w:rsid w:val="00CE5106"/>
    <w:rsid w:val="00CE5268"/>
    <w:rsid w:val="00CE5884"/>
    <w:rsid w:val="00CE59BC"/>
    <w:rsid w:val="00CE5E70"/>
    <w:rsid w:val="00CE5F87"/>
    <w:rsid w:val="00CE648A"/>
    <w:rsid w:val="00CE6748"/>
    <w:rsid w:val="00CE707D"/>
    <w:rsid w:val="00CE70EB"/>
    <w:rsid w:val="00CE7595"/>
    <w:rsid w:val="00CE797F"/>
    <w:rsid w:val="00CF03E8"/>
    <w:rsid w:val="00CF19F2"/>
    <w:rsid w:val="00CF1DA7"/>
    <w:rsid w:val="00CF2CDC"/>
    <w:rsid w:val="00CF2D89"/>
    <w:rsid w:val="00CF2F3F"/>
    <w:rsid w:val="00CF3180"/>
    <w:rsid w:val="00CF391D"/>
    <w:rsid w:val="00CF3CD6"/>
    <w:rsid w:val="00CF3FA1"/>
    <w:rsid w:val="00CF462C"/>
    <w:rsid w:val="00CF4676"/>
    <w:rsid w:val="00CF468E"/>
    <w:rsid w:val="00CF46CA"/>
    <w:rsid w:val="00CF4EEF"/>
    <w:rsid w:val="00CF53A5"/>
    <w:rsid w:val="00CF6A28"/>
    <w:rsid w:val="00CF7300"/>
    <w:rsid w:val="00CF73F1"/>
    <w:rsid w:val="00CF74A4"/>
    <w:rsid w:val="00CF7681"/>
    <w:rsid w:val="00D00D38"/>
    <w:rsid w:val="00D00EA3"/>
    <w:rsid w:val="00D021A1"/>
    <w:rsid w:val="00D0285A"/>
    <w:rsid w:val="00D02B07"/>
    <w:rsid w:val="00D0300F"/>
    <w:rsid w:val="00D0395C"/>
    <w:rsid w:val="00D03AC4"/>
    <w:rsid w:val="00D04785"/>
    <w:rsid w:val="00D04EA6"/>
    <w:rsid w:val="00D068D2"/>
    <w:rsid w:val="00D06C31"/>
    <w:rsid w:val="00D072A6"/>
    <w:rsid w:val="00D0777F"/>
    <w:rsid w:val="00D07BBC"/>
    <w:rsid w:val="00D07C3E"/>
    <w:rsid w:val="00D07CCF"/>
    <w:rsid w:val="00D07D4D"/>
    <w:rsid w:val="00D10795"/>
    <w:rsid w:val="00D10A04"/>
    <w:rsid w:val="00D10E0F"/>
    <w:rsid w:val="00D1170E"/>
    <w:rsid w:val="00D11C43"/>
    <w:rsid w:val="00D122E0"/>
    <w:rsid w:val="00D12574"/>
    <w:rsid w:val="00D12D84"/>
    <w:rsid w:val="00D1300E"/>
    <w:rsid w:val="00D134CA"/>
    <w:rsid w:val="00D13936"/>
    <w:rsid w:val="00D14358"/>
    <w:rsid w:val="00D158A9"/>
    <w:rsid w:val="00D15A23"/>
    <w:rsid w:val="00D15B47"/>
    <w:rsid w:val="00D15E8E"/>
    <w:rsid w:val="00D15EE3"/>
    <w:rsid w:val="00D15F4E"/>
    <w:rsid w:val="00D168C6"/>
    <w:rsid w:val="00D16F03"/>
    <w:rsid w:val="00D174CE"/>
    <w:rsid w:val="00D1765E"/>
    <w:rsid w:val="00D177B0"/>
    <w:rsid w:val="00D177D0"/>
    <w:rsid w:val="00D1784C"/>
    <w:rsid w:val="00D17C81"/>
    <w:rsid w:val="00D205D7"/>
    <w:rsid w:val="00D2132B"/>
    <w:rsid w:val="00D21FF5"/>
    <w:rsid w:val="00D2282C"/>
    <w:rsid w:val="00D229A0"/>
    <w:rsid w:val="00D22A55"/>
    <w:rsid w:val="00D236A0"/>
    <w:rsid w:val="00D238CE"/>
    <w:rsid w:val="00D23E7A"/>
    <w:rsid w:val="00D23EB7"/>
    <w:rsid w:val="00D23ED6"/>
    <w:rsid w:val="00D24EF9"/>
    <w:rsid w:val="00D25147"/>
    <w:rsid w:val="00D2653F"/>
    <w:rsid w:val="00D2673B"/>
    <w:rsid w:val="00D27288"/>
    <w:rsid w:val="00D27C71"/>
    <w:rsid w:val="00D30ED5"/>
    <w:rsid w:val="00D3144D"/>
    <w:rsid w:val="00D32A2C"/>
    <w:rsid w:val="00D32BC9"/>
    <w:rsid w:val="00D32F96"/>
    <w:rsid w:val="00D332AB"/>
    <w:rsid w:val="00D33370"/>
    <w:rsid w:val="00D335A4"/>
    <w:rsid w:val="00D340EC"/>
    <w:rsid w:val="00D34FAC"/>
    <w:rsid w:val="00D35735"/>
    <w:rsid w:val="00D35D84"/>
    <w:rsid w:val="00D37CB7"/>
    <w:rsid w:val="00D37E91"/>
    <w:rsid w:val="00D414D3"/>
    <w:rsid w:val="00D4223A"/>
    <w:rsid w:val="00D42F00"/>
    <w:rsid w:val="00D4381A"/>
    <w:rsid w:val="00D43E5D"/>
    <w:rsid w:val="00D4412D"/>
    <w:rsid w:val="00D44346"/>
    <w:rsid w:val="00D45678"/>
    <w:rsid w:val="00D45E09"/>
    <w:rsid w:val="00D46708"/>
    <w:rsid w:val="00D4685E"/>
    <w:rsid w:val="00D47495"/>
    <w:rsid w:val="00D47D67"/>
    <w:rsid w:val="00D50CF3"/>
    <w:rsid w:val="00D513AA"/>
    <w:rsid w:val="00D51A8E"/>
    <w:rsid w:val="00D52065"/>
    <w:rsid w:val="00D52B0D"/>
    <w:rsid w:val="00D5346D"/>
    <w:rsid w:val="00D53707"/>
    <w:rsid w:val="00D5396B"/>
    <w:rsid w:val="00D5550F"/>
    <w:rsid w:val="00D55B69"/>
    <w:rsid w:val="00D566D3"/>
    <w:rsid w:val="00D56A70"/>
    <w:rsid w:val="00D57DBC"/>
    <w:rsid w:val="00D603D3"/>
    <w:rsid w:val="00D6076F"/>
    <w:rsid w:val="00D608C4"/>
    <w:rsid w:val="00D60AB1"/>
    <w:rsid w:val="00D61044"/>
    <w:rsid w:val="00D6193B"/>
    <w:rsid w:val="00D61E80"/>
    <w:rsid w:val="00D62569"/>
    <w:rsid w:val="00D627C1"/>
    <w:rsid w:val="00D62C3F"/>
    <w:rsid w:val="00D6362C"/>
    <w:rsid w:val="00D64936"/>
    <w:rsid w:val="00D654BB"/>
    <w:rsid w:val="00D65D58"/>
    <w:rsid w:val="00D6633B"/>
    <w:rsid w:val="00D672FE"/>
    <w:rsid w:val="00D67507"/>
    <w:rsid w:val="00D675C3"/>
    <w:rsid w:val="00D67679"/>
    <w:rsid w:val="00D702E7"/>
    <w:rsid w:val="00D705AB"/>
    <w:rsid w:val="00D7099F"/>
    <w:rsid w:val="00D717CF"/>
    <w:rsid w:val="00D72280"/>
    <w:rsid w:val="00D723FB"/>
    <w:rsid w:val="00D725B0"/>
    <w:rsid w:val="00D727E7"/>
    <w:rsid w:val="00D738B8"/>
    <w:rsid w:val="00D745C1"/>
    <w:rsid w:val="00D74684"/>
    <w:rsid w:val="00D748F5"/>
    <w:rsid w:val="00D74DC1"/>
    <w:rsid w:val="00D753A9"/>
    <w:rsid w:val="00D75B35"/>
    <w:rsid w:val="00D75D07"/>
    <w:rsid w:val="00D75E66"/>
    <w:rsid w:val="00D771B7"/>
    <w:rsid w:val="00D774EE"/>
    <w:rsid w:val="00D776E9"/>
    <w:rsid w:val="00D77B2A"/>
    <w:rsid w:val="00D80125"/>
    <w:rsid w:val="00D8052D"/>
    <w:rsid w:val="00D807AF"/>
    <w:rsid w:val="00D80AC6"/>
    <w:rsid w:val="00D80CF7"/>
    <w:rsid w:val="00D8170E"/>
    <w:rsid w:val="00D81830"/>
    <w:rsid w:val="00D8204F"/>
    <w:rsid w:val="00D82C07"/>
    <w:rsid w:val="00D84718"/>
    <w:rsid w:val="00D84B3E"/>
    <w:rsid w:val="00D85CB5"/>
    <w:rsid w:val="00D861DC"/>
    <w:rsid w:val="00D8784C"/>
    <w:rsid w:val="00D87AD8"/>
    <w:rsid w:val="00D900A1"/>
    <w:rsid w:val="00D9065C"/>
    <w:rsid w:val="00D90920"/>
    <w:rsid w:val="00D90A19"/>
    <w:rsid w:val="00D90CBD"/>
    <w:rsid w:val="00D91209"/>
    <w:rsid w:val="00D91CF6"/>
    <w:rsid w:val="00D926E9"/>
    <w:rsid w:val="00D92D6C"/>
    <w:rsid w:val="00D92F2E"/>
    <w:rsid w:val="00D93651"/>
    <w:rsid w:val="00D93A72"/>
    <w:rsid w:val="00D95107"/>
    <w:rsid w:val="00D95DDA"/>
    <w:rsid w:val="00D9609F"/>
    <w:rsid w:val="00D96816"/>
    <w:rsid w:val="00D96A14"/>
    <w:rsid w:val="00D96C3B"/>
    <w:rsid w:val="00D96FB7"/>
    <w:rsid w:val="00D97057"/>
    <w:rsid w:val="00DA200D"/>
    <w:rsid w:val="00DA205B"/>
    <w:rsid w:val="00DA20BC"/>
    <w:rsid w:val="00DA25B9"/>
    <w:rsid w:val="00DA2C2D"/>
    <w:rsid w:val="00DA30B9"/>
    <w:rsid w:val="00DA33BB"/>
    <w:rsid w:val="00DA3735"/>
    <w:rsid w:val="00DA4AE6"/>
    <w:rsid w:val="00DA55D3"/>
    <w:rsid w:val="00DA62E2"/>
    <w:rsid w:val="00DA788A"/>
    <w:rsid w:val="00DA794E"/>
    <w:rsid w:val="00DA7EB0"/>
    <w:rsid w:val="00DB06CA"/>
    <w:rsid w:val="00DB078D"/>
    <w:rsid w:val="00DB07C6"/>
    <w:rsid w:val="00DB0DBE"/>
    <w:rsid w:val="00DB104B"/>
    <w:rsid w:val="00DB10E5"/>
    <w:rsid w:val="00DB1B21"/>
    <w:rsid w:val="00DB279A"/>
    <w:rsid w:val="00DB29E0"/>
    <w:rsid w:val="00DB30A0"/>
    <w:rsid w:val="00DB3209"/>
    <w:rsid w:val="00DB3324"/>
    <w:rsid w:val="00DB3EB3"/>
    <w:rsid w:val="00DB49EE"/>
    <w:rsid w:val="00DB643B"/>
    <w:rsid w:val="00DC0D45"/>
    <w:rsid w:val="00DC1297"/>
    <w:rsid w:val="00DC1552"/>
    <w:rsid w:val="00DC15C3"/>
    <w:rsid w:val="00DC1682"/>
    <w:rsid w:val="00DC1D4D"/>
    <w:rsid w:val="00DC230D"/>
    <w:rsid w:val="00DC25CE"/>
    <w:rsid w:val="00DC29B4"/>
    <w:rsid w:val="00DC30AF"/>
    <w:rsid w:val="00DC353A"/>
    <w:rsid w:val="00DC3799"/>
    <w:rsid w:val="00DC3DAA"/>
    <w:rsid w:val="00DC45EB"/>
    <w:rsid w:val="00DC49FA"/>
    <w:rsid w:val="00DC4ACF"/>
    <w:rsid w:val="00DC50F4"/>
    <w:rsid w:val="00DC52E8"/>
    <w:rsid w:val="00DC5D61"/>
    <w:rsid w:val="00DD0E18"/>
    <w:rsid w:val="00DD10EA"/>
    <w:rsid w:val="00DD11A3"/>
    <w:rsid w:val="00DD1F6F"/>
    <w:rsid w:val="00DD204A"/>
    <w:rsid w:val="00DD2536"/>
    <w:rsid w:val="00DD27FC"/>
    <w:rsid w:val="00DD2C40"/>
    <w:rsid w:val="00DD2F5D"/>
    <w:rsid w:val="00DD40F8"/>
    <w:rsid w:val="00DD45FB"/>
    <w:rsid w:val="00DD4AE0"/>
    <w:rsid w:val="00DD4E76"/>
    <w:rsid w:val="00DD4F1C"/>
    <w:rsid w:val="00DD5109"/>
    <w:rsid w:val="00DD512B"/>
    <w:rsid w:val="00DD5708"/>
    <w:rsid w:val="00DD5917"/>
    <w:rsid w:val="00DD60B4"/>
    <w:rsid w:val="00DD64D2"/>
    <w:rsid w:val="00DD77BE"/>
    <w:rsid w:val="00DD7D08"/>
    <w:rsid w:val="00DE02D6"/>
    <w:rsid w:val="00DE1D74"/>
    <w:rsid w:val="00DE2C4C"/>
    <w:rsid w:val="00DE2DDF"/>
    <w:rsid w:val="00DE33B4"/>
    <w:rsid w:val="00DE35CD"/>
    <w:rsid w:val="00DE3E51"/>
    <w:rsid w:val="00DE3FCA"/>
    <w:rsid w:val="00DE420D"/>
    <w:rsid w:val="00DE5854"/>
    <w:rsid w:val="00DE6001"/>
    <w:rsid w:val="00DE604B"/>
    <w:rsid w:val="00DE6206"/>
    <w:rsid w:val="00DE6AC6"/>
    <w:rsid w:val="00DE6FC1"/>
    <w:rsid w:val="00DE7AB2"/>
    <w:rsid w:val="00DE7DB2"/>
    <w:rsid w:val="00DF0D87"/>
    <w:rsid w:val="00DF1111"/>
    <w:rsid w:val="00DF13E2"/>
    <w:rsid w:val="00DF1F90"/>
    <w:rsid w:val="00DF20C1"/>
    <w:rsid w:val="00DF26B8"/>
    <w:rsid w:val="00DF325B"/>
    <w:rsid w:val="00DF36FA"/>
    <w:rsid w:val="00DF3937"/>
    <w:rsid w:val="00DF47D3"/>
    <w:rsid w:val="00DF6668"/>
    <w:rsid w:val="00DF669E"/>
    <w:rsid w:val="00DF7AA8"/>
    <w:rsid w:val="00E00204"/>
    <w:rsid w:val="00E0024C"/>
    <w:rsid w:val="00E00BBE"/>
    <w:rsid w:val="00E0160F"/>
    <w:rsid w:val="00E02803"/>
    <w:rsid w:val="00E0381D"/>
    <w:rsid w:val="00E04648"/>
    <w:rsid w:val="00E04C9D"/>
    <w:rsid w:val="00E05A6E"/>
    <w:rsid w:val="00E062E1"/>
    <w:rsid w:val="00E068B2"/>
    <w:rsid w:val="00E06AE2"/>
    <w:rsid w:val="00E07580"/>
    <w:rsid w:val="00E10950"/>
    <w:rsid w:val="00E115AD"/>
    <w:rsid w:val="00E1173A"/>
    <w:rsid w:val="00E11FC1"/>
    <w:rsid w:val="00E1201A"/>
    <w:rsid w:val="00E13D65"/>
    <w:rsid w:val="00E1442F"/>
    <w:rsid w:val="00E14923"/>
    <w:rsid w:val="00E155A6"/>
    <w:rsid w:val="00E15844"/>
    <w:rsid w:val="00E15A76"/>
    <w:rsid w:val="00E1614A"/>
    <w:rsid w:val="00E17180"/>
    <w:rsid w:val="00E17DAD"/>
    <w:rsid w:val="00E20601"/>
    <w:rsid w:val="00E2134E"/>
    <w:rsid w:val="00E21AFC"/>
    <w:rsid w:val="00E21CC5"/>
    <w:rsid w:val="00E2249C"/>
    <w:rsid w:val="00E231FF"/>
    <w:rsid w:val="00E23277"/>
    <w:rsid w:val="00E23959"/>
    <w:rsid w:val="00E23D7E"/>
    <w:rsid w:val="00E23F1C"/>
    <w:rsid w:val="00E247FA"/>
    <w:rsid w:val="00E24A37"/>
    <w:rsid w:val="00E24B79"/>
    <w:rsid w:val="00E257ED"/>
    <w:rsid w:val="00E25D71"/>
    <w:rsid w:val="00E25F39"/>
    <w:rsid w:val="00E26162"/>
    <w:rsid w:val="00E26907"/>
    <w:rsid w:val="00E27A65"/>
    <w:rsid w:val="00E307BF"/>
    <w:rsid w:val="00E30828"/>
    <w:rsid w:val="00E308C0"/>
    <w:rsid w:val="00E31117"/>
    <w:rsid w:val="00E321C7"/>
    <w:rsid w:val="00E32597"/>
    <w:rsid w:val="00E325D5"/>
    <w:rsid w:val="00E32E97"/>
    <w:rsid w:val="00E339B3"/>
    <w:rsid w:val="00E33E5E"/>
    <w:rsid w:val="00E341A2"/>
    <w:rsid w:val="00E341E5"/>
    <w:rsid w:val="00E345AE"/>
    <w:rsid w:val="00E34742"/>
    <w:rsid w:val="00E35649"/>
    <w:rsid w:val="00E35768"/>
    <w:rsid w:val="00E35976"/>
    <w:rsid w:val="00E35CFB"/>
    <w:rsid w:val="00E35D83"/>
    <w:rsid w:val="00E36354"/>
    <w:rsid w:val="00E367C0"/>
    <w:rsid w:val="00E368C8"/>
    <w:rsid w:val="00E369DF"/>
    <w:rsid w:val="00E3708B"/>
    <w:rsid w:val="00E40990"/>
    <w:rsid w:val="00E40C17"/>
    <w:rsid w:val="00E40E5A"/>
    <w:rsid w:val="00E435A0"/>
    <w:rsid w:val="00E43CD3"/>
    <w:rsid w:val="00E44143"/>
    <w:rsid w:val="00E4457A"/>
    <w:rsid w:val="00E44BED"/>
    <w:rsid w:val="00E44DDE"/>
    <w:rsid w:val="00E44E34"/>
    <w:rsid w:val="00E45210"/>
    <w:rsid w:val="00E46D64"/>
    <w:rsid w:val="00E47B8D"/>
    <w:rsid w:val="00E5057B"/>
    <w:rsid w:val="00E5127B"/>
    <w:rsid w:val="00E51430"/>
    <w:rsid w:val="00E51C0A"/>
    <w:rsid w:val="00E51CF2"/>
    <w:rsid w:val="00E52B75"/>
    <w:rsid w:val="00E530E3"/>
    <w:rsid w:val="00E53BB6"/>
    <w:rsid w:val="00E540B1"/>
    <w:rsid w:val="00E543F1"/>
    <w:rsid w:val="00E5491C"/>
    <w:rsid w:val="00E54CE0"/>
    <w:rsid w:val="00E5564B"/>
    <w:rsid w:val="00E55DA3"/>
    <w:rsid w:val="00E56196"/>
    <w:rsid w:val="00E56E6F"/>
    <w:rsid w:val="00E573B5"/>
    <w:rsid w:val="00E57ACF"/>
    <w:rsid w:val="00E605FD"/>
    <w:rsid w:val="00E608E1"/>
    <w:rsid w:val="00E6101B"/>
    <w:rsid w:val="00E61366"/>
    <w:rsid w:val="00E61834"/>
    <w:rsid w:val="00E61EA3"/>
    <w:rsid w:val="00E62610"/>
    <w:rsid w:val="00E62A08"/>
    <w:rsid w:val="00E62BF8"/>
    <w:rsid w:val="00E62F7E"/>
    <w:rsid w:val="00E63081"/>
    <w:rsid w:val="00E6415F"/>
    <w:rsid w:val="00E64508"/>
    <w:rsid w:val="00E6469F"/>
    <w:rsid w:val="00E66289"/>
    <w:rsid w:val="00E662EB"/>
    <w:rsid w:val="00E66480"/>
    <w:rsid w:val="00E670C6"/>
    <w:rsid w:val="00E67435"/>
    <w:rsid w:val="00E67518"/>
    <w:rsid w:val="00E6755B"/>
    <w:rsid w:val="00E678E2"/>
    <w:rsid w:val="00E67979"/>
    <w:rsid w:val="00E67FA0"/>
    <w:rsid w:val="00E702B8"/>
    <w:rsid w:val="00E7042C"/>
    <w:rsid w:val="00E70C1B"/>
    <w:rsid w:val="00E70F7A"/>
    <w:rsid w:val="00E71088"/>
    <w:rsid w:val="00E71175"/>
    <w:rsid w:val="00E7198D"/>
    <w:rsid w:val="00E723CE"/>
    <w:rsid w:val="00E730C0"/>
    <w:rsid w:val="00E73526"/>
    <w:rsid w:val="00E739B9"/>
    <w:rsid w:val="00E7403B"/>
    <w:rsid w:val="00E74DAE"/>
    <w:rsid w:val="00E74F94"/>
    <w:rsid w:val="00E7506E"/>
    <w:rsid w:val="00E7527A"/>
    <w:rsid w:val="00E762D9"/>
    <w:rsid w:val="00E765A2"/>
    <w:rsid w:val="00E76BE1"/>
    <w:rsid w:val="00E76F00"/>
    <w:rsid w:val="00E76FC6"/>
    <w:rsid w:val="00E77123"/>
    <w:rsid w:val="00E77368"/>
    <w:rsid w:val="00E777BD"/>
    <w:rsid w:val="00E77AEA"/>
    <w:rsid w:val="00E81249"/>
    <w:rsid w:val="00E81FD9"/>
    <w:rsid w:val="00E83130"/>
    <w:rsid w:val="00E833CA"/>
    <w:rsid w:val="00E837F7"/>
    <w:rsid w:val="00E83D7F"/>
    <w:rsid w:val="00E83DE9"/>
    <w:rsid w:val="00E841EC"/>
    <w:rsid w:val="00E85179"/>
    <w:rsid w:val="00E8545F"/>
    <w:rsid w:val="00E85CD4"/>
    <w:rsid w:val="00E85D30"/>
    <w:rsid w:val="00E86ACB"/>
    <w:rsid w:val="00E87934"/>
    <w:rsid w:val="00E87DC1"/>
    <w:rsid w:val="00E90925"/>
    <w:rsid w:val="00E92A2F"/>
    <w:rsid w:val="00E945A2"/>
    <w:rsid w:val="00E96ED1"/>
    <w:rsid w:val="00E971C7"/>
    <w:rsid w:val="00E97324"/>
    <w:rsid w:val="00E97634"/>
    <w:rsid w:val="00E97A4F"/>
    <w:rsid w:val="00EA02A3"/>
    <w:rsid w:val="00EA04D6"/>
    <w:rsid w:val="00EA0EAD"/>
    <w:rsid w:val="00EA0EFE"/>
    <w:rsid w:val="00EA139C"/>
    <w:rsid w:val="00EA1A71"/>
    <w:rsid w:val="00EA1AA3"/>
    <w:rsid w:val="00EA1F23"/>
    <w:rsid w:val="00EA1FA8"/>
    <w:rsid w:val="00EA2355"/>
    <w:rsid w:val="00EA2702"/>
    <w:rsid w:val="00EA2A06"/>
    <w:rsid w:val="00EA351F"/>
    <w:rsid w:val="00EA4208"/>
    <w:rsid w:val="00EA475D"/>
    <w:rsid w:val="00EA4C2F"/>
    <w:rsid w:val="00EA4D82"/>
    <w:rsid w:val="00EA53FC"/>
    <w:rsid w:val="00EA56E3"/>
    <w:rsid w:val="00EA5942"/>
    <w:rsid w:val="00EB02C6"/>
    <w:rsid w:val="00EB05CF"/>
    <w:rsid w:val="00EB0C0E"/>
    <w:rsid w:val="00EB0EB9"/>
    <w:rsid w:val="00EB0F3F"/>
    <w:rsid w:val="00EB105F"/>
    <w:rsid w:val="00EB108F"/>
    <w:rsid w:val="00EB14C4"/>
    <w:rsid w:val="00EB2881"/>
    <w:rsid w:val="00EB32A5"/>
    <w:rsid w:val="00EB32DF"/>
    <w:rsid w:val="00EB383B"/>
    <w:rsid w:val="00EB3CCB"/>
    <w:rsid w:val="00EB4158"/>
    <w:rsid w:val="00EB45D5"/>
    <w:rsid w:val="00EB45EC"/>
    <w:rsid w:val="00EB4604"/>
    <w:rsid w:val="00EB5047"/>
    <w:rsid w:val="00EB6CBF"/>
    <w:rsid w:val="00EB7025"/>
    <w:rsid w:val="00EC0A29"/>
    <w:rsid w:val="00EC0F3C"/>
    <w:rsid w:val="00EC11B9"/>
    <w:rsid w:val="00EC1517"/>
    <w:rsid w:val="00EC1B8B"/>
    <w:rsid w:val="00EC220A"/>
    <w:rsid w:val="00EC239D"/>
    <w:rsid w:val="00EC2F2A"/>
    <w:rsid w:val="00EC2F8C"/>
    <w:rsid w:val="00EC3AAA"/>
    <w:rsid w:val="00EC3C35"/>
    <w:rsid w:val="00EC5581"/>
    <w:rsid w:val="00EC578A"/>
    <w:rsid w:val="00EC6A32"/>
    <w:rsid w:val="00EC7654"/>
    <w:rsid w:val="00EC7ACD"/>
    <w:rsid w:val="00EC7AD1"/>
    <w:rsid w:val="00EC7C07"/>
    <w:rsid w:val="00ED003E"/>
    <w:rsid w:val="00ED062F"/>
    <w:rsid w:val="00ED0D29"/>
    <w:rsid w:val="00ED0EF5"/>
    <w:rsid w:val="00ED1356"/>
    <w:rsid w:val="00ED1454"/>
    <w:rsid w:val="00ED16EB"/>
    <w:rsid w:val="00ED1826"/>
    <w:rsid w:val="00ED1A6A"/>
    <w:rsid w:val="00ED261D"/>
    <w:rsid w:val="00ED2841"/>
    <w:rsid w:val="00ED2DFB"/>
    <w:rsid w:val="00ED436B"/>
    <w:rsid w:val="00ED47EB"/>
    <w:rsid w:val="00ED509F"/>
    <w:rsid w:val="00ED6B35"/>
    <w:rsid w:val="00ED6D4E"/>
    <w:rsid w:val="00ED7CDD"/>
    <w:rsid w:val="00ED7E7F"/>
    <w:rsid w:val="00EE0021"/>
    <w:rsid w:val="00EE05BE"/>
    <w:rsid w:val="00EE09AB"/>
    <w:rsid w:val="00EE1C5A"/>
    <w:rsid w:val="00EE271A"/>
    <w:rsid w:val="00EE2AE7"/>
    <w:rsid w:val="00EE3898"/>
    <w:rsid w:val="00EE3B46"/>
    <w:rsid w:val="00EE3D34"/>
    <w:rsid w:val="00EE41BE"/>
    <w:rsid w:val="00EE545F"/>
    <w:rsid w:val="00EE5AD4"/>
    <w:rsid w:val="00EE5D08"/>
    <w:rsid w:val="00EE5D33"/>
    <w:rsid w:val="00EE5FE2"/>
    <w:rsid w:val="00EE76C7"/>
    <w:rsid w:val="00EE7FD1"/>
    <w:rsid w:val="00EF0410"/>
    <w:rsid w:val="00EF0609"/>
    <w:rsid w:val="00EF0814"/>
    <w:rsid w:val="00EF107C"/>
    <w:rsid w:val="00EF1263"/>
    <w:rsid w:val="00EF27F6"/>
    <w:rsid w:val="00EF2D34"/>
    <w:rsid w:val="00EF30E1"/>
    <w:rsid w:val="00EF4889"/>
    <w:rsid w:val="00EF48AB"/>
    <w:rsid w:val="00EF52A3"/>
    <w:rsid w:val="00EF6589"/>
    <w:rsid w:val="00EF6B6A"/>
    <w:rsid w:val="00EF7087"/>
    <w:rsid w:val="00EF7563"/>
    <w:rsid w:val="00EF7928"/>
    <w:rsid w:val="00EF7D83"/>
    <w:rsid w:val="00EF7F14"/>
    <w:rsid w:val="00F00B0F"/>
    <w:rsid w:val="00F01129"/>
    <w:rsid w:val="00F01864"/>
    <w:rsid w:val="00F01E79"/>
    <w:rsid w:val="00F023DA"/>
    <w:rsid w:val="00F0338D"/>
    <w:rsid w:val="00F043A6"/>
    <w:rsid w:val="00F048E4"/>
    <w:rsid w:val="00F04B07"/>
    <w:rsid w:val="00F04B43"/>
    <w:rsid w:val="00F04BD6"/>
    <w:rsid w:val="00F05031"/>
    <w:rsid w:val="00F0529D"/>
    <w:rsid w:val="00F05C1A"/>
    <w:rsid w:val="00F05C3A"/>
    <w:rsid w:val="00F05CC0"/>
    <w:rsid w:val="00F07D40"/>
    <w:rsid w:val="00F1022C"/>
    <w:rsid w:val="00F10420"/>
    <w:rsid w:val="00F10E3B"/>
    <w:rsid w:val="00F11C89"/>
    <w:rsid w:val="00F11FC0"/>
    <w:rsid w:val="00F12221"/>
    <w:rsid w:val="00F123B3"/>
    <w:rsid w:val="00F126EC"/>
    <w:rsid w:val="00F1298C"/>
    <w:rsid w:val="00F12D1B"/>
    <w:rsid w:val="00F133BB"/>
    <w:rsid w:val="00F13A42"/>
    <w:rsid w:val="00F13E02"/>
    <w:rsid w:val="00F13FCB"/>
    <w:rsid w:val="00F1471B"/>
    <w:rsid w:val="00F14872"/>
    <w:rsid w:val="00F14B46"/>
    <w:rsid w:val="00F15970"/>
    <w:rsid w:val="00F164A5"/>
    <w:rsid w:val="00F165A7"/>
    <w:rsid w:val="00F16C1F"/>
    <w:rsid w:val="00F176A1"/>
    <w:rsid w:val="00F17CEA"/>
    <w:rsid w:val="00F2033C"/>
    <w:rsid w:val="00F2081C"/>
    <w:rsid w:val="00F213A1"/>
    <w:rsid w:val="00F22904"/>
    <w:rsid w:val="00F22ACC"/>
    <w:rsid w:val="00F22EB4"/>
    <w:rsid w:val="00F23243"/>
    <w:rsid w:val="00F233E7"/>
    <w:rsid w:val="00F233E8"/>
    <w:rsid w:val="00F23837"/>
    <w:rsid w:val="00F23E51"/>
    <w:rsid w:val="00F2429E"/>
    <w:rsid w:val="00F244AE"/>
    <w:rsid w:val="00F2451F"/>
    <w:rsid w:val="00F24B73"/>
    <w:rsid w:val="00F24CF3"/>
    <w:rsid w:val="00F24E1C"/>
    <w:rsid w:val="00F25099"/>
    <w:rsid w:val="00F2662B"/>
    <w:rsid w:val="00F26E4C"/>
    <w:rsid w:val="00F2725E"/>
    <w:rsid w:val="00F273AF"/>
    <w:rsid w:val="00F30122"/>
    <w:rsid w:val="00F30281"/>
    <w:rsid w:val="00F304F5"/>
    <w:rsid w:val="00F31554"/>
    <w:rsid w:val="00F315C6"/>
    <w:rsid w:val="00F31913"/>
    <w:rsid w:val="00F320FB"/>
    <w:rsid w:val="00F32318"/>
    <w:rsid w:val="00F32349"/>
    <w:rsid w:val="00F32641"/>
    <w:rsid w:val="00F3328E"/>
    <w:rsid w:val="00F3349E"/>
    <w:rsid w:val="00F33A01"/>
    <w:rsid w:val="00F33A33"/>
    <w:rsid w:val="00F34755"/>
    <w:rsid w:val="00F3480C"/>
    <w:rsid w:val="00F35BB9"/>
    <w:rsid w:val="00F365E6"/>
    <w:rsid w:val="00F36A4C"/>
    <w:rsid w:val="00F36D6C"/>
    <w:rsid w:val="00F3745D"/>
    <w:rsid w:val="00F378F7"/>
    <w:rsid w:val="00F37A9D"/>
    <w:rsid w:val="00F37C7A"/>
    <w:rsid w:val="00F4046F"/>
    <w:rsid w:val="00F4088C"/>
    <w:rsid w:val="00F40B43"/>
    <w:rsid w:val="00F41323"/>
    <w:rsid w:val="00F42B7E"/>
    <w:rsid w:val="00F4466E"/>
    <w:rsid w:val="00F45846"/>
    <w:rsid w:val="00F46862"/>
    <w:rsid w:val="00F46C22"/>
    <w:rsid w:val="00F47BFB"/>
    <w:rsid w:val="00F47EE3"/>
    <w:rsid w:val="00F51596"/>
    <w:rsid w:val="00F52209"/>
    <w:rsid w:val="00F5243D"/>
    <w:rsid w:val="00F53938"/>
    <w:rsid w:val="00F53BD0"/>
    <w:rsid w:val="00F54354"/>
    <w:rsid w:val="00F5448F"/>
    <w:rsid w:val="00F54608"/>
    <w:rsid w:val="00F54A44"/>
    <w:rsid w:val="00F55439"/>
    <w:rsid w:val="00F55BBD"/>
    <w:rsid w:val="00F56877"/>
    <w:rsid w:val="00F56A7A"/>
    <w:rsid w:val="00F57BD2"/>
    <w:rsid w:val="00F602E0"/>
    <w:rsid w:val="00F609FD"/>
    <w:rsid w:val="00F60BF6"/>
    <w:rsid w:val="00F60C4B"/>
    <w:rsid w:val="00F619BB"/>
    <w:rsid w:val="00F62040"/>
    <w:rsid w:val="00F62145"/>
    <w:rsid w:val="00F63AEC"/>
    <w:rsid w:val="00F6463B"/>
    <w:rsid w:val="00F667C7"/>
    <w:rsid w:val="00F6699E"/>
    <w:rsid w:val="00F66D52"/>
    <w:rsid w:val="00F67040"/>
    <w:rsid w:val="00F6729A"/>
    <w:rsid w:val="00F67D20"/>
    <w:rsid w:val="00F67E4C"/>
    <w:rsid w:val="00F7024B"/>
    <w:rsid w:val="00F705E1"/>
    <w:rsid w:val="00F70F1B"/>
    <w:rsid w:val="00F71297"/>
    <w:rsid w:val="00F715B4"/>
    <w:rsid w:val="00F7180C"/>
    <w:rsid w:val="00F720A8"/>
    <w:rsid w:val="00F73432"/>
    <w:rsid w:val="00F73542"/>
    <w:rsid w:val="00F73737"/>
    <w:rsid w:val="00F74C2C"/>
    <w:rsid w:val="00F7519A"/>
    <w:rsid w:val="00F757CD"/>
    <w:rsid w:val="00F77A2A"/>
    <w:rsid w:val="00F80CAD"/>
    <w:rsid w:val="00F80F27"/>
    <w:rsid w:val="00F810FB"/>
    <w:rsid w:val="00F8150C"/>
    <w:rsid w:val="00F818A7"/>
    <w:rsid w:val="00F82303"/>
    <w:rsid w:val="00F823D9"/>
    <w:rsid w:val="00F83039"/>
    <w:rsid w:val="00F83136"/>
    <w:rsid w:val="00F836C9"/>
    <w:rsid w:val="00F840BA"/>
    <w:rsid w:val="00F8441E"/>
    <w:rsid w:val="00F85B38"/>
    <w:rsid w:val="00F86CF3"/>
    <w:rsid w:val="00F900CC"/>
    <w:rsid w:val="00F9016D"/>
    <w:rsid w:val="00F9052F"/>
    <w:rsid w:val="00F90DE7"/>
    <w:rsid w:val="00F90E04"/>
    <w:rsid w:val="00F91AFE"/>
    <w:rsid w:val="00F94A27"/>
    <w:rsid w:val="00F94DA5"/>
    <w:rsid w:val="00F94E71"/>
    <w:rsid w:val="00F95A01"/>
    <w:rsid w:val="00F95CA4"/>
    <w:rsid w:val="00F95F0A"/>
    <w:rsid w:val="00F96661"/>
    <w:rsid w:val="00F96919"/>
    <w:rsid w:val="00F97C57"/>
    <w:rsid w:val="00FA0404"/>
    <w:rsid w:val="00FA05E5"/>
    <w:rsid w:val="00FA1A19"/>
    <w:rsid w:val="00FA1C06"/>
    <w:rsid w:val="00FA2F0B"/>
    <w:rsid w:val="00FA338C"/>
    <w:rsid w:val="00FA3467"/>
    <w:rsid w:val="00FA440D"/>
    <w:rsid w:val="00FA46EA"/>
    <w:rsid w:val="00FA4F90"/>
    <w:rsid w:val="00FA52E8"/>
    <w:rsid w:val="00FA599A"/>
    <w:rsid w:val="00FA5A29"/>
    <w:rsid w:val="00FA6987"/>
    <w:rsid w:val="00FA7480"/>
    <w:rsid w:val="00FB08F3"/>
    <w:rsid w:val="00FB229A"/>
    <w:rsid w:val="00FB2C98"/>
    <w:rsid w:val="00FB36EF"/>
    <w:rsid w:val="00FB3B61"/>
    <w:rsid w:val="00FB56F0"/>
    <w:rsid w:val="00FB574C"/>
    <w:rsid w:val="00FB5F17"/>
    <w:rsid w:val="00FB6002"/>
    <w:rsid w:val="00FB6512"/>
    <w:rsid w:val="00FB6E1D"/>
    <w:rsid w:val="00FB7EAF"/>
    <w:rsid w:val="00FC02C8"/>
    <w:rsid w:val="00FC19C3"/>
    <w:rsid w:val="00FC1EF5"/>
    <w:rsid w:val="00FC2CDA"/>
    <w:rsid w:val="00FC3358"/>
    <w:rsid w:val="00FC3B62"/>
    <w:rsid w:val="00FC3F93"/>
    <w:rsid w:val="00FC45E2"/>
    <w:rsid w:val="00FC494D"/>
    <w:rsid w:val="00FC4DED"/>
    <w:rsid w:val="00FC5C6A"/>
    <w:rsid w:val="00FC6206"/>
    <w:rsid w:val="00FC6906"/>
    <w:rsid w:val="00FC6C28"/>
    <w:rsid w:val="00FC6D72"/>
    <w:rsid w:val="00FC7301"/>
    <w:rsid w:val="00FD0F0E"/>
    <w:rsid w:val="00FD13CB"/>
    <w:rsid w:val="00FD1418"/>
    <w:rsid w:val="00FD14C7"/>
    <w:rsid w:val="00FD1ED3"/>
    <w:rsid w:val="00FD1EF4"/>
    <w:rsid w:val="00FD1FDC"/>
    <w:rsid w:val="00FD2084"/>
    <w:rsid w:val="00FD3A31"/>
    <w:rsid w:val="00FD3EFB"/>
    <w:rsid w:val="00FD4015"/>
    <w:rsid w:val="00FD4122"/>
    <w:rsid w:val="00FD491C"/>
    <w:rsid w:val="00FD54EA"/>
    <w:rsid w:val="00FD5C9F"/>
    <w:rsid w:val="00FD65CF"/>
    <w:rsid w:val="00FD6A01"/>
    <w:rsid w:val="00FD717A"/>
    <w:rsid w:val="00FE030D"/>
    <w:rsid w:val="00FE0D8A"/>
    <w:rsid w:val="00FE0E7A"/>
    <w:rsid w:val="00FE11D6"/>
    <w:rsid w:val="00FE12ED"/>
    <w:rsid w:val="00FE17E7"/>
    <w:rsid w:val="00FE1D60"/>
    <w:rsid w:val="00FE1E82"/>
    <w:rsid w:val="00FE1ED4"/>
    <w:rsid w:val="00FE2204"/>
    <w:rsid w:val="00FE2DAB"/>
    <w:rsid w:val="00FE339B"/>
    <w:rsid w:val="00FE3641"/>
    <w:rsid w:val="00FE3F17"/>
    <w:rsid w:val="00FE415D"/>
    <w:rsid w:val="00FE4CEB"/>
    <w:rsid w:val="00FE5006"/>
    <w:rsid w:val="00FE5EC2"/>
    <w:rsid w:val="00FE6259"/>
    <w:rsid w:val="00FE6891"/>
    <w:rsid w:val="00FE6A7E"/>
    <w:rsid w:val="00FE6EBC"/>
    <w:rsid w:val="00FE7234"/>
    <w:rsid w:val="00FF09F8"/>
    <w:rsid w:val="00FF1E3F"/>
    <w:rsid w:val="00FF2399"/>
    <w:rsid w:val="00FF337A"/>
    <w:rsid w:val="00FF3530"/>
    <w:rsid w:val="00FF378D"/>
    <w:rsid w:val="00FF4D82"/>
    <w:rsid w:val="00FF540B"/>
    <w:rsid w:val="00FF56A6"/>
    <w:rsid w:val="00FF5C88"/>
    <w:rsid w:val="00FF6553"/>
    <w:rsid w:val="00FF6616"/>
    <w:rsid w:val="00FF6867"/>
    <w:rsid w:val="00FF73FB"/>
    <w:rsid w:val="0101641E"/>
    <w:rsid w:val="01053E95"/>
    <w:rsid w:val="01140142"/>
    <w:rsid w:val="013D1563"/>
    <w:rsid w:val="01425DE7"/>
    <w:rsid w:val="014B0C0F"/>
    <w:rsid w:val="016B320E"/>
    <w:rsid w:val="017D0BA2"/>
    <w:rsid w:val="01882AEA"/>
    <w:rsid w:val="01C7267B"/>
    <w:rsid w:val="01D53A8C"/>
    <w:rsid w:val="01FF1666"/>
    <w:rsid w:val="023A31E5"/>
    <w:rsid w:val="023C66B8"/>
    <w:rsid w:val="02DA7C96"/>
    <w:rsid w:val="02E61AD7"/>
    <w:rsid w:val="02EF738C"/>
    <w:rsid w:val="03167181"/>
    <w:rsid w:val="03207C4E"/>
    <w:rsid w:val="03217A96"/>
    <w:rsid w:val="034D2ADB"/>
    <w:rsid w:val="036B1328"/>
    <w:rsid w:val="03BC5237"/>
    <w:rsid w:val="03CB0E6D"/>
    <w:rsid w:val="045A710F"/>
    <w:rsid w:val="04A84981"/>
    <w:rsid w:val="04C615A2"/>
    <w:rsid w:val="04C853C6"/>
    <w:rsid w:val="04F926D1"/>
    <w:rsid w:val="053B072D"/>
    <w:rsid w:val="054A15F9"/>
    <w:rsid w:val="058A44D4"/>
    <w:rsid w:val="05A65486"/>
    <w:rsid w:val="05B4402D"/>
    <w:rsid w:val="05DE39C1"/>
    <w:rsid w:val="061569CC"/>
    <w:rsid w:val="0616484E"/>
    <w:rsid w:val="062C7FDD"/>
    <w:rsid w:val="0633208D"/>
    <w:rsid w:val="063E646E"/>
    <w:rsid w:val="068B166A"/>
    <w:rsid w:val="06F11123"/>
    <w:rsid w:val="06F430DA"/>
    <w:rsid w:val="07386067"/>
    <w:rsid w:val="07465DF0"/>
    <w:rsid w:val="0759609B"/>
    <w:rsid w:val="075E6EEE"/>
    <w:rsid w:val="076205AA"/>
    <w:rsid w:val="07627E22"/>
    <w:rsid w:val="07677F18"/>
    <w:rsid w:val="077A282D"/>
    <w:rsid w:val="07851535"/>
    <w:rsid w:val="07B23486"/>
    <w:rsid w:val="07BB00D5"/>
    <w:rsid w:val="07C64AB0"/>
    <w:rsid w:val="07D11D71"/>
    <w:rsid w:val="07F37D3E"/>
    <w:rsid w:val="08027BED"/>
    <w:rsid w:val="080D4698"/>
    <w:rsid w:val="08252D74"/>
    <w:rsid w:val="08263634"/>
    <w:rsid w:val="082B601C"/>
    <w:rsid w:val="0845569A"/>
    <w:rsid w:val="085209C9"/>
    <w:rsid w:val="08615DD2"/>
    <w:rsid w:val="08EF5238"/>
    <w:rsid w:val="09110FF0"/>
    <w:rsid w:val="098E749C"/>
    <w:rsid w:val="09AF6A59"/>
    <w:rsid w:val="09DD6DB2"/>
    <w:rsid w:val="09F255E7"/>
    <w:rsid w:val="0A535738"/>
    <w:rsid w:val="0A7046BD"/>
    <w:rsid w:val="0A88089A"/>
    <w:rsid w:val="0AB108CD"/>
    <w:rsid w:val="0ABB626B"/>
    <w:rsid w:val="0AFF3A1E"/>
    <w:rsid w:val="0B056F5F"/>
    <w:rsid w:val="0B0C5AC8"/>
    <w:rsid w:val="0B4106BA"/>
    <w:rsid w:val="0B8D718E"/>
    <w:rsid w:val="0BB0420D"/>
    <w:rsid w:val="0BC35C62"/>
    <w:rsid w:val="0BDC4939"/>
    <w:rsid w:val="0BE97F23"/>
    <w:rsid w:val="0BEA3E6E"/>
    <w:rsid w:val="0C1316C2"/>
    <w:rsid w:val="0C1C4DEC"/>
    <w:rsid w:val="0C640A63"/>
    <w:rsid w:val="0C6E0BA6"/>
    <w:rsid w:val="0C6E6F73"/>
    <w:rsid w:val="0C722962"/>
    <w:rsid w:val="0C877E14"/>
    <w:rsid w:val="0C8A7EA7"/>
    <w:rsid w:val="0C910EA2"/>
    <w:rsid w:val="0C9B53F0"/>
    <w:rsid w:val="0CA27983"/>
    <w:rsid w:val="0CE87D85"/>
    <w:rsid w:val="0CF769B1"/>
    <w:rsid w:val="0D146DE9"/>
    <w:rsid w:val="0D245FE1"/>
    <w:rsid w:val="0D250358"/>
    <w:rsid w:val="0D546ACF"/>
    <w:rsid w:val="0D595C57"/>
    <w:rsid w:val="0D9A20EB"/>
    <w:rsid w:val="0DB90694"/>
    <w:rsid w:val="0DD618E8"/>
    <w:rsid w:val="0E316BEC"/>
    <w:rsid w:val="0E3F650A"/>
    <w:rsid w:val="0E935DFC"/>
    <w:rsid w:val="0EC25C11"/>
    <w:rsid w:val="0ECD3FB6"/>
    <w:rsid w:val="0ED04AFF"/>
    <w:rsid w:val="0F0028B2"/>
    <w:rsid w:val="0F114F82"/>
    <w:rsid w:val="0F25197E"/>
    <w:rsid w:val="0F59068B"/>
    <w:rsid w:val="0F6C76DF"/>
    <w:rsid w:val="0FBD0867"/>
    <w:rsid w:val="0FC35152"/>
    <w:rsid w:val="0FE43540"/>
    <w:rsid w:val="0FF40FBA"/>
    <w:rsid w:val="102C6EB1"/>
    <w:rsid w:val="10422906"/>
    <w:rsid w:val="105037D0"/>
    <w:rsid w:val="10673D79"/>
    <w:rsid w:val="10A86FF4"/>
    <w:rsid w:val="10BB473A"/>
    <w:rsid w:val="11240545"/>
    <w:rsid w:val="113C4D6E"/>
    <w:rsid w:val="114D5C8E"/>
    <w:rsid w:val="11511F61"/>
    <w:rsid w:val="117170E5"/>
    <w:rsid w:val="11A70633"/>
    <w:rsid w:val="11C410C9"/>
    <w:rsid w:val="11CA20F7"/>
    <w:rsid w:val="11EF6B35"/>
    <w:rsid w:val="11F2757D"/>
    <w:rsid w:val="120E4D00"/>
    <w:rsid w:val="12195982"/>
    <w:rsid w:val="12355DF6"/>
    <w:rsid w:val="126B7053"/>
    <w:rsid w:val="12B04556"/>
    <w:rsid w:val="12D66104"/>
    <w:rsid w:val="12E80918"/>
    <w:rsid w:val="12E961FB"/>
    <w:rsid w:val="12F85FB5"/>
    <w:rsid w:val="131E3233"/>
    <w:rsid w:val="132A6AB1"/>
    <w:rsid w:val="13483B08"/>
    <w:rsid w:val="134D224E"/>
    <w:rsid w:val="13A8770D"/>
    <w:rsid w:val="13A938B2"/>
    <w:rsid w:val="13E871D5"/>
    <w:rsid w:val="13FA564B"/>
    <w:rsid w:val="13FC2F89"/>
    <w:rsid w:val="140B0D92"/>
    <w:rsid w:val="14927504"/>
    <w:rsid w:val="14986314"/>
    <w:rsid w:val="14B222D7"/>
    <w:rsid w:val="14B365A7"/>
    <w:rsid w:val="14E32ED1"/>
    <w:rsid w:val="15583876"/>
    <w:rsid w:val="1562473D"/>
    <w:rsid w:val="15872D64"/>
    <w:rsid w:val="15A555B3"/>
    <w:rsid w:val="15A85023"/>
    <w:rsid w:val="15BB75B2"/>
    <w:rsid w:val="15E72E94"/>
    <w:rsid w:val="15F30177"/>
    <w:rsid w:val="160A40BD"/>
    <w:rsid w:val="16356BE9"/>
    <w:rsid w:val="16740B64"/>
    <w:rsid w:val="167D1103"/>
    <w:rsid w:val="169528F0"/>
    <w:rsid w:val="16C60CFC"/>
    <w:rsid w:val="16CF2DFA"/>
    <w:rsid w:val="16DA2371"/>
    <w:rsid w:val="16DC2952"/>
    <w:rsid w:val="16E82DF1"/>
    <w:rsid w:val="16EF0253"/>
    <w:rsid w:val="16F41D35"/>
    <w:rsid w:val="17060D55"/>
    <w:rsid w:val="170E3650"/>
    <w:rsid w:val="1713399D"/>
    <w:rsid w:val="17337CBF"/>
    <w:rsid w:val="174E1DF4"/>
    <w:rsid w:val="177A4F53"/>
    <w:rsid w:val="17864D34"/>
    <w:rsid w:val="1796247C"/>
    <w:rsid w:val="17B261EA"/>
    <w:rsid w:val="17D13AD5"/>
    <w:rsid w:val="17EA163C"/>
    <w:rsid w:val="17F17FFA"/>
    <w:rsid w:val="17F95A1F"/>
    <w:rsid w:val="18045CD1"/>
    <w:rsid w:val="18100A74"/>
    <w:rsid w:val="181A576F"/>
    <w:rsid w:val="18373135"/>
    <w:rsid w:val="183D72C3"/>
    <w:rsid w:val="18490D75"/>
    <w:rsid w:val="184A59B5"/>
    <w:rsid w:val="18E903DB"/>
    <w:rsid w:val="191775ED"/>
    <w:rsid w:val="194859F8"/>
    <w:rsid w:val="195556C5"/>
    <w:rsid w:val="19687E48"/>
    <w:rsid w:val="198A2419"/>
    <w:rsid w:val="19F02BB5"/>
    <w:rsid w:val="19F05202"/>
    <w:rsid w:val="1A017B8B"/>
    <w:rsid w:val="1A464EE0"/>
    <w:rsid w:val="1A5B14DB"/>
    <w:rsid w:val="1A7F0C93"/>
    <w:rsid w:val="1A975B55"/>
    <w:rsid w:val="1AAD78D2"/>
    <w:rsid w:val="1AF864BB"/>
    <w:rsid w:val="1B3A1973"/>
    <w:rsid w:val="1B3E5A81"/>
    <w:rsid w:val="1B5B1341"/>
    <w:rsid w:val="1B635C38"/>
    <w:rsid w:val="1B8B0DB4"/>
    <w:rsid w:val="1BC13C5B"/>
    <w:rsid w:val="1BDC2FAE"/>
    <w:rsid w:val="1C240C99"/>
    <w:rsid w:val="1C38144F"/>
    <w:rsid w:val="1C3C12E7"/>
    <w:rsid w:val="1C4A0E19"/>
    <w:rsid w:val="1C6830AD"/>
    <w:rsid w:val="1C690743"/>
    <w:rsid w:val="1C7A3092"/>
    <w:rsid w:val="1C8A15FF"/>
    <w:rsid w:val="1CAB53FA"/>
    <w:rsid w:val="1D033065"/>
    <w:rsid w:val="1D134C8D"/>
    <w:rsid w:val="1D290439"/>
    <w:rsid w:val="1D2C7602"/>
    <w:rsid w:val="1D3E2762"/>
    <w:rsid w:val="1D7B2840"/>
    <w:rsid w:val="1D88503E"/>
    <w:rsid w:val="1DA83DB7"/>
    <w:rsid w:val="1DDB32DF"/>
    <w:rsid w:val="1E1F093B"/>
    <w:rsid w:val="1E532CBE"/>
    <w:rsid w:val="1E66206B"/>
    <w:rsid w:val="1E892876"/>
    <w:rsid w:val="1EAF02C7"/>
    <w:rsid w:val="1EC51899"/>
    <w:rsid w:val="1EE917A6"/>
    <w:rsid w:val="1F0072C9"/>
    <w:rsid w:val="1F07120E"/>
    <w:rsid w:val="1F5116D7"/>
    <w:rsid w:val="1F575FCD"/>
    <w:rsid w:val="1F6D2E92"/>
    <w:rsid w:val="1FC67CE6"/>
    <w:rsid w:val="1FD93868"/>
    <w:rsid w:val="20190347"/>
    <w:rsid w:val="20216FA3"/>
    <w:rsid w:val="202C264C"/>
    <w:rsid w:val="20395F37"/>
    <w:rsid w:val="2099410A"/>
    <w:rsid w:val="209B65D8"/>
    <w:rsid w:val="20BD42E6"/>
    <w:rsid w:val="20BF4970"/>
    <w:rsid w:val="20C706C3"/>
    <w:rsid w:val="20D0749E"/>
    <w:rsid w:val="20E159D3"/>
    <w:rsid w:val="20E85418"/>
    <w:rsid w:val="21222CF4"/>
    <w:rsid w:val="216420F1"/>
    <w:rsid w:val="216C3664"/>
    <w:rsid w:val="21757C0D"/>
    <w:rsid w:val="2177634F"/>
    <w:rsid w:val="21953968"/>
    <w:rsid w:val="21E51796"/>
    <w:rsid w:val="22025E4E"/>
    <w:rsid w:val="2206685F"/>
    <w:rsid w:val="22323EB3"/>
    <w:rsid w:val="227741F2"/>
    <w:rsid w:val="22A362C0"/>
    <w:rsid w:val="22B10222"/>
    <w:rsid w:val="22CF0F38"/>
    <w:rsid w:val="22E864B9"/>
    <w:rsid w:val="22F72E6E"/>
    <w:rsid w:val="22F825D0"/>
    <w:rsid w:val="231040B3"/>
    <w:rsid w:val="231763EB"/>
    <w:rsid w:val="231E16B0"/>
    <w:rsid w:val="232034B3"/>
    <w:rsid w:val="23356C66"/>
    <w:rsid w:val="2337220D"/>
    <w:rsid w:val="234E162A"/>
    <w:rsid w:val="23751992"/>
    <w:rsid w:val="238F39F3"/>
    <w:rsid w:val="23B35034"/>
    <w:rsid w:val="23B90047"/>
    <w:rsid w:val="23FA6AEB"/>
    <w:rsid w:val="240509BC"/>
    <w:rsid w:val="24503D9F"/>
    <w:rsid w:val="245E6B35"/>
    <w:rsid w:val="246758CC"/>
    <w:rsid w:val="24701D63"/>
    <w:rsid w:val="24971CD4"/>
    <w:rsid w:val="24CD5111"/>
    <w:rsid w:val="24E32751"/>
    <w:rsid w:val="259D1487"/>
    <w:rsid w:val="25AF32B7"/>
    <w:rsid w:val="25C53A00"/>
    <w:rsid w:val="25F525C0"/>
    <w:rsid w:val="26271564"/>
    <w:rsid w:val="2629582A"/>
    <w:rsid w:val="262B46D7"/>
    <w:rsid w:val="263F16B0"/>
    <w:rsid w:val="26436BD4"/>
    <w:rsid w:val="26466C94"/>
    <w:rsid w:val="26541E80"/>
    <w:rsid w:val="26B76AB5"/>
    <w:rsid w:val="26C4080B"/>
    <w:rsid w:val="26CA317A"/>
    <w:rsid w:val="26F43497"/>
    <w:rsid w:val="27004384"/>
    <w:rsid w:val="270862CC"/>
    <w:rsid w:val="274A3B83"/>
    <w:rsid w:val="27A2781A"/>
    <w:rsid w:val="27BC37E1"/>
    <w:rsid w:val="27D705C8"/>
    <w:rsid w:val="27F6622F"/>
    <w:rsid w:val="280D1F2E"/>
    <w:rsid w:val="28147B2A"/>
    <w:rsid w:val="28373807"/>
    <w:rsid w:val="286C1F1D"/>
    <w:rsid w:val="28862984"/>
    <w:rsid w:val="28872071"/>
    <w:rsid w:val="28B704A4"/>
    <w:rsid w:val="28BB61E6"/>
    <w:rsid w:val="28BC3D0D"/>
    <w:rsid w:val="28C64B8B"/>
    <w:rsid w:val="28C738F4"/>
    <w:rsid w:val="28D5368A"/>
    <w:rsid w:val="28DA1B8A"/>
    <w:rsid w:val="28E20361"/>
    <w:rsid w:val="2944406B"/>
    <w:rsid w:val="29560BD6"/>
    <w:rsid w:val="29607509"/>
    <w:rsid w:val="29AB0A4E"/>
    <w:rsid w:val="29BF5862"/>
    <w:rsid w:val="29DB0457"/>
    <w:rsid w:val="2A010387"/>
    <w:rsid w:val="2A0D1097"/>
    <w:rsid w:val="2A3B1CD8"/>
    <w:rsid w:val="2A5A552F"/>
    <w:rsid w:val="2AE716E6"/>
    <w:rsid w:val="2AF7082A"/>
    <w:rsid w:val="2B0B5B93"/>
    <w:rsid w:val="2B3D6D7A"/>
    <w:rsid w:val="2B660140"/>
    <w:rsid w:val="2B715316"/>
    <w:rsid w:val="2BB27F78"/>
    <w:rsid w:val="2BBD0CAD"/>
    <w:rsid w:val="2BC5406C"/>
    <w:rsid w:val="2BC67E37"/>
    <w:rsid w:val="2BD13B6A"/>
    <w:rsid w:val="2C3B794E"/>
    <w:rsid w:val="2C736DD8"/>
    <w:rsid w:val="2C8E18C1"/>
    <w:rsid w:val="2CBF3567"/>
    <w:rsid w:val="2CE42E64"/>
    <w:rsid w:val="2D0519CC"/>
    <w:rsid w:val="2D1D71A5"/>
    <w:rsid w:val="2D265BF9"/>
    <w:rsid w:val="2D2F13B3"/>
    <w:rsid w:val="2D3A2A07"/>
    <w:rsid w:val="2D6070DF"/>
    <w:rsid w:val="2D642158"/>
    <w:rsid w:val="2D92328E"/>
    <w:rsid w:val="2D934D36"/>
    <w:rsid w:val="2D9E1C33"/>
    <w:rsid w:val="2DAA3A84"/>
    <w:rsid w:val="2DB86F5F"/>
    <w:rsid w:val="2E0C4DEE"/>
    <w:rsid w:val="2E301A39"/>
    <w:rsid w:val="2E543A11"/>
    <w:rsid w:val="2E56631C"/>
    <w:rsid w:val="2E6D5CDD"/>
    <w:rsid w:val="2E756EC1"/>
    <w:rsid w:val="2E766878"/>
    <w:rsid w:val="2E9C0E80"/>
    <w:rsid w:val="2EA339A5"/>
    <w:rsid w:val="2EBA0FB7"/>
    <w:rsid w:val="2ED03A7D"/>
    <w:rsid w:val="2EFB13F2"/>
    <w:rsid w:val="2F07598A"/>
    <w:rsid w:val="2F160BDC"/>
    <w:rsid w:val="2F237BBE"/>
    <w:rsid w:val="2F5A4DD7"/>
    <w:rsid w:val="2F84474F"/>
    <w:rsid w:val="2F950CCA"/>
    <w:rsid w:val="2FBE480E"/>
    <w:rsid w:val="2FEE6EA1"/>
    <w:rsid w:val="2FFA3A98"/>
    <w:rsid w:val="2FFE0D6E"/>
    <w:rsid w:val="30254C3E"/>
    <w:rsid w:val="303B7269"/>
    <w:rsid w:val="304C0B09"/>
    <w:rsid w:val="306C3184"/>
    <w:rsid w:val="307632A6"/>
    <w:rsid w:val="30AA00DB"/>
    <w:rsid w:val="310A3DF4"/>
    <w:rsid w:val="310F5EF7"/>
    <w:rsid w:val="314D5E4A"/>
    <w:rsid w:val="317A4E94"/>
    <w:rsid w:val="319A3A13"/>
    <w:rsid w:val="31A07DD0"/>
    <w:rsid w:val="31C52D1D"/>
    <w:rsid w:val="31C75BFC"/>
    <w:rsid w:val="31E16592"/>
    <w:rsid w:val="322F7FF6"/>
    <w:rsid w:val="326E2A79"/>
    <w:rsid w:val="32A47BFC"/>
    <w:rsid w:val="32C927BE"/>
    <w:rsid w:val="33057EA3"/>
    <w:rsid w:val="332E0BC3"/>
    <w:rsid w:val="33650FAC"/>
    <w:rsid w:val="338B1839"/>
    <w:rsid w:val="33C51233"/>
    <w:rsid w:val="33C80E5D"/>
    <w:rsid w:val="33D44237"/>
    <w:rsid w:val="33DD221C"/>
    <w:rsid w:val="34E91B74"/>
    <w:rsid w:val="350257BB"/>
    <w:rsid w:val="350A0B8B"/>
    <w:rsid w:val="351B15C6"/>
    <w:rsid w:val="3527539A"/>
    <w:rsid w:val="3587101A"/>
    <w:rsid w:val="3591601B"/>
    <w:rsid w:val="35A354BC"/>
    <w:rsid w:val="35B77F7C"/>
    <w:rsid w:val="35C74E47"/>
    <w:rsid w:val="35E03AC1"/>
    <w:rsid w:val="366C3FD2"/>
    <w:rsid w:val="36721EAF"/>
    <w:rsid w:val="36C753A1"/>
    <w:rsid w:val="36DE3F10"/>
    <w:rsid w:val="36E7537A"/>
    <w:rsid w:val="36F01431"/>
    <w:rsid w:val="36F341D8"/>
    <w:rsid w:val="374530BA"/>
    <w:rsid w:val="37556BD7"/>
    <w:rsid w:val="377B46F5"/>
    <w:rsid w:val="379F68CB"/>
    <w:rsid w:val="37A07CF8"/>
    <w:rsid w:val="37B31A45"/>
    <w:rsid w:val="37DA3DFD"/>
    <w:rsid w:val="37ED7EFC"/>
    <w:rsid w:val="380A7AB6"/>
    <w:rsid w:val="380F748C"/>
    <w:rsid w:val="3862371B"/>
    <w:rsid w:val="38657A1B"/>
    <w:rsid w:val="38C01532"/>
    <w:rsid w:val="38C61560"/>
    <w:rsid w:val="391D3FA9"/>
    <w:rsid w:val="3996397D"/>
    <w:rsid w:val="39A4338A"/>
    <w:rsid w:val="39CC3252"/>
    <w:rsid w:val="39D67C80"/>
    <w:rsid w:val="39E16130"/>
    <w:rsid w:val="3A19299D"/>
    <w:rsid w:val="3A201BBD"/>
    <w:rsid w:val="3A217CE4"/>
    <w:rsid w:val="3A342B41"/>
    <w:rsid w:val="3A397F37"/>
    <w:rsid w:val="3A3E7D51"/>
    <w:rsid w:val="3A480598"/>
    <w:rsid w:val="3A4B65F5"/>
    <w:rsid w:val="3AA5776E"/>
    <w:rsid w:val="3AE71E2A"/>
    <w:rsid w:val="3B044F08"/>
    <w:rsid w:val="3B1C7DAD"/>
    <w:rsid w:val="3B242109"/>
    <w:rsid w:val="3BD66A3C"/>
    <w:rsid w:val="3BDA53CA"/>
    <w:rsid w:val="3BDD60AF"/>
    <w:rsid w:val="3BEB0CF0"/>
    <w:rsid w:val="3BF072E6"/>
    <w:rsid w:val="3C0C7055"/>
    <w:rsid w:val="3C1570BE"/>
    <w:rsid w:val="3C411482"/>
    <w:rsid w:val="3C4A1A98"/>
    <w:rsid w:val="3C6D6DFD"/>
    <w:rsid w:val="3C7152AF"/>
    <w:rsid w:val="3C7A5E73"/>
    <w:rsid w:val="3CA41600"/>
    <w:rsid w:val="3CB76193"/>
    <w:rsid w:val="3CC437E2"/>
    <w:rsid w:val="3CC652F3"/>
    <w:rsid w:val="3CF528D0"/>
    <w:rsid w:val="3D3D3D85"/>
    <w:rsid w:val="3D697B80"/>
    <w:rsid w:val="3DFF0A04"/>
    <w:rsid w:val="3E063608"/>
    <w:rsid w:val="3E180A91"/>
    <w:rsid w:val="3E5E6554"/>
    <w:rsid w:val="3E91688C"/>
    <w:rsid w:val="3E940E24"/>
    <w:rsid w:val="3EF63D5B"/>
    <w:rsid w:val="3F3441A5"/>
    <w:rsid w:val="3F477E59"/>
    <w:rsid w:val="3F9A1947"/>
    <w:rsid w:val="3FA772E0"/>
    <w:rsid w:val="3FE51DA0"/>
    <w:rsid w:val="401F0A86"/>
    <w:rsid w:val="4033725F"/>
    <w:rsid w:val="40533534"/>
    <w:rsid w:val="4060169E"/>
    <w:rsid w:val="40845AA5"/>
    <w:rsid w:val="40957764"/>
    <w:rsid w:val="40A32F4C"/>
    <w:rsid w:val="40BA656C"/>
    <w:rsid w:val="40F97F63"/>
    <w:rsid w:val="41373F15"/>
    <w:rsid w:val="414B5360"/>
    <w:rsid w:val="418603E0"/>
    <w:rsid w:val="41896FB8"/>
    <w:rsid w:val="41A55373"/>
    <w:rsid w:val="41BF6F1B"/>
    <w:rsid w:val="41D659E7"/>
    <w:rsid w:val="420A7FCA"/>
    <w:rsid w:val="42396E0C"/>
    <w:rsid w:val="425F72C2"/>
    <w:rsid w:val="427B64E0"/>
    <w:rsid w:val="428C1AAC"/>
    <w:rsid w:val="429216C0"/>
    <w:rsid w:val="429B3895"/>
    <w:rsid w:val="42A801BC"/>
    <w:rsid w:val="42C522A4"/>
    <w:rsid w:val="431D2235"/>
    <w:rsid w:val="43273479"/>
    <w:rsid w:val="43572C5D"/>
    <w:rsid w:val="4365091F"/>
    <w:rsid w:val="438E47A4"/>
    <w:rsid w:val="439B47F3"/>
    <w:rsid w:val="43FB0664"/>
    <w:rsid w:val="440255A7"/>
    <w:rsid w:val="440A0DC9"/>
    <w:rsid w:val="44100C90"/>
    <w:rsid w:val="441A64B3"/>
    <w:rsid w:val="44314097"/>
    <w:rsid w:val="443A0B1D"/>
    <w:rsid w:val="4458168D"/>
    <w:rsid w:val="44A63A03"/>
    <w:rsid w:val="44B954C6"/>
    <w:rsid w:val="44C40258"/>
    <w:rsid w:val="44CF0075"/>
    <w:rsid w:val="44DC6ABC"/>
    <w:rsid w:val="44DF0D57"/>
    <w:rsid w:val="44E25D6A"/>
    <w:rsid w:val="44F153A2"/>
    <w:rsid w:val="45147F38"/>
    <w:rsid w:val="452579FA"/>
    <w:rsid w:val="453208CA"/>
    <w:rsid w:val="45377D61"/>
    <w:rsid w:val="45855797"/>
    <w:rsid w:val="458A5721"/>
    <w:rsid w:val="458E7A46"/>
    <w:rsid w:val="45A01377"/>
    <w:rsid w:val="45AE7606"/>
    <w:rsid w:val="45B2160D"/>
    <w:rsid w:val="45C70678"/>
    <w:rsid w:val="45D31462"/>
    <w:rsid w:val="45DB439A"/>
    <w:rsid w:val="45DD5596"/>
    <w:rsid w:val="45E07419"/>
    <w:rsid w:val="45F02CCE"/>
    <w:rsid w:val="460202E5"/>
    <w:rsid w:val="460300FD"/>
    <w:rsid w:val="4623085B"/>
    <w:rsid w:val="46366A55"/>
    <w:rsid w:val="467166F4"/>
    <w:rsid w:val="467908E5"/>
    <w:rsid w:val="46883DEF"/>
    <w:rsid w:val="4694296D"/>
    <w:rsid w:val="46971262"/>
    <w:rsid w:val="46A8191A"/>
    <w:rsid w:val="46D87A83"/>
    <w:rsid w:val="46F229ED"/>
    <w:rsid w:val="470E387B"/>
    <w:rsid w:val="47285A76"/>
    <w:rsid w:val="473E5EC9"/>
    <w:rsid w:val="47A2618B"/>
    <w:rsid w:val="47BE0850"/>
    <w:rsid w:val="47C34F41"/>
    <w:rsid w:val="47DC72D2"/>
    <w:rsid w:val="47F546D0"/>
    <w:rsid w:val="48180B08"/>
    <w:rsid w:val="48226354"/>
    <w:rsid w:val="485A66D2"/>
    <w:rsid w:val="4873716A"/>
    <w:rsid w:val="488B4E89"/>
    <w:rsid w:val="48CA2F69"/>
    <w:rsid w:val="48EA2483"/>
    <w:rsid w:val="48EE283F"/>
    <w:rsid w:val="490E5A67"/>
    <w:rsid w:val="490E63A5"/>
    <w:rsid w:val="49333D25"/>
    <w:rsid w:val="497E7F0A"/>
    <w:rsid w:val="49986137"/>
    <w:rsid w:val="499E18D0"/>
    <w:rsid w:val="49A168DB"/>
    <w:rsid w:val="49A16CB5"/>
    <w:rsid w:val="49A5461D"/>
    <w:rsid w:val="49A9236D"/>
    <w:rsid w:val="49D02BBF"/>
    <w:rsid w:val="4A0C375C"/>
    <w:rsid w:val="4A2A2D74"/>
    <w:rsid w:val="4A2E2176"/>
    <w:rsid w:val="4A9C5B1E"/>
    <w:rsid w:val="4AA75BD4"/>
    <w:rsid w:val="4AAF0503"/>
    <w:rsid w:val="4B0E01E8"/>
    <w:rsid w:val="4B1A029A"/>
    <w:rsid w:val="4B1C67CC"/>
    <w:rsid w:val="4B4A0CF7"/>
    <w:rsid w:val="4B615AAB"/>
    <w:rsid w:val="4B674939"/>
    <w:rsid w:val="4B681BB3"/>
    <w:rsid w:val="4B70546A"/>
    <w:rsid w:val="4B7712F7"/>
    <w:rsid w:val="4BCB2507"/>
    <w:rsid w:val="4BF70A34"/>
    <w:rsid w:val="4C100C5A"/>
    <w:rsid w:val="4C196BFC"/>
    <w:rsid w:val="4C1D2A53"/>
    <w:rsid w:val="4C2611B5"/>
    <w:rsid w:val="4C452D40"/>
    <w:rsid w:val="4C60570A"/>
    <w:rsid w:val="4C64601F"/>
    <w:rsid w:val="4CA23096"/>
    <w:rsid w:val="4CBA03DF"/>
    <w:rsid w:val="4CBB4158"/>
    <w:rsid w:val="4CEE7A1F"/>
    <w:rsid w:val="4D0C050F"/>
    <w:rsid w:val="4D3822DF"/>
    <w:rsid w:val="4D491209"/>
    <w:rsid w:val="4D53256B"/>
    <w:rsid w:val="4D677509"/>
    <w:rsid w:val="4D680887"/>
    <w:rsid w:val="4D742AA0"/>
    <w:rsid w:val="4D930C30"/>
    <w:rsid w:val="4D987BF7"/>
    <w:rsid w:val="4D9D0B67"/>
    <w:rsid w:val="4DDE00FE"/>
    <w:rsid w:val="4E096963"/>
    <w:rsid w:val="4E297C36"/>
    <w:rsid w:val="4E2D561F"/>
    <w:rsid w:val="4E340697"/>
    <w:rsid w:val="4E3D45B1"/>
    <w:rsid w:val="4E463A97"/>
    <w:rsid w:val="4E581D2E"/>
    <w:rsid w:val="4E601342"/>
    <w:rsid w:val="4E922C96"/>
    <w:rsid w:val="4E9317C9"/>
    <w:rsid w:val="4ECE5BF8"/>
    <w:rsid w:val="4ED9338D"/>
    <w:rsid w:val="4F1F6AFB"/>
    <w:rsid w:val="4F284478"/>
    <w:rsid w:val="4F2B1F33"/>
    <w:rsid w:val="4F305C9B"/>
    <w:rsid w:val="4F4535D0"/>
    <w:rsid w:val="4F602AA5"/>
    <w:rsid w:val="4FEB6929"/>
    <w:rsid w:val="501B4F7D"/>
    <w:rsid w:val="5048469E"/>
    <w:rsid w:val="5052539B"/>
    <w:rsid w:val="509176A9"/>
    <w:rsid w:val="509924F2"/>
    <w:rsid w:val="50A26B9F"/>
    <w:rsid w:val="50AD72CA"/>
    <w:rsid w:val="50B213CE"/>
    <w:rsid w:val="50CF6F5E"/>
    <w:rsid w:val="50E96211"/>
    <w:rsid w:val="510200DE"/>
    <w:rsid w:val="51234079"/>
    <w:rsid w:val="51252520"/>
    <w:rsid w:val="5126542F"/>
    <w:rsid w:val="5133028A"/>
    <w:rsid w:val="51363DAD"/>
    <w:rsid w:val="51374EFE"/>
    <w:rsid w:val="514209A3"/>
    <w:rsid w:val="51716CA8"/>
    <w:rsid w:val="518721CA"/>
    <w:rsid w:val="51A90EEE"/>
    <w:rsid w:val="51DC1A3F"/>
    <w:rsid w:val="52010D66"/>
    <w:rsid w:val="52037F2D"/>
    <w:rsid w:val="522715AD"/>
    <w:rsid w:val="523D02D8"/>
    <w:rsid w:val="525E5771"/>
    <w:rsid w:val="5264661F"/>
    <w:rsid w:val="5281057F"/>
    <w:rsid w:val="528D2068"/>
    <w:rsid w:val="52992224"/>
    <w:rsid w:val="52B45B1A"/>
    <w:rsid w:val="52D10231"/>
    <w:rsid w:val="532A3A6A"/>
    <w:rsid w:val="533C651A"/>
    <w:rsid w:val="53662CB3"/>
    <w:rsid w:val="53672943"/>
    <w:rsid w:val="53724EF6"/>
    <w:rsid w:val="53785948"/>
    <w:rsid w:val="53B20234"/>
    <w:rsid w:val="53B65B92"/>
    <w:rsid w:val="53BB67EB"/>
    <w:rsid w:val="53C953AC"/>
    <w:rsid w:val="540D53B2"/>
    <w:rsid w:val="54106E7E"/>
    <w:rsid w:val="54136627"/>
    <w:rsid w:val="541623C7"/>
    <w:rsid w:val="54496081"/>
    <w:rsid w:val="545B617E"/>
    <w:rsid w:val="54D2330C"/>
    <w:rsid w:val="54DB3943"/>
    <w:rsid w:val="54EA68E6"/>
    <w:rsid w:val="550C503E"/>
    <w:rsid w:val="554F5E30"/>
    <w:rsid w:val="555F1A3C"/>
    <w:rsid w:val="55B819D6"/>
    <w:rsid w:val="55C022E8"/>
    <w:rsid w:val="55C64EAC"/>
    <w:rsid w:val="565403B9"/>
    <w:rsid w:val="565D002E"/>
    <w:rsid w:val="56E77440"/>
    <w:rsid w:val="56FD64B7"/>
    <w:rsid w:val="570F4BFD"/>
    <w:rsid w:val="57101FE7"/>
    <w:rsid w:val="57170F8B"/>
    <w:rsid w:val="57385C81"/>
    <w:rsid w:val="574153F7"/>
    <w:rsid w:val="576812CD"/>
    <w:rsid w:val="57805309"/>
    <w:rsid w:val="579A0207"/>
    <w:rsid w:val="57A8426B"/>
    <w:rsid w:val="57BE22C1"/>
    <w:rsid w:val="57C02622"/>
    <w:rsid w:val="57FC43CD"/>
    <w:rsid w:val="57FE03BD"/>
    <w:rsid w:val="58280FBF"/>
    <w:rsid w:val="58292502"/>
    <w:rsid w:val="58324FC4"/>
    <w:rsid w:val="583D685A"/>
    <w:rsid w:val="58415FB1"/>
    <w:rsid w:val="584F26E9"/>
    <w:rsid w:val="588F04B0"/>
    <w:rsid w:val="58AE691E"/>
    <w:rsid w:val="58B708FF"/>
    <w:rsid w:val="58B96B20"/>
    <w:rsid w:val="58D704DF"/>
    <w:rsid w:val="58F27D6B"/>
    <w:rsid w:val="58F37A8C"/>
    <w:rsid w:val="59640B0F"/>
    <w:rsid w:val="596A5A6F"/>
    <w:rsid w:val="59E656AA"/>
    <w:rsid w:val="59E8055F"/>
    <w:rsid w:val="59FF0799"/>
    <w:rsid w:val="5A0C4F24"/>
    <w:rsid w:val="5A28696C"/>
    <w:rsid w:val="5A4002F4"/>
    <w:rsid w:val="5A4E49B8"/>
    <w:rsid w:val="5A5A45A1"/>
    <w:rsid w:val="5A6A293D"/>
    <w:rsid w:val="5A6E3708"/>
    <w:rsid w:val="5A746DF1"/>
    <w:rsid w:val="5A751943"/>
    <w:rsid w:val="5A812171"/>
    <w:rsid w:val="5A8971A0"/>
    <w:rsid w:val="5A9F613A"/>
    <w:rsid w:val="5AC1393A"/>
    <w:rsid w:val="5AC564C2"/>
    <w:rsid w:val="5ACD3467"/>
    <w:rsid w:val="5AD04B60"/>
    <w:rsid w:val="5AE8086A"/>
    <w:rsid w:val="5AEA4B99"/>
    <w:rsid w:val="5AF36408"/>
    <w:rsid w:val="5B1B1AE9"/>
    <w:rsid w:val="5B526A1E"/>
    <w:rsid w:val="5B535D53"/>
    <w:rsid w:val="5B8816A9"/>
    <w:rsid w:val="5BD3188F"/>
    <w:rsid w:val="5C2A3DB8"/>
    <w:rsid w:val="5C8B711B"/>
    <w:rsid w:val="5C8E2CEF"/>
    <w:rsid w:val="5C9A5F07"/>
    <w:rsid w:val="5CD33568"/>
    <w:rsid w:val="5CD51235"/>
    <w:rsid w:val="5CE4045C"/>
    <w:rsid w:val="5D123C3B"/>
    <w:rsid w:val="5D7214E4"/>
    <w:rsid w:val="5DDA4D78"/>
    <w:rsid w:val="5DEB04D0"/>
    <w:rsid w:val="5DF863CD"/>
    <w:rsid w:val="5E110ABC"/>
    <w:rsid w:val="5E144D5F"/>
    <w:rsid w:val="5E2B1AED"/>
    <w:rsid w:val="5E682BDB"/>
    <w:rsid w:val="5E6B4339"/>
    <w:rsid w:val="5E8B557C"/>
    <w:rsid w:val="5EC223EA"/>
    <w:rsid w:val="5ED526DD"/>
    <w:rsid w:val="5F0433DD"/>
    <w:rsid w:val="5F072642"/>
    <w:rsid w:val="5F1D2149"/>
    <w:rsid w:val="5F501702"/>
    <w:rsid w:val="5F6E0CA1"/>
    <w:rsid w:val="5F803659"/>
    <w:rsid w:val="5F827C90"/>
    <w:rsid w:val="5F8E7A52"/>
    <w:rsid w:val="5F9116BB"/>
    <w:rsid w:val="5F93686E"/>
    <w:rsid w:val="5F9D7DFF"/>
    <w:rsid w:val="5FD27EBA"/>
    <w:rsid w:val="5FDD081A"/>
    <w:rsid w:val="5FF845DD"/>
    <w:rsid w:val="60363DC9"/>
    <w:rsid w:val="603939C1"/>
    <w:rsid w:val="603D5759"/>
    <w:rsid w:val="604A45DA"/>
    <w:rsid w:val="604C0EF7"/>
    <w:rsid w:val="6051650D"/>
    <w:rsid w:val="60557678"/>
    <w:rsid w:val="606C3347"/>
    <w:rsid w:val="607B3C98"/>
    <w:rsid w:val="608F018B"/>
    <w:rsid w:val="60902946"/>
    <w:rsid w:val="60907339"/>
    <w:rsid w:val="609A40E5"/>
    <w:rsid w:val="60A82DBF"/>
    <w:rsid w:val="60B11D3A"/>
    <w:rsid w:val="60C51296"/>
    <w:rsid w:val="60CB697F"/>
    <w:rsid w:val="60F21008"/>
    <w:rsid w:val="615F747E"/>
    <w:rsid w:val="61632B94"/>
    <w:rsid w:val="616D2AF2"/>
    <w:rsid w:val="617A6D6D"/>
    <w:rsid w:val="617D1854"/>
    <w:rsid w:val="61E20CE7"/>
    <w:rsid w:val="61ED59D0"/>
    <w:rsid w:val="61F65EA0"/>
    <w:rsid w:val="61F94C3C"/>
    <w:rsid w:val="62233E42"/>
    <w:rsid w:val="626050FC"/>
    <w:rsid w:val="626F60A7"/>
    <w:rsid w:val="628109EF"/>
    <w:rsid w:val="628560D5"/>
    <w:rsid w:val="62857711"/>
    <w:rsid w:val="629F6C96"/>
    <w:rsid w:val="62B44821"/>
    <w:rsid w:val="62B805F8"/>
    <w:rsid w:val="62BC1B52"/>
    <w:rsid w:val="62D837BF"/>
    <w:rsid w:val="62DF24F6"/>
    <w:rsid w:val="62EE1C29"/>
    <w:rsid w:val="630363A2"/>
    <w:rsid w:val="6317360F"/>
    <w:rsid w:val="6337662F"/>
    <w:rsid w:val="63472B0C"/>
    <w:rsid w:val="637E7CC8"/>
    <w:rsid w:val="63907593"/>
    <w:rsid w:val="63A67135"/>
    <w:rsid w:val="63C74B30"/>
    <w:rsid w:val="63CF499B"/>
    <w:rsid w:val="63D16093"/>
    <w:rsid w:val="63DB7739"/>
    <w:rsid w:val="63ED6A4E"/>
    <w:rsid w:val="63EF7869"/>
    <w:rsid w:val="641E6F24"/>
    <w:rsid w:val="642175CF"/>
    <w:rsid w:val="6434458A"/>
    <w:rsid w:val="645667E8"/>
    <w:rsid w:val="64706B32"/>
    <w:rsid w:val="6474307D"/>
    <w:rsid w:val="64EA4C97"/>
    <w:rsid w:val="64FC132F"/>
    <w:rsid w:val="650F100F"/>
    <w:rsid w:val="65440B4F"/>
    <w:rsid w:val="65823E53"/>
    <w:rsid w:val="65CD5D9E"/>
    <w:rsid w:val="65F3673A"/>
    <w:rsid w:val="662875CB"/>
    <w:rsid w:val="664314C0"/>
    <w:rsid w:val="665855AE"/>
    <w:rsid w:val="666E43A6"/>
    <w:rsid w:val="668330F9"/>
    <w:rsid w:val="668948A5"/>
    <w:rsid w:val="66A55DED"/>
    <w:rsid w:val="67691446"/>
    <w:rsid w:val="677D22DE"/>
    <w:rsid w:val="67862E2D"/>
    <w:rsid w:val="682A39AD"/>
    <w:rsid w:val="68A40BFB"/>
    <w:rsid w:val="68C431A6"/>
    <w:rsid w:val="68D20875"/>
    <w:rsid w:val="690B3BDE"/>
    <w:rsid w:val="690D60AA"/>
    <w:rsid w:val="69176B8F"/>
    <w:rsid w:val="69274BA3"/>
    <w:rsid w:val="692C5D20"/>
    <w:rsid w:val="695B0872"/>
    <w:rsid w:val="69670800"/>
    <w:rsid w:val="699368A3"/>
    <w:rsid w:val="69A91168"/>
    <w:rsid w:val="69AF38B8"/>
    <w:rsid w:val="69DD4F24"/>
    <w:rsid w:val="69EA41C3"/>
    <w:rsid w:val="6A3346A5"/>
    <w:rsid w:val="6A464C09"/>
    <w:rsid w:val="6A6463C8"/>
    <w:rsid w:val="6AC97824"/>
    <w:rsid w:val="6ACF0F62"/>
    <w:rsid w:val="6AEB3A02"/>
    <w:rsid w:val="6B1E0884"/>
    <w:rsid w:val="6B2568C2"/>
    <w:rsid w:val="6B6F6B71"/>
    <w:rsid w:val="6B7C701E"/>
    <w:rsid w:val="6B84177A"/>
    <w:rsid w:val="6BC614FA"/>
    <w:rsid w:val="6BDC0F7E"/>
    <w:rsid w:val="6BE91767"/>
    <w:rsid w:val="6C1F575E"/>
    <w:rsid w:val="6C2211F6"/>
    <w:rsid w:val="6C4828B1"/>
    <w:rsid w:val="6C5E0930"/>
    <w:rsid w:val="6C613895"/>
    <w:rsid w:val="6C697381"/>
    <w:rsid w:val="6C757E2B"/>
    <w:rsid w:val="6C784033"/>
    <w:rsid w:val="6C81017A"/>
    <w:rsid w:val="6C9D2289"/>
    <w:rsid w:val="6C9F6852"/>
    <w:rsid w:val="6CA40F47"/>
    <w:rsid w:val="6CD60F4A"/>
    <w:rsid w:val="6CD82059"/>
    <w:rsid w:val="6CDB7AD6"/>
    <w:rsid w:val="6D140FEE"/>
    <w:rsid w:val="6D3B47CD"/>
    <w:rsid w:val="6DA203ED"/>
    <w:rsid w:val="6DA35193"/>
    <w:rsid w:val="6DBB6C4F"/>
    <w:rsid w:val="6DCB5A75"/>
    <w:rsid w:val="6DCE37EF"/>
    <w:rsid w:val="6DDB1B0C"/>
    <w:rsid w:val="6DF34253"/>
    <w:rsid w:val="6E152688"/>
    <w:rsid w:val="6E5F098F"/>
    <w:rsid w:val="6E8445FB"/>
    <w:rsid w:val="6E8F295D"/>
    <w:rsid w:val="6E9F31CF"/>
    <w:rsid w:val="6EAA292D"/>
    <w:rsid w:val="6EAB27A0"/>
    <w:rsid w:val="6F516580"/>
    <w:rsid w:val="6F5E3036"/>
    <w:rsid w:val="6F6621F5"/>
    <w:rsid w:val="6F7F124D"/>
    <w:rsid w:val="6FB9309B"/>
    <w:rsid w:val="6FBA7D35"/>
    <w:rsid w:val="6FBF52D1"/>
    <w:rsid w:val="6FE01D7F"/>
    <w:rsid w:val="6FF951D1"/>
    <w:rsid w:val="700F5387"/>
    <w:rsid w:val="702C2AF3"/>
    <w:rsid w:val="70492886"/>
    <w:rsid w:val="70647E43"/>
    <w:rsid w:val="70672B51"/>
    <w:rsid w:val="7086266B"/>
    <w:rsid w:val="708A0A31"/>
    <w:rsid w:val="7092596A"/>
    <w:rsid w:val="70926C99"/>
    <w:rsid w:val="70E27E16"/>
    <w:rsid w:val="710064A9"/>
    <w:rsid w:val="712438CC"/>
    <w:rsid w:val="71716CBF"/>
    <w:rsid w:val="71B03B38"/>
    <w:rsid w:val="71B36DEA"/>
    <w:rsid w:val="71D62051"/>
    <w:rsid w:val="71DB6803"/>
    <w:rsid w:val="71F11CE0"/>
    <w:rsid w:val="722C121C"/>
    <w:rsid w:val="72541E8D"/>
    <w:rsid w:val="72734B2D"/>
    <w:rsid w:val="72772E89"/>
    <w:rsid w:val="72BD66F3"/>
    <w:rsid w:val="73092999"/>
    <w:rsid w:val="732863ED"/>
    <w:rsid w:val="734F0FD2"/>
    <w:rsid w:val="73847402"/>
    <w:rsid w:val="73CF4147"/>
    <w:rsid w:val="740D2239"/>
    <w:rsid w:val="743439AF"/>
    <w:rsid w:val="746163EE"/>
    <w:rsid w:val="749A7791"/>
    <w:rsid w:val="74F61701"/>
    <w:rsid w:val="752677D9"/>
    <w:rsid w:val="7529517E"/>
    <w:rsid w:val="75387844"/>
    <w:rsid w:val="754364D8"/>
    <w:rsid w:val="75A32250"/>
    <w:rsid w:val="75E63480"/>
    <w:rsid w:val="75E83E72"/>
    <w:rsid w:val="764B069C"/>
    <w:rsid w:val="765E606E"/>
    <w:rsid w:val="766524BF"/>
    <w:rsid w:val="76760624"/>
    <w:rsid w:val="76853D77"/>
    <w:rsid w:val="769B61C2"/>
    <w:rsid w:val="76D114E5"/>
    <w:rsid w:val="770E2F52"/>
    <w:rsid w:val="77436690"/>
    <w:rsid w:val="77476B9D"/>
    <w:rsid w:val="774830A1"/>
    <w:rsid w:val="777F5184"/>
    <w:rsid w:val="77832995"/>
    <w:rsid w:val="77BA2896"/>
    <w:rsid w:val="77BA35A4"/>
    <w:rsid w:val="77C135ED"/>
    <w:rsid w:val="77D9470D"/>
    <w:rsid w:val="77DE2925"/>
    <w:rsid w:val="78370C18"/>
    <w:rsid w:val="784045BE"/>
    <w:rsid w:val="78512159"/>
    <w:rsid w:val="78811AA0"/>
    <w:rsid w:val="78901736"/>
    <w:rsid w:val="78A52FCF"/>
    <w:rsid w:val="78B374B6"/>
    <w:rsid w:val="78FE724E"/>
    <w:rsid w:val="79074A06"/>
    <w:rsid w:val="79384550"/>
    <w:rsid w:val="793E5D62"/>
    <w:rsid w:val="7946241D"/>
    <w:rsid w:val="795006D0"/>
    <w:rsid w:val="797418D1"/>
    <w:rsid w:val="798009F2"/>
    <w:rsid w:val="79B75CA1"/>
    <w:rsid w:val="79D91A85"/>
    <w:rsid w:val="79F17170"/>
    <w:rsid w:val="79F62DB4"/>
    <w:rsid w:val="7A326F58"/>
    <w:rsid w:val="7A377488"/>
    <w:rsid w:val="7A3A0597"/>
    <w:rsid w:val="7A5A4181"/>
    <w:rsid w:val="7A7F6416"/>
    <w:rsid w:val="7AAD3F00"/>
    <w:rsid w:val="7ADF4473"/>
    <w:rsid w:val="7AEA7D54"/>
    <w:rsid w:val="7AF1510F"/>
    <w:rsid w:val="7B0F1047"/>
    <w:rsid w:val="7B2F69BC"/>
    <w:rsid w:val="7B6B5EBF"/>
    <w:rsid w:val="7B6D0923"/>
    <w:rsid w:val="7B9D6622"/>
    <w:rsid w:val="7BB42344"/>
    <w:rsid w:val="7C160DA1"/>
    <w:rsid w:val="7C2A70FF"/>
    <w:rsid w:val="7C3A15F7"/>
    <w:rsid w:val="7C69791B"/>
    <w:rsid w:val="7C7F18D5"/>
    <w:rsid w:val="7C8902AB"/>
    <w:rsid w:val="7CA65BEB"/>
    <w:rsid w:val="7CC7770F"/>
    <w:rsid w:val="7CE81C04"/>
    <w:rsid w:val="7CF03387"/>
    <w:rsid w:val="7CF91813"/>
    <w:rsid w:val="7D0E6012"/>
    <w:rsid w:val="7D2958A3"/>
    <w:rsid w:val="7D360B0D"/>
    <w:rsid w:val="7D4B63B3"/>
    <w:rsid w:val="7DB57943"/>
    <w:rsid w:val="7DB9570C"/>
    <w:rsid w:val="7DE00B59"/>
    <w:rsid w:val="7E2136E3"/>
    <w:rsid w:val="7E3D020F"/>
    <w:rsid w:val="7E6F155C"/>
    <w:rsid w:val="7E7C6ADE"/>
    <w:rsid w:val="7E85486E"/>
    <w:rsid w:val="7E9205BE"/>
    <w:rsid w:val="7EA524FB"/>
    <w:rsid w:val="7EF92AEA"/>
    <w:rsid w:val="7F037713"/>
    <w:rsid w:val="7F0C30C2"/>
    <w:rsid w:val="7F413332"/>
    <w:rsid w:val="7F4E65E2"/>
    <w:rsid w:val="7F7F5828"/>
    <w:rsid w:val="7F8813C8"/>
    <w:rsid w:val="7F8C3461"/>
    <w:rsid w:val="7FBF128D"/>
    <w:rsid w:val="7FF070CB"/>
    <w:rsid w:val="7FFB7D5C"/>
    <w:rsid w:val="7FFD7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33"/>
    <w:qFormat/>
    <w:uiPriority w:val="0"/>
    <w:pPr>
      <w:keepNext/>
      <w:keepLines/>
      <w:spacing w:line="576" w:lineRule="auto"/>
      <w:outlineLvl w:val="0"/>
    </w:pPr>
    <w:rPr>
      <w:rFonts w:eastAsia="宋体"/>
      <w:b/>
      <w:bCs/>
      <w:kern w:val="44"/>
      <w:sz w:val="44"/>
      <w:szCs w:val="44"/>
    </w:rPr>
  </w:style>
  <w:style w:type="paragraph" w:styleId="3">
    <w:name w:val="heading 2"/>
    <w:basedOn w:val="1"/>
    <w:next w:val="1"/>
    <w:link w:val="34"/>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line="600" w:lineRule="exact"/>
      <w:ind w:firstLine="643" w:firstLineChars="200"/>
      <w:outlineLvl w:val="2"/>
    </w:pPr>
    <w:rPr>
      <w:rFonts w:eastAsia="宋体"/>
      <w:b/>
      <w:bCs/>
      <w:sz w:val="32"/>
      <w:szCs w:val="32"/>
    </w:rPr>
  </w:style>
  <w:style w:type="paragraph" w:styleId="5">
    <w:name w:val="heading 4"/>
    <w:basedOn w:val="1"/>
    <w:next w:val="1"/>
    <w:link w:val="36"/>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7"/>
    <w:qFormat/>
    <w:uiPriority w:val="0"/>
    <w:pPr>
      <w:ind w:firstLine="420"/>
    </w:pPr>
    <w:rPr>
      <w:szCs w:val="20"/>
    </w:rPr>
  </w:style>
  <w:style w:type="paragraph" w:styleId="7">
    <w:name w:val="Document Map"/>
    <w:basedOn w:val="1"/>
    <w:link w:val="38"/>
    <w:qFormat/>
    <w:uiPriority w:val="0"/>
    <w:rPr>
      <w:rFonts w:ascii="宋体"/>
      <w:sz w:val="18"/>
      <w:szCs w:val="18"/>
    </w:rPr>
  </w:style>
  <w:style w:type="paragraph" w:styleId="8">
    <w:name w:val="annotation text"/>
    <w:basedOn w:val="1"/>
    <w:link w:val="39"/>
    <w:qFormat/>
    <w:uiPriority w:val="0"/>
    <w:pPr>
      <w:jc w:val="left"/>
    </w:pPr>
    <w:rPr>
      <w:rFonts w:eastAsia="宋体"/>
    </w:rPr>
  </w:style>
  <w:style w:type="paragraph" w:styleId="9">
    <w:name w:val="Body Text"/>
    <w:basedOn w:val="1"/>
    <w:qFormat/>
    <w:uiPriority w:val="0"/>
    <w:pPr>
      <w:spacing w:after="120"/>
    </w:pPr>
  </w:style>
  <w:style w:type="paragraph" w:styleId="10">
    <w:name w:val="Body Text Indent"/>
    <w:basedOn w:val="1"/>
    <w:link w:val="40"/>
    <w:qFormat/>
    <w:uiPriority w:val="0"/>
    <w:pPr>
      <w:spacing w:line="200" w:lineRule="exact"/>
      <w:ind w:firstLine="301"/>
    </w:pPr>
    <w:rPr>
      <w:rFonts w:ascii="宋体" w:hAnsi="Courier New" w:eastAsia="宋体"/>
      <w:spacing w:val="-4"/>
      <w:sz w:val="18"/>
      <w:szCs w:val="20"/>
    </w:rPr>
  </w:style>
  <w:style w:type="paragraph" w:styleId="11">
    <w:name w:val="Plain Text"/>
    <w:basedOn w:val="1"/>
    <w:next w:val="1"/>
    <w:link w:val="41"/>
    <w:qFormat/>
    <w:uiPriority w:val="0"/>
    <w:rPr>
      <w:rFonts w:ascii="宋体" w:hAnsi="Courier New" w:eastAsia="宋体"/>
      <w:szCs w:val="20"/>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line="480" w:lineRule="auto"/>
      <w:ind w:left="420" w:leftChars="200"/>
    </w:pPr>
  </w:style>
  <w:style w:type="paragraph" w:styleId="14">
    <w:name w:val="Balloon Text"/>
    <w:basedOn w:val="1"/>
    <w:link w:val="42"/>
    <w:qFormat/>
    <w:uiPriority w:val="0"/>
    <w:rPr>
      <w:rFonts w:eastAsia="宋体"/>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7">
    <w:name w:val="toc 1"/>
    <w:basedOn w:val="1"/>
    <w:next w:val="1"/>
    <w:qFormat/>
    <w:uiPriority w:val="0"/>
    <w:pPr>
      <w:jc w:val="left"/>
    </w:pPr>
    <w:rPr>
      <w:b/>
      <w:bCs/>
      <w:caps/>
      <w:sz w:val="20"/>
      <w:szCs w:val="20"/>
    </w:rPr>
  </w:style>
  <w:style w:type="paragraph" w:styleId="18">
    <w:name w:val="toc 6"/>
    <w:basedOn w:val="1"/>
    <w:next w:val="1"/>
    <w:qFormat/>
    <w:uiPriority w:val="0"/>
    <w:pPr>
      <w:ind w:left="141" w:leftChars="67"/>
    </w:pPr>
    <w:rPr>
      <w:rFonts w:eastAsia="仿宋_GB2312"/>
      <w:sz w:val="32"/>
      <w:szCs w:val="32"/>
    </w:rPr>
  </w:style>
  <w:style w:type="paragraph" w:styleId="19">
    <w:name w:val="toc 2"/>
    <w:basedOn w:val="1"/>
    <w:next w:val="1"/>
    <w:qFormat/>
    <w:uiPriority w:val="0"/>
    <w:pPr>
      <w:tabs>
        <w:tab w:val="right" w:leader="dot" w:pos="9628"/>
      </w:tabs>
      <w:ind w:left="420" w:firstLine="120"/>
      <w:jc w:val="left"/>
    </w:pPr>
    <w:rPr>
      <w:smallCaps/>
      <w:sz w:val="20"/>
      <w:szCs w:val="20"/>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qFormat/>
    <w:uiPriority w:val="99"/>
    <w:pPr>
      <w:widowControl/>
      <w:spacing w:line="480" w:lineRule="auto"/>
      <w:jc w:val="left"/>
    </w:pPr>
    <w:rPr>
      <w:rFonts w:ascii="宋体" w:hAnsi="宋体" w:cs="宋体"/>
      <w:kern w:val="0"/>
      <w:sz w:val="24"/>
    </w:rPr>
  </w:style>
  <w:style w:type="paragraph" w:styleId="22">
    <w:name w:val="Title"/>
    <w:basedOn w:val="1"/>
    <w:link w:val="44"/>
    <w:qFormat/>
    <w:uiPriority w:val="0"/>
    <w:pPr>
      <w:spacing w:before="240" w:after="60"/>
      <w:jc w:val="center"/>
      <w:outlineLvl w:val="0"/>
    </w:pPr>
    <w:rPr>
      <w:rFonts w:ascii="Arial" w:hAnsi="Arial"/>
      <w:b/>
      <w:bCs/>
      <w:sz w:val="32"/>
      <w:szCs w:val="32"/>
    </w:rPr>
  </w:style>
  <w:style w:type="paragraph" w:styleId="23">
    <w:name w:val="annotation subject"/>
    <w:basedOn w:val="8"/>
    <w:next w:val="8"/>
    <w:qFormat/>
    <w:uiPriority w:val="0"/>
    <w:rPr>
      <w:rFonts w:ascii="Calibri" w:hAnsi="Calibri" w:eastAsia="Arial Unicode MS"/>
      <w:b/>
      <w:bCs/>
      <w:szCs w:val="22"/>
    </w:rPr>
  </w:style>
  <w:style w:type="table" w:styleId="25">
    <w:name w:val="Table Grid"/>
    <w:basedOn w:val="24"/>
    <w:qFormat/>
    <w:uiPriority w:val="0"/>
    <w:pPr>
      <w:widowControl w:val="0"/>
      <w:jc w:val="both"/>
    </w:pPr>
    <w:rPr>
      <w:rFonts w:eastAsia="Arial Unicode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Arial Unicode MS" w:cs="Times New Roman"/>
      <w:b/>
      <w:bCs/>
    </w:rPr>
  </w:style>
  <w:style w:type="character" w:styleId="28">
    <w:name w:val="page number"/>
    <w:qFormat/>
    <w:uiPriority w:val="0"/>
    <w:rPr>
      <w:rFonts w:ascii="Times New Roman" w:hAnsi="Times New Roman" w:eastAsia="Arial Unicode MS" w:cs="Times New Roman"/>
    </w:rPr>
  </w:style>
  <w:style w:type="character" w:styleId="29">
    <w:name w:val="FollowedHyperlink"/>
    <w:qFormat/>
    <w:uiPriority w:val="0"/>
    <w:rPr>
      <w:rFonts w:ascii="Times New Roman" w:hAnsi="Times New Roman" w:eastAsia="Arial Unicode MS" w:cs="Times New Roman"/>
      <w:color w:val="800080"/>
      <w:u w:val="single"/>
    </w:rPr>
  </w:style>
  <w:style w:type="character" w:styleId="30">
    <w:name w:val="Hyperlink"/>
    <w:qFormat/>
    <w:uiPriority w:val="0"/>
    <w:rPr>
      <w:rFonts w:ascii="Times New Roman" w:hAnsi="Times New Roman" w:eastAsia="Arial Unicode MS" w:cs="Times New Roman"/>
      <w:color w:val="0000FF"/>
      <w:u w:val="single"/>
    </w:rPr>
  </w:style>
  <w:style w:type="character" w:styleId="31">
    <w:name w:val="annotation reference"/>
    <w:qFormat/>
    <w:uiPriority w:val="0"/>
    <w:rPr>
      <w:rFonts w:ascii="Times New Roman" w:hAnsi="Times New Roman" w:eastAsia="Arial Unicode MS" w:cs="Times New Roman"/>
      <w:sz w:val="21"/>
      <w:szCs w:val="21"/>
    </w:rPr>
  </w:style>
  <w:style w:type="paragraph" w:customStyle="1" w:styleId="32">
    <w:name w:val="样式 标题 2 + 宋体"/>
    <w:basedOn w:val="3"/>
    <w:qFormat/>
    <w:uiPriority w:val="99"/>
    <w:rPr>
      <w:rFonts w:ascii="宋体" w:hAnsi="宋体"/>
      <w:sz w:val="30"/>
    </w:rPr>
  </w:style>
  <w:style w:type="character" w:customStyle="1" w:styleId="33">
    <w:name w:val="标题 1 字符"/>
    <w:link w:val="2"/>
    <w:qFormat/>
    <w:uiPriority w:val="0"/>
    <w:rPr>
      <w:rFonts w:ascii="Times New Roman" w:hAnsi="Times New Roman" w:eastAsia="宋体" w:cs="Times New Roman"/>
      <w:b/>
      <w:bCs/>
      <w:kern w:val="44"/>
      <w:sz w:val="44"/>
      <w:szCs w:val="44"/>
      <w:lang w:val="en-US" w:eastAsia="zh-CN" w:bidi="ar-SA"/>
    </w:rPr>
  </w:style>
  <w:style w:type="character" w:customStyle="1" w:styleId="34">
    <w:name w:val="标题 2 字符"/>
    <w:link w:val="3"/>
    <w:qFormat/>
    <w:uiPriority w:val="0"/>
    <w:rPr>
      <w:rFonts w:ascii="Arial" w:hAnsi="Arial" w:eastAsia="黑体" w:cs="Times New Roman"/>
      <w:b/>
      <w:bCs/>
      <w:kern w:val="2"/>
      <w:sz w:val="32"/>
      <w:szCs w:val="32"/>
      <w:lang w:val="en-US" w:eastAsia="zh-CN" w:bidi="ar-SA"/>
    </w:rPr>
  </w:style>
  <w:style w:type="character" w:customStyle="1" w:styleId="35">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36">
    <w:name w:val="标题 4 字符"/>
    <w:link w:val="5"/>
    <w:qFormat/>
    <w:uiPriority w:val="0"/>
    <w:rPr>
      <w:rFonts w:ascii="Arial" w:hAnsi="Times New Roman" w:eastAsia="黑体" w:cs="Times New Roman"/>
      <w:sz w:val="28"/>
      <w:lang w:val="en-US" w:eastAsia="zh-CN" w:bidi="ar-SA"/>
    </w:rPr>
  </w:style>
  <w:style w:type="character" w:customStyle="1" w:styleId="37">
    <w:name w:val="正文缩进 字符"/>
    <w:link w:val="6"/>
    <w:qFormat/>
    <w:uiPriority w:val="0"/>
    <w:rPr>
      <w:rFonts w:ascii="Times New Roman" w:hAnsi="Times New Roman" w:eastAsia="Arial Unicode MS" w:cs="Times New Roman"/>
      <w:kern w:val="2"/>
      <w:sz w:val="21"/>
    </w:rPr>
  </w:style>
  <w:style w:type="character" w:customStyle="1" w:styleId="38">
    <w:name w:val="文档结构图 字符"/>
    <w:link w:val="7"/>
    <w:qFormat/>
    <w:uiPriority w:val="0"/>
    <w:rPr>
      <w:rFonts w:ascii="宋体" w:hAnsi="Times New Roman" w:eastAsia="Arial Unicode MS" w:cs="Times New Roman"/>
      <w:kern w:val="2"/>
      <w:sz w:val="18"/>
      <w:szCs w:val="18"/>
    </w:rPr>
  </w:style>
  <w:style w:type="character" w:customStyle="1" w:styleId="39">
    <w:name w:val="批注文字 字符"/>
    <w:link w:val="8"/>
    <w:qFormat/>
    <w:uiPriority w:val="0"/>
    <w:rPr>
      <w:rFonts w:ascii="Times New Roman" w:hAnsi="Times New Roman" w:eastAsia="宋体" w:cs="Times New Roman"/>
      <w:kern w:val="2"/>
      <w:sz w:val="21"/>
      <w:szCs w:val="24"/>
      <w:lang w:val="en-US" w:eastAsia="zh-CN" w:bidi="ar-SA"/>
    </w:rPr>
  </w:style>
  <w:style w:type="character" w:customStyle="1" w:styleId="40">
    <w:name w:val="正文文本缩进 字符"/>
    <w:link w:val="10"/>
    <w:qFormat/>
    <w:uiPriority w:val="0"/>
    <w:rPr>
      <w:rFonts w:ascii="宋体" w:hAnsi="Courier New" w:eastAsia="宋体" w:cs="Times New Roman"/>
      <w:spacing w:val="-4"/>
      <w:kern w:val="2"/>
      <w:sz w:val="18"/>
      <w:lang w:val="en-US" w:eastAsia="zh-CN" w:bidi="ar-SA"/>
    </w:rPr>
  </w:style>
  <w:style w:type="character" w:customStyle="1" w:styleId="41">
    <w:name w:val="纯文本 字符"/>
    <w:link w:val="11"/>
    <w:qFormat/>
    <w:uiPriority w:val="0"/>
    <w:rPr>
      <w:rFonts w:ascii="宋体" w:hAnsi="Courier New" w:eastAsia="宋体" w:cs="Times New Roman"/>
      <w:kern w:val="2"/>
      <w:sz w:val="21"/>
      <w:lang w:val="en-US" w:eastAsia="zh-CN" w:bidi="ar-SA"/>
    </w:rPr>
  </w:style>
  <w:style w:type="character" w:customStyle="1" w:styleId="42">
    <w:name w:val="批注框文本 字符"/>
    <w:link w:val="14"/>
    <w:qFormat/>
    <w:uiPriority w:val="0"/>
    <w:rPr>
      <w:rFonts w:ascii="Times New Roman" w:hAnsi="Times New Roman" w:eastAsia="宋体" w:cs="Times New Roman"/>
      <w:kern w:val="2"/>
      <w:sz w:val="18"/>
      <w:szCs w:val="18"/>
      <w:lang w:val="en-US" w:eastAsia="zh-CN" w:bidi="ar-SA"/>
    </w:rPr>
  </w:style>
  <w:style w:type="character" w:customStyle="1" w:styleId="43">
    <w:name w:val="页眉 字符"/>
    <w:link w:val="16"/>
    <w:qFormat/>
    <w:uiPriority w:val="0"/>
    <w:rPr>
      <w:rFonts w:ascii="Times New Roman" w:hAnsi="Times New Roman" w:eastAsia="宋体" w:cs="Times New Roman"/>
      <w:kern w:val="2"/>
      <w:sz w:val="18"/>
      <w:szCs w:val="18"/>
      <w:lang w:val="en-US" w:eastAsia="zh-CN" w:bidi="ar-SA"/>
    </w:rPr>
  </w:style>
  <w:style w:type="character" w:customStyle="1" w:styleId="44">
    <w:name w:val="标题 字符"/>
    <w:link w:val="22"/>
    <w:qFormat/>
    <w:uiPriority w:val="0"/>
    <w:rPr>
      <w:rFonts w:ascii="Arial" w:hAnsi="Arial" w:eastAsia="Arial Unicode MS" w:cs="Arial"/>
      <w:b/>
      <w:bCs/>
      <w:kern w:val="2"/>
      <w:sz w:val="32"/>
      <w:szCs w:val="32"/>
    </w:rPr>
  </w:style>
  <w:style w:type="paragraph" w:customStyle="1" w:styleId="45">
    <w:name w:val="Title1"/>
    <w:basedOn w:val="1"/>
    <w:next w:val="1"/>
    <w:qFormat/>
    <w:uiPriority w:val="0"/>
    <w:pPr>
      <w:jc w:val="center"/>
      <w:outlineLvl w:val="0"/>
    </w:pPr>
    <w:rPr>
      <w:rFonts w:ascii="Calibri Light" w:hAnsi="Calibri Light"/>
      <w:b/>
    </w:rPr>
  </w:style>
  <w:style w:type="character" w:customStyle="1" w:styleId="46">
    <w:name w:val="apple-converted-space"/>
    <w:qFormat/>
    <w:uiPriority w:val="0"/>
    <w:rPr>
      <w:rFonts w:ascii="Times New Roman" w:hAnsi="Times New Roman" w:eastAsia="Arial Unicode MS" w:cs="Times New Roman"/>
    </w:rPr>
  </w:style>
  <w:style w:type="character" w:customStyle="1" w:styleId="47">
    <w:name w:val="Char Char4"/>
    <w:qFormat/>
    <w:uiPriority w:val="0"/>
    <w:rPr>
      <w:rFonts w:hint="default" w:ascii="Calibri" w:hAnsi="Calibri" w:eastAsia="宋体" w:cs="Times New Roman"/>
      <w:sz w:val="18"/>
      <w:szCs w:val="18"/>
      <w:lang w:bidi="ar-SA"/>
    </w:rPr>
  </w:style>
  <w:style w:type="character" w:customStyle="1" w:styleId="48">
    <w:name w:val="Char Char13"/>
    <w:qFormat/>
    <w:uiPriority w:val="0"/>
    <w:rPr>
      <w:rFonts w:ascii="Times New Roman" w:hAnsi="Times New Roman" w:eastAsia="宋体" w:cs="Times New Roman"/>
      <w:b/>
      <w:bCs/>
      <w:kern w:val="44"/>
      <w:sz w:val="44"/>
      <w:szCs w:val="44"/>
      <w:lang w:val="en-US" w:eastAsia="zh-CN" w:bidi="ar-SA"/>
    </w:rPr>
  </w:style>
  <w:style w:type="character" w:customStyle="1" w:styleId="49">
    <w:name w:val="short_text"/>
    <w:qFormat/>
    <w:uiPriority w:val="0"/>
    <w:rPr>
      <w:rFonts w:ascii="Times New Roman" w:hAnsi="Times New Roman" w:eastAsia="Arial Unicode MS" w:cs="Times New Roman"/>
    </w:rPr>
  </w:style>
  <w:style w:type="character" w:customStyle="1" w:styleId="50">
    <w:name w:val="Char Char Char"/>
    <w:qFormat/>
    <w:uiPriority w:val="0"/>
    <w:rPr>
      <w:rFonts w:ascii="宋体" w:hAnsi="Courier New" w:eastAsia="宋体" w:cs="Times New Roman"/>
      <w:kern w:val="2"/>
      <w:sz w:val="21"/>
      <w:lang w:val="en-US" w:eastAsia="zh-CN" w:bidi="ar-SA"/>
    </w:rPr>
  </w:style>
  <w:style w:type="character" w:customStyle="1" w:styleId="51">
    <w:name w:val="纯文本 Char2"/>
    <w:qFormat/>
    <w:uiPriority w:val="0"/>
    <w:rPr>
      <w:rFonts w:ascii="宋体" w:hAnsi="Courier New" w:eastAsia="宋体" w:cs="Times New Roman"/>
      <w:kern w:val="2"/>
      <w:sz w:val="21"/>
      <w:lang w:val="en-US" w:eastAsia="zh-CN" w:bidi="ar-SA"/>
    </w:rPr>
  </w:style>
  <w:style w:type="character" w:customStyle="1" w:styleId="52">
    <w:name w:val="NormalCharacter"/>
    <w:qFormat/>
    <w:uiPriority w:val="0"/>
    <w:rPr>
      <w:rFonts w:ascii="Times New Roman" w:hAnsi="Times New Roman" w:eastAsia="Arial Unicode MS" w:cs="Times New Roman"/>
    </w:rPr>
  </w:style>
  <w:style w:type="character" w:customStyle="1" w:styleId="53">
    <w:name w:val="H2 Char"/>
    <w:qFormat/>
    <w:uiPriority w:val="0"/>
    <w:rPr>
      <w:rFonts w:ascii="Arial" w:hAnsi="Arial" w:eastAsia="黑体" w:cs="Times New Roman"/>
      <w:b/>
      <w:bCs/>
      <w:kern w:val="2"/>
      <w:sz w:val="32"/>
      <w:szCs w:val="32"/>
      <w:lang w:val="en-US" w:eastAsia="zh-CN" w:bidi="ar-SA"/>
    </w:rPr>
  </w:style>
  <w:style w:type="character" w:customStyle="1" w:styleId="54">
    <w:name w:val="标题 Char1"/>
    <w:qFormat/>
    <w:uiPriority w:val="0"/>
    <w:rPr>
      <w:rFonts w:ascii="Cambria" w:hAnsi="Cambria" w:eastAsia="Arial Unicode MS" w:cs="Times New Roman"/>
      <w:b/>
      <w:bCs/>
      <w:kern w:val="2"/>
      <w:sz w:val="32"/>
      <w:szCs w:val="32"/>
    </w:rPr>
  </w:style>
  <w:style w:type="character" w:customStyle="1" w:styleId="55">
    <w:name w:val="纯文本字符"/>
    <w:qFormat/>
    <w:uiPriority w:val="0"/>
    <w:rPr>
      <w:rFonts w:ascii="宋体" w:hAnsi="Courier New" w:eastAsia="宋体" w:cs="Times New Roman"/>
      <w:kern w:val="2"/>
      <w:sz w:val="21"/>
      <w:lang w:val="en-US" w:eastAsia="zh-CN" w:bidi="ar-SA"/>
    </w:rPr>
  </w:style>
  <w:style w:type="character" w:customStyle="1" w:styleId="56">
    <w:name w:val="正文文本缩进字符"/>
    <w:qFormat/>
    <w:uiPriority w:val="0"/>
    <w:rPr>
      <w:rFonts w:ascii="宋体" w:hAnsi="Courier New" w:eastAsia="Arial Unicode MS" w:cs="Times New Roman"/>
      <w:spacing w:val="-4"/>
      <w:kern w:val="2"/>
      <w:sz w:val="18"/>
    </w:rPr>
  </w:style>
  <w:style w:type="character" w:customStyle="1" w:styleId="57">
    <w:name w:val="Char Char41"/>
    <w:qFormat/>
    <w:uiPriority w:val="0"/>
    <w:rPr>
      <w:rFonts w:ascii="宋体" w:hAnsi="Times New Roman" w:eastAsia="宋体" w:cs="Times New Roman"/>
      <w:kern w:val="2"/>
      <w:sz w:val="18"/>
      <w:szCs w:val="18"/>
      <w:lang w:val="en-US" w:eastAsia="zh-CN" w:bidi="ar-SA"/>
    </w:rPr>
  </w:style>
  <w:style w:type="character" w:customStyle="1" w:styleId="58">
    <w:name w:val="纯文本 Char1"/>
    <w:qFormat/>
    <w:uiPriority w:val="0"/>
    <w:rPr>
      <w:rFonts w:ascii="宋体" w:hAnsi="Courier New" w:eastAsia="宋体" w:cs="Times New Roman"/>
      <w:kern w:val="2"/>
      <w:sz w:val="21"/>
      <w:lang w:val="en-US" w:eastAsia="zh-CN" w:bidi="ar-SA"/>
    </w:rPr>
  </w:style>
  <w:style w:type="character" w:customStyle="1" w:styleId="59">
    <w:name w:val="style54"/>
    <w:qFormat/>
    <w:uiPriority w:val="0"/>
    <w:rPr>
      <w:rFonts w:ascii="Times New Roman" w:hAnsi="Times New Roman" w:eastAsia="Arial Unicode MS" w:cs="Times New Roman"/>
    </w:rPr>
  </w:style>
  <w:style w:type="paragraph" w:customStyle="1" w:styleId="60">
    <w:name w:val="Char Char Char Char"/>
    <w:basedOn w:val="1"/>
    <w:qFormat/>
    <w:uiPriority w:val="0"/>
    <w:rPr>
      <w:rFonts w:ascii="Tahoma" w:hAnsi="Tahoma"/>
      <w:sz w:val="24"/>
      <w:szCs w:val="20"/>
    </w:rPr>
  </w:style>
  <w:style w:type="paragraph" w:customStyle="1" w:styleId="61">
    <w:name w:val="列出段落2"/>
    <w:basedOn w:val="1"/>
    <w:qFormat/>
    <w:uiPriority w:val="0"/>
    <w:pPr>
      <w:ind w:firstLine="420" w:firstLineChars="200"/>
    </w:pPr>
    <w:rPr>
      <w:sz w:val="24"/>
    </w:rPr>
  </w:style>
  <w:style w:type="paragraph" w:customStyle="1" w:styleId="62">
    <w:name w:val="Char Char Char1 Char Char Char Char Char Char Char"/>
    <w:basedOn w:val="1"/>
    <w:qFormat/>
    <w:uiPriority w:val="0"/>
  </w:style>
  <w:style w:type="paragraph" w:customStyle="1" w:styleId="63">
    <w:name w:val="1"/>
    <w:basedOn w:val="1"/>
    <w:next w:val="11"/>
    <w:qFormat/>
    <w:uiPriority w:val="0"/>
    <w:rPr>
      <w:rFonts w:ascii="宋体" w:hAnsi="Courier New"/>
      <w:szCs w:val="20"/>
    </w:rPr>
  </w:style>
  <w:style w:type="paragraph" w:customStyle="1" w:styleId="64">
    <w:name w:val="彩色列表 - 强调文字颜色 11"/>
    <w:basedOn w:val="1"/>
    <w:qFormat/>
    <w:uiPriority w:val="0"/>
    <w:pPr>
      <w:ind w:firstLine="420" w:firstLineChars="200"/>
    </w:pPr>
    <w:rPr>
      <w:rFonts w:ascii="Calibri" w:hAnsi="Calibri"/>
      <w:szCs w:val="22"/>
    </w:rPr>
  </w:style>
  <w:style w:type="paragraph" w:customStyle="1" w:styleId="65">
    <w:name w:val="Char Char Char1"/>
    <w:basedOn w:val="1"/>
    <w:qFormat/>
    <w:uiPriority w:val="0"/>
    <w:rPr>
      <w:rFonts w:ascii="Tahoma" w:hAnsi="Tahoma"/>
      <w:sz w:val="24"/>
      <w:szCs w:val="20"/>
    </w:rPr>
  </w:style>
  <w:style w:type="paragraph" w:customStyle="1" w:styleId="66">
    <w:name w:val="Char Char Char Char Char Char Char Char Char Char Char Char"/>
    <w:basedOn w:val="1"/>
    <w:qFormat/>
    <w:uiPriority w:val="0"/>
    <w:pPr>
      <w:widowControl/>
      <w:spacing w:line="240" w:lineRule="exact"/>
      <w:jc w:val="left"/>
    </w:pPr>
  </w:style>
  <w:style w:type="paragraph" w:customStyle="1" w:styleId="67">
    <w:name w:val="样式 标题 1 + 居中 段前: 0 磅 段后: 0 磅 行距: 固定值 30 磅"/>
    <w:basedOn w:val="2"/>
    <w:qFormat/>
    <w:uiPriority w:val="0"/>
    <w:pPr>
      <w:spacing w:line="600" w:lineRule="exact"/>
      <w:jc w:val="center"/>
    </w:pPr>
    <w:rPr>
      <w:rFonts w:eastAsia="Arial Unicode MS" w:cs="宋体"/>
      <w:szCs w:val="20"/>
    </w:rPr>
  </w:style>
  <w:style w:type="paragraph" w:customStyle="1" w:styleId="68">
    <w:name w:val="正文段"/>
    <w:basedOn w:val="1"/>
    <w:qFormat/>
    <w:uiPriority w:val="0"/>
    <w:pPr>
      <w:widowControl/>
      <w:snapToGrid w:val="0"/>
      <w:spacing w:afterLines="50"/>
      <w:ind w:firstLine="200" w:firstLineChars="200"/>
    </w:pPr>
    <w:rPr>
      <w:kern w:val="0"/>
      <w:sz w:val="24"/>
      <w:szCs w:val="20"/>
    </w:rPr>
  </w:style>
  <w:style w:type="paragraph" w:customStyle="1" w:styleId="69">
    <w:name w:val="List Paragraph1"/>
    <w:basedOn w:val="1"/>
    <w:qFormat/>
    <w:uiPriority w:val="0"/>
    <w:pPr>
      <w:ind w:firstLine="420" w:firstLineChars="200"/>
    </w:pPr>
    <w:rPr>
      <w:rFonts w:ascii="Calibri" w:hAnsi="Calibri"/>
      <w:szCs w:val="22"/>
    </w:rPr>
  </w:style>
  <w:style w:type="paragraph" w:customStyle="1" w:styleId="70">
    <w:name w:val="Char Char Char Char Char Char Char"/>
    <w:basedOn w:val="1"/>
    <w:qFormat/>
    <w:uiPriority w:val="0"/>
  </w:style>
  <w:style w:type="paragraph" w:customStyle="1" w:styleId="71">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2">
    <w:name w:val="p0"/>
    <w:basedOn w:val="1"/>
    <w:qFormat/>
    <w:uiPriority w:val="0"/>
    <w:pPr>
      <w:widowControl/>
    </w:pPr>
    <w:rPr>
      <w:kern w:val="0"/>
      <w:szCs w:val="21"/>
    </w:rPr>
  </w:style>
  <w:style w:type="paragraph" w:customStyle="1" w:styleId="73">
    <w:name w:val="p16"/>
    <w:basedOn w:val="1"/>
    <w:qFormat/>
    <w:uiPriority w:val="0"/>
    <w:pPr>
      <w:widowControl/>
    </w:pPr>
    <w:rPr>
      <w:rFonts w:ascii="宋体" w:hAnsi="宋体" w:cs="宋体"/>
      <w:kern w:val="0"/>
      <w:szCs w:val="21"/>
    </w:rPr>
  </w:style>
  <w:style w:type="paragraph" w:styleId="74">
    <w:name w:val="No Spacing"/>
    <w:qFormat/>
    <w:uiPriority w:val="0"/>
    <w:pPr>
      <w:widowControl w:val="0"/>
      <w:jc w:val="both"/>
    </w:pPr>
    <w:rPr>
      <w:rFonts w:ascii="Times New Roman" w:hAnsi="Times New Roman" w:eastAsia="Arial Unicode MS" w:cs="Times New Roman"/>
      <w:kern w:val="2"/>
      <w:sz w:val="21"/>
      <w:szCs w:val="22"/>
      <w:lang w:val="en-US" w:eastAsia="zh-CN" w:bidi="ar-SA"/>
    </w:rPr>
  </w:style>
  <w:style w:type="paragraph" w:customStyle="1" w:styleId="7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77">
    <w:name w:val="Char"/>
    <w:basedOn w:val="1"/>
    <w:qFormat/>
    <w:uiPriority w:val="0"/>
  </w:style>
  <w:style w:type="paragraph" w:customStyle="1" w:styleId="78">
    <w:name w:val="默认段落字体 Para Char Char Char Char Char Char Char Char Char Char Char Char Char Char Char Char Char Char Char"/>
    <w:basedOn w:val="1"/>
    <w:qFormat/>
    <w:uiPriority w:val="0"/>
    <w:rPr>
      <w:rFonts w:ascii="Calibri" w:hAnsi="Calibri"/>
      <w:szCs w:val="22"/>
    </w:rPr>
  </w:style>
  <w:style w:type="paragraph" w:styleId="79">
    <w:name w:val="List Paragraph"/>
    <w:basedOn w:val="1"/>
    <w:qFormat/>
    <w:uiPriority w:val="0"/>
    <w:pPr>
      <w:ind w:firstLine="420" w:firstLineChars="200"/>
    </w:pPr>
    <w:rPr>
      <w:rFonts w:ascii="Calibri" w:hAnsi="Calibri"/>
      <w:szCs w:val="22"/>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样式 标题 2 + 非加粗 首行缩进:  2 字符"/>
    <w:basedOn w:val="3"/>
    <w:qFormat/>
    <w:uiPriority w:val="0"/>
    <w:pPr>
      <w:spacing w:line="600" w:lineRule="exact"/>
      <w:ind w:firstLine="640" w:firstLineChars="200"/>
      <w:jc w:val="left"/>
    </w:pPr>
    <w:rPr>
      <w:rFonts w:ascii="Times New Roman" w:hAnsi="Times New Roman" w:eastAsia="Arial Unicode MS" w:cs="宋体"/>
      <w:b w:val="0"/>
      <w:bCs w:val="0"/>
      <w:szCs w:val="20"/>
    </w:rPr>
  </w:style>
  <w:style w:type="paragraph" w:customStyle="1" w:styleId="82">
    <w:name w:val="正文_0_1"/>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customStyle="1" w:styleId="83">
    <w:name w:val="Char1"/>
    <w:basedOn w:val="1"/>
    <w:qFormat/>
    <w:uiPriority w:val="0"/>
    <w:rPr>
      <w:szCs w:val="21"/>
    </w:rPr>
  </w:style>
  <w:style w:type="paragraph" w:customStyle="1" w:styleId="84">
    <w:name w:val="样式2"/>
    <w:basedOn w:val="3"/>
    <w:qFormat/>
    <w:uiPriority w:val="0"/>
    <w:pPr>
      <w:spacing w:line="415" w:lineRule="auto"/>
      <w:jc w:val="center"/>
    </w:pPr>
    <w:rPr>
      <w:rFonts w:ascii="Times New Roman" w:hAnsi="Times New Roman" w:eastAsia="华文中宋"/>
      <w:sz w:val="36"/>
      <w:szCs w:val="36"/>
    </w:rPr>
  </w:style>
  <w:style w:type="paragraph" w:customStyle="1" w:styleId="85">
    <w:name w:val="2"/>
    <w:basedOn w:val="1"/>
    <w:next w:val="11"/>
    <w:qFormat/>
    <w:uiPriority w:val="0"/>
    <w:rPr>
      <w:rFonts w:ascii="宋体" w:hAnsi="Courier New"/>
      <w:szCs w:val="20"/>
    </w:rPr>
  </w:style>
  <w:style w:type="table" w:customStyle="1" w:styleId="86">
    <w:name w:val="Table Normal"/>
    <w:unhideWhenUsed/>
    <w:qFormat/>
    <w:uiPriority w:val="0"/>
    <w:tblPr>
      <w:tblCellMar>
        <w:top w:w="0" w:type="dxa"/>
        <w:left w:w="0" w:type="dxa"/>
        <w:bottom w:w="0" w:type="dxa"/>
        <w:right w:w="0" w:type="dxa"/>
      </w:tblCellMar>
    </w:tblPr>
  </w:style>
  <w:style w:type="table" w:customStyle="1" w:styleId="87">
    <w:name w:val="Table Normal1"/>
    <w:unhideWhenUsed/>
    <w:qFormat/>
    <w:uiPriority w:val="0"/>
    <w:rPr>
      <w:rFonts w:ascii="Arial" w:hAnsi="Arial" w:cs="Arial"/>
    </w:rPr>
    <w:tblPr>
      <w:tblCellMar>
        <w:top w:w="0" w:type="dxa"/>
        <w:left w:w="0" w:type="dxa"/>
        <w:bottom w:w="0" w:type="dxa"/>
        <w:right w:w="0" w:type="dxa"/>
      </w:tblCellMar>
    </w:tblPr>
  </w:style>
  <w:style w:type="paragraph" w:customStyle="1" w:styleId="88">
    <w:name w:val="样式 0正文 + 首行缩进:  2 字符1"/>
    <w:basedOn w:val="1"/>
    <w:qFormat/>
    <w:uiPriority w:val="99"/>
    <w:pPr>
      <w:spacing w:line="360" w:lineRule="auto"/>
      <w:ind w:firstLine="200" w:firstLineChars="200"/>
    </w:pPr>
    <w:rPr>
      <w:szCs w:val="20"/>
    </w:rPr>
  </w:style>
  <w:style w:type="character" w:customStyle="1" w:styleId="89">
    <w:name w:val="纯文本 Char"/>
    <w:qFormat/>
    <w:uiPriority w:val="0"/>
    <w:rPr>
      <w:rFonts w:ascii="宋体" w:hAnsi="Courier New" w:eastAsia="宋体"/>
      <w:kern w:val="2"/>
      <w:sz w:val="21"/>
      <w:lang w:val="en-US" w:eastAsia="zh-CN"/>
    </w:rPr>
  </w:style>
  <w:style w:type="paragraph" w:customStyle="1" w:styleId="90">
    <w:name w:val="Table Text"/>
    <w:basedOn w:val="1"/>
    <w:semiHidden/>
    <w:qFormat/>
    <w:uiPriority w:val="0"/>
    <w:rPr>
      <w:rFonts w:ascii="宋体" w:hAnsi="宋体" w:eastAsia="宋体" w:cs="宋体"/>
      <w:sz w:val="20"/>
      <w:szCs w:val="20"/>
      <w:lang w:eastAsia="en-US"/>
    </w:rPr>
  </w:style>
  <w:style w:type="character" w:customStyle="1" w:styleId="91">
    <w:name w:val="Body text|1_"/>
    <w:basedOn w:val="26"/>
    <w:link w:val="92"/>
    <w:qFormat/>
    <w:uiPriority w:val="0"/>
    <w:rPr>
      <w:rFonts w:ascii="宋体" w:hAnsi="宋体" w:cs="宋体"/>
      <w:sz w:val="22"/>
      <w:szCs w:val="22"/>
    </w:rPr>
  </w:style>
  <w:style w:type="paragraph" w:customStyle="1" w:styleId="92">
    <w:name w:val="Body text|1"/>
    <w:basedOn w:val="1"/>
    <w:link w:val="91"/>
    <w:qFormat/>
    <w:uiPriority w:val="0"/>
    <w:pPr>
      <w:spacing w:after="40" w:line="312" w:lineRule="auto"/>
      <w:jc w:val="left"/>
    </w:pPr>
    <w:rPr>
      <w:rFonts w:ascii="宋体" w:hAnsi="宋体" w:eastAsia="宋体" w:cs="宋体"/>
      <w:kern w:val="0"/>
      <w:sz w:val="22"/>
      <w:szCs w:val="22"/>
    </w:rPr>
  </w:style>
  <w:style w:type="character" w:customStyle="1" w:styleId="93">
    <w:name w:val="Body text|2_"/>
    <w:basedOn w:val="26"/>
    <w:link w:val="94"/>
    <w:qFormat/>
    <w:uiPriority w:val="0"/>
    <w:rPr>
      <w:rFonts w:ascii="Batang" w:hAnsi="Batang" w:eastAsia="Batang" w:cs="Batang"/>
      <w:sz w:val="22"/>
      <w:szCs w:val="22"/>
    </w:rPr>
  </w:style>
  <w:style w:type="paragraph" w:customStyle="1" w:styleId="94">
    <w:name w:val="Body text|2"/>
    <w:basedOn w:val="1"/>
    <w:link w:val="93"/>
    <w:qFormat/>
    <w:uiPriority w:val="0"/>
    <w:pPr>
      <w:spacing w:line="480" w:lineRule="exact"/>
      <w:jc w:val="left"/>
    </w:pPr>
    <w:rPr>
      <w:rFonts w:ascii="Batang" w:hAnsi="Batang" w:eastAsia="Batang" w:cs="Batang"/>
      <w:kern w:val="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65</Pages>
  <Words>9993</Words>
  <Characters>10269</Characters>
  <Lines>258</Lines>
  <Paragraphs>72</Paragraphs>
  <TotalTime>222</TotalTime>
  <ScaleCrop>false</ScaleCrop>
  <LinksUpToDate>false</LinksUpToDate>
  <CharactersWithSpaces>10347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2021-06-28T03:55:00Z</dcterms:created>
  <dc:creator>ASUS</dc:creator>
  <cp:lastModifiedBy>宇宙超人</cp:lastModifiedBy>
  <cp:lastPrinted>2024-04-08T00:24:00Z</cp:lastPrinted>
  <dcterms:modified xsi:type="dcterms:W3CDTF">2025-07-16T08:35:58Z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E9F51BFC8FF84FAEB0EAF961C0D5BF8D_13</vt:lpwstr>
  </property>
  <property fmtid="{D5CDD505-2E9C-101B-9397-08002B2CF9AE}" pid="4" name="KSOTemplateDocerSaveRecord">
    <vt:lpwstr>eyJoZGlkIjoiZjVhNGJiMWVmZTg4ZjFhYWZhYWFiMzBkODkwYWRkZmUiLCJ1c2VySWQiOiIxMDUyMTkzNjI1In0=</vt:lpwstr>
  </property>
</Properties>
</file>